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7603AF6">
      <w:pPr>
        <w:pStyle w:val="22"/>
        <w:tabs>
          <w:tab w:val="right" w:leader="dot" w:pos="8303"/>
        </w:tabs>
        <w:spacing w:before="120" w:beforeLines="50" w:after="240" w:afterLines="100"/>
        <w:ind w:firstLine="0" w:firstLineChars="0"/>
        <w:jc w:val="center"/>
        <w:rPr>
          <w:rFonts w:hint="default" w:ascii="Times New Roman" w:hAnsi="Times New Roman" w:cs="Times New Roman"/>
          <w:b/>
          <w:color w:val="auto"/>
          <w:sz w:val="44"/>
          <w:szCs w:val="44"/>
          <w:highlight w:val="none"/>
        </w:rPr>
      </w:pPr>
      <w:bookmarkStart w:id="1341" w:name="_GoBack"/>
      <w:bookmarkEnd w:id="1341"/>
      <w:r>
        <w:rPr>
          <w:rFonts w:hint="default" w:ascii="Times New Roman" w:hAnsi="Times New Roman" w:cs="Times New Roman"/>
          <w:b/>
          <w:color w:val="auto"/>
          <w:sz w:val="44"/>
          <w:szCs w:val="44"/>
          <w:highlight w:val="none"/>
        </w:rPr>
        <w:t>目</w:t>
      </w:r>
      <w:r>
        <w:rPr>
          <w:rFonts w:hint="default" w:ascii="Times New Roman" w:hAnsi="Times New Roman" w:cs="Times New Roman"/>
          <w:b/>
          <w:color w:val="auto"/>
          <w:sz w:val="44"/>
          <w:szCs w:val="44"/>
          <w:highlight w:val="none"/>
          <w:lang w:val="en-US" w:eastAsia="zh-CN"/>
        </w:rPr>
        <w:t xml:space="preserve"> </w:t>
      </w:r>
      <w:r>
        <w:rPr>
          <w:rFonts w:hint="default" w:ascii="Times New Roman" w:hAnsi="Times New Roman" w:cs="Times New Roman"/>
          <w:b/>
          <w:color w:val="auto"/>
          <w:sz w:val="44"/>
          <w:szCs w:val="44"/>
          <w:highlight w:val="none"/>
        </w:rPr>
        <w:t>录</w:t>
      </w:r>
    </w:p>
    <w:p w14:paraId="5AF704AF">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TOC \o "1-2" \h \z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_Toc10087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1概述</w:t>
      </w:r>
      <w:r>
        <w:rPr>
          <w:color w:val="auto"/>
          <w:highlight w:val="none"/>
        </w:rPr>
        <w:tab/>
      </w:r>
      <w:r>
        <w:rPr>
          <w:color w:val="auto"/>
          <w:highlight w:val="none"/>
        </w:rPr>
        <w:fldChar w:fldCharType="begin"/>
      </w:r>
      <w:r>
        <w:rPr>
          <w:color w:val="auto"/>
          <w:highlight w:val="none"/>
        </w:rPr>
        <w:instrText xml:space="preserve"> PAGEREF _Toc10087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0EB9C1A0">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_Toc6816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1.1建设项目特点</w:t>
      </w:r>
      <w:r>
        <w:rPr>
          <w:color w:val="auto"/>
          <w:highlight w:val="none"/>
        </w:rPr>
        <w:tab/>
      </w:r>
      <w:r>
        <w:rPr>
          <w:color w:val="auto"/>
          <w:highlight w:val="none"/>
        </w:rPr>
        <w:fldChar w:fldCharType="begin"/>
      </w:r>
      <w:r>
        <w:rPr>
          <w:color w:val="auto"/>
          <w:highlight w:val="none"/>
        </w:rPr>
        <w:instrText xml:space="preserve"> PAGEREF _Toc6816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55BF2664">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_Toc21050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1.2环境影响评价过程</w:t>
      </w:r>
      <w:r>
        <w:rPr>
          <w:color w:val="auto"/>
          <w:highlight w:val="none"/>
        </w:rPr>
        <w:tab/>
      </w:r>
      <w:r>
        <w:rPr>
          <w:color w:val="auto"/>
          <w:highlight w:val="none"/>
        </w:rPr>
        <w:fldChar w:fldCharType="begin"/>
      </w:r>
      <w:r>
        <w:rPr>
          <w:color w:val="auto"/>
          <w:highlight w:val="none"/>
        </w:rPr>
        <w:instrText xml:space="preserve"> PAGEREF _Toc21050 \h </w:instrText>
      </w:r>
      <w:r>
        <w:rPr>
          <w:color w:val="auto"/>
          <w:highlight w:val="none"/>
        </w:rPr>
        <w:fldChar w:fldCharType="separate"/>
      </w:r>
      <w:r>
        <w:rPr>
          <w:color w:val="auto"/>
          <w:highlight w:val="none"/>
        </w:rPr>
        <w:t>3</w:t>
      </w:r>
      <w:r>
        <w:rPr>
          <w:color w:val="auto"/>
          <w:highlight w:val="none"/>
        </w:rPr>
        <w:fldChar w:fldCharType="end"/>
      </w:r>
      <w:r>
        <w:rPr>
          <w:rFonts w:hint="default" w:ascii="Times New Roman" w:hAnsi="Times New Roman" w:cs="Times New Roman"/>
          <w:color w:val="auto"/>
          <w:highlight w:val="none"/>
        </w:rPr>
        <w:fldChar w:fldCharType="end"/>
      </w:r>
    </w:p>
    <w:p w14:paraId="2C426D4C">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_Toc19343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1.3分析判定相关情况</w:t>
      </w:r>
      <w:r>
        <w:rPr>
          <w:color w:val="auto"/>
          <w:highlight w:val="none"/>
        </w:rPr>
        <w:tab/>
      </w:r>
      <w:r>
        <w:rPr>
          <w:color w:val="auto"/>
          <w:highlight w:val="none"/>
        </w:rPr>
        <w:fldChar w:fldCharType="begin"/>
      </w:r>
      <w:r>
        <w:rPr>
          <w:color w:val="auto"/>
          <w:highlight w:val="none"/>
        </w:rPr>
        <w:instrText xml:space="preserve"> PAGEREF _Toc19343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cs="Times New Roman"/>
          <w:color w:val="auto"/>
          <w:highlight w:val="none"/>
        </w:rPr>
        <w:fldChar w:fldCharType="end"/>
      </w:r>
    </w:p>
    <w:p w14:paraId="1EA4C54F">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_Toc17239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1.4关注的主要环境问题及环境影响</w:t>
      </w:r>
      <w:r>
        <w:rPr>
          <w:color w:val="auto"/>
          <w:highlight w:val="none"/>
        </w:rPr>
        <w:tab/>
      </w:r>
      <w:r>
        <w:rPr>
          <w:color w:val="auto"/>
          <w:highlight w:val="none"/>
        </w:rPr>
        <w:fldChar w:fldCharType="begin"/>
      </w:r>
      <w:r>
        <w:rPr>
          <w:color w:val="auto"/>
          <w:highlight w:val="none"/>
        </w:rPr>
        <w:instrText xml:space="preserve"> PAGEREF _Toc17239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cs="Times New Roman"/>
          <w:color w:val="auto"/>
          <w:highlight w:val="none"/>
        </w:rPr>
        <w:fldChar w:fldCharType="end"/>
      </w:r>
    </w:p>
    <w:p w14:paraId="59F48183">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_Toc9244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1.5环境影响评价的主要结论</w:t>
      </w:r>
      <w:r>
        <w:rPr>
          <w:color w:val="auto"/>
          <w:highlight w:val="none"/>
        </w:rPr>
        <w:tab/>
      </w:r>
      <w:r>
        <w:rPr>
          <w:color w:val="auto"/>
          <w:highlight w:val="none"/>
        </w:rPr>
        <w:fldChar w:fldCharType="begin"/>
      </w:r>
      <w:r>
        <w:rPr>
          <w:color w:val="auto"/>
          <w:highlight w:val="none"/>
        </w:rPr>
        <w:instrText xml:space="preserve"> PAGEREF _Toc9244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cs="Times New Roman"/>
          <w:color w:val="auto"/>
          <w:highlight w:val="none"/>
        </w:rPr>
        <w:fldChar w:fldCharType="end"/>
      </w:r>
    </w:p>
    <w:p w14:paraId="2090F7B3">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_Toc3876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2总则</w:t>
      </w:r>
      <w:r>
        <w:rPr>
          <w:color w:val="auto"/>
          <w:highlight w:val="none"/>
        </w:rPr>
        <w:tab/>
      </w:r>
      <w:r>
        <w:rPr>
          <w:color w:val="auto"/>
          <w:highlight w:val="none"/>
        </w:rPr>
        <w:fldChar w:fldCharType="begin"/>
      </w:r>
      <w:r>
        <w:rPr>
          <w:color w:val="auto"/>
          <w:highlight w:val="none"/>
        </w:rPr>
        <w:instrText xml:space="preserve"> PAGEREF _Toc3876 \h </w:instrText>
      </w:r>
      <w:r>
        <w:rPr>
          <w:color w:val="auto"/>
          <w:highlight w:val="none"/>
        </w:rPr>
        <w:fldChar w:fldCharType="separate"/>
      </w:r>
      <w:r>
        <w:rPr>
          <w:color w:val="auto"/>
          <w:highlight w:val="none"/>
        </w:rPr>
        <w:t>10</w:t>
      </w:r>
      <w:r>
        <w:rPr>
          <w:color w:val="auto"/>
          <w:highlight w:val="none"/>
        </w:rPr>
        <w:fldChar w:fldCharType="end"/>
      </w:r>
      <w:r>
        <w:rPr>
          <w:rFonts w:hint="default" w:ascii="Times New Roman" w:hAnsi="Times New Roman" w:cs="Times New Roman"/>
          <w:color w:val="auto"/>
          <w:highlight w:val="none"/>
        </w:rPr>
        <w:fldChar w:fldCharType="end"/>
      </w:r>
    </w:p>
    <w:p w14:paraId="70F36AB1">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_Toc13559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2.1评价原则与目的</w:t>
      </w:r>
      <w:r>
        <w:rPr>
          <w:color w:val="auto"/>
          <w:highlight w:val="none"/>
        </w:rPr>
        <w:tab/>
      </w:r>
      <w:r>
        <w:rPr>
          <w:color w:val="auto"/>
          <w:highlight w:val="none"/>
        </w:rPr>
        <w:fldChar w:fldCharType="begin"/>
      </w:r>
      <w:r>
        <w:rPr>
          <w:color w:val="auto"/>
          <w:highlight w:val="none"/>
        </w:rPr>
        <w:instrText xml:space="preserve"> PAGEREF _Toc13559 \h </w:instrText>
      </w:r>
      <w:r>
        <w:rPr>
          <w:color w:val="auto"/>
          <w:highlight w:val="none"/>
        </w:rPr>
        <w:fldChar w:fldCharType="separate"/>
      </w:r>
      <w:r>
        <w:rPr>
          <w:color w:val="auto"/>
          <w:highlight w:val="none"/>
        </w:rPr>
        <w:t>10</w:t>
      </w:r>
      <w:r>
        <w:rPr>
          <w:color w:val="auto"/>
          <w:highlight w:val="none"/>
        </w:rPr>
        <w:fldChar w:fldCharType="end"/>
      </w:r>
      <w:r>
        <w:rPr>
          <w:rFonts w:hint="default" w:ascii="Times New Roman" w:hAnsi="Times New Roman" w:cs="Times New Roman"/>
          <w:color w:val="auto"/>
          <w:highlight w:val="none"/>
        </w:rPr>
        <w:fldChar w:fldCharType="end"/>
      </w:r>
    </w:p>
    <w:p w14:paraId="0E91EAFD">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_Toc8683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2.2编制依据</w:t>
      </w:r>
      <w:r>
        <w:rPr>
          <w:color w:val="auto"/>
          <w:highlight w:val="none"/>
        </w:rPr>
        <w:tab/>
      </w:r>
      <w:r>
        <w:rPr>
          <w:color w:val="auto"/>
          <w:highlight w:val="none"/>
        </w:rPr>
        <w:fldChar w:fldCharType="begin"/>
      </w:r>
      <w:r>
        <w:rPr>
          <w:color w:val="auto"/>
          <w:highlight w:val="none"/>
        </w:rPr>
        <w:instrText xml:space="preserve"> PAGEREF _Toc8683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color w:val="auto"/>
          <w:highlight w:val="none"/>
        </w:rPr>
        <w:fldChar w:fldCharType="end"/>
      </w:r>
    </w:p>
    <w:p w14:paraId="0F39C3D9">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_Toc17971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2.3环境影响评价时段</w:t>
      </w:r>
      <w:r>
        <w:rPr>
          <w:color w:val="auto"/>
          <w:highlight w:val="none"/>
        </w:rPr>
        <w:tab/>
      </w:r>
      <w:r>
        <w:rPr>
          <w:color w:val="auto"/>
          <w:highlight w:val="none"/>
        </w:rPr>
        <w:fldChar w:fldCharType="begin"/>
      </w:r>
      <w:r>
        <w:rPr>
          <w:color w:val="auto"/>
          <w:highlight w:val="none"/>
        </w:rPr>
        <w:instrText xml:space="preserve"> PAGEREF _Toc17971 \h </w:instrText>
      </w:r>
      <w:r>
        <w:rPr>
          <w:color w:val="auto"/>
          <w:highlight w:val="none"/>
        </w:rPr>
        <w:fldChar w:fldCharType="separate"/>
      </w:r>
      <w:r>
        <w:rPr>
          <w:color w:val="auto"/>
          <w:highlight w:val="none"/>
        </w:rPr>
        <w:t>17</w:t>
      </w:r>
      <w:r>
        <w:rPr>
          <w:color w:val="auto"/>
          <w:highlight w:val="none"/>
        </w:rPr>
        <w:fldChar w:fldCharType="end"/>
      </w:r>
      <w:r>
        <w:rPr>
          <w:rFonts w:hint="default" w:ascii="Times New Roman" w:hAnsi="Times New Roman" w:cs="Times New Roman"/>
          <w:color w:val="auto"/>
          <w:highlight w:val="none"/>
        </w:rPr>
        <w:fldChar w:fldCharType="end"/>
      </w:r>
    </w:p>
    <w:p w14:paraId="6CD92890">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_Toc17568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2.4评价因子识别及筛选</w:t>
      </w:r>
      <w:r>
        <w:rPr>
          <w:color w:val="auto"/>
          <w:highlight w:val="none"/>
        </w:rPr>
        <w:tab/>
      </w:r>
      <w:r>
        <w:rPr>
          <w:color w:val="auto"/>
          <w:highlight w:val="none"/>
        </w:rPr>
        <w:fldChar w:fldCharType="begin"/>
      </w:r>
      <w:r>
        <w:rPr>
          <w:color w:val="auto"/>
          <w:highlight w:val="none"/>
        </w:rPr>
        <w:instrText xml:space="preserve"> PAGEREF _Toc17568 \h </w:instrText>
      </w:r>
      <w:r>
        <w:rPr>
          <w:color w:val="auto"/>
          <w:highlight w:val="none"/>
        </w:rPr>
        <w:fldChar w:fldCharType="separate"/>
      </w:r>
      <w:r>
        <w:rPr>
          <w:color w:val="auto"/>
          <w:highlight w:val="none"/>
        </w:rPr>
        <w:t>17</w:t>
      </w:r>
      <w:r>
        <w:rPr>
          <w:color w:val="auto"/>
          <w:highlight w:val="none"/>
        </w:rPr>
        <w:fldChar w:fldCharType="end"/>
      </w:r>
      <w:r>
        <w:rPr>
          <w:rFonts w:hint="default" w:ascii="Times New Roman" w:hAnsi="Times New Roman" w:cs="Times New Roman"/>
          <w:color w:val="auto"/>
          <w:highlight w:val="none"/>
        </w:rPr>
        <w:fldChar w:fldCharType="end"/>
      </w:r>
    </w:p>
    <w:p w14:paraId="5159A195">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_Toc16760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2.5环境功能区划和评价标准</w:t>
      </w:r>
      <w:r>
        <w:rPr>
          <w:color w:val="auto"/>
          <w:highlight w:val="none"/>
        </w:rPr>
        <w:tab/>
      </w:r>
      <w:r>
        <w:rPr>
          <w:color w:val="auto"/>
          <w:highlight w:val="none"/>
        </w:rPr>
        <w:fldChar w:fldCharType="begin"/>
      </w:r>
      <w:r>
        <w:rPr>
          <w:color w:val="auto"/>
          <w:highlight w:val="none"/>
        </w:rPr>
        <w:instrText xml:space="preserve"> PAGEREF _Toc16760 \h </w:instrText>
      </w:r>
      <w:r>
        <w:rPr>
          <w:color w:val="auto"/>
          <w:highlight w:val="none"/>
        </w:rPr>
        <w:fldChar w:fldCharType="separate"/>
      </w:r>
      <w:r>
        <w:rPr>
          <w:color w:val="auto"/>
          <w:highlight w:val="none"/>
        </w:rPr>
        <w:t>19</w:t>
      </w:r>
      <w:r>
        <w:rPr>
          <w:color w:val="auto"/>
          <w:highlight w:val="none"/>
        </w:rPr>
        <w:fldChar w:fldCharType="end"/>
      </w:r>
      <w:r>
        <w:rPr>
          <w:rFonts w:hint="default" w:ascii="Times New Roman" w:hAnsi="Times New Roman" w:cs="Times New Roman"/>
          <w:color w:val="auto"/>
          <w:highlight w:val="none"/>
        </w:rPr>
        <w:fldChar w:fldCharType="end"/>
      </w:r>
    </w:p>
    <w:p w14:paraId="496F3648">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_Toc29892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2.6评价等级和评价范围</w:t>
      </w:r>
      <w:r>
        <w:rPr>
          <w:color w:val="auto"/>
          <w:highlight w:val="none"/>
        </w:rPr>
        <w:tab/>
      </w:r>
      <w:r>
        <w:rPr>
          <w:color w:val="auto"/>
          <w:highlight w:val="none"/>
        </w:rPr>
        <w:fldChar w:fldCharType="begin"/>
      </w:r>
      <w:r>
        <w:rPr>
          <w:color w:val="auto"/>
          <w:highlight w:val="none"/>
        </w:rPr>
        <w:instrText xml:space="preserve"> PAGEREF _Toc29892 \h </w:instrText>
      </w:r>
      <w:r>
        <w:rPr>
          <w:color w:val="auto"/>
          <w:highlight w:val="none"/>
        </w:rPr>
        <w:fldChar w:fldCharType="separate"/>
      </w:r>
      <w:r>
        <w:rPr>
          <w:color w:val="auto"/>
          <w:highlight w:val="none"/>
        </w:rPr>
        <w:t>28</w:t>
      </w:r>
      <w:r>
        <w:rPr>
          <w:color w:val="auto"/>
          <w:highlight w:val="none"/>
        </w:rPr>
        <w:fldChar w:fldCharType="end"/>
      </w:r>
      <w:r>
        <w:rPr>
          <w:rFonts w:hint="default" w:ascii="Times New Roman" w:hAnsi="Times New Roman" w:cs="Times New Roman"/>
          <w:color w:val="auto"/>
          <w:highlight w:val="none"/>
        </w:rPr>
        <w:fldChar w:fldCharType="end"/>
      </w:r>
    </w:p>
    <w:p w14:paraId="6CE3B750">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_Toc4212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2.7评价重点</w:t>
      </w:r>
      <w:r>
        <w:rPr>
          <w:color w:val="auto"/>
          <w:highlight w:val="none"/>
        </w:rPr>
        <w:tab/>
      </w:r>
      <w:r>
        <w:rPr>
          <w:color w:val="auto"/>
          <w:highlight w:val="none"/>
        </w:rPr>
        <w:fldChar w:fldCharType="begin"/>
      </w:r>
      <w:r>
        <w:rPr>
          <w:color w:val="auto"/>
          <w:highlight w:val="none"/>
        </w:rPr>
        <w:instrText xml:space="preserve"> PAGEREF _Toc4212 \h </w:instrText>
      </w:r>
      <w:r>
        <w:rPr>
          <w:color w:val="auto"/>
          <w:highlight w:val="none"/>
        </w:rPr>
        <w:fldChar w:fldCharType="separate"/>
      </w:r>
      <w:r>
        <w:rPr>
          <w:color w:val="auto"/>
          <w:highlight w:val="none"/>
        </w:rPr>
        <w:t>40</w:t>
      </w:r>
      <w:r>
        <w:rPr>
          <w:color w:val="auto"/>
          <w:highlight w:val="none"/>
        </w:rPr>
        <w:fldChar w:fldCharType="end"/>
      </w:r>
      <w:r>
        <w:rPr>
          <w:rFonts w:hint="default" w:ascii="Times New Roman" w:hAnsi="Times New Roman" w:cs="Times New Roman"/>
          <w:color w:val="auto"/>
          <w:highlight w:val="none"/>
        </w:rPr>
        <w:fldChar w:fldCharType="end"/>
      </w:r>
    </w:p>
    <w:p w14:paraId="3816A558">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_Toc26901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2.8主要环境保护目标和环境敏感目标</w:t>
      </w:r>
      <w:r>
        <w:rPr>
          <w:color w:val="auto"/>
          <w:highlight w:val="none"/>
        </w:rPr>
        <w:tab/>
      </w:r>
      <w:r>
        <w:rPr>
          <w:color w:val="auto"/>
          <w:highlight w:val="none"/>
        </w:rPr>
        <w:fldChar w:fldCharType="begin"/>
      </w:r>
      <w:r>
        <w:rPr>
          <w:color w:val="auto"/>
          <w:highlight w:val="none"/>
        </w:rPr>
        <w:instrText xml:space="preserve"> PAGEREF _Toc26901 \h </w:instrText>
      </w:r>
      <w:r>
        <w:rPr>
          <w:color w:val="auto"/>
          <w:highlight w:val="none"/>
        </w:rPr>
        <w:fldChar w:fldCharType="separate"/>
      </w:r>
      <w:r>
        <w:rPr>
          <w:color w:val="auto"/>
          <w:highlight w:val="none"/>
        </w:rPr>
        <w:t>40</w:t>
      </w:r>
      <w:r>
        <w:rPr>
          <w:color w:val="auto"/>
          <w:highlight w:val="none"/>
        </w:rPr>
        <w:fldChar w:fldCharType="end"/>
      </w:r>
      <w:r>
        <w:rPr>
          <w:rFonts w:hint="default" w:ascii="Times New Roman" w:hAnsi="Times New Roman" w:cs="Times New Roman"/>
          <w:color w:val="auto"/>
          <w:highlight w:val="none"/>
        </w:rPr>
        <w:fldChar w:fldCharType="end"/>
      </w:r>
    </w:p>
    <w:p w14:paraId="2841971C">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_Toc8167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3建设项目工程分析</w:t>
      </w:r>
      <w:r>
        <w:rPr>
          <w:color w:val="auto"/>
          <w:highlight w:val="none"/>
        </w:rPr>
        <w:tab/>
      </w:r>
      <w:r>
        <w:rPr>
          <w:color w:val="auto"/>
          <w:highlight w:val="none"/>
        </w:rPr>
        <w:fldChar w:fldCharType="begin"/>
      </w:r>
      <w:r>
        <w:rPr>
          <w:color w:val="auto"/>
          <w:highlight w:val="none"/>
        </w:rPr>
        <w:instrText xml:space="preserve"> PAGEREF _Toc8167 \h </w:instrText>
      </w:r>
      <w:r>
        <w:rPr>
          <w:color w:val="auto"/>
          <w:highlight w:val="none"/>
        </w:rPr>
        <w:fldChar w:fldCharType="separate"/>
      </w:r>
      <w:r>
        <w:rPr>
          <w:color w:val="auto"/>
          <w:highlight w:val="none"/>
        </w:rPr>
        <w:t>43</w:t>
      </w:r>
      <w:r>
        <w:rPr>
          <w:color w:val="auto"/>
          <w:highlight w:val="none"/>
        </w:rPr>
        <w:fldChar w:fldCharType="end"/>
      </w:r>
      <w:r>
        <w:rPr>
          <w:rFonts w:hint="default" w:ascii="Times New Roman" w:hAnsi="Times New Roman" w:cs="Times New Roman"/>
          <w:color w:val="auto"/>
          <w:highlight w:val="none"/>
        </w:rPr>
        <w:fldChar w:fldCharType="end"/>
      </w:r>
    </w:p>
    <w:p w14:paraId="48B3E188">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_Toc13762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本项目概况</w:t>
      </w:r>
      <w:r>
        <w:rPr>
          <w:color w:val="auto"/>
          <w:highlight w:val="none"/>
        </w:rPr>
        <w:tab/>
      </w:r>
      <w:r>
        <w:rPr>
          <w:color w:val="auto"/>
          <w:highlight w:val="none"/>
        </w:rPr>
        <w:fldChar w:fldCharType="begin"/>
      </w:r>
      <w:r>
        <w:rPr>
          <w:color w:val="auto"/>
          <w:highlight w:val="none"/>
        </w:rPr>
        <w:instrText xml:space="preserve"> PAGEREF _Toc13762 \h </w:instrText>
      </w:r>
      <w:r>
        <w:rPr>
          <w:color w:val="auto"/>
          <w:highlight w:val="none"/>
        </w:rPr>
        <w:fldChar w:fldCharType="separate"/>
      </w:r>
      <w:r>
        <w:rPr>
          <w:color w:val="auto"/>
          <w:highlight w:val="none"/>
        </w:rPr>
        <w:t>43</w:t>
      </w:r>
      <w:r>
        <w:rPr>
          <w:color w:val="auto"/>
          <w:highlight w:val="none"/>
        </w:rPr>
        <w:fldChar w:fldCharType="end"/>
      </w:r>
      <w:r>
        <w:rPr>
          <w:rFonts w:hint="default" w:ascii="Times New Roman" w:hAnsi="Times New Roman" w:cs="Times New Roman"/>
          <w:color w:val="auto"/>
          <w:highlight w:val="none"/>
        </w:rPr>
        <w:fldChar w:fldCharType="end"/>
      </w:r>
    </w:p>
    <w:p w14:paraId="52E78E7F">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_Toc4073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工程分析</w:t>
      </w:r>
      <w:r>
        <w:rPr>
          <w:color w:val="auto"/>
          <w:highlight w:val="none"/>
        </w:rPr>
        <w:tab/>
      </w:r>
      <w:r>
        <w:rPr>
          <w:color w:val="auto"/>
          <w:highlight w:val="none"/>
        </w:rPr>
        <w:fldChar w:fldCharType="begin"/>
      </w:r>
      <w:r>
        <w:rPr>
          <w:color w:val="auto"/>
          <w:highlight w:val="none"/>
        </w:rPr>
        <w:instrText xml:space="preserve"> PAGEREF _Toc4073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cs="Times New Roman"/>
          <w:color w:val="auto"/>
          <w:highlight w:val="none"/>
        </w:rPr>
        <w:fldChar w:fldCharType="end"/>
      </w:r>
    </w:p>
    <w:p w14:paraId="65927A12">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_Toc3345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污染源及污染物分析</w:t>
      </w:r>
      <w:r>
        <w:rPr>
          <w:color w:val="auto"/>
          <w:highlight w:val="none"/>
        </w:rPr>
        <w:tab/>
      </w:r>
      <w:r>
        <w:rPr>
          <w:color w:val="auto"/>
          <w:highlight w:val="none"/>
        </w:rPr>
        <w:fldChar w:fldCharType="begin"/>
      </w:r>
      <w:r>
        <w:rPr>
          <w:color w:val="auto"/>
          <w:highlight w:val="none"/>
        </w:rPr>
        <w:instrText xml:space="preserve"> PAGEREF _Toc3345 \h </w:instrText>
      </w:r>
      <w:r>
        <w:rPr>
          <w:color w:val="auto"/>
          <w:highlight w:val="none"/>
        </w:rPr>
        <w:fldChar w:fldCharType="separate"/>
      </w:r>
      <w:r>
        <w:rPr>
          <w:color w:val="auto"/>
          <w:highlight w:val="none"/>
        </w:rPr>
        <w:t>89</w:t>
      </w:r>
      <w:r>
        <w:rPr>
          <w:color w:val="auto"/>
          <w:highlight w:val="none"/>
        </w:rPr>
        <w:fldChar w:fldCharType="end"/>
      </w:r>
      <w:r>
        <w:rPr>
          <w:rFonts w:hint="default" w:ascii="Times New Roman" w:hAnsi="Times New Roman" w:cs="Times New Roman"/>
          <w:color w:val="auto"/>
          <w:highlight w:val="none"/>
        </w:rPr>
        <w:fldChar w:fldCharType="end"/>
      </w:r>
    </w:p>
    <w:p w14:paraId="2CEFA787">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_Toc660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清洁生产分析</w:t>
      </w:r>
      <w:r>
        <w:rPr>
          <w:color w:val="auto"/>
          <w:highlight w:val="none"/>
        </w:rPr>
        <w:tab/>
      </w:r>
      <w:r>
        <w:rPr>
          <w:color w:val="auto"/>
          <w:highlight w:val="none"/>
        </w:rPr>
        <w:fldChar w:fldCharType="begin"/>
      </w:r>
      <w:r>
        <w:rPr>
          <w:color w:val="auto"/>
          <w:highlight w:val="none"/>
        </w:rPr>
        <w:instrText xml:space="preserve"> PAGEREF _Toc660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cs="Times New Roman"/>
          <w:color w:val="auto"/>
          <w:highlight w:val="none"/>
        </w:rPr>
        <w:fldChar w:fldCharType="end"/>
      </w:r>
    </w:p>
    <w:p w14:paraId="632CC94B">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_Toc28100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总量控制</w:t>
      </w:r>
      <w:r>
        <w:rPr>
          <w:color w:val="auto"/>
          <w:highlight w:val="none"/>
        </w:rPr>
        <w:tab/>
      </w:r>
      <w:r>
        <w:rPr>
          <w:color w:val="auto"/>
          <w:highlight w:val="none"/>
        </w:rPr>
        <w:fldChar w:fldCharType="begin"/>
      </w:r>
      <w:r>
        <w:rPr>
          <w:color w:val="auto"/>
          <w:highlight w:val="none"/>
        </w:rPr>
        <w:instrText xml:space="preserve"> PAGEREF _Toc28100 \h </w:instrText>
      </w:r>
      <w:r>
        <w:rPr>
          <w:color w:val="auto"/>
          <w:highlight w:val="none"/>
        </w:rPr>
        <w:fldChar w:fldCharType="separate"/>
      </w:r>
      <w:r>
        <w:rPr>
          <w:color w:val="auto"/>
          <w:highlight w:val="none"/>
        </w:rPr>
        <w:t>109</w:t>
      </w:r>
      <w:r>
        <w:rPr>
          <w:color w:val="auto"/>
          <w:highlight w:val="none"/>
        </w:rPr>
        <w:fldChar w:fldCharType="end"/>
      </w:r>
      <w:r>
        <w:rPr>
          <w:rFonts w:hint="default" w:ascii="Times New Roman" w:hAnsi="Times New Roman" w:cs="Times New Roman"/>
          <w:color w:val="auto"/>
          <w:highlight w:val="none"/>
        </w:rPr>
        <w:fldChar w:fldCharType="end"/>
      </w:r>
    </w:p>
    <w:p w14:paraId="152B7800">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_Toc9206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产业政策及规划符合性分析</w:t>
      </w:r>
      <w:r>
        <w:rPr>
          <w:color w:val="auto"/>
          <w:highlight w:val="none"/>
        </w:rPr>
        <w:tab/>
      </w:r>
      <w:r>
        <w:rPr>
          <w:color w:val="auto"/>
          <w:highlight w:val="none"/>
        </w:rPr>
        <w:fldChar w:fldCharType="begin"/>
      </w:r>
      <w:r>
        <w:rPr>
          <w:color w:val="auto"/>
          <w:highlight w:val="none"/>
        </w:rPr>
        <w:instrText xml:space="preserve"> PAGEREF _Toc9206 \h </w:instrText>
      </w:r>
      <w:r>
        <w:rPr>
          <w:color w:val="auto"/>
          <w:highlight w:val="none"/>
        </w:rPr>
        <w:fldChar w:fldCharType="separate"/>
      </w:r>
      <w:r>
        <w:rPr>
          <w:color w:val="auto"/>
          <w:highlight w:val="none"/>
        </w:rPr>
        <w:t>109</w:t>
      </w:r>
      <w:r>
        <w:rPr>
          <w:color w:val="auto"/>
          <w:highlight w:val="none"/>
        </w:rPr>
        <w:fldChar w:fldCharType="end"/>
      </w:r>
      <w:r>
        <w:rPr>
          <w:rFonts w:hint="default" w:ascii="Times New Roman" w:hAnsi="Times New Roman" w:cs="Times New Roman"/>
          <w:color w:val="auto"/>
          <w:highlight w:val="none"/>
        </w:rPr>
        <w:fldChar w:fldCharType="end"/>
      </w:r>
    </w:p>
    <w:p w14:paraId="452CB3B6">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_Toc18763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 环境现状调查与评价</w:t>
      </w:r>
      <w:r>
        <w:rPr>
          <w:color w:val="auto"/>
          <w:highlight w:val="none"/>
        </w:rPr>
        <w:tab/>
      </w:r>
      <w:r>
        <w:rPr>
          <w:color w:val="auto"/>
          <w:highlight w:val="none"/>
        </w:rPr>
        <w:fldChar w:fldCharType="begin"/>
      </w:r>
      <w:r>
        <w:rPr>
          <w:color w:val="auto"/>
          <w:highlight w:val="none"/>
        </w:rPr>
        <w:instrText xml:space="preserve"> PAGEREF _Toc18763 \h </w:instrText>
      </w:r>
      <w:r>
        <w:rPr>
          <w:color w:val="auto"/>
          <w:highlight w:val="none"/>
        </w:rPr>
        <w:fldChar w:fldCharType="separate"/>
      </w:r>
      <w:r>
        <w:rPr>
          <w:color w:val="auto"/>
          <w:highlight w:val="none"/>
        </w:rPr>
        <w:t>147</w:t>
      </w:r>
      <w:r>
        <w:rPr>
          <w:color w:val="auto"/>
          <w:highlight w:val="none"/>
        </w:rPr>
        <w:fldChar w:fldCharType="end"/>
      </w:r>
      <w:r>
        <w:rPr>
          <w:rFonts w:hint="default" w:ascii="Times New Roman" w:hAnsi="Times New Roman" w:cs="Times New Roman"/>
          <w:color w:val="auto"/>
          <w:highlight w:val="none"/>
        </w:rPr>
        <w:fldChar w:fldCharType="end"/>
      </w:r>
    </w:p>
    <w:p w14:paraId="78C64F0B">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_Toc13312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4.1自然环境概况</w:t>
      </w:r>
      <w:r>
        <w:rPr>
          <w:color w:val="auto"/>
          <w:highlight w:val="none"/>
        </w:rPr>
        <w:tab/>
      </w:r>
      <w:r>
        <w:rPr>
          <w:color w:val="auto"/>
          <w:highlight w:val="none"/>
        </w:rPr>
        <w:fldChar w:fldCharType="begin"/>
      </w:r>
      <w:r>
        <w:rPr>
          <w:color w:val="auto"/>
          <w:highlight w:val="none"/>
        </w:rPr>
        <w:instrText xml:space="preserve"> PAGEREF _Toc13312 \h </w:instrText>
      </w:r>
      <w:r>
        <w:rPr>
          <w:color w:val="auto"/>
          <w:highlight w:val="none"/>
        </w:rPr>
        <w:fldChar w:fldCharType="separate"/>
      </w:r>
      <w:r>
        <w:rPr>
          <w:color w:val="auto"/>
          <w:highlight w:val="none"/>
        </w:rPr>
        <w:t>147</w:t>
      </w:r>
      <w:r>
        <w:rPr>
          <w:color w:val="auto"/>
          <w:highlight w:val="none"/>
        </w:rPr>
        <w:fldChar w:fldCharType="end"/>
      </w:r>
      <w:r>
        <w:rPr>
          <w:rFonts w:hint="default" w:ascii="Times New Roman" w:hAnsi="Times New Roman" w:cs="Times New Roman"/>
          <w:color w:val="auto"/>
          <w:highlight w:val="none"/>
        </w:rPr>
        <w:fldChar w:fldCharType="end"/>
      </w:r>
    </w:p>
    <w:p w14:paraId="3477D1CB">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_Toc3192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4.2环境质量现状调查与评价</w:t>
      </w:r>
      <w:r>
        <w:rPr>
          <w:color w:val="auto"/>
          <w:highlight w:val="none"/>
        </w:rPr>
        <w:tab/>
      </w:r>
      <w:r>
        <w:rPr>
          <w:color w:val="auto"/>
          <w:highlight w:val="none"/>
        </w:rPr>
        <w:fldChar w:fldCharType="begin"/>
      </w:r>
      <w:r>
        <w:rPr>
          <w:color w:val="auto"/>
          <w:highlight w:val="none"/>
        </w:rPr>
        <w:instrText xml:space="preserve"> PAGEREF _Toc3192 \h </w:instrText>
      </w:r>
      <w:r>
        <w:rPr>
          <w:color w:val="auto"/>
          <w:highlight w:val="none"/>
        </w:rPr>
        <w:fldChar w:fldCharType="separate"/>
      </w:r>
      <w:r>
        <w:rPr>
          <w:color w:val="auto"/>
          <w:highlight w:val="none"/>
        </w:rPr>
        <w:t>156</w:t>
      </w:r>
      <w:r>
        <w:rPr>
          <w:color w:val="auto"/>
          <w:highlight w:val="none"/>
        </w:rPr>
        <w:fldChar w:fldCharType="end"/>
      </w:r>
      <w:r>
        <w:rPr>
          <w:rFonts w:hint="default" w:ascii="Times New Roman" w:hAnsi="Times New Roman" w:cs="Times New Roman"/>
          <w:color w:val="auto"/>
          <w:highlight w:val="none"/>
        </w:rPr>
        <w:fldChar w:fldCharType="end"/>
      </w:r>
    </w:p>
    <w:p w14:paraId="51E9EF2F">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_Toc32565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 环境影响预测与评价</w:t>
      </w:r>
      <w:r>
        <w:rPr>
          <w:color w:val="auto"/>
          <w:highlight w:val="none"/>
        </w:rPr>
        <w:tab/>
      </w:r>
      <w:r>
        <w:rPr>
          <w:color w:val="auto"/>
          <w:highlight w:val="none"/>
        </w:rPr>
        <w:fldChar w:fldCharType="begin"/>
      </w:r>
      <w:r>
        <w:rPr>
          <w:color w:val="auto"/>
          <w:highlight w:val="none"/>
        </w:rPr>
        <w:instrText xml:space="preserve"> PAGEREF _Toc32565 \h </w:instrText>
      </w:r>
      <w:r>
        <w:rPr>
          <w:color w:val="auto"/>
          <w:highlight w:val="none"/>
        </w:rPr>
        <w:fldChar w:fldCharType="separate"/>
      </w:r>
      <w:r>
        <w:rPr>
          <w:color w:val="auto"/>
          <w:highlight w:val="none"/>
        </w:rPr>
        <w:t>181</w:t>
      </w:r>
      <w:r>
        <w:rPr>
          <w:color w:val="auto"/>
          <w:highlight w:val="none"/>
        </w:rPr>
        <w:fldChar w:fldCharType="end"/>
      </w:r>
      <w:r>
        <w:rPr>
          <w:rFonts w:hint="default" w:ascii="Times New Roman" w:hAnsi="Times New Roman" w:cs="Times New Roman"/>
          <w:color w:val="auto"/>
          <w:highlight w:val="none"/>
        </w:rPr>
        <w:fldChar w:fldCharType="end"/>
      </w:r>
    </w:p>
    <w:p w14:paraId="5851AE74">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_Toc8381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5.1施工期环境影响预测与评价</w:t>
      </w:r>
      <w:r>
        <w:rPr>
          <w:color w:val="auto"/>
          <w:highlight w:val="none"/>
        </w:rPr>
        <w:tab/>
      </w:r>
      <w:r>
        <w:rPr>
          <w:color w:val="auto"/>
          <w:highlight w:val="none"/>
        </w:rPr>
        <w:fldChar w:fldCharType="begin"/>
      </w:r>
      <w:r>
        <w:rPr>
          <w:color w:val="auto"/>
          <w:highlight w:val="none"/>
        </w:rPr>
        <w:instrText xml:space="preserve"> PAGEREF _Toc8381 \h </w:instrText>
      </w:r>
      <w:r>
        <w:rPr>
          <w:color w:val="auto"/>
          <w:highlight w:val="none"/>
        </w:rPr>
        <w:fldChar w:fldCharType="separate"/>
      </w:r>
      <w:r>
        <w:rPr>
          <w:color w:val="auto"/>
          <w:highlight w:val="none"/>
        </w:rPr>
        <w:t>181</w:t>
      </w:r>
      <w:r>
        <w:rPr>
          <w:color w:val="auto"/>
          <w:highlight w:val="none"/>
        </w:rPr>
        <w:fldChar w:fldCharType="end"/>
      </w:r>
      <w:r>
        <w:rPr>
          <w:rFonts w:hint="default" w:ascii="Times New Roman" w:hAnsi="Times New Roman" w:cs="Times New Roman"/>
          <w:color w:val="auto"/>
          <w:highlight w:val="none"/>
        </w:rPr>
        <w:fldChar w:fldCharType="end"/>
      </w:r>
    </w:p>
    <w:p w14:paraId="7BFC7912">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_Toc17497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5.2运营期环境影响预测与评价</w:t>
      </w:r>
      <w:r>
        <w:rPr>
          <w:color w:val="auto"/>
          <w:highlight w:val="none"/>
        </w:rPr>
        <w:tab/>
      </w:r>
      <w:r>
        <w:rPr>
          <w:color w:val="auto"/>
          <w:highlight w:val="none"/>
        </w:rPr>
        <w:fldChar w:fldCharType="begin"/>
      </w:r>
      <w:r>
        <w:rPr>
          <w:color w:val="auto"/>
          <w:highlight w:val="none"/>
        </w:rPr>
        <w:instrText xml:space="preserve"> PAGEREF _Toc17497 \h </w:instrText>
      </w:r>
      <w:r>
        <w:rPr>
          <w:color w:val="auto"/>
          <w:highlight w:val="none"/>
        </w:rPr>
        <w:fldChar w:fldCharType="separate"/>
      </w:r>
      <w:r>
        <w:rPr>
          <w:color w:val="auto"/>
          <w:highlight w:val="none"/>
        </w:rPr>
        <w:t>188</w:t>
      </w:r>
      <w:r>
        <w:rPr>
          <w:color w:val="auto"/>
          <w:highlight w:val="none"/>
        </w:rPr>
        <w:fldChar w:fldCharType="end"/>
      </w:r>
      <w:r>
        <w:rPr>
          <w:rFonts w:hint="default" w:ascii="Times New Roman" w:hAnsi="Times New Roman" w:cs="Times New Roman"/>
          <w:color w:val="auto"/>
          <w:highlight w:val="none"/>
        </w:rPr>
        <w:fldChar w:fldCharType="end"/>
      </w:r>
    </w:p>
    <w:p w14:paraId="3F3BD3B3">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_Toc8346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5.3环境风险分析</w:t>
      </w:r>
      <w:r>
        <w:rPr>
          <w:color w:val="auto"/>
          <w:highlight w:val="none"/>
        </w:rPr>
        <w:tab/>
      </w:r>
      <w:r>
        <w:rPr>
          <w:color w:val="auto"/>
          <w:highlight w:val="none"/>
        </w:rPr>
        <w:fldChar w:fldCharType="begin"/>
      </w:r>
      <w:r>
        <w:rPr>
          <w:color w:val="auto"/>
          <w:highlight w:val="none"/>
        </w:rPr>
        <w:instrText xml:space="preserve"> PAGEREF _Toc8346 \h </w:instrText>
      </w:r>
      <w:r>
        <w:rPr>
          <w:color w:val="auto"/>
          <w:highlight w:val="none"/>
        </w:rPr>
        <w:fldChar w:fldCharType="separate"/>
      </w:r>
      <w:r>
        <w:rPr>
          <w:color w:val="auto"/>
          <w:highlight w:val="none"/>
        </w:rPr>
        <w:t>240</w:t>
      </w:r>
      <w:r>
        <w:rPr>
          <w:color w:val="auto"/>
          <w:highlight w:val="none"/>
        </w:rPr>
        <w:fldChar w:fldCharType="end"/>
      </w:r>
      <w:r>
        <w:rPr>
          <w:rFonts w:hint="default" w:ascii="Times New Roman" w:hAnsi="Times New Roman" w:cs="Times New Roman"/>
          <w:color w:val="auto"/>
          <w:highlight w:val="none"/>
        </w:rPr>
        <w:fldChar w:fldCharType="end"/>
      </w:r>
    </w:p>
    <w:p w14:paraId="5DD5D403">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_Toc22411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5.4退役期环境影响分析</w:t>
      </w:r>
      <w:r>
        <w:rPr>
          <w:color w:val="auto"/>
          <w:highlight w:val="none"/>
        </w:rPr>
        <w:tab/>
      </w:r>
      <w:r>
        <w:rPr>
          <w:color w:val="auto"/>
          <w:highlight w:val="none"/>
        </w:rPr>
        <w:fldChar w:fldCharType="begin"/>
      </w:r>
      <w:r>
        <w:rPr>
          <w:color w:val="auto"/>
          <w:highlight w:val="none"/>
        </w:rPr>
        <w:instrText xml:space="preserve"> PAGEREF _Toc22411 \h </w:instrText>
      </w:r>
      <w:r>
        <w:rPr>
          <w:color w:val="auto"/>
          <w:highlight w:val="none"/>
        </w:rPr>
        <w:fldChar w:fldCharType="separate"/>
      </w:r>
      <w:r>
        <w:rPr>
          <w:color w:val="auto"/>
          <w:highlight w:val="none"/>
        </w:rPr>
        <w:t>273</w:t>
      </w:r>
      <w:r>
        <w:rPr>
          <w:color w:val="auto"/>
          <w:highlight w:val="none"/>
        </w:rPr>
        <w:fldChar w:fldCharType="end"/>
      </w:r>
      <w:r>
        <w:rPr>
          <w:rFonts w:hint="default" w:ascii="Times New Roman" w:hAnsi="Times New Roman" w:cs="Times New Roman"/>
          <w:color w:val="auto"/>
          <w:highlight w:val="none"/>
        </w:rPr>
        <w:fldChar w:fldCharType="end"/>
      </w:r>
    </w:p>
    <w:p w14:paraId="7A005CF5">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_Toc11463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6环境保护措施及其可行性论证</w:t>
      </w:r>
      <w:r>
        <w:rPr>
          <w:color w:val="auto"/>
          <w:highlight w:val="none"/>
        </w:rPr>
        <w:tab/>
      </w:r>
      <w:r>
        <w:rPr>
          <w:color w:val="auto"/>
          <w:highlight w:val="none"/>
        </w:rPr>
        <w:fldChar w:fldCharType="begin"/>
      </w:r>
      <w:r>
        <w:rPr>
          <w:color w:val="auto"/>
          <w:highlight w:val="none"/>
        </w:rPr>
        <w:instrText xml:space="preserve"> PAGEREF _Toc11463 \h </w:instrText>
      </w:r>
      <w:r>
        <w:rPr>
          <w:color w:val="auto"/>
          <w:highlight w:val="none"/>
        </w:rPr>
        <w:fldChar w:fldCharType="separate"/>
      </w:r>
      <w:r>
        <w:rPr>
          <w:color w:val="auto"/>
          <w:highlight w:val="none"/>
        </w:rPr>
        <w:t>276</w:t>
      </w:r>
      <w:r>
        <w:rPr>
          <w:color w:val="auto"/>
          <w:highlight w:val="none"/>
        </w:rPr>
        <w:fldChar w:fldCharType="end"/>
      </w:r>
      <w:r>
        <w:rPr>
          <w:rFonts w:hint="default" w:ascii="Times New Roman" w:hAnsi="Times New Roman" w:cs="Times New Roman"/>
          <w:color w:val="auto"/>
          <w:highlight w:val="none"/>
        </w:rPr>
        <w:fldChar w:fldCharType="end"/>
      </w:r>
    </w:p>
    <w:p w14:paraId="0ECC707B">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_Toc26453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6.1施工期环境保护措施及其可行性论证</w:t>
      </w:r>
      <w:r>
        <w:rPr>
          <w:color w:val="auto"/>
          <w:highlight w:val="none"/>
        </w:rPr>
        <w:tab/>
      </w:r>
      <w:r>
        <w:rPr>
          <w:color w:val="auto"/>
          <w:highlight w:val="none"/>
        </w:rPr>
        <w:fldChar w:fldCharType="begin"/>
      </w:r>
      <w:r>
        <w:rPr>
          <w:color w:val="auto"/>
          <w:highlight w:val="none"/>
        </w:rPr>
        <w:instrText xml:space="preserve"> PAGEREF _Toc26453 \h </w:instrText>
      </w:r>
      <w:r>
        <w:rPr>
          <w:color w:val="auto"/>
          <w:highlight w:val="none"/>
        </w:rPr>
        <w:fldChar w:fldCharType="separate"/>
      </w:r>
      <w:r>
        <w:rPr>
          <w:color w:val="auto"/>
          <w:highlight w:val="none"/>
        </w:rPr>
        <w:t>276</w:t>
      </w:r>
      <w:r>
        <w:rPr>
          <w:color w:val="auto"/>
          <w:highlight w:val="none"/>
        </w:rPr>
        <w:fldChar w:fldCharType="end"/>
      </w:r>
      <w:r>
        <w:rPr>
          <w:rFonts w:hint="default" w:ascii="Times New Roman" w:hAnsi="Times New Roman" w:cs="Times New Roman"/>
          <w:color w:val="auto"/>
          <w:highlight w:val="none"/>
        </w:rPr>
        <w:fldChar w:fldCharType="end"/>
      </w:r>
    </w:p>
    <w:p w14:paraId="3E353F69">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_Toc20373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6.2运营期环境保护措施及其可行性论证</w:t>
      </w:r>
      <w:r>
        <w:rPr>
          <w:color w:val="auto"/>
          <w:highlight w:val="none"/>
        </w:rPr>
        <w:tab/>
      </w:r>
      <w:r>
        <w:rPr>
          <w:color w:val="auto"/>
          <w:highlight w:val="none"/>
        </w:rPr>
        <w:fldChar w:fldCharType="begin"/>
      </w:r>
      <w:r>
        <w:rPr>
          <w:color w:val="auto"/>
          <w:highlight w:val="none"/>
        </w:rPr>
        <w:instrText xml:space="preserve"> PAGEREF _Toc20373 \h </w:instrText>
      </w:r>
      <w:r>
        <w:rPr>
          <w:color w:val="auto"/>
          <w:highlight w:val="none"/>
        </w:rPr>
        <w:fldChar w:fldCharType="separate"/>
      </w:r>
      <w:r>
        <w:rPr>
          <w:color w:val="auto"/>
          <w:highlight w:val="none"/>
        </w:rPr>
        <w:t>281</w:t>
      </w:r>
      <w:r>
        <w:rPr>
          <w:color w:val="auto"/>
          <w:highlight w:val="none"/>
        </w:rPr>
        <w:fldChar w:fldCharType="end"/>
      </w:r>
      <w:r>
        <w:rPr>
          <w:rFonts w:hint="default" w:ascii="Times New Roman" w:hAnsi="Times New Roman" w:cs="Times New Roman"/>
          <w:color w:val="auto"/>
          <w:highlight w:val="none"/>
        </w:rPr>
        <w:fldChar w:fldCharType="end"/>
      </w:r>
    </w:p>
    <w:p w14:paraId="66CD9EDE">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_Toc2126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7环境影响经济损益分析</w:t>
      </w:r>
      <w:r>
        <w:rPr>
          <w:color w:val="auto"/>
          <w:highlight w:val="none"/>
        </w:rPr>
        <w:tab/>
      </w:r>
      <w:r>
        <w:rPr>
          <w:color w:val="auto"/>
          <w:highlight w:val="none"/>
        </w:rPr>
        <w:fldChar w:fldCharType="begin"/>
      </w:r>
      <w:r>
        <w:rPr>
          <w:color w:val="auto"/>
          <w:highlight w:val="none"/>
        </w:rPr>
        <w:instrText xml:space="preserve"> PAGEREF _Toc2126 \h </w:instrText>
      </w:r>
      <w:r>
        <w:rPr>
          <w:color w:val="auto"/>
          <w:highlight w:val="none"/>
        </w:rPr>
        <w:fldChar w:fldCharType="separate"/>
      </w:r>
      <w:r>
        <w:rPr>
          <w:color w:val="auto"/>
          <w:highlight w:val="none"/>
        </w:rPr>
        <w:t>308</w:t>
      </w:r>
      <w:r>
        <w:rPr>
          <w:color w:val="auto"/>
          <w:highlight w:val="none"/>
        </w:rPr>
        <w:fldChar w:fldCharType="end"/>
      </w:r>
      <w:r>
        <w:rPr>
          <w:rFonts w:hint="default" w:ascii="Times New Roman" w:hAnsi="Times New Roman" w:cs="Times New Roman"/>
          <w:color w:val="auto"/>
          <w:highlight w:val="none"/>
        </w:rPr>
        <w:fldChar w:fldCharType="end"/>
      </w:r>
    </w:p>
    <w:p w14:paraId="11CC6017">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_Toc15636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7.1经济效益分析</w:t>
      </w:r>
      <w:r>
        <w:rPr>
          <w:color w:val="auto"/>
          <w:highlight w:val="none"/>
        </w:rPr>
        <w:tab/>
      </w:r>
      <w:r>
        <w:rPr>
          <w:color w:val="auto"/>
          <w:highlight w:val="none"/>
        </w:rPr>
        <w:fldChar w:fldCharType="begin"/>
      </w:r>
      <w:r>
        <w:rPr>
          <w:color w:val="auto"/>
          <w:highlight w:val="none"/>
        </w:rPr>
        <w:instrText xml:space="preserve"> PAGEREF _Toc15636 \h </w:instrText>
      </w:r>
      <w:r>
        <w:rPr>
          <w:color w:val="auto"/>
          <w:highlight w:val="none"/>
        </w:rPr>
        <w:fldChar w:fldCharType="separate"/>
      </w:r>
      <w:r>
        <w:rPr>
          <w:color w:val="auto"/>
          <w:highlight w:val="none"/>
        </w:rPr>
        <w:t>308</w:t>
      </w:r>
      <w:r>
        <w:rPr>
          <w:color w:val="auto"/>
          <w:highlight w:val="none"/>
        </w:rPr>
        <w:fldChar w:fldCharType="end"/>
      </w:r>
      <w:r>
        <w:rPr>
          <w:rFonts w:hint="default" w:ascii="Times New Roman" w:hAnsi="Times New Roman" w:cs="Times New Roman"/>
          <w:color w:val="auto"/>
          <w:highlight w:val="none"/>
        </w:rPr>
        <w:fldChar w:fldCharType="end"/>
      </w:r>
    </w:p>
    <w:p w14:paraId="659EECFD">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_Toc9887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7.2社会效益分析</w:t>
      </w:r>
      <w:r>
        <w:rPr>
          <w:color w:val="auto"/>
          <w:highlight w:val="none"/>
        </w:rPr>
        <w:tab/>
      </w:r>
      <w:r>
        <w:rPr>
          <w:color w:val="auto"/>
          <w:highlight w:val="none"/>
        </w:rPr>
        <w:fldChar w:fldCharType="begin"/>
      </w:r>
      <w:r>
        <w:rPr>
          <w:color w:val="auto"/>
          <w:highlight w:val="none"/>
        </w:rPr>
        <w:instrText xml:space="preserve"> PAGEREF _Toc9887 \h </w:instrText>
      </w:r>
      <w:r>
        <w:rPr>
          <w:color w:val="auto"/>
          <w:highlight w:val="none"/>
        </w:rPr>
        <w:fldChar w:fldCharType="separate"/>
      </w:r>
      <w:r>
        <w:rPr>
          <w:color w:val="auto"/>
          <w:highlight w:val="none"/>
        </w:rPr>
        <w:t>308</w:t>
      </w:r>
      <w:r>
        <w:rPr>
          <w:color w:val="auto"/>
          <w:highlight w:val="none"/>
        </w:rPr>
        <w:fldChar w:fldCharType="end"/>
      </w:r>
      <w:r>
        <w:rPr>
          <w:rFonts w:hint="default" w:ascii="Times New Roman" w:hAnsi="Times New Roman" w:cs="Times New Roman"/>
          <w:color w:val="auto"/>
          <w:highlight w:val="none"/>
        </w:rPr>
        <w:fldChar w:fldCharType="end"/>
      </w:r>
    </w:p>
    <w:p w14:paraId="7CDC053E">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_Toc31063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7.3环境效益分析</w:t>
      </w:r>
      <w:r>
        <w:rPr>
          <w:color w:val="auto"/>
          <w:highlight w:val="none"/>
        </w:rPr>
        <w:tab/>
      </w:r>
      <w:r>
        <w:rPr>
          <w:color w:val="auto"/>
          <w:highlight w:val="none"/>
        </w:rPr>
        <w:fldChar w:fldCharType="begin"/>
      </w:r>
      <w:r>
        <w:rPr>
          <w:color w:val="auto"/>
          <w:highlight w:val="none"/>
        </w:rPr>
        <w:instrText xml:space="preserve"> PAGEREF _Toc31063 \h </w:instrText>
      </w:r>
      <w:r>
        <w:rPr>
          <w:color w:val="auto"/>
          <w:highlight w:val="none"/>
        </w:rPr>
        <w:fldChar w:fldCharType="separate"/>
      </w:r>
      <w:r>
        <w:rPr>
          <w:color w:val="auto"/>
          <w:highlight w:val="none"/>
        </w:rPr>
        <w:t>309</w:t>
      </w:r>
      <w:r>
        <w:rPr>
          <w:color w:val="auto"/>
          <w:highlight w:val="none"/>
        </w:rPr>
        <w:fldChar w:fldCharType="end"/>
      </w:r>
      <w:r>
        <w:rPr>
          <w:rFonts w:hint="default" w:ascii="Times New Roman" w:hAnsi="Times New Roman" w:cs="Times New Roman"/>
          <w:color w:val="auto"/>
          <w:highlight w:val="none"/>
        </w:rPr>
        <w:fldChar w:fldCharType="end"/>
      </w:r>
    </w:p>
    <w:p w14:paraId="11ED8167">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_Toc7764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7.4结论</w:t>
      </w:r>
      <w:r>
        <w:rPr>
          <w:color w:val="auto"/>
          <w:highlight w:val="none"/>
        </w:rPr>
        <w:tab/>
      </w:r>
      <w:r>
        <w:rPr>
          <w:color w:val="auto"/>
          <w:highlight w:val="none"/>
        </w:rPr>
        <w:fldChar w:fldCharType="begin"/>
      </w:r>
      <w:r>
        <w:rPr>
          <w:color w:val="auto"/>
          <w:highlight w:val="none"/>
        </w:rPr>
        <w:instrText xml:space="preserve"> PAGEREF _Toc7764 \h </w:instrText>
      </w:r>
      <w:r>
        <w:rPr>
          <w:color w:val="auto"/>
          <w:highlight w:val="none"/>
        </w:rPr>
        <w:fldChar w:fldCharType="separate"/>
      </w:r>
      <w:r>
        <w:rPr>
          <w:color w:val="auto"/>
          <w:highlight w:val="none"/>
        </w:rPr>
        <w:t>310</w:t>
      </w:r>
      <w:r>
        <w:rPr>
          <w:color w:val="auto"/>
          <w:highlight w:val="none"/>
        </w:rPr>
        <w:fldChar w:fldCharType="end"/>
      </w:r>
      <w:r>
        <w:rPr>
          <w:rFonts w:hint="default" w:ascii="Times New Roman" w:hAnsi="Times New Roman" w:cs="Times New Roman"/>
          <w:color w:val="auto"/>
          <w:highlight w:val="none"/>
        </w:rPr>
        <w:fldChar w:fldCharType="end"/>
      </w:r>
    </w:p>
    <w:p w14:paraId="41C5D455">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_Toc13918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8环境管理与监测计划</w:t>
      </w:r>
      <w:r>
        <w:rPr>
          <w:color w:val="auto"/>
          <w:highlight w:val="none"/>
        </w:rPr>
        <w:tab/>
      </w:r>
      <w:r>
        <w:rPr>
          <w:color w:val="auto"/>
          <w:highlight w:val="none"/>
        </w:rPr>
        <w:fldChar w:fldCharType="begin"/>
      </w:r>
      <w:r>
        <w:rPr>
          <w:color w:val="auto"/>
          <w:highlight w:val="none"/>
        </w:rPr>
        <w:instrText xml:space="preserve"> PAGEREF _Toc13918 \h </w:instrText>
      </w:r>
      <w:r>
        <w:rPr>
          <w:color w:val="auto"/>
          <w:highlight w:val="none"/>
        </w:rPr>
        <w:fldChar w:fldCharType="separate"/>
      </w:r>
      <w:r>
        <w:rPr>
          <w:color w:val="auto"/>
          <w:highlight w:val="none"/>
        </w:rPr>
        <w:t>311</w:t>
      </w:r>
      <w:r>
        <w:rPr>
          <w:color w:val="auto"/>
          <w:highlight w:val="none"/>
        </w:rPr>
        <w:fldChar w:fldCharType="end"/>
      </w:r>
      <w:r>
        <w:rPr>
          <w:rFonts w:hint="default" w:ascii="Times New Roman" w:hAnsi="Times New Roman" w:cs="Times New Roman"/>
          <w:color w:val="auto"/>
          <w:highlight w:val="none"/>
        </w:rPr>
        <w:fldChar w:fldCharType="end"/>
      </w:r>
    </w:p>
    <w:p w14:paraId="348C4397">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_Toc32236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8.1建设项目环境管理</w:t>
      </w:r>
      <w:r>
        <w:rPr>
          <w:color w:val="auto"/>
          <w:highlight w:val="none"/>
        </w:rPr>
        <w:tab/>
      </w:r>
      <w:r>
        <w:rPr>
          <w:color w:val="auto"/>
          <w:highlight w:val="none"/>
        </w:rPr>
        <w:fldChar w:fldCharType="begin"/>
      </w:r>
      <w:r>
        <w:rPr>
          <w:color w:val="auto"/>
          <w:highlight w:val="none"/>
        </w:rPr>
        <w:instrText xml:space="preserve"> PAGEREF _Toc32236 \h </w:instrText>
      </w:r>
      <w:r>
        <w:rPr>
          <w:color w:val="auto"/>
          <w:highlight w:val="none"/>
        </w:rPr>
        <w:fldChar w:fldCharType="separate"/>
      </w:r>
      <w:r>
        <w:rPr>
          <w:color w:val="auto"/>
          <w:highlight w:val="none"/>
        </w:rPr>
        <w:t>311</w:t>
      </w:r>
      <w:r>
        <w:rPr>
          <w:color w:val="auto"/>
          <w:highlight w:val="none"/>
        </w:rPr>
        <w:fldChar w:fldCharType="end"/>
      </w:r>
      <w:r>
        <w:rPr>
          <w:rFonts w:hint="default" w:ascii="Times New Roman" w:hAnsi="Times New Roman" w:cs="Times New Roman"/>
          <w:color w:val="auto"/>
          <w:highlight w:val="none"/>
        </w:rPr>
        <w:fldChar w:fldCharType="end"/>
      </w:r>
    </w:p>
    <w:p w14:paraId="3F0932D8">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_Toc18992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8.2施工期环境管理</w:t>
      </w:r>
      <w:r>
        <w:rPr>
          <w:color w:val="auto"/>
          <w:highlight w:val="none"/>
        </w:rPr>
        <w:tab/>
      </w:r>
      <w:r>
        <w:rPr>
          <w:color w:val="auto"/>
          <w:highlight w:val="none"/>
        </w:rPr>
        <w:fldChar w:fldCharType="begin"/>
      </w:r>
      <w:r>
        <w:rPr>
          <w:color w:val="auto"/>
          <w:highlight w:val="none"/>
        </w:rPr>
        <w:instrText xml:space="preserve"> PAGEREF _Toc18992 \h </w:instrText>
      </w:r>
      <w:r>
        <w:rPr>
          <w:color w:val="auto"/>
          <w:highlight w:val="none"/>
        </w:rPr>
        <w:fldChar w:fldCharType="separate"/>
      </w:r>
      <w:r>
        <w:rPr>
          <w:color w:val="auto"/>
          <w:highlight w:val="none"/>
        </w:rPr>
        <w:t>316</w:t>
      </w:r>
      <w:r>
        <w:rPr>
          <w:color w:val="auto"/>
          <w:highlight w:val="none"/>
        </w:rPr>
        <w:fldChar w:fldCharType="end"/>
      </w:r>
      <w:r>
        <w:rPr>
          <w:rFonts w:hint="default" w:ascii="Times New Roman" w:hAnsi="Times New Roman" w:cs="Times New Roman"/>
          <w:color w:val="auto"/>
          <w:highlight w:val="none"/>
        </w:rPr>
        <w:fldChar w:fldCharType="end"/>
      </w:r>
    </w:p>
    <w:p w14:paraId="41A7F5B2">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_Toc3629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8.3环境监测计划</w:t>
      </w:r>
      <w:r>
        <w:rPr>
          <w:color w:val="auto"/>
          <w:highlight w:val="none"/>
        </w:rPr>
        <w:tab/>
      </w:r>
      <w:r>
        <w:rPr>
          <w:color w:val="auto"/>
          <w:highlight w:val="none"/>
        </w:rPr>
        <w:fldChar w:fldCharType="begin"/>
      </w:r>
      <w:r>
        <w:rPr>
          <w:color w:val="auto"/>
          <w:highlight w:val="none"/>
        </w:rPr>
        <w:instrText xml:space="preserve"> PAGEREF _Toc3629 \h </w:instrText>
      </w:r>
      <w:r>
        <w:rPr>
          <w:color w:val="auto"/>
          <w:highlight w:val="none"/>
        </w:rPr>
        <w:fldChar w:fldCharType="separate"/>
      </w:r>
      <w:r>
        <w:rPr>
          <w:color w:val="auto"/>
          <w:highlight w:val="none"/>
        </w:rPr>
        <w:t>318</w:t>
      </w:r>
      <w:r>
        <w:rPr>
          <w:color w:val="auto"/>
          <w:highlight w:val="none"/>
        </w:rPr>
        <w:fldChar w:fldCharType="end"/>
      </w:r>
      <w:r>
        <w:rPr>
          <w:rFonts w:hint="default" w:ascii="Times New Roman" w:hAnsi="Times New Roman" w:cs="Times New Roman"/>
          <w:color w:val="auto"/>
          <w:highlight w:val="none"/>
        </w:rPr>
        <w:fldChar w:fldCharType="end"/>
      </w:r>
    </w:p>
    <w:p w14:paraId="169873EF">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_Toc7201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8.4环境管理措施及环保行动计划</w:t>
      </w:r>
      <w:r>
        <w:rPr>
          <w:color w:val="auto"/>
          <w:highlight w:val="none"/>
        </w:rPr>
        <w:tab/>
      </w:r>
      <w:r>
        <w:rPr>
          <w:color w:val="auto"/>
          <w:highlight w:val="none"/>
        </w:rPr>
        <w:fldChar w:fldCharType="begin"/>
      </w:r>
      <w:r>
        <w:rPr>
          <w:color w:val="auto"/>
          <w:highlight w:val="none"/>
        </w:rPr>
        <w:instrText xml:space="preserve"> PAGEREF _Toc7201 \h </w:instrText>
      </w:r>
      <w:r>
        <w:rPr>
          <w:color w:val="auto"/>
          <w:highlight w:val="none"/>
        </w:rPr>
        <w:fldChar w:fldCharType="separate"/>
      </w:r>
      <w:r>
        <w:rPr>
          <w:color w:val="auto"/>
          <w:highlight w:val="none"/>
        </w:rPr>
        <w:t>320</w:t>
      </w:r>
      <w:r>
        <w:rPr>
          <w:color w:val="auto"/>
          <w:highlight w:val="none"/>
        </w:rPr>
        <w:fldChar w:fldCharType="end"/>
      </w:r>
      <w:r>
        <w:rPr>
          <w:rFonts w:hint="default" w:ascii="Times New Roman" w:hAnsi="Times New Roman" w:cs="Times New Roman"/>
          <w:color w:val="auto"/>
          <w:highlight w:val="none"/>
        </w:rPr>
        <w:fldChar w:fldCharType="end"/>
      </w:r>
    </w:p>
    <w:p w14:paraId="1BCE0401">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_Toc13041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8.5环境保护竣工验收计划</w:t>
      </w:r>
      <w:r>
        <w:rPr>
          <w:color w:val="auto"/>
          <w:highlight w:val="none"/>
        </w:rPr>
        <w:tab/>
      </w:r>
      <w:r>
        <w:rPr>
          <w:color w:val="auto"/>
          <w:highlight w:val="none"/>
        </w:rPr>
        <w:fldChar w:fldCharType="begin"/>
      </w:r>
      <w:r>
        <w:rPr>
          <w:color w:val="auto"/>
          <w:highlight w:val="none"/>
        </w:rPr>
        <w:instrText xml:space="preserve"> PAGEREF _Toc13041 \h </w:instrText>
      </w:r>
      <w:r>
        <w:rPr>
          <w:color w:val="auto"/>
          <w:highlight w:val="none"/>
        </w:rPr>
        <w:fldChar w:fldCharType="separate"/>
      </w:r>
      <w:r>
        <w:rPr>
          <w:color w:val="auto"/>
          <w:highlight w:val="none"/>
        </w:rPr>
        <w:t>321</w:t>
      </w:r>
      <w:r>
        <w:rPr>
          <w:color w:val="auto"/>
          <w:highlight w:val="none"/>
        </w:rPr>
        <w:fldChar w:fldCharType="end"/>
      </w:r>
      <w:r>
        <w:rPr>
          <w:rFonts w:hint="default" w:ascii="Times New Roman" w:hAnsi="Times New Roman" w:cs="Times New Roman"/>
          <w:color w:val="auto"/>
          <w:highlight w:val="none"/>
        </w:rPr>
        <w:fldChar w:fldCharType="end"/>
      </w:r>
    </w:p>
    <w:p w14:paraId="418987EF">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_Toc9644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8.6排污清单</w:t>
      </w:r>
      <w:r>
        <w:rPr>
          <w:color w:val="auto"/>
          <w:highlight w:val="none"/>
        </w:rPr>
        <w:tab/>
      </w:r>
      <w:r>
        <w:rPr>
          <w:color w:val="auto"/>
          <w:highlight w:val="none"/>
        </w:rPr>
        <w:fldChar w:fldCharType="begin"/>
      </w:r>
      <w:r>
        <w:rPr>
          <w:color w:val="auto"/>
          <w:highlight w:val="none"/>
        </w:rPr>
        <w:instrText xml:space="preserve"> PAGEREF _Toc9644 \h </w:instrText>
      </w:r>
      <w:r>
        <w:rPr>
          <w:color w:val="auto"/>
          <w:highlight w:val="none"/>
        </w:rPr>
        <w:fldChar w:fldCharType="separate"/>
      </w:r>
      <w:r>
        <w:rPr>
          <w:color w:val="auto"/>
          <w:highlight w:val="none"/>
        </w:rPr>
        <w:t>324</w:t>
      </w:r>
      <w:r>
        <w:rPr>
          <w:color w:val="auto"/>
          <w:highlight w:val="none"/>
        </w:rPr>
        <w:fldChar w:fldCharType="end"/>
      </w:r>
      <w:r>
        <w:rPr>
          <w:rFonts w:hint="default" w:ascii="Times New Roman" w:hAnsi="Times New Roman" w:cs="Times New Roman"/>
          <w:color w:val="auto"/>
          <w:highlight w:val="none"/>
        </w:rPr>
        <w:fldChar w:fldCharType="end"/>
      </w:r>
    </w:p>
    <w:p w14:paraId="7168DF20">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_Toc31851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8.7</w:t>
      </w:r>
      <w:r>
        <w:rPr>
          <w:rFonts w:hint="default" w:ascii="Times New Roman" w:hAnsi="Times New Roman" w:cs="Times New Roman"/>
          <w:color w:val="auto"/>
          <w:highlight w:val="none"/>
        </w:rPr>
        <w:t>总量控制</w:t>
      </w:r>
      <w:r>
        <w:rPr>
          <w:color w:val="auto"/>
          <w:highlight w:val="none"/>
        </w:rPr>
        <w:tab/>
      </w:r>
      <w:r>
        <w:rPr>
          <w:color w:val="auto"/>
          <w:highlight w:val="none"/>
        </w:rPr>
        <w:fldChar w:fldCharType="begin"/>
      </w:r>
      <w:r>
        <w:rPr>
          <w:color w:val="auto"/>
          <w:highlight w:val="none"/>
        </w:rPr>
        <w:instrText xml:space="preserve"> PAGEREF _Toc31851 \h </w:instrText>
      </w:r>
      <w:r>
        <w:rPr>
          <w:color w:val="auto"/>
          <w:highlight w:val="none"/>
        </w:rPr>
        <w:fldChar w:fldCharType="separate"/>
      </w:r>
      <w:r>
        <w:rPr>
          <w:color w:val="auto"/>
          <w:highlight w:val="none"/>
        </w:rPr>
        <w:t>326</w:t>
      </w:r>
      <w:r>
        <w:rPr>
          <w:color w:val="auto"/>
          <w:highlight w:val="none"/>
        </w:rPr>
        <w:fldChar w:fldCharType="end"/>
      </w:r>
      <w:r>
        <w:rPr>
          <w:rFonts w:hint="default" w:ascii="Times New Roman" w:hAnsi="Times New Roman" w:cs="Times New Roman"/>
          <w:color w:val="auto"/>
          <w:highlight w:val="none"/>
        </w:rPr>
        <w:fldChar w:fldCharType="end"/>
      </w:r>
    </w:p>
    <w:p w14:paraId="00DC6AC5">
      <w:pPr>
        <w:pStyle w:val="22"/>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_Toc11787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9环境影响评价结论</w:t>
      </w:r>
      <w:r>
        <w:rPr>
          <w:color w:val="auto"/>
          <w:highlight w:val="none"/>
        </w:rPr>
        <w:tab/>
      </w:r>
      <w:r>
        <w:rPr>
          <w:color w:val="auto"/>
          <w:highlight w:val="none"/>
        </w:rPr>
        <w:fldChar w:fldCharType="begin"/>
      </w:r>
      <w:r>
        <w:rPr>
          <w:color w:val="auto"/>
          <w:highlight w:val="none"/>
        </w:rPr>
        <w:instrText xml:space="preserve"> PAGEREF _Toc11787 \h </w:instrText>
      </w:r>
      <w:r>
        <w:rPr>
          <w:color w:val="auto"/>
          <w:highlight w:val="none"/>
        </w:rPr>
        <w:fldChar w:fldCharType="separate"/>
      </w:r>
      <w:r>
        <w:rPr>
          <w:color w:val="auto"/>
          <w:highlight w:val="none"/>
        </w:rPr>
        <w:t>328</w:t>
      </w:r>
      <w:r>
        <w:rPr>
          <w:color w:val="auto"/>
          <w:highlight w:val="none"/>
        </w:rPr>
        <w:fldChar w:fldCharType="end"/>
      </w:r>
      <w:r>
        <w:rPr>
          <w:rFonts w:hint="default" w:ascii="Times New Roman" w:hAnsi="Times New Roman" w:cs="Times New Roman"/>
          <w:color w:val="auto"/>
          <w:highlight w:val="none"/>
        </w:rPr>
        <w:fldChar w:fldCharType="end"/>
      </w:r>
    </w:p>
    <w:p w14:paraId="3CCCFDEF">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_Toc28547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9.1项目概况</w:t>
      </w:r>
      <w:r>
        <w:rPr>
          <w:color w:val="auto"/>
          <w:highlight w:val="none"/>
        </w:rPr>
        <w:tab/>
      </w:r>
      <w:r>
        <w:rPr>
          <w:color w:val="auto"/>
          <w:highlight w:val="none"/>
        </w:rPr>
        <w:fldChar w:fldCharType="begin"/>
      </w:r>
      <w:r>
        <w:rPr>
          <w:color w:val="auto"/>
          <w:highlight w:val="none"/>
        </w:rPr>
        <w:instrText xml:space="preserve"> PAGEREF _Toc28547 \h </w:instrText>
      </w:r>
      <w:r>
        <w:rPr>
          <w:color w:val="auto"/>
          <w:highlight w:val="none"/>
        </w:rPr>
        <w:fldChar w:fldCharType="separate"/>
      </w:r>
      <w:r>
        <w:rPr>
          <w:color w:val="auto"/>
          <w:highlight w:val="none"/>
        </w:rPr>
        <w:t>328</w:t>
      </w:r>
      <w:r>
        <w:rPr>
          <w:color w:val="auto"/>
          <w:highlight w:val="none"/>
        </w:rPr>
        <w:fldChar w:fldCharType="end"/>
      </w:r>
      <w:r>
        <w:rPr>
          <w:rFonts w:hint="default" w:ascii="Times New Roman" w:hAnsi="Times New Roman" w:cs="Times New Roman"/>
          <w:color w:val="auto"/>
          <w:highlight w:val="none"/>
        </w:rPr>
        <w:fldChar w:fldCharType="end"/>
      </w:r>
    </w:p>
    <w:p w14:paraId="48D46CC1">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9.2符合性分析</w:t>
      </w:r>
      <w:r>
        <w:rPr>
          <w:color w:val="auto"/>
          <w:highlight w:val="none"/>
        </w:rPr>
        <w:tab/>
      </w:r>
      <w:r>
        <w:rPr>
          <w:color w:val="auto"/>
          <w:highlight w:val="none"/>
        </w:rPr>
        <w:fldChar w:fldCharType="begin"/>
      </w:r>
      <w:r>
        <w:rPr>
          <w:color w:val="auto"/>
          <w:highlight w:val="none"/>
        </w:rPr>
        <w:instrText xml:space="preserve"> PAGEREF _Toc67 \h </w:instrText>
      </w:r>
      <w:r>
        <w:rPr>
          <w:color w:val="auto"/>
          <w:highlight w:val="none"/>
        </w:rPr>
        <w:fldChar w:fldCharType="separate"/>
      </w:r>
      <w:r>
        <w:rPr>
          <w:color w:val="auto"/>
          <w:highlight w:val="none"/>
        </w:rPr>
        <w:t>328</w:t>
      </w:r>
      <w:r>
        <w:rPr>
          <w:color w:val="auto"/>
          <w:highlight w:val="none"/>
        </w:rPr>
        <w:fldChar w:fldCharType="end"/>
      </w:r>
      <w:r>
        <w:rPr>
          <w:rFonts w:hint="default" w:ascii="Times New Roman" w:hAnsi="Times New Roman" w:cs="Times New Roman"/>
          <w:color w:val="auto"/>
          <w:highlight w:val="none"/>
        </w:rPr>
        <w:fldChar w:fldCharType="end"/>
      </w:r>
    </w:p>
    <w:p w14:paraId="3C496BBC">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_Toc1532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9.3环境质量现状</w:t>
      </w:r>
      <w:r>
        <w:rPr>
          <w:color w:val="auto"/>
          <w:highlight w:val="none"/>
        </w:rPr>
        <w:tab/>
      </w:r>
      <w:r>
        <w:rPr>
          <w:color w:val="auto"/>
          <w:highlight w:val="none"/>
        </w:rPr>
        <w:fldChar w:fldCharType="begin"/>
      </w:r>
      <w:r>
        <w:rPr>
          <w:color w:val="auto"/>
          <w:highlight w:val="none"/>
        </w:rPr>
        <w:instrText xml:space="preserve"> PAGEREF _Toc1532 \h </w:instrText>
      </w:r>
      <w:r>
        <w:rPr>
          <w:color w:val="auto"/>
          <w:highlight w:val="none"/>
        </w:rPr>
        <w:fldChar w:fldCharType="separate"/>
      </w:r>
      <w:r>
        <w:rPr>
          <w:color w:val="auto"/>
          <w:highlight w:val="none"/>
        </w:rPr>
        <w:t>329</w:t>
      </w:r>
      <w:r>
        <w:rPr>
          <w:color w:val="auto"/>
          <w:highlight w:val="none"/>
        </w:rPr>
        <w:fldChar w:fldCharType="end"/>
      </w:r>
      <w:r>
        <w:rPr>
          <w:rFonts w:hint="default" w:ascii="Times New Roman" w:hAnsi="Times New Roman" w:cs="Times New Roman"/>
          <w:color w:val="auto"/>
          <w:highlight w:val="none"/>
        </w:rPr>
        <w:fldChar w:fldCharType="end"/>
      </w:r>
    </w:p>
    <w:p w14:paraId="2586576A">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_Toc26257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9.4环境影响评价</w:t>
      </w:r>
      <w:r>
        <w:rPr>
          <w:color w:val="auto"/>
          <w:highlight w:val="none"/>
        </w:rPr>
        <w:tab/>
      </w:r>
      <w:r>
        <w:rPr>
          <w:color w:val="auto"/>
          <w:highlight w:val="none"/>
        </w:rPr>
        <w:fldChar w:fldCharType="begin"/>
      </w:r>
      <w:r>
        <w:rPr>
          <w:color w:val="auto"/>
          <w:highlight w:val="none"/>
        </w:rPr>
        <w:instrText xml:space="preserve"> PAGEREF _Toc26257 \h </w:instrText>
      </w:r>
      <w:r>
        <w:rPr>
          <w:color w:val="auto"/>
          <w:highlight w:val="none"/>
        </w:rPr>
        <w:fldChar w:fldCharType="separate"/>
      </w:r>
      <w:r>
        <w:rPr>
          <w:color w:val="auto"/>
          <w:highlight w:val="none"/>
        </w:rPr>
        <w:t>330</w:t>
      </w:r>
      <w:r>
        <w:rPr>
          <w:color w:val="auto"/>
          <w:highlight w:val="none"/>
        </w:rPr>
        <w:fldChar w:fldCharType="end"/>
      </w:r>
      <w:r>
        <w:rPr>
          <w:rFonts w:hint="default" w:ascii="Times New Roman" w:hAnsi="Times New Roman" w:cs="Times New Roman"/>
          <w:color w:val="auto"/>
          <w:highlight w:val="none"/>
        </w:rPr>
        <w:fldChar w:fldCharType="end"/>
      </w:r>
    </w:p>
    <w:p w14:paraId="5030B37C">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_Toc25219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9.5总量控制</w:t>
      </w:r>
      <w:r>
        <w:rPr>
          <w:color w:val="auto"/>
          <w:highlight w:val="none"/>
        </w:rPr>
        <w:tab/>
      </w:r>
      <w:r>
        <w:rPr>
          <w:color w:val="auto"/>
          <w:highlight w:val="none"/>
        </w:rPr>
        <w:fldChar w:fldCharType="begin"/>
      </w:r>
      <w:r>
        <w:rPr>
          <w:color w:val="auto"/>
          <w:highlight w:val="none"/>
        </w:rPr>
        <w:instrText xml:space="preserve"> PAGEREF _Toc25219 \h </w:instrText>
      </w:r>
      <w:r>
        <w:rPr>
          <w:color w:val="auto"/>
          <w:highlight w:val="none"/>
        </w:rPr>
        <w:fldChar w:fldCharType="separate"/>
      </w:r>
      <w:r>
        <w:rPr>
          <w:color w:val="auto"/>
          <w:highlight w:val="none"/>
        </w:rPr>
        <w:t>331</w:t>
      </w:r>
      <w:r>
        <w:rPr>
          <w:color w:val="auto"/>
          <w:highlight w:val="none"/>
        </w:rPr>
        <w:fldChar w:fldCharType="end"/>
      </w:r>
      <w:r>
        <w:rPr>
          <w:rFonts w:hint="default" w:ascii="Times New Roman" w:hAnsi="Times New Roman" w:cs="Times New Roman"/>
          <w:color w:val="auto"/>
          <w:highlight w:val="none"/>
        </w:rPr>
        <w:fldChar w:fldCharType="end"/>
      </w:r>
    </w:p>
    <w:p w14:paraId="468155E3">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_Toc31949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TW"/>
        </w:rPr>
        <w:t>9.6</w:t>
      </w:r>
      <w:r>
        <w:rPr>
          <w:rFonts w:hint="default" w:ascii="Times New Roman" w:hAnsi="Times New Roman" w:cs="Times New Roman"/>
          <w:bCs w:val="0"/>
          <w:color w:val="auto"/>
          <w:highlight w:val="none"/>
          <w:lang w:eastAsia="zh-TW"/>
        </w:rPr>
        <w:t>公众参与</w:t>
      </w:r>
      <w:r>
        <w:rPr>
          <w:color w:val="auto"/>
          <w:highlight w:val="none"/>
        </w:rPr>
        <w:tab/>
      </w:r>
      <w:r>
        <w:rPr>
          <w:color w:val="auto"/>
          <w:highlight w:val="none"/>
        </w:rPr>
        <w:fldChar w:fldCharType="begin"/>
      </w:r>
      <w:r>
        <w:rPr>
          <w:color w:val="auto"/>
          <w:highlight w:val="none"/>
        </w:rPr>
        <w:instrText xml:space="preserve"> PAGEREF _Toc31949 \h </w:instrText>
      </w:r>
      <w:r>
        <w:rPr>
          <w:color w:val="auto"/>
          <w:highlight w:val="none"/>
        </w:rPr>
        <w:fldChar w:fldCharType="separate"/>
      </w:r>
      <w:r>
        <w:rPr>
          <w:color w:val="auto"/>
          <w:highlight w:val="none"/>
        </w:rPr>
        <w:t>331</w:t>
      </w:r>
      <w:r>
        <w:rPr>
          <w:color w:val="auto"/>
          <w:highlight w:val="none"/>
        </w:rPr>
        <w:fldChar w:fldCharType="end"/>
      </w:r>
      <w:r>
        <w:rPr>
          <w:rFonts w:hint="default" w:ascii="Times New Roman" w:hAnsi="Times New Roman" w:cs="Times New Roman"/>
          <w:color w:val="auto"/>
          <w:highlight w:val="none"/>
        </w:rPr>
        <w:fldChar w:fldCharType="end"/>
      </w:r>
    </w:p>
    <w:p w14:paraId="157F4DFB">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_Toc3583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9.7总体结论</w:t>
      </w:r>
      <w:r>
        <w:rPr>
          <w:color w:val="auto"/>
          <w:highlight w:val="none"/>
        </w:rPr>
        <w:tab/>
      </w:r>
      <w:r>
        <w:rPr>
          <w:color w:val="auto"/>
          <w:highlight w:val="none"/>
        </w:rPr>
        <w:fldChar w:fldCharType="begin"/>
      </w:r>
      <w:r>
        <w:rPr>
          <w:color w:val="auto"/>
          <w:highlight w:val="none"/>
        </w:rPr>
        <w:instrText xml:space="preserve"> PAGEREF _Toc3583 \h </w:instrText>
      </w:r>
      <w:r>
        <w:rPr>
          <w:color w:val="auto"/>
          <w:highlight w:val="none"/>
        </w:rPr>
        <w:fldChar w:fldCharType="separate"/>
      </w:r>
      <w:r>
        <w:rPr>
          <w:color w:val="auto"/>
          <w:highlight w:val="none"/>
        </w:rPr>
        <w:t>331</w:t>
      </w:r>
      <w:r>
        <w:rPr>
          <w:color w:val="auto"/>
          <w:highlight w:val="none"/>
        </w:rPr>
        <w:fldChar w:fldCharType="end"/>
      </w:r>
      <w:r>
        <w:rPr>
          <w:rFonts w:hint="default" w:ascii="Times New Roman" w:hAnsi="Times New Roman" w:cs="Times New Roman"/>
          <w:color w:val="auto"/>
          <w:highlight w:val="none"/>
        </w:rPr>
        <w:fldChar w:fldCharType="end"/>
      </w:r>
    </w:p>
    <w:p w14:paraId="178561B8">
      <w:pPr>
        <w:pStyle w:val="27"/>
        <w:tabs>
          <w:tab w:val="right" w:leader="dot" w:pos="8313"/>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_Toc23271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9.8建议</w:t>
      </w:r>
      <w:r>
        <w:rPr>
          <w:color w:val="auto"/>
          <w:highlight w:val="none"/>
        </w:rPr>
        <w:tab/>
      </w:r>
      <w:r>
        <w:rPr>
          <w:color w:val="auto"/>
          <w:highlight w:val="none"/>
        </w:rPr>
        <w:fldChar w:fldCharType="begin"/>
      </w:r>
      <w:r>
        <w:rPr>
          <w:color w:val="auto"/>
          <w:highlight w:val="none"/>
        </w:rPr>
        <w:instrText xml:space="preserve"> PAGEREF _Toc23271 \h </w:instrText>
      </w:r>
      <w:r>
        <w:rPr>
          <w:color w:val="auto"/>
          <w:highlight w:val="none"/>
        </w:rPr>
        <w:fldChar w:fldCharType="separate"/>
      </w:r>
      <w:r>
        <w:rPr>
          <w:color w:val="auto"/>
          <w:highlight w:val="none"/>
        </w:rPr>
        <w:t>332</w:t>
      </w:r>
      <w:r>
        <w:rPr>
          <w:color w:val="auto"/>
          <w:highlight w:val="none"/>
        </w:rPr>
        <w:fldChar w:fldCharType="end"/>
      </w:r>
      <w:r>
        <w:rPr>
          <w:rFonts w:hint="default" w:ascii="Times New Roman" w:hAnsi="Times New Roman" w:cs="Times New Roman"/>
          <w:color w:val="auto"/>
          <w:highlight w:val="none"/>
        </w:rPr>
        <w:fldChar w:fldCharType="end"/>
      </w:r>
    </w:p>
    <w:p w14:paraId="538CFA2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br w:type="page"/>
      </w:r>
    </w:p>
    <w:p w14:paraId="50C64665">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附图：</w:t>
      </w:r>
    </w:p>
    <w:p w14:paraId="7035286F">
      <w:pP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图2.5-1    本项目</w:t>
      </w:r>
      <w:r>
        <w:rPr>
          <w:rFonts w:hint="default" w:ascii="Times New Roman" w:hAnsi="Times New Roman" w:cs="Times New Roman"/>
          <w:color w:val="auto"/>
          <w:sz w:val="21"/>
          <w:szCs w:val="21"/>
          <w:highlight w:val="none"/>
        </w:rPr>
        <w:t>区域水系图</w:t>
      </w:r>
    </w:p>
    <w:p w14:paraId="3669C345">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图2.5-2    本项目生态环境功能区划图</w:t>
      </w:r>
    </w:p>
    <w:p w14:paraId="14455145">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mc:AlternateContent>
          <mc:Choice Requires="wps">
            <w:drawing>
              <wp:anchor distT="0" distB="0" distL="114300" distR="114300" simplePos="0" relativeHeight="251700224" behindDoc="0" locked="0" layoutInCell="1" allowOverlap="1">
                <wp:simplePos x="0" y="0"/>
                <wp:positionH relativeFrom="column">
                  <wp:posOffset>6850380</wp:posOffset>
                </wp:positionH>
                <wp:positionV relativeFrom="paragraph">
                  <wp:posOffset>4010025</wp:posOffset>
                </wp:positionV>
                <wp:extent cx="286385" cy="0"/>
                <wp:effectExtent l="0" t="9525" r="0" b="9525"/>
                <wp:wrapNone/>
                <wp:docPr id="27" name="自选图形 57"/>
                <wp:cNvGraphicFramePr/>
                <a:graphic xmlns:a="http://schemas.openxmlformats.org/drawingml/2006/main">
                  <a:graphicData uri="http://schemas.microsoft.com/office/word/2010/wordprocessingShape">
                    <wps:wsp>
                      <wps:cNvCnPr/>
                      <wps:spPr>
                        <a:xfrm>
                          <a:off x="0" y="0"/>
                          <a:ext cx="286385" cy="0"/>
                        </a:xfrm>
                        <a:prstGeom prst="straightConnector1">
                          <a:avLst/>
                        </a:prstGeom>
                        <a:ln w="19050" cap="flat" cmpd="sng">
                          <a:solidFill>
                            <a:srgbClr val="3333FF"/>
                          </a:solidFill>
                          <a:prstDash val="solid"/>
                          <a:headEnd type="none" w="med" len="med"/>
                          <a:tailEnd type="none" w="med" len="med"/>
                        </a:ln>
                      </wps:spPr>
                      <wps:bodyPr/>
                    </wps:wsp>
                  </a:graphicData>
                </a:graphic>
              </wp:anchor>
            </w:drawing>
          </mc:Choice>
          <mc:Fallback>
            <w:pict>
              <v:shape id="自选图形 57" o:spid="_x0000_s1026" o:spt="32" type="#_x0000_t32" style="position:absolute;left:0pt;margin-left:539.4pt;margin-top:315.75pt;height:0pt;width:22.55pt;z-index:251700224;mso-width-relative:page;mso-height-relative:page;" filled="f" stroked="t" coordsize="21600,21600" o:gfxdata="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Kv6vHXAAAADQEAAA8AAAAAAAAAAQAgAAAAIgAAAGRycy9kb3ducmV2Lnht&#10;bFBLAQIUABQAAAAIAIdO4kBMt/BZ+gEAAOUDAAAOAAAAAAAAAAEAIAAAACYBAABkcnMvZTJvRG9j&#10;LnhtbFBLBQYAAAAABgAGAFkBAACSBQAAAAA=&#10;">
                <v:fill on="f" focussize="0,0"/>
                <v:stroke weight="1.5pt" color="#3333FF" joinstyle="round"/>
                <v:imagedata o:title=""/>
                <o:lock v:ext="edit" aspectratio="f"/>
              </v:shape>
            </w:pict>
          </mc:Fallback>
        </mc:AlternateContent>
      </w:r>
      <w:r>
        <w:rPr>
          <w:rFonts w:hint="default" w:ascii="Times New Roman" w:hAnsi="Times New Roman" w:cs="Times New Roman"/>
          <w:color w:val="auto"/>
          <w:sz w:val="21"/>
          <w:szCs w:val="21"/>
          <w:highlight w:val="none"/>
          <w:lang w:val="en-US" w:eastAsia="zh-CN"/>
        </w:rPr>
        <mc:AlternateContent>
          <mc:Choice Requires="wps">
            <w:drawing>
              <wp:anchor distT="0" distB="0" distL="114300" distR="114300" simplePos="0" relativeHeight="251701248" behindDoc="0" locked="0" layoutInCell="1" allowOverlap="1">
                <wp:simplePos x="0" y="0"/>
                <wp:positionH relativeFrom="column">
                  <wp:posOffset>6857365</wp:posOffset>
                </wp:positionH>
                <wp:positionV relativeFrom="paragraph">
                  <wp:posOffset>4471670</wp:posOffset>
                </wp:positionV>
                <wp:extent cx="286385" cy="635"/>
                <wp:effectExtent l="0" t="0" r="0" b="0"/>
                <wp:wrapNone/>
                <wp:docPr id="29" name="自选图形 59"/>
                <wp:cNvGraphicFramePr/>
                <a:graphic xmlns:a="http://schemas.openxmlformats.org/drawingml/2006/main">
                  <a:graphicData uri="http://schemas.microsoft.com/office/word/2010/wordprocessingShape">
                    <wps:wsp>
                      <wps:cNvCnPr/>
                      <wps:spPr>
                        <a:xfrm>
                          <a:off x="0" y="0"/>
                          <a:ext cx="286385" cy="635"/>
                        </a:xfrm>
                        <a:prstGeom prst="straightConnector1">
                          <a:avLst/>
                        </a:prstGeom>
                        <a:ln w="19050" cap="flat" cmpd="sng">
                          <a:solidFill>
                            <a:srgbClr val="4BACC6"/>
                          </a:solidFill>
                          <a:prstDash val="solid"/>
                          <a:headEnd type="none" w="med" len="med"/>
                          <a:tailEnd type="none" w="med" len="med"/>
                        </a:ln>
                      </wps:spPr>
                      <wps:bodyPr/>
                    </wps:wsp>
                  </a:graphicData>
                </a:graphic>
              </wp:anchor>
            </w:drawing>
          </mc:Choice>
          <mc:Fallback>
            <w:pict>
              <v:shape id="自选图形 59" o:spid="_x0000_s1026" o:spt="32" type="#_x0000_t32" style="position:absolute;left:0pt;margin-left:539.95pt;margin-top:352.1pt;height:0.05pt;width:22.55pt;z-index:251701248;mso-width-relative:page;mso-height-relative:page;" filled="f" stroked="t" coordsize="21600,21600" o:gfxdata="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qTfyvbAAAADQEAAA8AAAAAAAAAAQAgAAAAIgAAAGRycy9kb3du&#10;cmV2LnhtbFBLAQIUABQAAAAIAIdO4kCdcmzU/AEAAOcDAAAOAAAAAAAAAAEAIAAAACoBAABkcnMv&#10;ZTJvRG9jLnhtbFBLBQYAAAAABgAGAFkBAACYBQAAAAA=&#10;">
                <v:fill on="f" focussize="0,0"/>
                <v:stroke weight="1.5pt" color="#4BACC6" joinstyle="round"/>
                <v:imagedata o:title=""/>
                <o:lock v:ext="edit" aspectratio="f"/>
              </v:shape>
            </w:pict>
          </mc:Fallback>
        </mc:AlternateContent>
      </w:r>
      <w:r>
        <w:rPr>
          <w:rFonts w:hint="default" w:ascii="Times New Roman" w:hAnsi="Times New Roman" w:cs="Times New Roman"/>
          <w:color w:val="auto"/>
          <w:sz w:val="21"/>
          <w:szCs w:val="21"/>
          <w:highlight w:val="none"/>
          <w:lang w:val="en-US" w:eastAsia="zh-CN"/>
        </w:rPr>
        <mc:AlternateContent>
          <mc:Choice Requires="wps">
            <w:drawing>
              <wp:anchor distT="0" distB="0" distL="114300" distR="114300" simplePos="0" relativeHeight="251698176" behindDoc="0" locked="0" layoutInCell="1" allowOverlap="1">
                <wp:simplePos x="0" y="0"/>
                <wp:positionH relativeFrom="column">
                  <wp:posOffset>6857365</wp:posOffset>
                </wp:positionH>
                <wp:positionV relativeFrom="paragraph">
                  <wp:posOffset>3803015</wp:posOffset>
                </wp:positionV>
                <wp:extent cx="286385" cy="0"/>
                <wp:effectExtent l="0" t="9525" r="0" b="9525"/>
                <wp:wrapNone/>
                <wp:docPr id="21" name="自选图形 62"/>
                <wp:cNvGraphicFramePr/>
                <a:graphic xmlns:a="http://schemas.openxmlformats.org/drawingml/2006/main">
                  <a:graphicData uri="http://schemas.microsoft.com/office/word/2010/wordprocessingShape">
                    <wps:wsp>
                      <wps:cNvCnPr/>
                      <wps:spPr>
                        <a:xfrm>
                          <a:off x="0" y="0"/>
                          <a:ext cx="286385" cy="0"/>
                        </a:xfrm>
                        <a:prstGeom prst="straightConnector1">
                          <a:avLst/>
                        </a:prstGeom>
                        <a:ln w="19050" cap="flat" cmpd="sng">
                          <a:solidFill>
                            <a:srgbClr val="FFFF00"/>
                          </a:solidFill>
                          <a:prstDash val="solid"/>
                          <a:headEnd type="none" w="med" len="med"/>
                          <a:tailEnd type="none" w="med" len="med"/>
                        </a:ln>
                      </wps:spPr>
                      <wps:bodyPr/>
                    </wps:wsp>
                  </a:graphicData>
                </a:graphic>
              </wp:anchor>
            </w:drawing>
          </mc:Choice>
          <mc:Fallback>
            <w:pict>
              <v:shape id="自选图形 62" o:spid="_x0000_s1026" o:spt="32" type="#_x0000_t32" style="position:absolute;left:0pt;margin-left:539.95pt;margin-top:299.45pt;height:0pt;width:22.55pt;z-index:251698176;mso-width-relative:page;mso-height-relative:page;" filled="f" stroked="t" coordsize="21600,21600" o:gfxdata="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W/Z02gAAAA0BAAAPAAAAAAAAAAEAIAAAACIAAABkcnMvZG93bnJldi54&#10;bWxQSwECFAAUAAAACACHTuJA07kllvgBAADlAwAADgAAAAAAAAABACAAAAApAQAAZHJzL2Uyb0Rv&#10;Yy54bWxQSwUGAAAAAAYABgBZAQAAkwUAAAAA&#10;">
                <v:fill on="f" focussize="0,0"/>
                <v:stroke weight="1.5pt" color="#FFFF00" joinstyle="round"/>
                <v:imagedata o:title=""/>
                <o:lock v:ext="edit" aspectratio="f"/>
              </v:shape>
            </w:pict>
          </mc:Fallback>
        </mc:AlternateContent>
      </w:r>
      <w:r>
        <w:rPr>
          <w:rFonts w:hint="default" w:ascii="Times New Roman" w:hAnsi="Times New Roman" w:cs="Times New Roman"/>
          <w:color w:val="auto"/>
          <w:sz w:val="21"/>
          <w:szCs w:val="21"/>
          <w:highlight w:val="none"/>
          <w:lang w:val="en-US" w:eastAsia="zh-CN"/>
        </w:rPr>
        <mc:AlternateContent>
          <mc:Choice Requires="wps">
            <w:drawing>
              <wp:anchor distT="0" distB="0" distL="114300" distR="114300" simplePos="0" relativeHeight="251699200" behindDoc="0" locked="0" layoutInCell="1" allowOverlap="1">
                <wp:simplePos x="0" y="0"/>
                <wp:positionH relativeFrom="column">
                  <wp:posOffset>6857365</wp:posOffset>
                </wp:positionH>
                <wp:positionV relativeFrom="paragraph">
                  <wp:posOffset>4246245</wp:posOffset>
                </wp:positionV>
                <wp:extent cx="286385" cy="635"/>
                <wp:effectExtent l="0" t="0" r="0" b="0"/>
                <wp:wrapNone/>
                <wp:docPr id="25" name="自选图形 63"/>
                <wp:cNvGraphicFramePr/>
                <a:graphic xmlns:a="http://schemas.openxmlformats.org/drawingml/2006/main">
                  <a:graphicData uri="http://schemas.microsoft.com/office/word/2010/wordprocessingShape">
                    <wps:wsp>
                      <wps:cNvCnPr/>
                      <wps:spPr>
                        <a:xfrm>
                          <a:off x="0" y="0"/>
                          <a:ext cx="286385" cy="635"/>
                        </a:xfrm>
                        <a:prstGeom prst="straightConnector1">
                          <a:avLst/>
                        </a:prstGeom>
                        <a:ln w="19050" cap="flat" cmpd="sng">
                          <a:solidFill>
                            <a:srgbClr val="66FF33"/>
                          </a:solidFill>
                          <a:prstDash val="solid"/>
                          <a:headEnd type="none" w="med" len="med"/>
                          <a:tailEnd type="none" w="med" len="med"/>
                        </a:ln>
                      </wps:spPr>
                      <wps:bodyPr/>
                    </wps:wsp>
                  </a:graphicData>
                </a:graphic>
              </wp:anchor>
            </w:drawing>
          </mc:Choice>
          <mc:Fallback>
            <w:pict>
              <v:shape id="自选图形 63" o:spid="_x0000_s1026" o:spt="32" type="#_x0000_t32" style="position:absolute;left:0pt;margin-left:539.95pt;margin-top:334.35pt;height:0.05pt;width:22.55pt;z-index:251699200;mso-width-relative:page;mso-height-relative:page;" filled="f" stroked="t" coordsize="21600,21600" o:gfxdata="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0rtvZAAAADQEAAA8AAAAAAAAAAQAgAAAAIgAAAGRycy9kb3ducmV2&#10;LnhtbFBLAQIUABQAAAAIAIdO4kCcGi+s+wEAAOcDAAAOAAAAAAAAAAEAIAAAACgBAABkcnMvZTJv&#10;RG9jLnhtbFBLBQYAAAAABgAGAFkBAACVBQAAAAA=&#10;">
                <v:fill on="f" focussize="0,0"/>
                <v:stroke weight="1.5pt" color="#66FF33" joinstyle="round"/>
                <v:imagedata o:title=""/>
                <o:lock v:ext="edit" aspectratio="f"/>
              </v:shape>
            </w:pict>
          </mc:Fallback>
        </mc:AlternateContent>
      </w:r>
      <w:r>
        <w:rPr>
          <w:rFonts w:hint="default" w:ascii="Times New Roman" w:hAnsi="Times New Roman" w:cs="Times New Roman"/>
          <w:color w:val="auto"/>
          <w:sz w:val="21"/>
          <w:szCs w:val="21"/>
          <w:highlight w:val="none"/>
          <w:lang w:val="en-US" w:eastAsia="zh-CN"/>
        </w:rPr>
        <w:t>图2.6-1    本项目评价范围图</w:t>
      </w:r>
    </w:p>
    <w:p w14:paraId="0A24C9CF">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图2.8-1    本项目环境敏感目标分布图</w:t>
      </w:r>
    </w:p>
    <w:p w14:paraId="74AA516D">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图2.8-2    本项目环境敏感目标分布图（生态保护红线）</w:t>
      </w:r>
    </w:p>
    <w:p w14:paraId="351F1758">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图3.1-1    本项目地理位置图</w:t>
      </w:r>
    </w:p>
    <w:p w14:paraId="5ECE06DC">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图3.1-2    本项目区域位置图</w:t>
      </w:r>
    </w:p>
    <w:p w14:paraId="4CA42AD8">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图3.</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-7</w:t>
      </w:r>
      <w:r>
        <w:rPr>
          <w:rFonts w:hint="default"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本项目总平面布置图</w:t>
      </w:r>
    </w:p>
    <w:p w14:paraId="37406893">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图3.</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 xml:space="preserve">-8 </w:t>
      </w:r>
      <w:r>
        <w:rPr>
          <w:rFonts w:hint="default"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本项目选矿厂总平面布置图</w:t>
      </w:r>
    </w:p>
    <w:p w14:paraId="73FCAAB7">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图3.</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 xml:space="preserve">-9 </w:t>
      </w:r>
      <w:r>
        <w:rPr>
          <w:rFonts w:hint="default"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本项目尾矿库平面布置图</w:t>
      </w:r>
    </w:p>
    <w:p w14:paraId="70DBD48C">
      <w:pPr>
        <w:ind w:firstLine="42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图3.1-10    本项目尾矿库比选方案示意图</w:t>
      </w:r>
    </w:p>
    <w:p w14:paraId="29BC3AA6">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图3.6-1    本项目与阿勒泰地区生态环境分区管控单元分布图的位置关系图</w:t>
      </w:r>
    </w:p>
    <w:p w14:paraId="1632B220">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图4.1-1    项目区水文地质图</w:t>
      </w:r>
    </w:p>
    <w:p w14:paraId="03E7E28F">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图4.2-1    项目区监测点位图</w:t>
      </w:r>
    </w:p>
    <w:p w14:paraId="3793AFD7">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图4.2-2    本项目主体功能区划图</w:t>
      </w:r>
    </w:p>
    <w:p w14:paraId="71C57E83">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图4.2-3    本项目土壤类型图</w:t>
      </w:r>
    </w:p>
    <w:p w14:paraId="01DF3C24">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图4.2-4    本项目植被类型图</w:t>
      </w:r>
    </w:p>
    <w:p w14:paraId="7B76FE45">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图4.2-5    本项目土地利用类型图</w:t>
      </w:r>
    </w:p>
    <w:p w14:paraId="5F6E5EB5">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图4.2-6    本项目沙化土地分布图</w:t>
      </w:r>
    </w:p>
    <w:p w14:paraId="4D9CE585">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图6.2-1    本项目</w:t>
      </w:r>
      <w:r>
        <w:rPr>
          <w:rFonts w:hint="default" w:cs="Times New Roman"/>
          <w:color w:val="auto"/>
          <w:sz w:val="21"/>
          <w:szCs w:val="21"/>
          <w:highlight w:val="none"/>
          <w:lang w:val="en-US" w:eastAsia="zh-CN"/>
        </w:rPr>
        <w:t>尾矿库</w:t>
      </w:r>
      <w:r>
        <w:rPr>
          <w:rFonts w:hint="default" w:ascii="Times New Roman" w:hAnsi="Times New Roman" w:cs="Times New Roman"/>
          <w:color w:val="auto"/>
          <w:sz w:val="21"/>
          <w:szCs w:val="21"/>
          <w:highlight w:val="none"/>
          <w:lang w:val="en-US" w:eastAsia="zh-CN"/>
        </w:rPr>
        <w:t>分区防渗图</w:t>
      </w:r>
    </w:p>
    <w:p w14:paraId="78F94D65">
      <w:pPr>
        <w:ind w:firstLine="420"/>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图6.2-2    本项目选矿厂分区防渗图</w:t>
      </w:r>
    </w:p>
    <w:p w14:paraId="6A54FF5C">
      <w:pPr>
        <w:ind w:firstLine="420"/>
        <w:rPr>
          <w:rFonts w:hint="default" w:ascii="Times New Roman" w:hAnsi="Times New Roman" w:cs="Times New Roman"/>
          <w:color w:val="auto"/>
          <w:sz w:val="21"/>
          <w:szCs w:val="21"/>
          <w:highlight w:val="none"/>
        </w:rPr>
      </w:pPr>
    </w:p>
    <w:p w14:paraId="02526ECA">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附件：</w:t>
      </w:r>
    </w:p>
    <w:p w14:paraId="7069F040">
      <w:pP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附件1 环评委托书</w:t>
      </w:r>
    </w:p>
    <w:p w14:paraId="60C7BBEF">
      <w:pP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附件2 </w:t>
      </w:r>
      <w:r>
        <w:rPr>
          <w:rFonts w:hint="default" w:ascii="Times New Roman" w:hAnsi="Times New Roman" w:cs="Times New Roman"/>
          <w:color w:val="auto"/>
          <w:sz w:val="21"/>
          <w:szCs w:val="21"/>
          <w:highlight w:val="none"/>
          <w:lang w:val="en-US" w:eastAsia="zh-CN"/>
        </w:rPr>
        <w:t>项目</w:t>
      </w:r>
      <w:r>
        <w:rPr>
          <w:rFonts w:hint="default" w:cs="Times New Roman"/>
          <w:color w:val="auto"/>
          <w:sz w:val="21"/>
          <w:szCs w:val="21"/>
          <w:highlight w:val="none"/>
          <w:lang w:val="en-US" w:eastAsia="zh-CN"/>
        </w:rPr>
        <w:t>赋码通知书</w:t>
      </w:r>
    </w:p>
    <w:p w14:paraId="19B970C5">
      <w:pPr>
        <w:ind w:firstLine="4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 xml:space="preserve">附件3 </w:t>
      </w:r>
      <w:r>
        <w:rPr>
          <w:rFonts w:hint="default" w:ascii="Times New Roman" w:hAnsi="Times New Roman" w:cs="Times New Roman"/>
          <w:color w:val="auto"/>
          <w:sz w:val="21"/>
          <w:szCs w:val="21"/>
          <w:highlight w:val="none"/>
          <w:lang w:val="en-US" w:eastAsia="zh-CN"/>
        </w:rPr>
        <w:t>项目</w:t>
      </w:r>
      <w:r>
        <w:rPr>
          <w:rFonts w:hint="default" w:cs="Times New Roman"/>
          <w:color w:val="auto"/>
          <w:sz w:val="21"/>
          <w:szCs w:val="21"/>
          <w:highlight w:val="none"/>
          <w:lang w:val="en-US" w:eastAsia="zh-CN"/>
        </w:rPr>
        <w:t>尾矿库备案证</w:t>
      </w:r>
    </w:p>
    <w:p w14:paraId="1BF5FB74">
      <w:pP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附件4 </w:t>
      </w:r>
      <w:r>
        <w:rPr>
          <w:rFonts w:hint="default" w:ascii="Times New Roman" w:hAnsi="Times New Roman" w:cs="Times New Roman"/>
          <w:color w:val="auto"/>
          <w:sz w:val="21"/>
          <w:szCs w:val="21"/>
          <w:highlight w:val="none"/>
          <w:lang w:val="en-US" w:eastAsia="zh-CN"/>
        </w:rPr>
        <w:t>采矿</w:t>
      </w:r>
      <w:r>
        <w:rPr>
          <w:rFonts w:hint="default" w:cs="Times New Roman"/>
          <w:color w:val="auto"/>
          <w:sz w:val="21"/>
          <w:szCs w:val="21"/>
          <w:highlight w:val="none"/>
          <w:lang w:val="en-US" w:eastAsia="zh-CN"/>
        </w:rPr>
        <w:t>许可</w:t>
      </w:r>
      <w:r>
        <w:rPr>
          <w:rFonts w:hint="default" w:ascii="Times New Roman" w:hAnsi="Times New Roman" w:cs="Times New Roman"/>
          <w:color w:val="auto"/>
          <w:sz w:val="21"/>
          <w:szCs w:val="21"/>
          <w:highlight w:val="none"/>
          <w:lang w:val="en-US" w:eastAsia="zh-CN"/>
        </w:rPr>
        <w:t>证</w:t>
      </w:r>
    </w:p>
    <w:p w14:paraId="6717E575">
      <w:pPr>
        <w:ind w:firstLine="420"/>
        <w:rPr>
          <w:rFonts w:hint="default" w:ascii="Times New Roman" w:hAnsi="Times New Roman" w:eastAsia="宋体" w:cs="Times New Roman"/>
          <w:color w:val="auto"/>
          <w:highlight w:val="none"/>
        </w:rPr>
      </w:pPr>
      <w:r>
        <w:rPr>
          <w:rFonts w:hint="default" w:ascii="Times New Roman" w:hAnsi="Times New Roman" w:cs="Times New Roman"/>
          <w:color w:val="auto"/>
          <w:sz w:val="21"/>
          <w:szCs w:val="21"/>
          <w:highlight w:val="none"/>
          <w:lang w:val="en-US" w:eastAsia="zh-CN"/>
        </w:rPr>
        <w:t>附件5</w:t>
      </w:r>
      <w:r>
        <w:rPr>
          <w:rFonts w:hint="default"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采矿工程矿产资源储量评审备案证明的复函</w:t>
      </w:r>
    </w:p>
    <w:p w14:paraId="11C0365A">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附件</w:t>
      </w:r>
      <w:r>
        <w:rPr>
          <w:rFonts w:hint="default"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 xml:space="preserve"> 采矿工程</w:t>
      </w:r>
      <w:r>
        <w:rPr>
          <w:rFonts w:hint="default" w:cs="Times New Roman"/>
          <w:color w:val="auto"/>
          <w:sz w:val="21"/>
          <w:szCs w:val="21"/>
          <w:highlight w:val="none"/>
          <w:lang w:val="en-US" w:eastAsia="zh-CN"/>
        </w:rPr>
        <w:t>矿产资源开发利用与生态保护修复方案</w:t>
      </w:r>
      <w:r>
        <w:rPr>
          <w:rFonts w:hint="default" w:ascii="Times New Roman" w:hAnsi="Times New Roman" w:cs="Times New Roman"/>
          <w:color w:val="auto"/>
          <w:sz w:val="21"/>
          <w:szCs w:val="21"/>
          <w:highlight w:val="none"/>
          <w:lang w:val="en-US" w:eastAsia="zh-CN"/>
        </w:rPr>
        <w:t>评审意见书</w:t>
      </w:r>
    </w:p>
    <w:p w14:paraId="15A065D5">
      <w:pPr>
        <w:ind w:firstLine="4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附件</w:t>
      </w:r>
      <w:r>
        <w:rPr>
          <w:rFonts w:hint="default"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建设单位营业执照</w:t>
      </w:r>
    </w:p>
    <w:p w14:paraId="6491E7C1">
      <w:pPr>
        <w:ind w:firstLine="42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附件</w:t>
      </w:r>
      <w:r>
        <w:rPr>
          <w:rFonts w:hint="default"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 xml:space="preserve"> </w:t>
      </w:r>
      <w:r>
        <w:rPr>
          <w:rFonts w:hint="default" w:cs="Times New Roman"/>
          <w:color w:val="auto"/>
          <w:sz w:val="21"/>
          <w:szCs w:val="21"/>
          <w:highlight w:val="none"/>
          <w:lang w:val="en-US" w:eastAsia="zh-CN"/>
        </w:rPr>
        <w:t>矿产资源储量评审意见书</w:t>
      </w:r>
    </w:p>
    <w:p w14:paraId="2BE3161C">
      <w:pP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附件</w:t>
      </w:r>
      <w:r>
        <w:rPr>
          <w:rFonts w:hint="default"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 xml:space="preserve"> 项目</w:t>
      </w:r>
      <w:r>
        <w:rPr>
          <w:rFonts w:hint="default" w:ascii="Times New Roman" w:hAnsi="Times New Roman" w:cs="Times New Roman"/>
          <w:color w:val="auto"/>
          <w:sz w:val="21"/>
          <w:szCs w:val="21"/>
          <w:highlight w:val="none"/>
        </w:rPr>
        <w:t>检测报告</w:t>
      </w:r>
    </w:p>
    <w:p w14:paraId="099B4627">
      <w:pPr>
        <w:ind w:firstLine="480"/>
        <w:rPr>
          <w:rFonts w:hint="default" w:ascii="Times New Roman" w:hAnsi="Times New Roman" w:cs="Times New Roman"/>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7" w:h="16840"/>
          <w:pgMar w:top="1440" w:right="1797" w:bottom="1440" w:left="1797" w:header="851" w:footer="851" w:gutter="0"/>
          <w:pgNumType w:fmt="upperRoman" w:start="1"/>
          <w:cols w:space="425" w:num="1"/>
          <w:docGrid w:linePitch="312" w:charSpace="0"/>
        </w:sectPr>
      </w:pPr>
    </w:p>
    <w:p w14:paraId="24C7457D">
      <w:pPr>
        <w:pStyle w:val="2"/>
        <w:spacing w:line="720" w:lineRule="exact"/>
        <w:rPr>
          <w:rFonts w:hint="default" w:ascii="Times New Roman" w:hAnsi="Times New Roman" w:cs="Times New Roman"/>
          <w:color w:val="auto"/>
          <w:highlight w:val="none"/>
        </w:rPr>
      </w:pPr>
      <w:bookmarkStart w:id="0" w:name="_Toc10087"/>
      <w:bookmarkStart w:id="1" w:name="_Toc107414637"/>
      <w:bookmarkStart w:id="2" w:name="_Toc107413870"/>
      <w:bookmarkStart w:id="3" w:name="_Toc29202"/>
      <w:bookmarkStart w:id="4" w:name="_Toc11149"/>
      <w:bookmarkStart w:id="5" w:name="_Toc28872"/>
      <w:bookmarkStart w:id="6" w:name="_Toc17482"/>
      <w:r>
        <w:rPr>
          <w:rFonts w:hint="default" w:ascii="Times New Roman" w:hAnsi="Times New Roman" w:cs="Times New Roman"/>
          <w:color w:val="auto"/>
          <w:highlight w:val="none"/>
        </w:rPr>
        <w:t>1概述</w:t>
      </w:r>
      <w:bookmarkEnd w:id="0"/>
      <w:bookmarkEnd w:id="1"/>
      <w:bookmarkEnd w:id="2"/>
      <w:bookmarkEnd w:id="3"/>
      <w:bookmarkEnd w:id="4"/>
      <w:bookmarkEnd w:id="5"/>
      <w:bookmarkEnd w:id="6"/>
    </w:p>
    <w:p w14:paraId="617AF8FD">
      <w:pPr>
        <w:pStyle w:val="3"/>
        <w:spacing w:line="560" w:lineRule="atLeast"/>
        <w:rPr>
          <w:rFonts w:hint="default" w:ascii="Times New Roman" w:hAnsi="Times New Roman" w:cs="Times New Roman"/>
          <w:color w:val="auto"/>
          <w:highlight w:val="none"/>
        </w:rPr>
      </w:pPr>
      <w:bookmarkStart w:id="7" w:name="_Toc23022"/>
      <w:bookmarkStart w:id="8" w:name="_Toc6816"/>
      <w:bookmarkStart w:id="9" w:name="_Toc12955"/>
      <w:bookmarkStart w:id="10" w:name="_Toc13386"/>
      <w:bookmarkStart w:id="11" w:name="_Toc107414638"/>
      <w:bookmarkStart w:id="12" w:name="_Toc475111945"/>
      <w:bookmarkStart w:id="13" w:name="_Toc21983"/>
      <w:bookmarkStart w:id="14" w:name="_Toc107413871"/>
      <w:r>
        <w:rPr>
          <w:rFonts w:hint="default" w:ascii="Times New Roman" w:hAnsi="Times New Roman" w:cs="Times New Roman"/>
          <w:color w:val="auto"/>
          <w:highlight w:val="none"/>
        </w:rPr>
        <w:t>1.1建设项目特点</w:t>
      </w:r>
      <w:bookmarkEnd w:id="7"/>
      <w:bookmarkEnd w:id="8"/>
      <w:bookmarkEnd w:id="9"/>
      <w:bookmarkEnd w:id="10"/>
      <w:bookmarkEnd w:id="11"/>
      <w:bookmarkEnd w:id="12"/>
      <w:bookmarkEnd w:id="13"/>
      <w:bookmarkEnd w:id="14"/>
    </w:p>
    <w:p w14:paraId="772D48DC">
      <w:pPr>
        <w:pStyle w:val="4"/>
        <w:rPr>
          <w:rFonts w:hint="default" w:ascii="Times New Roman" w:hAnsi="Times New Roman" w:cs="Times New Roman"/>
          <w:color w:val="auto"/>
          <w:highlight w:val="none"/>
        </w:rPr>
      </w:pPr>
      <w:bookmarkStart w:id="15" w:name="_Toc19161"/>
      <w:bookmarkStart w:id="16" w:name="_Toc31318"/>
      <w:bookmarkStart w:id="17" w:name="_Toc32252"/>
      <w:bookmarkStart w:id="18" w:name="_Toc18713"/>
      <w:bookmarkStart w:id="19" w:name="_Toc3959"/>
      <w:bookmarkStart w:id="20" w:name="_Toc18489"/>
      <w:bookmarkStart w:id="21" w:name="_Toc26274"/>
      <w:bookmarkStart w:id="22" w:name="_Toc27128"/>
      <w:r>
        <w:rPr>
          <w:rFonts w:hint="default" w:ascii="Times New Roman" w:hAnsi="Times New Roman" w:cs="Times New Roman"/>
          <w:color w:val="auto"/>
          <w:highlight w:val="none"/>
        </w:rPr>
        <w:t>1.1.1</w:t>
      </w:r>
      <w:bookmarkEnd w:id="15"/>
      <w:bookmarkEnd w:id="16"/>
      <w:bookmarkEnd w:id="17"/>
      <w:bookmarkEnd w:id="18"/>
      <w:bookmarkEnd w:id="19"/>
      <w:r>
        <w:rPr>
          <w:rFonts w:hint="default" w:ascii="Times New Roman" w:hAnsi="Times New Roman" w:cs="Times New Roman"/>
          <w:color w:val="auto"/>
          <w:highlight w:val="none"/>
        </w:rPr>
        <w:t>项目背景及由来</w:t>
      </w:r>
      <w:bookmarkEnd w:id="20"/>
      <w:bookmarkEnd w:id="21"/>
      <w:bookmarkEnd w:id="22"/>
    </w:p>
    <w:p w14:paraId="44A89614">
      <w:pPr>
        <w:ind w:firstLine="480"/>
        <w:rPr>
          <w:rFonts w:hint="default" w:ascii="Times New Roman" w:hAnsi="Times New Roman" w:cs="Times New Roman"/>
          <w:color w:val="auto"/>
          <w:spacing w:val="0"/>
          <w:sz w:val="24"/>
          <w:highlight w:val="none"/>
        </w:rPr>
      </w:pPr>
      <w:bookmarkStart w:id="23" w:name="OLE_LINK1"/>
      <w:r>
        <w:rPr>
          <w:rFonts w:hint="default" w:ascii="Times New Roman" w:hAnsi="Times New Roman" w:cs="Times New Roman"/>
          <w:color w:val="auto"/>
          <w:spacing w:val="0"/>
          <w:sz w:val="24"/>
          <w:highlight w:val="none"/>
        </w:rPr>
        <w:t>黄金矿产是国家实行保护性开采的特定矿种。黄金产品具有货币和商品双重属性，在保障国家金融安全、维护币值稳定、抑制通货膨胀、繁荣消费市场等</w:t>
      </w:r>
      <w:r>
        <w:rPr>
          <w:rFonts w:hint="default" w:ascii="Times New Roman" w:hAnsi="Times New Roman" w:cs="Times New Roman"/>
          <w:color w:val="auto"/>
          <w:spacing w:val="0"/>
          <w:sz w:val="24"/>
          <w:highlight w:val="none"/>
          <w:lang w:eastAsia="zh-CN"/>
        </w:rPr>
        <w:t>多个</w:t>
      </w:r>
      <w:r>
        <w:rPr>
          <w:rFonts w:hint="default" w:ascii="Times New Roman" w:hAnsi="Times New Roman" w:cs="Times New Roman"/>
          <w:color w:val="auto"/>
          <w:spacing w:val="0"/>
          <w:sz w:val="24"/>
          <w:highlight w:val="none"/>
        </w:rPr>
        <w:t>方面具有特殊</w:t>
      </w:r>
      <w:r>
        <w:rPr>
          <w:rFonts w:hint="default" w:ascii="Times New Roman" w:hAnsi="Times New Roman" w:cs="Times New Roman"/>
          <w:color w:val="auto"/>
          <w:spacing w:val="0"/>
          <w:sz w:val="24"/>
          <w:highlight w:val="none"/>
          <w:lang w:eastAsia="zh-CN"/>
        </w:rPr>
        <w:t>意义</w:t>
      </w:r>
      <w:r>
        <w:rPr>
          <w:rFonts w:hint="default" w:ascii="Times New Roman" w:hAnsi="Times New Roman" w:cs="Times New Roman"/>
          <w:color w:val="auto"/>
          <w:spacing w:val="0"/>
          <w:sz w:val="24"/>
          <w:highlight w:val="none"/>
        </w:rPr>
        <w:t>。</w:t>
      </w:r>
    </w:p>
    <w:p w14:paraId="2D451D97">
      <w:pPr>
        <w:overflowPunct w:val="0"/>
        <w:topLinePunct/>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spacing w:val="0"/>
          <w:sz w:val="24"/>
          <w:highlight w:val="none"/>
        </w:rPr>
        <w:t>新疆是全国十大产金地区之一，黄金矿产是新疆特色优势矿产资源，资源潜力巨大。黄金工业在增加地方财政收入、扩大各民族就业、促进地方经济发展等方面做出了积极贡献</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在重点产金地区，黄金工业作为支柱产业，在地方财政收入中占有较大比重。黄金工业更好更快地发展，对于加快新疆新型工业化建设，实现经济跨越式发展和社会长治久安，具有非常</w:t>
      </w:r>
      <w:r>
        <w:rPr>
          <w:rFonts w:hint="default" w:ascii="Times New Roman" w:hAnsi="Times New Roman" w:cs="Times New Roman"/>
          <w:color w:val="auto"/>
          <w:spacing w:val="0"/>
          <w:sz w:val="24"/>
          <w:highlight w:val="none"/>
          <w:lang w:eastAsia="zh-CN"/>
        </w:rPr>
        <w:t>深远</w:t>
      </w:r>
      <w:r>
        <w:rPr>
          <w:rFonts w:hint="default" w:ascii="Times New Roman" w:hAnsi="Times New Roman" w:cs="Times New Roman"/>
          <w:color w:val="auto"/>
          <w:spacing w:val="0"/>
          <w:sz w:val="24"/>
          <w:highlight w:val="none"/>
        </w:rPr>
        <w:t>的意义。</w:t>
      </w:r>
    </w:p>
    <w:p w14:paraId="40492470">
      <w:pPr>
        <w:adjustRightInd w:val="0"/>
        <w:snapToGrid w:val="0"/>
        <w:ind w:firstLine="480"/>
        <w:jc w:val="both"/>
        <w:rPr>
          <w:rFonts w:hint="default" w:ascii="Times New Roman" w:hAnsi="Times New Roman" w:cs="Times New Roman"/>
          <w:color w:val="auto"/>
          <w:spacing w:val="0"/>
          <w:sz w:val="24"/>
          <w:highlight w:val="none"/>
          <w:lang w:eastAsia="zh-CN"/>
        </w:rPr>
      </w:pPr>
      <w:r>
        <w:rPr>
          <w:rFonts w:hint="default" w:ascii="Times New Roman" w:hAnsi="Times New Roman" w:eastAsia="宋体" w:cs="Times New Roman"/>
          <w:color w:val="auto"/>
          <w:highlight w:val="none"/>
        </w:rPr>
        <w:t>新疆江诣矿业有限公司</w:t>
      </w:r>
      <w:r>
        <w:rPr>
          <w:rFonts w:hint="default" w:cs="Times New Roman"/>
          <w:color w:val="auto"/>
          <w:highlight w:val="none"/>
          <w:lang w:eastAsia="zh-CN"/>
        </w:rPr>
        <w:t>（</w:t>
      </w:r>
      <w:r>
        <w:rPr>
          <w:rFonts w:hint="default" w:cs="Times New Roman"/>
          <w:color w:val="auto"/>
          <w:highlight w:val="none"/>
          <w:lang w:val="en-US" w:eastAsia="zh-CN"/>
        </w:rPr>
        <w:t>以下简称“江诣矿业”</w:t>
      </w:r>
      <w:r>
        <w:rPr>
          <w:rFonts w:hint="default" w:cs="Times New Roman"/>
          <w:color w:val="auto"/>
          <w:highlight w:val="none"/>
          <w:lang w:eastAsia="zh-CN"/>
        </w:rPr>
        <w:t>）</w:t>
      </w:r>
      <w:r>
        <w:rPr>
          <w:rFonts w:hint="default" w:ascii="Times New Roman" w:hAnsi="Times New Roman" w:eastAsia="宋体" w:cs="Times New Roman"/>
          <w:color w:val="auto"/>
          <w:highlight w:val="none"/>
        </w:rPr>
        <w:t>成立于2014年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企业性质为有限责任公司，公司隶属于山东金海集团，山东金海集团有限公司创建于1992年，核心业务涵盖房地产开发、矿业开采、创业投资、土木工程建筑施工、物业及酒店管理等经营范围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包括矿产品加工、销售，矿业投资。江诣矿业为新疆富蕴县阿克塔斯铜金矿勘探探矿权持有人，于2024年在勘查区范围内进行了详查工作，于2025年5月提交了《新疆富蕴县阿克塔斯矿区金矿详查报告》并取得了矿产资源储量评审备案证明的复函（新自然资储备字〔2025〕32号）和矿产资源储量评审意见书（新矿评储字〔2025〕32号）。</w:t>
      </w:r>
      <w:r>
        <w:rPr>
          <w:rFonts w:hint="default" w:ascii="Times New Roman" w:hAnsi="Times New Roman" w:eastAsia="宋体" w:cs="Times New Roman"/>
          <w:color w:val="auto"/>
          <w:highlight w:val="none"/>
          <w:lang w:val="en-US" w:eastAsia="zh-CN"/>
        </w:rPr>
        <w:t>2025年8月</w:t>
      </w:r>
      <w:r>
        <w:rPr>
          <w:rFonts w:hint="default" w:ascii="Times New Roman" w:hAnsi="Times New Roman" w:eastAsia="宋体" w:cs="Times New Roman"/>
          <w:color w:val="auto"/>
          <w:highlight w:val="none"/>
        </w:rPr>
        <w:t>江诣矿业委托新疆金纬工程咨询有限公司编制</w:t>
      </w:r>
      <w:r>
        <w:rPr>
          <w:rFonts w:hint="default" w:ascii="Times New Roman" w:hAnsi="Times New Roman" w:eastAsia="宋体" w:cs="Times New Roman"/>
          <w:color w:val="auto"/>
          <w:highlight w:val="none"/>
          <w:lang w:val="en-US" w:eastAsia="zh-CN"/>
        </w:rPr>
        <w:t>了</w:t>
      </w:r>
      <w:r>
        <w:rPr>
          <w:rFonts w:hint="default" w:ascii="Times New Roman" w:hAnsi="Times New Roman" w:eastAsia="宋体" w:cs="Times New Roman"/>
          <w:color w:val="auto"/>
          <w:highlight w:val="none"/>
        </w:rPr>
        <w:t>《新疆江诣矿业有限公司新疆富蕴县阿克塔斯矿区金矿矿产资源开发利用与生态保护修复方案》</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并取得了《新疆江诣矿业有限公司新疆富蕴县阿克塔斯矿区金矿矿产资源开发利用与生态保护修复方案评审意见书》</w:t>
      </w:r>
      <w:r>
        <w:rPr>
          <w:rFonts w:hint="default" w:cs="Times New Roman"/>
          <w:color w:val="auto"/>
          <w:highlight w:val="none"/>
          <w:lang w:val="en-US" w:eastAsia="zh-CN"/>
        </w:rPr>
        <w:t>（</w:t>
      </w:r>
      <w:r>
        <w:rPr>
          <w:rFonts w:hint="default" w:ascii="Times New Roman" w:hAnsi="Times New Roman" w:eastAsia="宋体" w:cs="Times New Roman"/>
          <w:color w:val="auto"/>
          <w:highlight w:val="none"/>
        </w:rPr>
        <w:t>新矿</w:t>
      </w:r>
      <w:r>
        <w:rPr>
          <w:rFonts w:hint="default" w:cs="Times New Roman"/>
          <w:color w:val="auto"/>
          <w:highlight w:val="none"/>
          <w:lang w:val="en-US" w:eastAsia="zh-CN"/>
        </w:rPr>
        <w:t>三案评</w:t>
      </w:r>
      <w:r>
        <w:rPr>
          <w:rFonts w:hint="default" w:ascii="Times New Roman" w:hAnsi="Times New Roman" w:eastAsia="宋体" w:cs="Times New Roman"/>
          <w:color w:val="auto"/>
          <w:highlight w:val="none"/>
        </w:rPr>
        <w:t>字〔2025〕</w:t>
      </w:r>
      <w:r>
        <w:rPr>
          <w:rFonts w:hint="default" w:cs="Times New Roman"/>
          <w:color w:val="auto"/>
          <w:highlight w:val="none"/>
          <w:lang w:val="en-US" w:eastAsia="zh-CN"/>
        </w:rPr>
        <w:t>105</w:t>
      </w:r>
      <w:r>
        <w:rPr>
          <w:rFonts w:hint="default" w:ascii="Times New Roman" w:hAnsi="Times New Roman" w:eastAsia="宋体" w:cs="Times New Roman"/>
          <w:color w:val="auto"/>
          <w:highlight w:val="none"/>
        </w:rPr>
        <w:t>号</w:t>
      </w:r>
      <w:r>
        <w:rPr>
          <w:rFonts w:hint="default" w:cs="Times New Roman"/>
          <w:color w:val="auto"/>
          <w:highlight w:val="none"/>
          <w:lang w:val="en-US"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目前该矿山已取得采矿证，</w:t>
      </w:r>
      <w:r>
        <w:rPr>
          <w:rFonts w:hint="default" w:ascii="Times New Roman" w:hAnsi="Times New Roman" w:cs="Times New Roman"/>
          <w:color w:val="auto"/>
          <w:spacing w:val="0"/>
          <w:sz w:val="24"/>
          <w:highlight w:val="none"/>
        </w:rPr>
        <w:t>采矿许可证证号为</w:t>
      </w:r>
      <w:r>
        <w:rPr>
          <w:rFonts w:hint="default" w:cs="Times New Roman"/>
          <w:color w:val="auto"/>
          <w:spacing w:val="0"/>
          <w:sz w:val="24"/>
          <w:highlight w:val="none"/>
          <w:lang w:val="en-US" w:eastAsia="zh-CN"/>
        </w:rPr>
        <w:t>X</w:t>
      </w:r>
      <w:r>
        <w:rPr>
          <w:rFonts w:hint="default" w:ascii="Times New Roman" w:hAnsi="Times New Roman" w:cs="Times New Roman"/>
          <w:color w:val="auto"/>
          <w:spacing w:val="0"/>
          <w:sz w:val="24"/>
          <w:highlight w:val="none"/>
        </w:rPr>
        <w:t>C65000020</w:t>
      </w:r>
      <w:r>
        <w:rPr>
          <w:rFonts w:hint="default" w:cs="Times New Roman"/>
          <w:color w:val="auto"/>
          <w:spacing w:val="0"/>
          <w:sz w:val="24"/>
          <w:highlight w:val="none"/>
          <w:lang w:val="en-US" w:eastAsia="zh-CN"/>
        </w:rPr>
        <w:t>26034100000157</w:t>
      </w:r>
      <w:r>
        <w:rPr>
          <w:rFonts w:hint="default" w:ascii="Times New Roman" w:hAnsi="Times New Roman" w:cs="Times New Roman"/>
          <w:color w:val="auto"/>
          <w:spacing w:val="0"/>
          <w:sz w:val="24"/>
          <w:highlight w:val="none"/>
          <w:lang w:val="en-US" w:eastAsia="zh-CN"/>
        </w:rPr>
        <w:t>；生产规模为</w:t>
      </w:r>
      <w:r>
        <w:rPr>
          <w:rFonts w:hint="default" w:cs="Times New Roman"/>
          <w:color w:val="auto"/>
          <w:spacing w:val="0"/>
          <w:sz w:val="24"/>
          <w:highlight w:val="none"/>
          <w:lang w:val="en-US" w:eastAsia="zh-CN"/>
        </w:rPr>
        <w:t>15</w:t>
      </w:r>
      <w:r>
        <w:rPr>
          <w:rFonts w:hint="default" w:ascii="Times New Roman" w:hAnsi="Times New Roman" w:cs="Times New Roman"/>
          <w:color w:val="auto"/>
          <w:spacing w:val="0"/>
          <w:sz w:val="24"/>
          <w:highlight w:val="none"/>
          <w:lang w:val="en-US" w:eastAsia="zh-CN"/>
        </w:rPr>
        <w:t>万t/a；开采方式为地下开采；</w:t>
      </w:r>
      <w:r>
        <w:rPr>
          <w:rFonts w:hint="default" w:ascii="Times New Roman" w:hAnsi="Times New Roman" w:cs="Times New Roman"/>
          <w:color w:val="auto"/>
          <w:sz w:val="24"/>
          <w:highlight w:val="none"/>
        </w:rPr>
        <w:t>矿区面积1.7</w:t>
      </w:r>
      <w:r>
        <w:rPr>
          <w:rFonts w:hint="default" w:cs="Times New Roman"/>
          <w:color w:val="auto"/>
          <w:sz w:val="24"/>
          <w:highlight w:val="none"/>
          <w:lang w:val="en-US" w:eastAsia="zh-CN"/>
        </w:rPr>
        <w:t>717</w:t>
      </w:r>
      <w:r>
        <w:rPr>
          <w:rFonts w:hint="default" w:ascii="Times New Roman" w:hAnsi="Times New Roman" w:cs="Times New Roman"/>
          <w:color w:val="auto"/>
          <w:sz w:val="24"/>
          <w:highlight w:val="none"/>
        </w:rPr>
        <w:t>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pacing w:val="0"/>
          <w:sz w:val="24"/>
          <w:highlight w:val="none"/>
          <w:lang w:val="en-US" w:eastAsia="zh-CN"/>
        </w:rPr>
        <w:t>，</w:t>
      </w:r>
      <w:r>
        <w:rPr>
          <w:rFonts w:hint="default" w:cs="Times New Roman"/>
          <w:color w:val="auto"/>
          <w:spacing w:val="0"/>
          <w:sz w:val="24"/>
          <w:highlight w:val="none"/>
          <w:lang w:val="en-US" w:eastAsia="zh-CN"/>
        </w:rPr>
        <w:t>开采标高为1090~765米，</w:t>
      </w:r>
      <w:r>
        <w:rPr>
          <w:rFonts w:hint="default" w:ascii="Times New Roman" w:hAnsi="Times New Roman" w:cs="Times New Roman"/>
          <w:color w:val="auto"/>
          <w:spacing w:val="0"/>
          <w:sz w:val="24"/>
          <w:highlight w:val="none"/>
        </w:rPr>
        <w:t>有效期：自20</w:t>
      </w:r>
      <w:r>
        <w:rPr>
          <w:rFonts w:hint="default" w:ascii="Times New Roman" w:hAnsi="Times New Roman" w:cs="Times New Roman"/>
          <w:color w:val="auto"/>
          <w:spacing w:val="0"/>
          <w:sz w:val="24"/>
          <w:highlight w:val="none"/>
          <w:lang w:val="en-US" w:eastAsia="zh-CN"/>
        </w:rPr>
        <w:t>26</w:t>
      </w:r>
      <w:r>
        <w:rPr>
          <w:rFonts w:hint="default" w:ascii="Times New Roman" w:hAnsi="Times New Roman" w:cs="Times New Roman"/>
          <w:color w:val="auto"/>
          <w:spacing w:val="0"/>
          <w:sz w:val="24"/>
          <w:highlight w:val="none"/>
        </w:rPr>
        <w:t>年</w:t>
      </w:r>
      <w:r>
        <w:rPr>
          <w:rFonts w:hint="default" w:cs="Times New Roman"/>
          <w:color w:val="auto"/>
          <w:spacing w:val="0"/>
          <w:sz w:val="24"/>
          <w:highlight w:val="none"/>
          <w:lang w:val="en-US" w:eastAsia="zh-CN"/>
        </w:rPr>
        <w:t>03</w:t>
      </w:r>
      <w:r>
        <w:rPr>
          <w:rFonts w:hint="default" w:ascii="Times New Roman" w:hAnsi="Times New Roman" w:cs="Times New Roman"/>
          <w:color w:val="auto"/>
          <w:spacing w:val="0"/>
          <w:sz w:val="24"/>
          <w:highlight w:val="none"/>
        </w:rPr>
        <w:t>月</w:t>
      </w:r>
      <w:r>
        <w:rPr>
          <w:rFonts w:hint="default" w:cs="Times New Roman"/>
          <w:color w:val="auto"/>
          <w:spacing w:val="0"/>
          <w:sz w:val="24"/>
          <w:highlight w:val="none"/>
          <w:lang w:val="en-US" w:eastAsia="zh-CN"/>
        </w:rPr>
        <w:t>13</w:t>
      </w:r>
      <w:r>
        <w:rPr>
          <w:rFonts w:hint="default" w:ascii="Times New Roman" w:hAnsi="Times New Roman" w:cs="Times New Roman"/>
          <w:color w:val="auto"/>
          <w:spacing w:val="0"/>
          <w:sz w:val="24"/>
          <w:highlight w:val="none"/>
        </w:rPr>
        <w:t>日至20</w:t>
      </w:r>
      <w:r>
        <w:rPr>
          <w:rFonts w:hint="default" w:cs="Times New Roman"/>
          <w:color w:val="auto"/>
          <w:spacing w:val="0"/>
          <w:sz w:val="24"/>
          <w:highlight w:val="none"/>
          <w:lang w:val="en-US" w:eastAsia="zh-CN"/>
        </w:rPr>
        <w:t>40</w:t>
      </w:r>
      <w:r>
        <w:rPr>
          <w:rFonts w:hint="default" w:ascii="Times New Roman" w:hAnsi="Times New Roman" w:cs="Times New Roman"/>
          <w:color w:val="auto"/>
          <w:spacing w:val="0"/>
          <w:sz w:val="24"/>
          <w:highlight w:val="none"/>
        </w:rPr>
        <w:t>年</w:t>
      </w:r>
      <w:r>
        <w:rPr>
          <w:rFonts w:hint="default" w:cs="Times New Roman"/>
          <w:color w:val="auto"/>
          <w:spacing w:val="0"/>
          <w:sz w:val="24"/>
          <w:highlight w:val="none"/>
          <w:lang w:val="en-US" w:eastAsia="zh-CN"/>
        </w:rPr>
        <w:t>08</w:t>
      </w:r>
      <w:r>
        <w:rPr>
          <w:rFonts w:hint="default" w:ascii="Times New Roman" w:hAnsi="Times New Roman" w:cs="Times New Roman"/>
          <w:color w:val="auto"/>
          <w:spacing w:val="0"/>
          <w:sz w:val="24"/>
          <w:highlight w:val="none"/>
        </w:rPr>
        <w:t>月</w:t>
      </w:r>
      <w:r>
        <w:rPr>
          <w:rFonts w:hint="default" w:cs="Times New Roman"/>
          <w:color w:val="auto"/>
          <w:spacing w:val="0"/>
          <w:sz w:val="24"/>
          <w:highlight w:val="none"/>
          <w:lang w:val="en-US" w:eastAsia="zh-CN"/>
        </w:rPr>
        <w:t>13</w:t>
      </w:r>
      <w:r>
        <w:rPr>
          <w:rFonts w:hint="default" w:ascii="Times New Roman" w:hAnsi="Times New Roman" w:cs="Times New Roman"/>
          <w:color w:val="auto"/>
          <w:spacing w:val="0"/>
          <w:sz w:val="24"/>
          <w:highlight w:val="none"/>
        </w:rPr>
        <w:t>日</w:t>
      </w:r>
      <w:r>
        <w:rPr>
          <w:rFonts w:hint="default" w:ascii="Times New Roman" w:hAnsi="Times New Roman" w:cs="Times New Roman"/>
          <w:color w:val="auto"/>
          <w:spacing w:val="0"/>
          <w:sz w:val="24"/>
          <w:highlight w:val="none"/>
          <w:lang w:eastAsia="zh-CN"/>
        </w:rPr>
        <w:t>。</w:t>
      </w:r>
    </w:p>
    <w:p w14:paraId="315789B4">
      <w:pPr>
        <w:adjustRightInd w:val="0"/>
        <w:snapToGrid w:val="0"/>
        <w:ind w:firstLine="48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2025年11月，江诣矿业委托山东德和工程设计有限公司编制了《新疆富蕴县阿克塔斯金矿采选建设项目可行性研究报告》，建设内容包括采矿工程（矿山生产规模为15万t/a，矿区面积1.77km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，开采标高1090～7</w:t>
      </w:r>
      <w:r>
        <w:rPr>
          <w:rFonts w:hint="default" w:cs="Times New Roman"/>
          <w:color w:val="auto"/>
          <w:highlight w:val="none"/>
          <w:lang w:val="en-US" w:eastAsia="zh-CN"/>
        </w:rPr>
        <w:t>6</w:t>
      </w:r>
      <w:r>
        <w:rPr>
          <w:rFonts w:hint="default" w:ascii="Times New Roman" w:hAnsi="Times New Roman" w:cs="Times New Roman"/>
          <w:color w:val="auto"/>
          <w:highlight w:val="none"/>
          <w:lang w:val="en-US" w:eastAsia="zh-CN"/>
        </w:rPr>
        <w:t>5m）、选矿工程、尾矿库工程及配套的附属工程。</w:t>
      </w:r>
      <w:r>
        <w:rPr>
          <w:rFonts w:hint="default" w:ascii="Times New Roman" w:hAnsi="Times New Roman" w:cs="Times New Roman"/>
          <w:b/>
          <w:bCs/>
          <w:color w:val="auto"/>
          <w:highlight w:val="none"/>
          <w:lang w:val="en-US" w:eastAsia="zh-CN"/>
        </w:rPr>
        <w:t>目前该项目金矿采矿工程环境影响报告书</w:t>
      </w:r>
      <w:r>
        <w:rPr>
          <w:rFonts w:hint="eastAsia" w:cs="Times New Roman"/>
          <w:b/>
          <w:bCs/>
          <w:color w:val="auto"/>
          <w:highlight w:val="none"/>
          <w:lang w:val="en-US" w:eastAsia="zh-CN"/>
        </w:rPr>
        <w:t>已上报至阿勒泰地区生态环境局等待审批</w:t>
      </w:r>
      <w:r>
        <w:rPr>
          <w:rFonts w:hint="default" w:ascii="Times New Roman" w:hAnsi="Times New Roman" w:cs="Times New Roman"/>
          <w:b/>
          <w:bCs/>
          <w:color w:val="auto"/>
          <w:highlight w:val="none"/>
          <w:lang w:val="en-US" w:eastAsia="zh-CN"/>
        </w:rPr>
        <w:t>，不在本次评价范围内。</w:t>
      </w:r>
    </w:p>
    <w:p w14:paraId="5E0DBFF4">
      <w:pPr>
        <w:keepNext w:val="0"/>
        <w:keepLines w:val="0"/>
        <w:widowControl/>
        <w:suppressLineNumbers w:val="0"/>
        <w:jc w:val="both"/>
        <w:rPr>
          <w:rFonts w:hint="default" w:ascii="Times New Roman" w:hAnsi="Times New Roman" w:eastAsia="宋体" w:cs="Times New Roman"/>
          <w:color w:val="auto"/>
          <w:spacing w:val="0"/>
          <w:sz w:val="24"/>
          <w:highlight w:val="none"/>
        </w:rPr>
      </w:pPr>
      <w:r>
        <w:rPr>
          <w:rFonts w:hint="default" w:ascii="Times New Roman" w:hAnsi="Times New Roman" w:cs="Times New Roman"/>
          <w:color w:val="auto"/>
          <w:highlight w:val="none"/>
          <w:lang w:val="en-US" w:eastAsia="zh-CN"/>
        </w:rPr>
        <w:t>本项目为新疆富蕴县阿克塔斯矿区金矿配套的选矿厂和尾矿库建设项目，项目</w:t>
      </w:r>
      <w:r>
        <w:rPr>
          <w:rFonts w:hint="default" w:ascii="Times New Roman" w:hAnsi="Times New Roman" w:cs="Times New Roman"/>
          <w:color w:val="auto"/>
          <w:highlight w:val="none"/>
        </w:rPr>
        <w:t>位于</w:t>
      </w:r>
      <w:r>
        <w:rPr>
          <w:rFonts w:hint="default" w:ascii="Times New Roman" w:hAnsi="Times New Roman" w:cs="Times New Roman"/>
          <w:color w:val="auto"/>
          <w:highlight w:val="none"/>
          <w:lang w:val="en-US" w:eastAsia="zh-CN"/>
        </w:rPr>
        <w:t>富蕴</w:t>
      </w:r>
      <w:r>
        <w:rPr>
          <w:rFonts w:hint="default" w:ascii="Times New Roman" w:hAnsi="Times New Roman" w:cs="Times New Roman"/>
          <w:color w:val="auto"/>
          <w:highlight w:val="none"/>
        </w:rPr>
        <w:t>县城东南144°方位</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40km处，行政区划属于富蕴县喀拉通克镇管辖</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0"/>
          <w:sz w:val="24"/>
          <w:highlight w:val="none"/>
        </w:rPr>
        <w:t>规模为年加工金矿原矿</w:t>
      </w:r>
      <w:r>
        <w:rPr>
          <w:rFonts w:hint="default" w:ascii="Times New Roman" w:hAnsi="Times New Roman" w:cs="Times New Roman"/>
          <w:color w:val="auto"/>
          <w:spacing w:val="0"/>
          <w:sz w:val="24"/>
          <w:highlight w:val="none"/>
          <w:lang w:val="en-US" w:eastAsia="zh-CN"/>
        </w:rPr>
        <w:t>15万t/a</w:t>
      </w:r>
      <w:r>
        <w:rPr>
          <w:rFonts w:hint="default" w:ascii="Times New Roman" w:hAnsi="Times New Roman" w:cs="Times New Roman"/>
          <w:color w:val="auto"/>
          <w:sz w:val="24"/>
          <w:szCs w:val="24"/>
          <w:highlight w:val="none"/>
          <w:lang w:val="en-US" w:eastAsia="zh-CN" w:bidi="ar"/>
        </w:rPr>
        <w:t>。</w:t>
      </w:r>
      <w:r>
        <w:rPr>
          <w:rFonts w:hint="default" w:ascii="Times New Roman" w:hAnsi="Times New Roman" w:cs="Times New Roman"/>
          <w:color w:val="auto"/>
          <w:spacing w:val="0"/>
          <w:sz w:val="24"/>
          <w:highlight w:val="none"/>
        </w:rPr>
        <w:t>选矿厂占地面积</w:t>
      </w:r>
      <w:r>
        <w:rPr>
          <w:rFonts w:hint="default" w:ascii="Times New Roman" w:hAnsi="Times New Roman" w:cs="Times New Roman"/>
          <w:color w:val="auto"/>
          <w:spacing w:val="0"/>
          <w:sz w:val="24"/>
          <w:highlight w:val="none"/>
          <w:lang w:val="en-US" w:eastAsia="zh-CN"/>
        </w:rPr>
        <w:t>约5.</w:t>
      </w:r>
      <w:r>
        <w:rPr>
          <w:rFonts w:hint="eastAsia" w:cs="Times New Roman"/>
          <w:color w:val="auto"/>
          <w:spacing w:val="0"/>
          <w:sz w:val="24"/>
          <w:highlight w:val="none"/>
          <w:lang w:val="en-US" w:eastAsia="zh-CN"/>
        </w:rPr>
        <w:t>5</w:t>
      </w:r>
      <w:r>
        <w:rPr>
          <w:rFonts w:hint="default" w:ascii="Times New Roman" w:hAnsi="Times New Roman" w:cs="Times New Roman"/>
          <w:color w:val="auto"/>
          <w:spacing w:val="0"/>
          <w:sz w:val="24"/>
          <w:highlight w:val="none"/>
          <w:lang w:val="en-US" w:eastAsia="zh-CN"/>
        </w:rPr>
        <w:t>7万m</w:t>
      </w:r>
      <w:r>
        <w:rPr>
          <w:rFonts w:hint="default" w:ascii="Times New Roman" w:hAnsi="Times New Roman" w:cs="Times New Roman"/>
          <w:color w:val="auto"/>
          <w:spacing w:val="0"/>
          <w:sz w:val="24"/>
          <w:highlight w:val="none"/>
          <w:vertAlign w:val="superscript"/>
          <w:lang w:val="en-US" w:eastAsia="zh-CN"/>
        </w:rPr>
        <w:t>2</w:t>
      </w:r>
      <w:r>
        <w:rPr>
          <w:rFonts w:hint="default" w:ascii="Times New Roman" w:hAnsi="Times New Roman" w:cs="Times New Roman"/>
          <w:color w:val="auto"/>
          <w:spacing w:val="0"/>
          <w:sz w:val="24"/>
          <w:highlight w:val="none"/>
          <w:lang w:eastAsia="zh-CN"/>
        </w:rPr>
        <w:t>，主要</w:t>
      </w:r>
      <w:r>
        <w:rPr>
          <w:rFonts w:hint="default" w:ascii="Times New Roman" w:hAnsi="Times New Roman" w:cs="Times New Roman"/>
          <w:color w:val="auto"/>
          <w:spacing w:val="0"/>
          <w:sz w:val="24"/>
          <w:highlight w:val="none"/>
          <w:lang w:val="en-US" w:eastAsia="zh-CN"/>
        </w:rPr>
        <w:t>建设</w:t>
      </w:r>
      <w:r>
        <w:rPr>
          <w:rFonts w:hint="default" w:ascii="Times New Roman" w:hAnsi="Times New Roman" w:cs="Times New Roman"/>
          <w:color w:val="auto"/>
          <w:spacing w:val="0"/>
          <w:sz w:val="24"/>
          <w:highlight w:val="none"/>
          <w:lang w:eastAsia="zh-CN"/>
        </w:rPr>
        <w:t>包括：选矿工业场地（粗碎厂房</w:t>
      </w:r>
      <w:r>
        <w:rPr>
          <w:rFonts w:hint="default" w:ascii="Times New Roman" w:hAnsi="Times New Roman" w:cs="Times New Roman"/>
          <w:color w:val="auto"/>
          <w:spacing w:val="0"/>
          <w:sz w:val="24"/>
          <w:highlight w:val="none"/>
        </w:rPr>
        <w:t>、</w:t>
      </w:r>
      <w:r>
        <w:rPr>
          <w:rFonts w:hint="default" w:ascii="Times New Roman" w:hAnsi="Times New Roman" w:cs="Times New Roman"/>
          <w:color w:val="auto"/>
          <w:spacing w:val="0"/>
          <w:sz w:val="24"/>
          <w:highlight w:val="none"/>
          <w:lang w:val="en-US" w:eastAsia="zh-CN"/>
        </w:rPr>
        <w:t>中细碎厂房</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lang w:val="en-US" w:eastAsia="zh-CN"/>
        </w:rPr>
        <w:t>筛分</w:t>
      </w:r>
      <w:r>
        <w:rPr>
          <w:rFonts w:hint="default" w:ascii="Times New Roman" w:hAnsi="Times New Roman" w:cs="Times New Roman"/>
          <w:color w:val="auto"/>
          <w:spacing w:val="0"/>
          <w:sz w:val="24"/>
          <w:highlight w:val="none"/>
          <w:lang w:eastAsia="zh-CN"/>
        </w:rPr>
        <w:t>厂房、</w:t>
      </w:r>
      <w:r>
        <w:rPr>
          <w:rFonts w:hint="default" w:ascii="Times New Roman" w:hAnsi="Times New Roman" w:cs="Times New Roman"/>
          <w:color w:val="auto"/>
          <w:spacing w:val="0"/>
          <w:sz w:val="24"/>
          <w:highlight w:val="none"/>
          <w:lang w:val="en-US" w:eastAsia="zh-CN"/>
        </w:rPr>
        <w:t>浮选厂房</w:t>
      </w:r>
      <w:r>
        <w:rPr>
          <w:rFonts w:hint="default" w:ascii="Times New Roman" w:hAnsi="Times New Roman" w:cs="Times New Roman"/>
          <w:color w:val="auto"/>
          <w:spacing w:val="0"/>
          <w:sz w:val="24"/>
          <w:highlight w:val="none"/>
        </w:rPr>
        <w:t>等主体工程</w:t>
      </w:r>
      <w:r>
        <w:rPr>
          <w:rFonts w:hint="default" w:ascii="Times New Roman" w:hAnsi="Times New Roman" w:cs="Times New Roman"/>
          <w:color w:val="auto"/>
          <w:spacing w:val="0"/>
          <w:sz w:val="24"/>
          <w:highlight w:val="none"/>
          <w:lang w:eastAsia="zh-CN"/>
        </w:rPr>
        <w:t>；原矿仓、</w:t>
      </w:r>
      <w:r>
        <w:rPr>
          <w:rFonts w:hint="default" w:ascii="Times New Roman" w:hAnsi="Times New Roman" w:cs="Times New Roman"/>
          <w:color w:val="auto"/>
          <w:spacing w:val="0"/>
          <w:sz w:val="24"/>
          <w:highlight w:val="none"/>
          <w:lang w:val="en-US" w:eastAsia="zh-CN"/>
        </w:rPr>
        <w:t>粉矿仓</w:t>
      </w:r>
      <w:r>
        <w:rPr>
          <w:rFonts w:hint="default" w:ascii="Times New Roman" w:hAnsi="Times New Roman" w:cs="Times New Roman"/>
          <w:color w:val="auto"/>
          <w:spacing w:val="0"/>
          <w:sz w:val="24"/>
          <w:highlight w:val="none"/>
        </w:rPr>
        <w:t>、</w:t>
      </w:r>
      <w:r>
        <w:rPr>
          <w:rFonts w:hint="default" w:ascii="Times New Roman" w:hAnsi="Times New Roman" w:cs="Times New Roman"/>
          <w:color w:val="auto"/>
          <w:spacing w:val="0"/>
          <w:sz w:val="24"/>
          <w:highlight w:val="none"/>
          <w:lang w:val="en-US" w:eastAsia="zh-CN"/>
        </w:rPr>
        <w:t>精矿库</w:t>
      </w:r>
      <w:r>
        <w:rPr>
          <w:rFonts w:hint="default" w:ascii="Times New Roman" w:hAnsi="Times New Roman" w:cs="Times New Roman"/>
          <w:color w:val="auto"/>
          <w:spacing w:val="0"/>
          <w:sz w:val="24"/>
          <w:highlight w:val="none"/>
        </w:rPr>
        <w:t>等储运工程</w:t>
      </w:r>
      <w:r>
        <w:rPr>
          <w:rFonts w:hint="default" w:ascii="Times New Roman" w:hAnsi="Times New Roman" w:cs="Times New Roman"/>
          <w:color w:val="auto"/>
          <w:spacing w:val="0"/>
          <w:sz w:val="24"/>
          <w:highlight w:val="none"/>
          <w:lang w:eastAsia="zh-CN"/>
        </w:rPr>
        <w:t>）、尾矿库、办公生活区</w:t>
      </w:r>
      <w:r>
        <w:rPr>
          <w:rFonts w:hint="default" w:ascii="Times New Roman" w:hAnsi="Times New Roman" w:cs="Times New Roman"/>
          <w:color w:val="auto"/>
          <w:spacing w:val="0"/>
          <w:sz w:val="24"/>
          <w:highlight w:val="none"/>
        </w:rPr>
        <w:t>及</w:t>
      </w:r>
      <w:r>
        <w:rPr>
          <w:rFonts w:hint="default" w:ascii="Times New Roman" w:hAnsi="Times New Roman" w:cs="Times New Roman"/>
          <w:color w:val="auto"/>
          <w:spacing w:val="0"/>
          <w:sz w:val="24"/>
          <w:highlight w:val="none"/>
          <w:lang w:eastAsia="zh-CN"/>
        </w:rPr>
        <w:t>其他辅助设施等。</w:t>
      </w:r>
      <w:r>
        <w:rPr>
          <w:rFonts w:hint="default" w:ascii="Times New Roman" w:hAnsi="Times New Roman" w:cs="Times New Roman"/>
          <w:color w:val="auto"/>
          <w:spacing w:val="0"/>
          <w:sz w:val="24"/>
          <w:highlight w:val="none"/>
          <w:lang w:val="en-US" w:eastAsia="zh-CN"/>
        </w:rPr>
        <w:t>选矿</w:t>
      </w:r>
      <w:r>
        <w:rPr>
          <w:rFonts w:hint="default" w:ascii="Times New Roman" w:hAnsi="Times New Roman" w:cs="Times New Roman"/>
          <w:color w:val="auto"/>
          <w:spacing w:val="0"/>
          <w:sz w:val="24"/>
          <w:highlight w:val="none"/>
        </w:rPr>
        <w:t>工艺</w:t>
      </w:r>
      <w:r>
        <w:rPr>
          <w:rFonts w:hint="default" w:ascii="Times New Roman" w:hAnsi="Times New Roman" w:cs="Times New Roman"/>
          <w:color w:val="auto"/>
          <w:spacing w:val="0"/>
          <w:sz w:val="24"/>
          <w:highlight w:val="none"/>
          <w:lang w:val="en-US" w:eastAsia="zh-CN"/>
        </w:rPr>
        <w:t>整体</w:t>
      </w:r>
      <w:r>
        <w:rPr>
          <w:rFonts w:hint="default" w:ascii="Times New Roman" w:hAnsi="Times New Roman" w:cs="Times New Roman"/>
          <w:color w:val="auto"/>
          <w:spacing w:val="0"/>
          <w:sz w:val="24"/>
          <w:highlight w:val="none"/>
        </w:rPr>
        <w:t>采用三段一闭路破碎筛分+两段闭路磨矿+一粗二扫三精浮选+浮选精矿浓缩、压滤脱水，浮选尾矿湿排至</w:t>
      </w:r>
      <w:r>
        <w:rPr>
          <w:rFonts w:hint="default" w:ascii="Times New Roman" w:hAnsi="Times New Roman" w:eastAsia="宋体" w:cs="Times New Roman"/>
          <w:color w:val="auto"/>
          <w:spacing w:val="0"/>
          <w:sz w:val="24"/>
          <w:highlight w:val="none"/>
        </w:rPr>
        <w:t>尾矿库的工艺流程。</w:t>
      </w:r>
      <w:r>
        <w:rPr>
          <w:rFonts w:hint="default" w:ascii="Times New Roman" w:hAnsi="Times New Roman" w:eastAsia="宋体" w:cs="Times New Roman"/>
          <w:color w:val="auto"/>
          <w:spacing w:val="0"/>
          <w:sz w:val="24"/>
          <w:highlight w:val="none"/>
          <w:lang w:val="en-US" w:eastAsia="zh-CN"/>
        </w:rPr>
        <w:t>本项目不涉及黄金冶炼工段，</w:t>
      </w:r>
      <w:r>
        <w:rPr>
          <w:rFonts w:hint="default" w:ascii="Times New Roman" w:hAnsi="Times New Roman" w:eastAsia="宋体" w:cs="Times New Roman"/>
          <w:color w:val="auto"/>
          <w:spacing w:val="0"/>
          <w:sz w:val="24"/>
          <w:highlight w:val="none"/>
          <w:lang w:eastAsia="zh-CN"/>
        </w:rPr>
        <w:t>最终</w:t>
      </w:r>
      <w:r>
        <w:rPr>
          <w:rFonts w:hint="default" w:ascii="Times New Roman" w:hAnsi="Times New Roman" w:cs="Times New Roman"/>
          <w:color w:val="auto"/>
          <w:spacing w:val="0"/>
          <w:sz w:val="24"/>
          <w:highlight w:val="none"/>
          <w:lang w:eastAsia="zh-CN"/>
        </w:rPr>
        <w:t>产</w:t>
      </w:r>
      <w:r>
        <w:rPr>
          <w:rFonts w:hint="default" w:ascii="Times New Roman" w:hAnsi="Times New Roman" w:eastAsia="宋体" w:cs="Times New Roman"/>
          <w:color w:val="auto"/>
          <w:spacing w:val="0"/>
          <w:sz w:val="24"/>
          <w:highlight w:val="none"/>
          <w:lang w:eastAsia="zh-CN"/>
        </w:rPr>
        <w:t>品为</w:t>
      </w:r>
      <w:r>
        <w:rPr>
          <w:rFonts w:hint="default" w:ascii="Times New Roman" w:hAnsi="Times New Roman" w:eastAsia="宋体" w:cs="Times New Roman"/>
          <w:color w:val="auto"/>
          <w:spacing w:val="0"/>
          <w:sz w:val="24"/>
          <w:highlight w:val="none"/>
          <w:lang w:val="en-US" w:eastAsia="zh-CN"/>
        </w:rPr>
        <w:t>金精矿。</w:t>
      </w:r>
    </w:p>
    <w:p w14:paraId="54756BC9">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spacing w:val="0"/>
          <w:sz w:val="24"/>
          <w:highlight w:val="none"/>
        </w:rPr>
        <w:t>尾矿采用湿</w:t>
      </w:r>
      <w:r>
        <w:rPr>
          <w:rFonts w:hint="default" w:ascii="Times New Roman" w:hAnsi="Times New Roman" w:cs="Times New Roman"/>
          <w:color w:val="auto"/>
          <w:spacing w:val="0"/>
          <w:sz w:val="24"/>
          <w:highlight w:val="none"/>
        </w:rPr>
        <w:t>式排放方式，经管道输送至尾矿库</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本项目</w:t>
      </w:r>
      <w:r>
        <w:rPr>
          <w:rFonts w:hint="default" w:ascii="Times New Roman" w:hAnsi="Times New Roman" w:cs="Times New Roman"/>
          <w:color w:val="auto"/>
          <w:spacing w:val="0"/>
          <w:sz w:val="24"/>
          <w:highlight w:val="none"/>
          <w:lang w:eastAsia="zh-CN"/>
        </w:rPr>
        <w:t>尾矿库为</w:t>
      </w:r>
      <w:r>
        <w:rPr>
          <w:rFonts w:hint="default" w:ascii="Times New Roman" w:hAnsi="Times New Roman" w:cs="Times New Roman"/>
          <w:color w:val="auto"/>
          <w:spacing w:val="0"/>
          <w:sz w:val="24"/>
          <w:highlight w:val="none"/>
          <w:lang w:val="en-US" w:eastAsia="zh-CN"/>
        </w:rPr>
        <w:t>四等别平地型尾矿库</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占地面积</w:t>
      </w:r>
      <w:r>
        <w:rPr>
          <w:rFonts w:hint="default" w:ascii="Times New Roman" w:hAnsi="Times New Roman" w:cs="Times New Roman"/>
          <w:color w:val="auto"/>
          <w:spacing w:val="0"/>
          <w:sz w:val="24"/>
          <w:highlight w:val="none"/>
          <w:lang w:val="en-US" w:eastAsia="zh-CN"/>
        </w:rPr>
        <w:t>约26万m</w:t>
      </w:r>
      <w:r>
        <w:rPr>
          <w:rFonts w:hint="default" w:ascii="Times New Roman" w:hAnsi="Times New Roman" w:cs="Times New Roman"/>
          <w:color w:val="auto"/>
          <w:spacing w:val="0"/>
          <w:sz w:val="24"/>
          <w:highlight w:val="none"/>
          <w:vertAlign w:val="superscript"/>
          <w:lang w:val="en-US" w:eastAsia="zh-CN"/>
        </w:rPr>
        <w:t>2</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库坝体为一次性筑坝，四面筑坝</w:t>
      </w:r>
      <w:r>
        <w:rPr>
          <w:rFonts w:hint="default" w:ascii="Times New Roman" w:hAnsi="Times New Roman" w:cs="Times New Roman"/>
          <w:color w:val="auto"/>
          <w:spacing w:val="0"/>
          <w:sz w:val="24"/>
          <w:highlight w:val="none"/>
          <w:lang w:eastAsia="zh-CN"/>
        </w:rPr>
        <w:t>，</w:t>
      </w:r>
      <w:r>
        <w:rPr>
          <w:rFonts w:hint="default" w:cs="Times New Roman"/>
          <w:color w:val="auto"/>
          <w:spacing w:val="0"/>
          <w:sz w:val="24"/>
          <w:highlight w:val="none"/>
          <w:lang w:eastAsia="zh-CN"/>
        </w:rPr>
        <w:t>总库容为130.5万m</w:t>
      </w:r>
      <w:r>
        <w:rPr>
          <w:rFonts w:hint="default" w:cs="Times New Roman"/>
          <w:color w:val="auto"/>
          <w:spacing w:val="0"/>
          <w:sz w:val="24"/>
          <w:highlight w:val="none"/>
          <w:vertAlign w:val="superscript"/>
          <w:lang w:eastAsia="zh-CN"/>
        </w:rPr>
        <w:t>3</w:t>
      </w:r>
      <w:r>
        <w:rPr>
          <w:rFonts w:hint="default" w:cs="Times New Roman"/>
          <w:color w:val="auto"/>
          <w:spacing w:val="0"/>
          <w:sz w:val="24"/>
          <w:highlight w:val="none"/>
          <w:lang w:eastAsia="zh-CN"/>
        </w:rPr>
        <w:t>，有效库容为104.4万m</w:t>
      </w:r>
      <w:r>
        <w:rPr>
          <w:rFonts w:hint="default" w:cs="Times New Roman"/>
          <w:color w:val="auto"/>
          <w:spacing w:val="0"/>
          <w:sz w:val="24"/>
          <w:highlight w:val="none"/>
          <w:vertAlign w:val="superscript"/>
          <w:lang w:eastAsia="zh-CN"/>
        </w:rPr>
        <w:t>3</w:t>
      </w:r>
      <w:r>
        <w:rPr>
          <w:rFonts w:hint="default" w:ascii="Times New Roman" w:hAnsi="Times New Roman" w:cs="Times New Roman"/>
          <w:color w:val="auto"/>
          <w:spacing w:val="0"/>
          <w:sz w:val="24"/>
          <w:highlight w:val="none"/>
          <w:vertAlign w:val="baseline"/>
          <w:lang w:eastAsia="zh-CN"/>
        </w:rPr>
        <w:t>，</w:t>
      </w:r>
      <w:r>
        <w:rPr>
          <w:rFonts w:hint="default" w:ascii="Times New Roman" w:hAnsi="Times New Roman" w:cs="Times New Roman"/>
          <w:color w:val="auto"/>
          <w:spacing w:val="0"/>
          <w:sz w:val="24"/>
          <w:highlight w:val="none"/>
          <w:lang w:val="en-US" w:eastAsia="zh-CN"/>
        </w:rPr>
        <w:t>坝高15m，</w:t>
      </w:r>
      <w:r>
        <w:rPr>
          <w:rFonts w:hint="default" w:cs="Times New Roman"/>
          <w:color w:val="auto"/>
          <w:spacing w:val="0"/>
          <w:sz w:val="24"/>
          <w:highlight w:val="none"/>
          <w:lang w:val="en-US" w:eastAsia="zh-CN"/>
        </w:rPr>
        <w:t>全库采用400g/m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土工布+1.5mmHDPE土工膜+400g/m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土工布的防渗方法</w:t>
      </w:r>
      <w:r>
        <w:rPr>
          <w:rFonts w:hint="default"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rPr>
        <w:t>服务年限为</w:t>
      </w:r>
      <w:r>
        <w:rPr>
          <w:rFonts w:hint="eastAsia" w:cs="Times New Roman"/>
          <w:color w:val="auto"/>
          <w:spacing w:val="0"/>
          <w:sz w:val="24"/>
          <w:highlight w:val="none"/>
          <w:lang w:val="en-US" w:eastAsia="zh-CN"/>
        </w:rPr>
        <w:t>25</w:t>
      </w:r>
      <w:r>
        <w:rPr>
          <w:rFonts w:hint="default" w:ascii="Times New Roman" w:hAnsi="Times New Roman" w:cs="Times New Roman"/>
          <w:color w:val="auto"/>
          <w:spacing w:val="0"/>
          <w:sz w:val="24"/>
          <w:highlight w:val="none"/>
          <w:lang w:val="en-US" w:eastAsia="zh-CN"/>
        </w:rPr>
        <w:t>年</w:t>
      </w:r>
      <w:r>
        <w:rPr>
          <w:rFonts w:hint="default" w:ascii="Times New Roman" w:hAnsi="Times New Roman" w:cs="Times New Roman"/>
          <w:color w:val="auto"/>
          <w:spacing w:val="0"/>
          <w:sz w:val="24"/>
          <w:highlight w:val="none"/>
          <w:lang w:eastAsia="zh-CN"/>
        </w:rPr>
        <w:t>，能够满足</w:t>
      </w:r>
      <w:r>
        <w:rPr>
          <w:rFonts w:hint="default" w:ascii="Times New Roman" w:hAnsi="Times New Roman" w:cs="Times New Roman"/>
          <w:color w:val="auto"/>
          <w:spacing w:val="0"/>
          <w:sz w:val="24"/>
          <w:highlight w:val="none"/>
          <w:lang w:val="en-US" w:eastAsia="zh-CN"/>
        </w:rPr>
        <w:t>选矿工业场地产生的尾矿</w:t>
      </w:r>
      <w:r>
        <w:rPr>
          <w:rFonts w:hint="default" w:ascii="Times New Roman" w:hAnsi="Times New Roman" w:cs="Times New Roman"/>
          <w:color w:val="auto"/>
          <w:spacing w:val="0"/>
          <w:sz w:val="24"/>
          <w:highlight w:val="none"/>
        </w:rPr>
        <w:t>。</w:t>
      </w:r>
    </w:p>
    <w:p w14:paraId="0C0ECACC">
      <w:pPr>
        <w:pStyle w:val="4"/>
        <w:rPr>
          <w:rFonts w:hint="default" w:ascii="Times New Roman" w:hAnsi="Times New Roman" w:cs="Times New Roman"/>
          <w:color w:val="auto"/>
          <w:highlight w:val="none"/>
        </w:rPr>
      </w:pPr>
      <w:bookmarkStart w:id="24" w:name="_Toc28947"/>
      <w:bookmarkStart w:id="25" w:name="_Toc1695"/>
      <w:bookmarkStart w:id="26" w:name="_Toc13806"/>
      <w:r>
        <w:rPr>
          <w:rFonts w:hint="default" w:ascii="Times New Roman" w:hAnsi="Times New Roman" w:cs="Times New Roman"/>
          <w:color w:val="auto"/>
          <w:highlight w:val="none"/>
        </w:rPr>
        <w:t>1.1.2建设项目特点</w:t>
      </w:r>
      <w:bookmarkEnd w:id="24"/>
      <w:bookmarkEnd w:id="25"/>
      <w:bookmarkEnd w:id="26"/>
    </w:p>
    <w:p w14:paraId="6DC70E50">
      <w:pPr>
        <w:pStyle w:val="41"/>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本项目为</w:t>
      </w:r>
      <w:r>
        <w:rPr>
          <w:rFonts w:hint="default" w:ascii="Times New Roman" w:hAnsi="Times New Roman" w:cs="Times New Roman"/>
          <w:color w:val="auto"/>
          <w:szCs w:val="24"/>
          <w:highlight w:val="none"/>
          <w:lang w:val="en-US" w:eastAsia="zh-CN"/>
        </w:rPr>
        <w:t>新建</w:t>
      </w:r>
      <w:r>
        <w:rPr>
          <w:rFonts w:hint="default" w:ascii="Times New Roman" w:hAnsi="Times New Roman" w:cs="Times New Roman"/>
          <w:color w:val="auto"/>
          <w:szCs w:val="24"/>
          <w:highlight w:val="none"/>
        </w:rPr>
        <w:t>项目，</w:t>
      </w:r>
      <w:r>
        <w:rPr>
          <w:rFonts w:hint="default" w:ascii="Times New Roman" w:hAnsi="Times New Roman" w:cs="Times New Roman"/>
          <w:color w:val="auto"/>
          <w:szCs w:val="24"/>
          <w:highlight w:val="none"/>
          <w:lang w:val="en-US" w:eastAsia="zh-CN"/>
        </w:rPr>
        <w:t>项目建成后处理规模</w:t>
      </w:r>
      <w:r>
        <w:rPr>
          <w:rFonts w:hint="default" w:ascii="Times New Roman" w:hAnsi="Times New Roman" w:cs="Times New Roman"/>
          <w:color w:val="auto"/>
          <w:szCs w:val="24"/>
          <w:highlight w:val="none"/>
        </w:rPr>
        <w:t>为年处理</w:t>
      </w:r>
      <w:r>
        <w:rPr>
          <w:rFonts w:hint="default" w:ascii="Times New Roman" w:hAnsi="Times New Roman" w:cs="Times New Roman"/>
          <w:color w:val="auto"/>
          <w:szCs w:val="24"/>
          <w:highlight w:val="none"/>
          <w:lang w:val="en-US" w:eastAsia="zh-CN"/>
        </w:rPr>
        <w:t>金矿</w:t>
      </w:r>
      <w:r>
        <w:rPr>
          <w:rFonts w:hint="default" w:ascii="Times New Roman" w:hAnsi="Times New Roman" w:cs="Times New Roman"/>
          <w:color w:val="auto"/>
          <w:szCs w:val="24"/>
          <w:highlight w:val="none"/>
        </w:rPr>
        <w:t>石</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万t</w:t>
      </w:r>
      <w:r>
        <w:rPr>
          <w:rFonts w:hint="default" w:ascii="Times New Roman" w:hAnsi="Times New Roman" w:cs="Times New Roman"/>
          <w:color w:val="auto"/>
          <w:szCs w:val="24"/>
          <w:highlight w:val="none"/>
        </w:rPr>
        <w:t>。本项目建设内容包括</w:t>
      </w:r>
      <w:r>
        <w:rPr>
          <w:rFonts w:hint="default" w:cs="Times New Roman"/>
          <w:color w:val="auto"/>
          <w:szCs w:val="24"/>
          <w:highlight w:val="none"/>
          <w:lang w:val="en-US" w:eastAsia="zh-CN"/>
        </w:rPr>
        <w:t>新建</w:t>
      </w:r>
      <w:r>
        <w:rPr>
          <w:rFonts w:hint="default" w:ascii="Times New Roman" w:hAnsi="Times New Roman" w:cs="Times New Roman"/>
          <w:color w:val="auto"/>
          <w:szCs w:val="24"/>
          <w:highlight w:val="none"/>
        </w:rPr>
        <w:t>选矿厂</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尾矿库及</w:t>
      </w:r>
      <w:r>
        <w:rPr>
          <w:rFonts w:hint="default" w:ascii="Times New Roman" w:hAnsi="Times New Roman" w:cs="Times New Roman"/>
          <w:color w:val="auto"/>
          <w:highlight w:val="none"/>
          <w:lang w:val="en-US" w:eastAsia="zh-CN"/>
        </w:rPr>
        <w:t>配套的附属设施</w:t>
      </w:r>
      <w:r>
        <w:rPr>
          <w:rFonts w:hint="default" w:ascii="Times New Roman" w:hAnsi="Times New Roman" w:cs="Times New Roman"/>
          <w:color w:val="auto"/>
          <w:highlight w:val="none"/>
        </w:rPr>
        <w:t>。</w:t>
      </w:r>
      <w:r>
        <w:rPr>
          <w:rFonts w:hint="default" w:ascii="Times New Roman" w:hAnsi="Times New Roman" w:cs="Times New Roman"/>
          <w:color w:val="auto"/>
          <w:szCs w:val="28"/>
          <w:highlight w:val="none"/>
        </w:rPr>
        <w:t>产品方案为金精矿0.4</w:t>
      </w:r>
      <w:r>
        <w:rPr>
          <w:rFonts w:hint="default" w:ascii="Times New Roman" w:hAnsi="Times New Roman" w:cs="Times New Roman"/>
          <w:color w:val="auto"/>
          <w:szCs w:val="28"/>
          <w:highlight w:val="none"/>
          <w:lang w:val="en-US" w:eastAsia="zh-CN"/>
        </w:rPr>
        <w:t>2</w:t>
      </w:r>
      <w:r>
        <w:rPr>
          <w:rFonts w:hint="default" w:ascii="Times New Roman" w:hAnsi="Times New Roman" w:cs="Times New Roman"/>
          <w:color w:val="auto"/>
          <w:szCs w:val="28"/>
          <w:highlight w:val="none"/>
        </w:rPr>
        <w:t>万t/a、金品位</w:t>
      </w:r>
      <w:r>
        <w:rPr>
          <w:rFonts w:hint="default" w:ascii="Times New Roman" w:hAnsi="Times New Roman" w:cs="Times New Roman"/>
          <w:color w:val="auto"/>
          <w:szCs w:val="28"/>
          <w:highlight w:val="none"/>
          <w:lang w:val="en-US" w:eastAsia="zh-CN"/>
        </w:rPr>
        <w:t>88</w:t>
      </w:r>
      <w:r>
        <w:rPr>
          <w:rFonts w:hint="default" w:ascii="Times New Roman" w:hAnsi="Times New Roman" w:cs="Times New Roman"/>
          <w:color w:val="auto"/>
          <w:szCs w:val="28"/>
          <w:highlight w:val="none"/>
        </w:rPr>
        <w:t>g/t、金回收率</w:t>
      </w:r>
      <w:r>
        <w:rPr>
          <w:rFonts w:hint="default" w:ascii="Times New Roman" w:hAnsi="Times New Roman" w:cs="Times New Roman"/>
          <w:color w:val="auto"/>
          <w:szCs w:val="28"/>
          <w:highlight w:val="none"/>
          <w:lang w:val="en-US" w:eastAsia="zh-CN"/>
        </w:rPr>
        <w:t>90</w:t>
      </w:r>
      <w:r>
        <w:rPr>
          <w:rFonts w:hint="default" w:ascii="Times New Roman" w:hAnsi="Times New Roman" w:cs="Times New Roman"/>
          <w:color w:val="auto"/>
          <w:szCs w:val="28"/>
          <w:highlight w:val="none"/>
        </w:rPr>
        <w:t>%。</w:t>
      </w:r>
    </w:p>
    <w:p w14:paraId="6AA48D86">
      <w:pPr>
        <w:overflowPunct w:val="0"/>
        <w:topLinePunct/>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本项目具有以下特点：</w:t>
      </w:r>
    </w:p>
    <w:p w14:paraId="3B722179">
      <w:pPr>
        <w:pStyle w:val="41"/>
        <w:overflowPunct w:val="0"/>
        <w:topLinePunct/>
        <w:snapToGrid w:val="0"/>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（1）本项目选矿处理工艺流程主要包括碎磨工艺和选别工艺。碎磨工艺流程为“三段一闭路破碎筛分+两段闭路磨矿”，选别工艺流程为“一粗二扫三精浮选+浮选精矿浓缩、压滤脱水”。</w:t>
      </w:r>
    </w:p>
    <w:p w14:paraId="57751F67">
      <w:pPr>
        <w:pStyle w:val="41"/>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本项目</w:t>
      </w:r>
      <w:r>
        <w:rPr>
          <w:rFonts w:hint="default" w:ascii="Times New Roman" w:hAnsi="Times New Roman" w:cs="Times New Roman"/>
          <w:color w:val="auto"/>
          <w:szCs w:val="24"/>
          <w:highlight w:val="none"/>
        </w:rPr>
        <w:t>尾矿库</w:t>
      </w:r>
      <w:r>
        <w:rPr>
          <w:rFonts w:hint="default" w:ascii="Times New Roman" w:hAnsi="Times New Roman" w:cs="Times New Roman"/>
          <w:color w:val="auto"/>
          <w:spacing w:val="0"/>
          <w:sz w:val="24"/>
          <w:highlight w:val="none"/>
          <w:lang w:eastAsia="zh-CN"/>
        </w:rPr>
        <w:t>为</w:t>
      </w:r>
      <w:r>
        <w:rPr>
          <w:rFonts w:hint="default" w:ascii="Times New Roman" w:hAnsi="Times New Roman" w:cs="Times New Roman"/>
          <w:color w:val="auto"/>
          <w:spacing w:val="0"/>
          <w:sz w:val="24"/>
          <w:highlight w:val="none"/>
          <w:lang w:val="en-US" w:eastAsia="zh-CN"/>
        </w:rPr>
        <w:t>四等别平地型尾矿库</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占地面积为</w:t>
      </w:r>
      <w:r>
        <w:rPr>
          <w:rFonts w:hint="default" w:ascii="Times New Roman" w:hAnsi="Times New Roman" w:cs="Times New Roman"/>
          <w:color w:val="auto"/>
          <w:spacing w:val="0"/>
          <w:sz w:val="24"/>
          <w:highlight w:val="none"/>
          <w:lang w:val="en-US" w:eastAsia="zh-CN"/>
        </w:rPr>
        <w:t>26万m</w:t>
      </w:r>
      <w:r>
        <w:rPr>
          <w:rFonts w:hint="default" w:ascii="Times New Roman" w:hAnsi="Times New Roman" w:cs="Times New Roman"/>
          <w:color w:val="auto"/>
          <w:spacing w:val="0"/>
          <w:sz w:val="24"/>
          <w:highlight w:val="none"/>
          <w:vertAlign w:val="superscript"/>
          <w:lang w:val="en-US" w:eastAsia="zh-CN"/>
        </w:rPr>
        <w:t>2</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库坝体为一次性筑坝，四面筑坝</w:t>
      </w:r>
      <w:r>
        <w:rPr>
          <w:rFonts w:hint="default" w:ascii="Times New Roman" w:hAnsi="Times New Roman" w:cs="Times New Roman"/>
          <w:color w:val="auto"/>
          <w:spacing w:val="0"/>
          <w:sz w:val="24"/>
          <w:highlight w:val="none"/>
          <w:lang w:eastAsia="zh-CN"/>
        </w:rPr>
        <w:t>，</w:t>
      </w:r>
      <w:r>
        <w:rPr>
          <w:rFonts w:hint="default" w:cs="Times New Roman"/>
          <w:color w:val="auto"/>
          <w:spacing w:val="0"/>
          <w:sz w:val="24"/>
          <w:highlight w:val="none"/>
          <w:lang w:eastAsia="zh-CN"/>
        </w:rPr>
        <w:t>总库容为130.5万m</w:t>
      </w:r>
      <w:r>
        <w:rPr>
          <w:rFonts w:hint="default" w:cs="Times New Roman"/>
          <w:color w:val="auto"/>
          <w:spacing w:val="0"/>
          <w:sz w:val="24"/>
          <w:highlight w:val="none"/>
          <w:vertAlign w:val="superscript"/>
          <w:lang w:eastAsia="zh-CN"/>
        </w:rPr>
        <w:t>3</w:t>
      </w:r>
      <w:r>
        <w:rPr>
          <w:rFonts w:hint="default" w:cs="Times New Roman"/>
          <w:color w:val="auto"/>
          <w:spacing w:val="0"/>
          <w:sz w:val="24"/>
          <w:highlight w:val="none"/>
          <w:lang w:eastAsia="zh-CN"/>
        </w:rPr>
        <w:t>，有效库容为104.4万m</w:t>
      </w:r>
      <w:r>
        <w:rPr>
          <w:rFonts w:hint="default" w:cs="Times New Roman"/>
          <w:color w:val="auto"/>
          <w:spacing w:val="0"/>
          <w:sz w:val="24"/>
          <w:highlight w:val="none"/>
          <w:vertAlign w:val="superscript"/>
          <w:lang w:eastAsia="zh-CN"/>
        </w:rPr>
        <w:t>3</w:t>
      </w:r>
      <w:r>
        <w:rPr>
          <w:rFonts w:hint="default" w:ascii="Times New Roman" w:hAnsi="Times New Roman" w:cs="Times New Roman"/>
          <w:color w:val="auto"/>
          <w:spacing w:val="0"/>
          <w:sz w:val="24"/>
          <w:highlight w:val="none"/>
          <w:vertAlign w:val="baseline"/>
          <w:lang w:eastAsia="zh-CN"/>
        </w:rPr>
        <w:t>，</w:t>
      </w:r>
      <w:r>
        <w:rPr>
          <w:rFonts w:hint="default" w:ascii="Times New Roman" w:hAnsi="Times New Roman" w:cs="Times New Roman"/>
          <w:color w:val="auto"/>
          <w:spacing w:val="0"/>
          <w:sz w:val="24"/>
          <w:highlight w:val="none"/>
          <w:lang w:val="en-US" w:eastAsia="zh-CN"/>
        </w:rPr>
        <w:t>坝高15m，</w:t>
      </w:r>
      <w:r>
        <w:rPr>
          <w:rFonts w:hint="default" w:cs="Times New Roman"/>
          <w:color w:val="auto"/>
          <w:spacing w:val="0"/>
          <w:sz w:val="24"/>
          <w:highlight w:val="none"/>
          <w:lang w:val="en-US" w:eastAsia="zh-CN"/>
        </w:rPr>
        <w:t>全库采用400g/m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土工布+1.5mmHDPE土工膜+400g/m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土工布的防渗方法</w:t>
      </w:r>
      <w:r>
        <w:rPr>
          <w:rFonts w:hint="default"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rPr>
        <w:t>服务年限为</w:t>
      </w:r>
      <w:r>
        <w:rPr>
          <w:rFonts w:hint="eastAsia" w:cs="Times New Roman"/>
          <w:color w:val="auto"/>
          <w:spacing w:val="0"/>
          <w:sz w:val="24"/>
          <w:highlight w:val="none"/>
          <w:lang w:val="en-US" w:eastAsia="zh-CN"/>
        </w:rPr>
        <w:t>25</w:t>
      </w:r>
      <w:r>
        <w:rPr>
          <w:rFonts w:hint="default" w:ascii="Times New Roman" w:hAnsi="Times New Roman" w:cs="Times New Roman"/>
          <w:color w:val="auto"/>
          <w:spacing w:val="0"/>
          <w:sz w:val="24"/>
          <w:highlight w:val="none"/>
          <w:lang w:val="en-US" w:eastAsia="zh-CN"/>
        </w:rPr>
        <w:t>年。</w:t>
      </w:r>
    </w:p>
    <w:p w14:paraId="703B7EF0">
      <w:pPr>
        <w:pStyle w:val="41"/>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rPr>
        <w:t>）本项目</w:t>
      </w:r>
      <w:r>
        <w:rPr>
          <w:rFonts w:hint="default" w:ascii="Times New Roman" w:hAnsi="Times New Roman" w:cs="Times New Roman"/>
          <w:color w:val="auto"/>
          <w:szCs w:val="24"/>
          <w:highlight w:val="none"/>
          <w:lang w:val="en-US" w:eastAsia="zh-CN"/>
        </w:rPr>
        <w:t>尾矿库北距</w:t>
      </w:r>
      <w:r>
        <w:rPr>
          <w:rFonts w:hint="default" w:ascii="Times New Roman" w:hAnsi="Times New Roman" w:cs="Times New Roman"/>
          <w:color w:val="auto"/>
          <w:szCs w:val="24"/>
          <w:highlight w:val="none"/>
          <w:lang w:eastAsia="zh-CN"/>
        </w:rPr>
        <w:t>Ⅱ类水体喀拉通克河</w:t>
      </w:r>
      <w:r>
        <w:rPr>
          <w:rFonts w:hint="default" w:ascii="Times New Roman" w:hAnsi="Times New Roman" w:cs="Times New Roman"/>
          <w:color w:val="auto"/>
          <w:szCs w:val="24"/>
          <w:highlight w:val="none"/>
          <w:lang w:val="en-US" w:eastAsia="zh-CN"/>
        </w:rPr>
        <w:t>左支一河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1.02</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eastAsia="zh-CN"/>
        </w:rPr>
        <w:t>Ⅱ类水体喀拉通克河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3.79</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选矿厂北距</w:t>
      </w:r>
      <w:r>
        <w:rPr>
          <w:rFonts w:hint="default" w:ascii="Times New Roman" w:hAnsi="Times New Roman" w:cs="Times New Roman"/>
          <w:color w:val="auto"/>
          <w:szCs w:val="24"/>
          <w:highlight w:val="none"/>
          <w:lang w:eastAsia="zh-CN"/>
        </w:rPr>
        <w:t>Ⅱ类水体喀拉通克河</w:t>
      </w:r>
      <w:r>
        <w:rPr>
          <w:rFonts w:hint="default" w:ascii="Times New Roman" w:hAnsi="Times New Roman" w:cs="Times New Roman"/>
          <w:color w:val="auto"/>
          <w:szCs w:val="24"/>
          <w:highlight w:val="none"/>
          <w:lang w:val="en-US" w:eastAsia="zh-CN"/>
        </w:rPr>
        <w:t>左支一河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2.45</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eastAsia="zh-CN"/>
        </w:rPr>
        <w:t>Ⅱ类水体喀拉通克河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4.16</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本项目</w:t>
      </w:r>
      <w:r>
        <w:rPr>
          <w:rFonts w:hint="default" w:ascii="Times New Roman" w:hAnsi="Times New Roman" w:cs="Times New Roman"/>
          <w:color w:val="auto"/>
          <w:szCs w:val="24"/>
          <w:highlight w:val="none"/>
          <w:lang w:val="en-US" w:eastAsia="zh-CN"/>
        </w:rPr>
        <w:t>尾矿库</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val="en-US" w:eastAsia="zh-CN"/>
        </w:rPr>
        <w:t>白杨河村</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3.3</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选矿厂</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val="en-US" w:eastAsia="zh-CN"/>
        </w:rPr>
        <w:t>白杨河村</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3.6</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尾矿库东侧约</w:t>
      </w:r>
      <w:r>
        <w:rPr>
          <w:rFonts w:hint="eastAsia" w:cs="Times New Roman"/>
          <w:color w:val="auto"/>
          <w:szCs w:val="24"/>
          <w:highlight w:val="none"/>
          <w:lang w:val="en-US" w:eastAsia="zh-CN"/>
        </w:rPr>
        <w:t>320</w:t>
      </w:r>
      <w:r>
        <w:rPr>
          <w:rFonts w:hint="default" w:ascii="Times New Roman" w:hAnsi="Times New Roman" w:cs="Times New Roman"/>
          <w:color w:val="auto"/>
          <w:szCs w:val="24"/>
          <w:highlight w:val="none"/>
          <w:lang w:val="en-US" w:eastAsia="zh-CN"/>
        </w:rPr>
        <w:t>m有耕地；尾矿库</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val="en-US" w:eastAsia="zh-CN"/>
        </w:rPr>
        <w:t>最近的生态保护红线阿尔泰山水源涵养与生物多样性维护生态保护红线（即新疆富蕴县可可托海国家地质自然公园）</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3.68</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选矿厂</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val="en-US" w:eastAsia="zh-CN"/>
        </w:rPr>
        <w:t>最近的生态保护红线阿尔泰山水源涵养与生物多样性维护生态保护红线（即新疆富蕴县可可托海国家地质自然公园）</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3.75</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尾矿库南距</w:t>
      </w:r>
      <w:r>
        <w:rPr>
          <w:rFonts w:hint="default" w:ascii="Times New Roman" w:hAnsi="Times New Roman" w:cs="Times New Roman"/>
          <w:color w:val="auto"/>
          <w:highlight w:val="none"/>
        </w:rPr>
        <w:t>采矿工程</w:t>
      </w:r>
      <w:r>
        <w:rPr>
          <w:rFonts w:hint="default" w:ascii="Times New Roman" w:hAnsi="Times New Roman" w:cs="Times New Roman"/>
          <w:color w:val="auto"/>
          <w:szCs w:val="24"/>
          <w:highlight w:val="none"/>
        </w:rPr>
        <w:t>约</w:t>
      </w:r>
      <w:r>
        <w:rPr>
          <w:rFonts w:hint="eastAsia" w:cs="Times New Roman"/>
          <w:color w:val="auto"/>
          <w:szCs w:val="24"/>
          <w:highlight w:val="none"/>
          <w:lang w:val="en-US" w:eastAsia="zh-CN"/>
        </w:rPr>
        <w:t>1.0k</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选矿厂西南距</w:t>
      </w:r>
      <w:r>
        <w:rPr>
          <w:rFonts w:hint="default" w:ascii="Times New Roman" w:hAnsi="Times New Roman" w:cs="Times New Roman"/>
          <w:color w:val="auto"/>
          <w:highlight w:val="none"/>
        </w:rPr>
        <w:t>采矿工程</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660</w:t>
      </w:r>
      <w:r>
        <w:rPr>
          <w:rFonts w:hint="default" w:ascii="Times New Roman" w:hAnsi="Times New Roman" w:cs="Times New Roman"/>
          <w:color w:val="auto"/>
          <w:szCs w:val="24"/>
          <w:highlight w:val="none"/>
        </w:rPr>
        <w:t>m。</w:t>
      </w:r>
    </w:p>
    <w:p w14:paraId="708B7C64">
      <w:pPr>
        <w:pStyle w:val="41"/>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default" w:cs="Times New Roman"/>
          <w:color w:val="auto"/>
          <w:szCs w:val="24"/>
          <w:highlight w:val="none"/>
          <w:lang w:val="en-US" w:eastAsia="zh-CN"/>
        </w:rPr>
        <w:t>4</w:t>
      </w:r>
      <w:r>
        <w:rPr>
          <w:rFonts w:hint="default" w:ascii="Times New Roman" w:hAnsi="Times New Roman" w:cs="Times New Roman"/>
          <w:color w:val="auto"/>
          <w:szCs w:val="24"/>
          <w:highlight w:val="none"/>
        </w:rPr>
        <w:t>）本项目主要污染物为选矿过程产生的粉尘、尾矿库及堆场无组织扬尘、生产废水、生活污水、工艺设备噪声、尾矿、生活垃圾等。选矿过程产生的粉尘均采用布袋除尘器净化后经排气筒排放；</w:t>
      </w:r>
      <w:r>
        <w:rPr>
          <w:rFonts w:hint="default" w:ascii="Times New Roman" w:hAnsi="Times New Roman" w:cs="Times New Roman"/>
          <w:color w:val="auto"/>
          <w:highlight w:val="none"/>
        </w:rPr>
        <w:t>堆场</w:t>
      </w:r>
      <w:r>
        <w:rPr>
          <w:rFonts w:hint="default" w:ascii="Times New Roman" w:hAnsi="Times New Roman" w:cs="Times New Roman"/>
          <w:color w:val="auto"/>
          <w:szCs w:val="24"/>
          <w:highlight w:val="none"/>
        </w:rPr>
        <w:t>设置</w:t>
      </w:r>
      <w:r>
        <w:rPr>
          <w:rFonts w:hint="default" w:ascii="Times New Roman" w:hAnsi="Times New Roman" w:cs="Times New Roman"/>
          <w:color w:val="auto"/>
          <w:szCs w:val="24"/>
          <w:highlight w:val="none"/>
          <w:lang w:val="en-US" w:eastAsia="zh-CN"/>
        </w:rPr>
        <w:t>洒水抑尘设施</w:t>
      </w:r>
      <w:r>
        <w:rPr>
          <w:rFonts w:hint="default" w:ascii="Times New Roman" w:hAnsi="Times New Roman" w:cs="Times New Roman"/>
          <w:color w:val="auto"/>
          <w:szCs w:val="24"/>
          <w:highlight w:val="none"/>
        </w:rPr>
        <w:t>抑制堆场扬尘；尾矿库采用</w:t>
      </w:r>
      <w:r>
        <w:rPr>
          <w:rFonts w:hint="default" w:ascii="Times New Roman" w:hAnsi="Times New Roman" w:cs="Times New Roman"/>
          <w:color w:val="auto"/>
          <w:highlight w:val="none"/>
        </w:rPr>
        <w:t>多管分散放矿保持尾矿沉积滩面的湿润，减少扬尘；精矿过滤水、尾矿浓缩压滤溢流水循环使用，尾矿浆</w:t>
      </w:r>
      <w:r>
        <w:rPr>
          <w:rFonts w:hint="default" w:ascii="Times New Roman" w:hAnsi="Times New Roman" w:cs="Times New Roman"/>
          <w:color w:val="auto"/>
          <w:szCs w:val="24"/>
          <w:highlight w:val="none"/>
        </w:rPr>
        <w:t>排入尾矿库澄清后上层澄清水泵送回用于选矿生产环节，不外排；尾矿堆存于尾矿库</w:t>
      </w:r>
      <w:r>
        <w:rPr>
          <w:rFonts w:hint="default" w:ascii="Times New Roman" w:hAnsi="Times New Roman" w:cs="Times New Roman"/>
          <w:color w:val="auto"/>
          <w:szCs w:val="24"/>
          <w:highlight w:val="none"/>
          <w:lang w:val="en-US" w:eastAsia="zh-CN"/>
        </w:rPr>
        <w:t>不外排</w:t>
      </w:r>
      <w:r>
        <w:rPr>
          <w:rFonts w:hint="default" w:ascii="Times New Roman" w:hAnsi="Times New Roman" w:cs="Times New Roman"/>
          <w:color w:val="auto"/>
          <w:szCs w:val="24"/>
          <w:highlight w:val="none"/>
        </w:rPr>
        <w:t>。</w:t>
      </w:r>
    </w:p>
    <w:bookmarkEnd w:id="23"/>
    <w:p w14:paraId="3DECF034">
      <w:pPr>
        <w:pStyle w:val="3"/>
        <w:spacing w:line="560" w:lineRule="atLeast"/>
        <w:rPr>
          <w:rFonts w:hint="default" w:ascii="Times New Roman" w:hAnsi="Times New Roman" w:cs="Times New Roman"/>
          <w:color w:val="auto"/>
          <w:highlight w:val="none"/>
        </w:rPr>
      </w:pPr>
      <w:bookmarkStart w:id="27" w:name="_Toc11763"/>
      <w:bookmarkStart w:id="28" w:name="_Toc23440"/>
      <w:bookmarkStart w:id="29" w:name="_Toc5233"/>
      <w:bookmarkStart w:id="30" w:name="_Toc107414639"/>
      <w:bookmarkStart w:id="31" w:name="_Toc10527"/>
      <w:bookmarkStart w:id="32" w:name="_Toc107413872"/>
      <w:bookmarkStart w:id="33" w:name="_Toc21050"/>
      <w:r>
        <w:rPr>
          <w:rFonts w:hint="default" w:ascii="Times New Roman" w:hAnsi="Times New Roman" w:cs="Times New Roman"/>
          <w:color w:val="auto"/>
          <w:highlight w:val="none"/>
        </w:rPr>
        <w:t>1.2环境影响评价过程</w:t>
      </w:r>
      <w:bookmarkEnd w:id="27"/>
      <w:bookmarkEnd w:id="28"/>
      <w:bookmarkEnd w:id="29"/>
      <w:bookmarkEnd w:id="30"/>
      <w:bookmarkEnd w:id="31"/>
      <w:bookmarkEnd w:id="32"/>
      <w:bookmarkEnd w:id="33"/>
    </w:p>
    <w:p w14:paraId="21E9A9BA">
      <w:pPr>
        <w:pStyle w:val="42"/>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环境保护法》（2015年1月1日）、《中华人民共和国环境影响评价法》（2018年12月29日）、《建设项目环境保护管理条例》（国务院令第682号）规定及有关环境保护政策法规的要求，该项目需进行环境影响评价。根据《建设项目环境影响评价分类管理名录》（2021年版），本项目属于分类管理名录“</w:t>
      </w:r>
      <w:r>
        <w:rPr>
          <w:rFonts w:hint="default" w:ascii="Times New Roman" w:hAnsi="Times New Roman" w:eastAsia="宋体" w:cs="Times New Roman"/>
          <w:color w:val="auto"/>
          <w:highlight w:val="none"/>
        </w:rPr>
        <w:t>七、有色金属矿采选业，092贵金属矿采选</w:t>
      </w:r>
      <w:r>
        <w:rPr>
          <w:rFonts w:hint="default" w:ascii="Times New Roman" w:hAnsi="Times New Roman" w:cs="Times New Roman"/>
          <w:color w:val="auto"/>
          <w:highlight w:val="none"/>
        </w:rPr>
        <w:t>”，应编制环境影响报告书。为此，</w:t>
      </w:r>
      <w:r>
        <w:rPr>
          <w:rFonts w:hint="default" w:ascii="Times New Roman" w:hAnsi="Times New Roman" w:cs="Times New Roman"/>
          <w:color w:val="auto"/>
          <w:highlight w:val="none"/>
          <w:lang w:val="en-US" w:eastAsia="zh-CN"/>
        </w:rPr>
        <w:t>江诣矿业</w:t>
      </w:r>
      <w:r>
        <w:rPr>
          <w:rFonts w:hint="default" w:ascii="Times New Roman" w:hAnsi="Times New Roman" w:cs="Times New Roman"/>
          <w:color w:val="auto"/>
          <w:highlight w:val="none"/>
        </w:rPr>
        <w:t>于202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月委托新疆恒升融裕环保科技有限公司（以下简称“编制单位”）承担该项目的环境影响评价工作。接受委托后，编制单位认真研究了该项目的有关材料，进行实地踏勘和现场调研，收集和核实了有关材料，依据相关导则的要求，在认真分析预测的基础上，进行了项目的工程分析和现状评价、环境影响预测等工作，编制完成了环境影响报告书后，提交上级生态环境主管部门和专家审查。环境影响报告书经审查批准后，将作为开展本项目进行工程设计和施工期、运营期环境管理工作的依据。</w:t>
      </w:r>
    </w:p>
    <w:p w14:paraId="1FB47640">
      <w:pPr>
        <w:pStyle w:val="41"/>
        <w:overflowPunct w:val="0"/>
        <w:topLinePunct/>
        <w:spacing w:line="480" w:lineRule="exact"/>
        <w:ind w:firstLine="480"/>
        <w:rPr>
          <w:rFonts w:hint="default" w:ascii="Times New Roman" w:hAnsi="Times New Roman" w:cs="Times New Roman"/>
          <w:color w:val="auto"/>
          <w:szCs w:val="24"/>
          <w:highlight w:val="none"/>
          <w:lang w:val="zh-CN"/>
        </w:rPr>
      </w:pPr>
      <w:r>
        <w:rPr>
          <w:rFonts w:hint="default" w:ascii="Times New Roman" w:hAnsi="Times New Roman" w:cs="Times New Roman"/>
          <w:color w:val="auto"/>
          <w:szCs w:val="24"/>
          <w:highlight w:val="none"/>
          <w:lang w:val="zh-CN"/>
        </w:rPr>
        <w:t>本次环境影响评价工作分三个阶段完成，即前期准备、现场调研和工作方案阶段，分析论证和预测评价阶段，环境影响文件编制阶段。</w:t>
      </w:r>
    </w:p>
    <w:p w14:paraId="5C4E45BA">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环境影响评价工作程序见图1.2-1。</w:t>
      </w:r>
    </w:p>
    <w:p w14:paraId="573101E7">
      <w:pPr>
        <w:spacing w:line="40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g">
            <w:drawing>
              <wp:anchor distT="0" distB="0" distL="114300" distR="114300" simplePos="0" relativeHeight="251666432" behindDoc="0" locked="0" layoutInCell="1" allowOverlap="1">
                <wp:simplePos x="0" y="0"/>
                <wp:positionH relativeFrom="column">
                  <wp:posOffset>-163830</wp:posOffset>
                </wp:positionH>
                <wp:positionV relativeFrom="paragraph">
                  <wp:posOffset>43815</wp:posOffset>
                </wp:positionV>
                <wp:extent cx="5429885" cy="6588760"/>
                <wp:effectExtent l="0" t="4445" r="18415" b="17145"/>
                <wp:wrapNone/>
                <wp:docPr id="176" name="组合 1027"/>
                <wp:cNvGraphicFramePr/>
                <a:graphic xmlns:a="http://schemas.openxmlformats.org/drawingml/2006/main">
                  <a:graphicData uri="http://schemas.microsoft.com/office/word/2010/wordprocessingGroup">
                    <wpg:wgp>
                      <wpg:cNvGrpSpPr/>
                      <wpg:grpSpPr>
                        <a:xfrm>
                          <a:off x="0" y="0"/>
                          <a:ext cx="5429885" cy="6588760"/>
                          <a:chOff x="14627" y="37756"/>
                          <a:chExt cx="8551" cy="10376"/>
                        </a:xfrm>
                        <a:effectLst/>
                      </wpg:grpSpPr>
                      <wps:wsp>
                        <wps:cNvPr id="148" name="Straight Connector 377"/>
                        <wps:cNvCnPr/>
                        <wps:spPr>
                          <a:xfrm>
                            <a:off x="18936" y="41282"/>
                            <a:ext cx="1" cy="309"/>
                          </a:xfrm>
                          <a:prstGeom prst="straightConnector1">
                            <a:avLst/>
                          </a:prstGeom>
                          <a:ln w="9525" cap="flat" cmpd="sng">
                            <a:solidFill>
                              <a:srgbClr val="000000"/>
                            </a:solidFill>
                            <a:prstDash val="solid"/>
                            <a:headEnd type="none" w="med" len="med"/>
                            <a:tailEnd type="triangle" w="med" len="med"/>
                          </a:ln>
                          <a:effectLst/>
                        </wps:spPr>
                        <wps:bodyPr/>
                      </wps:wsp>
                      <wps:wsp>
                        <wps:cNvPr id="149" name="Straight Connector 387"/>
                        <wps:cNvCnPr>
                          <a:stCxn id="165" idx="2"/>
                        </wps:cNvCnPr>
                        <wps:spPr>
                          <a:xfrm>
                            <a:off x="17303" y="42496"/>
                            <a:ext cx="1" cy="426"/>
                          </a:xfrm>
                          <a:prstGeom prst="straightConnector1">
                            <a:avLst/>
                          </a:prstGeom>
                          <a:ln w="9525" cap="flat" cmpd="sng">
                            <a:solidFill>
                              <a:srgbClr val="000000"/>
                            </a:solidFill>
                            <a:prstDash val="solid"/>
                            <a:headEnd type="none" w="med" len="med"/>
                            <a:tailEnd type="none" w="med" len="med"/>
                          </a:ln>
                          <a:effectLst/>
                        </wps:spPr>
                        <wps:bodyPr/>
                      </wps:wsp>
                      <wps:wsp>
                        <wps:cNvPr id="150" name="Straight Connector 388"/>
                        <wps:cNvCnPr>
                          <a:stCxn id="165" idx="2"/>
                        </wps:cNvCnPr>
                        <wps:spPr>
                          <a:xfrm>
                            <a:off x="20230" y="42511"/>
                            <a:ext cx="1" cy="446"/>
                          </a:xfrm>
                          <a:prstGeom prst="straightConnector1">
                            <a:avLst/>
                          </a:prstGeom>
                          <a:ln w="9525" cap="flat" cmpd="sng">
                            <a:solidFill>
                              <a:srgbClr val="000000"/>
                            </a:solidFill>
                            <a:prstDash val="solid"/>
                            <a:headEnd type="none" w="med" len="med"/>
                            <a:tailEnd type="none" w="med" len="med"/>
                          </a:ln>
                          <a:effectLst/>
                        </wps:spPr>
                        <wps:bodyPr/>
                      </wps:wsp>
                      <wps:wsp>
                        <wps:cNvPr id="151" name="Straight Connector 392"/>
                        <wps:cNvCnPr>
                          <a:stCxn id="165" idx="2"/>
                        </wps:cNvCnPr>
                        <wps:spPr>
                          <a:xfrm>
                            <a:off x="17317" y="43695"/>
                            <a:ext cx="1" cy="357"/>
                          </a:xfrm>
                          <a:prstGeom prst="straightConnector1">
                            <a:avLst/>
                          </a:prstGeom>
                          <a:ln w="9525" cap="flat" cmpd="sng">
                            <a:solidFill>
                              <a:srgbClr val="000000"/>
                            </a:solidFill>
                            <a:prstDash val="solid"/>
                            <a:headEnd type="none" w="med" len="med"/>
                            <a:tailEnd type="none" w="med" len="med"/>
                          </a:ln>
                          <a:effectLst/>
                        </wps:spPr>
                        <wps:bodyPr/>
                      </wps:wsp>
                      <wps:wsp>
                        <wps:cNvPr id="152" name="Straight Connector 393"/>
                        <wps:cNvCnPr>
                          <a:stCxn id="165" idx="2"/>
                        </wps:cNvCnPr>
                        <wps:spPr>
                          <a:xfrm>
                            <a:off x="20258" y="43642"/>
                            <a:ext cx="1" cy="432"/>
                          </a:xfrm>
                          <a:prstGeom prst="straightConnector1">
                            <a:avLst/>
                          </a:prstGeom>
                          <a:ln w="9525" cap="flat" cmpd="sng">
                            <a:solidFill>
                              <a:srgbClr val="000000"/>
                            </a:solidFill>
                            <a:prstDash val="solid"/>
                            <a:headEnd type="none" w="med" len="med"/>
                            <a:tailEnd type="none" w="med" len="med"/>
                          </a:ln>
                          <a:effectLst/>
                        </wps:spPr>
                        <wps:bodyPr/>
                      </wps:wsp>
                      <wps:wsp>
                        <wps:cNvPr id="153" name="Straight Connector 408"/>
                        <wps:cNvCnPr>
                          <a:stCxn id="165" idx="2"/>
                        </wps:cNvCnPr>
                        <wps:spPr>
                          <a:xfrm>
                            <a:off x="14739" y="42201"/>
                            <a:ext cx="8415" cy="1"/>
                          </a:xfrm>
                          <a:prstGeom prst="straightConnector1">
                            <a:avLst/>
                          </a:prstGeom>
                          <a:ln w="9525" cap="flat" cmpd="sng">
                            <a:solidFill>
                              <a:srgbClr val="000000"/>
                            </a:solidFill>
                            <a:prstDash val="dash"/>
                            <a:headEnd type="none" w="med" len="med"/>
                            <a:tailEnd type="none" w="med" len="med"/>
                          </a:ln>
                          <a:effectLst/>
                        </wps:spPr>
                        <wps:bodyPr/>
                      </wps:wsp>
                      <wps:wsp>
                        <wps:cNvPr id="154" name="Rectangle 410"/>
                        <wps:cNvSpPr/>
                        <wps:spPr>
                          <a:xfrm>
                            <a:off x="14856" y="38806"/>
                            <a:ext cx="420" cy="1770"/>
                          </a:xfrm>
                          <a:prstGeom prst="rect">
                            <a:avLst/>
                          </a:prstGeom>
                          <a:noFill/>
                          <a:ln>
                            <a:noFill/>
                          </a:ln>
                          <a:effectLst/>
                        </wps:spPr>
                        <wps:txbx>
                          <w:txbxContent>
                            <w:p w14:paraId="4900C114">
                              <w:pPr>
                                <w:pStyle w:val="90"/>
                              </w:pPr>
                              <w:r>
                                <w:rPr>
                                  <w:rFonts w:hint="eastAsia"/>
                                </w:rPr>
                                <w:t>第一阶段</w:t>
                              </w:r>
                            </w:p>
                          </w:txbxContent>
                        </wps:txbx>
                        <wps:bodyPr vert="horz" anchor="t" anchorCtr="0" upright="1"/>
                      </wps:wsp>
                      <wps:wsp>
                        <wps:cNvPr id="155" name="Rectangle 411"/>
                        <wps:cNvSpPr/>
                        <wps:spPr>
                          <a:xfrm>
                            <a:off x="14821" y="43403"/>
                            <a:ext cx="420" cy="1479"/>
                          </a:xfrm>
                          <a:prstGeom prst="rect">
                            <a:avLst/>
                          </a:prstGeom>
                          <a:noFill/>
                          <a:ln>
                            <a:noFill/>
                          </a:ln>
                          <a:effectLst/>
                        </wps:spPr>
                        <wps:txbx>
                          <w:txbxContent>
                            <w:p w14:paraId="22A3E8CE">
                              <w:pPr>
                                <w:pStyle w:val="90"/>
                              </w:pPr>
                              <w:r>
                                <w:rPr>
                                  <w:rFonts w:hint="eastAsia"/>
                                </w:rPr>
                                <w:t>第二阶段</w:t>
                              </w:r>
                            </w:p>
                          </w:txbxContent>
                        </wps:txbx>
                        <wps:bodyPr vert="horz" anchor="t" anchorCtr="0" upright="1"/>
                      </wps:wsp>
                      <wps:wsp>
                        <wps:cNvPr id="156" name="Rectangle 412"/>
                        <wps:cNvSpPr/>
                        <wps:spPr>
                          <a:xfrm>
                            <a:off x="14776" y="45853"/>
                            <a:ext cx="420" cy="1522"/>
                          </a:xfrm>
                          <a:prstGeom prst="rect">
                            <a:avLst/>
                          </a:prstGeom>
                          <a:noFill/>
                          <a:ln>
                            <a:noFill/>
                          </a:ln>
                          <a:effectLst/>
                        </wps:spPr>
                        <wps:txbx>
                          <w:txbxContent>
                            <w:p w14:paraId="2A069703">
                              <w:pPr>
                                <w:pStyle w:val="90"/>
                              </w:pPr>
                              <w:r>
                                <w:rPr>
                                  <w:rFonts w:hint="eastAsia"/>
                                </w:rPr>
                                <w:t>第三阶段</w:t>
                              </w:r>
                            </w:p>
                          </w:txbxContent>
                        </wps:txbx>
                        <wps:bodyPr vert="horz" anchor="t" anchorCtr="0" upright="1"/>
                      </wps:wsp>
                      <wps:wsp>
                        <wps:cNvPr id="157" name="Rectangle 376"/>
                        <wps:cNvSpPr/>
                        <wps:spPr>
                          <a:xfrm>
                            <a:off x="16736" y="38787"/>
                            <a:ext cx="4470" cy="10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8C4DBF">
                              <w:pPr>
                                <w:pStyle w:val="90"/>
                                <w:spacing w:before="0" w:after="0" w:line="280" w:lineRule="exact"/>
                                <w:rPr>
                                  <w:rFonts w:ascii="Times New Roman" w:hAnsi="Times New Roman" w:cs="Times New Roman"/>
                                </w:rPr>
                              </w:pPr>
                              <w:r>
                                <w:rPr>
                                  <w:rFonts w:ascii="Times New Roman" w:hAnsi="Times New Roman" w:cs="Times New Roman"/>
                                </w:rPr>
                                <w:t>1 研究相关技术文件和其他有关文件</w:t>
                              </w:r>
                            </w:p>
                            <w:p w14:paraId="40EC25B5">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进行初步工程分析</w:t>
                              </w:r>
                            </w:p>
                            <w:p w14:paraId="43AC8622">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开</w:t>
                              </w:r>
                              <w:r>
                                <w:rPr>
                                  <w:rFonts w:hint="eastAsia" w:ascii="Times New Roman" w:hAnsi="Times New Roman" w:cs="Times New Roman"/>
                                </w:rPr>
                                <w:t>展初步的环境状况调查</w:t>
                              </w:r>
                            </w:p>
                          </w:txbxContent>
                        </wps:txbx>
                        <wps:bodyPr vert="horz" anchor="t" anchorCtr="0" upright="1"/>
                      </wps:wsp>
                      <wps:wsp>
                        <wps:cNvPr id="158" name="Rectangle 372"/>
                        <wps:cNvSpPr/>
                        <wps:spPr>
                          <a:xfrm>
                            <a:off x="16753" y="37971"/>
                            <a:ext cx="4488"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18C34D">
                              <w:pPr>
                                <w:pStyle w:val="90"/>
                                <w:spacing w:before="0" w:after="0"/>
                              </w:pPr>
                              <w:r>
                                <w:rPr>
                                  <w:rFonts w:hint="eastAsia"/>
                                </w:rPr>
                                <w:t>依据相关规定确定环境影响评价文件类型</w:t>
                              </w:r>
                            </w:p>
                          </w:txbxContent>
                        </wps:txbx>
                        <wps:bodyPr vert="horz" anchor="t" anchorCtr="0" upright="1"/>
                      </wps:wsp>
                      <wps:wsp>
                        <wps:cNvPr id="159" name="Straight Connector 373"/>
                        <wps:cNvCnPr>
                          <a:stCxn id="165" idx="2"/>
                        </wps:cNvCnPr>
                        <wps:spPr>
                          <a:xfrm>
                            <a:off x="18940" y="38434"/>
                            <a:ext cx="1" cy="349"/>
                          </a:xfrm>
                          <a:prstGeom prst="straightConnector1">
                            <a:avLst/>
                          </a:prstGeom>
                          <a:ln w="9525" cap="flat" cmpd="sng">
                            <a:solidFill>
                              <a:srgbClr val="000000"/>
                            </a:solidFill>
                            <a:prstDash val="solid"/>
                            <a:headEnd type="none" w="med" len="med"/>
                            <a:tailEnd type="triangle" w="med" len="med"/>
                          </a:ln>
                          <a:effectLst/>
                        </wps:spPr>
                        <wps:bodyPr/>
                      </wps:wsp>
                      <wps:wsp>
                        <wps:cNvPr id="160" name="Straight Connector 375"/>
                        <wps:cNvCnPr>
                          <a:stCxn id="165" idx="2"/>
                        </wps:cNvCnPr>
                        <wps:spPr>
                          <a:xfrm>
                            <a:off x="18936" y="39882"/>
                            <a:ext cx="1" cy="309"/>
                          </a:xfrm>
                          <a:prstGeom prst="straightConnector1">
                            <a:avLst/>
                          </a:prstGeom>
                          <a:ln w="9525" cap="flat" cmpd="sng">
                            <a:solidFill>
                              <a:srgbClr val="000000"/>
                            </a:solidFill>
                            <a:prstDash val="solid"/>
                            <a:headEnd type="none" w="med" len="med"/>
                            <a:tailEnd type="triangle" w="med" len="med"/>
                          </a:ln>
                          <a:effectLst/>
                        </wps:spPr>
                        <wps:bodyPr/>
                      </wps:wsp>
                      <wps:wsp>
                        <wps:cNvPr id="161" name="矩形 1032"/>
                        <wps:cNvSpPr/>
                        <wps:spPr>
                          <a:xfrm>
                            <a:off x="16710" y="40204"/>
                            <a:ext cx="4470" cy="10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2AC710">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 环境影响识别和评价因子筛选</w:t>
                              </w:r>
                            </w:p>
                            <w:p w14:paraId="2910FD85">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明确评价重点和环境保护目标</w:t>
                              </w:r>
                            </w:p>
                            <w:p w14:paraId="6AA2D179">
                              <w:pPr>
                                <w:pStyle w:val="90"/>
                                <w:spacing w:before="0" w:after="0" w:line="28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确定</w:t>
                              </w:r>
                              <w:r>
                                <w:rPr>
                                  <w:rFonts w:hint="eastAsia" w:ascii="Times New Roman" w:hAnsi="Times New Roman" w:cs="Times New Roman"/>
                                </w:rPr>
                                <w:t>工作等级、评价范围和评价标准</w:t>
                              </w:r>
                            </w:p>
                          </w:txbxContent>
                        </wps:txbx>
                        <wps:bodyPr vert="horz" anchor="t" anchorCtr="0" upright="1"/>
                      </wps:wsp>
                      <wps:wsp>
                        <wps:cNvPr id="162" name="Rectangle 382"/>
                        <wps:cNvSpPr/>
                        <wps:spPr>
                          <a:xfrm>
                            <a:off x="17909" y="41589"/>
                            <a:ext cx="1935"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B67A6A">
                              <w:pPr>
                                <w:pStyle w:val="90"/>
                                <w:spacing w:before="0" w:after="0"/>
                              </w:pPr>
                              <w:r>
                                <w:rPr>
                                  <w:rFonts w:hint="eastAsia"/>
                                </w:rPr>
                                <w:t>制定工作方案</w:t>
                              </w:r>
                            </w:p>
                          </w:txbxContent>
                        </wps:txbx>
                        <wps:bodyPr vert="horz" anchor="t" anchorCtr="0" upright="1"/>
                      </wps:wsp>
                      <wps:wsp>
                        <wps:cNvPr id="163" name="Straight Connector 385"/>
                        <wps:cNvCnPr>
                          <a:stCxn id="165" idx="2"/>
                        </wps:cNvCnPr>
                        <wps:spPr>
                          <a:xfrm flipH="1">
                            <a:off x="18893" y="42047"/>
                            <a:ext cx="7" cy="465"/>
                          </a:xfrm>
                          <a:prstGeom prst="straightConnector1">
                            <a:avLst/>
                          </a:prstGeom>
                          <a:ln w="9525" cap="flat" cmpd="sng">
                            <a:solidFill>
                              <a:srgbClr val="000000"/>
                            </a:solidFill>
                            <a:prstDash val="solid"/>
                            <a:headEnd type="none" w="med" len="med"/>
                            <a:tailEnd type="triangle" w="med" len="med"/>
                          </a:ln>
                          <a:effectLst/>
                        </wps:spPr>
                        <wps:bodyPr/>
                      </wps:wsp>
                      <wps:wsp>
                        <wps:cNvPr id="164" name="Straight Connector 386"/>
                        <wps:cNvCnPr>
                          <a:stCxn id="165" idx="2"/>
                        </wps:cNvCnPr>
                        <wps:spPr>
                          <a:xfrm>
                            <a:off x="17289" y="42510"/>
                            <a:ext cx="2940" cy="1"/>
                          </a:xfrm>
                          <a:prstGeom prst="straightConnector1">
                            <a:avLst/>
                          </a:prstGeom>
                          <a:ln w="9525" cap="flat" cmpd="sng">
                            <a:solidFill>
                              <a:srgbClr val="000000"/>
                            </a:solidFill>
                            <a:prstDash val="solid"/>
                            <a:headEnd type="none" w="med" len="med"/>
                            <a:tailEnd type="none" w="med" len="med"/>
                          </a:ln>
                          <a:effectLst/>
                        </wps:spPr>
                        <wps:bodyPr/>
                      </wps:wsp>
                      <wps:wsp>
                        <wps:cNvPr id="165" name="Rectangle 389"/>
                        <wps:cNvSpPr/>
                        <wps:spPr>
                          <a:xfrm>
                            <a:off x="16296" y="42925"/>
                            <a:ext cx="2042" cy="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DB6E57">
                              <w:pPr>
                                <w:pStyle w:val="90"/>
                                <w:spacing w:before="0" w:after="0" w:line="320" w:lineRule="exact"/>
                              </w:pPr>
                              <w:r>
                                <w:rPr>
                                  <w:rFonts w:hint="eastAsia"/>
                                </w:rPr>
                                <w:t>环境现状调查监测与评价</w:t>
                              </w:r>
                            </w:p>
                          </w:txbxContent>
                        </wps:txbx>
                        <wps:bodyPr vert="horz" anchor="t" anchorCtr="0" upright="1"/>
                      </wps:wsp>
                      <wps:wsp>
                        <wps:cNvPr id="166" name="Rectangle 390"/>
                        <wps:cNvSpPr/>
                        <wps:spPr>
                          <a:xfrm>
                            <a:off x="19566" y="42937"/>
                            <a:ext cx="1315" cy="7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CB73AE">
                              <w:pPr>
                                <w:pStyle w:val="90"/>
                                <w:spacing w:before="0" w:after="0" w:line="320" w:lineRule="exact"/>
                              </w:pPr>
                              <w:r>
                                <w:rPr>
                                  <w:rFonts w:hint="eastAsia"/>
                                </w:rPr>
                                <w:t>建设项目工程分析</w:t>
                              </w:r>
                            </w:p>
                          </w:txbxContent>
                        </wps:txbx>
                        <wps:bodyPr vert="horz" anchor="t" anchorCtr="0" upright="1"/>
                      </wps:wsp>
                      <wps:wsp>
                        <wps:cNvPr id="167" name="Straight Connector 391"/>
                        <wps:cNvCnPr>
                          <a:stCxn id="165" idx="2"/>
                        </wps:cNvCnPr>
                        <wps:spPr>
                          <a:xfrm>
                            <a:off x="18871" y="44047"/>
                            <a:ext cx="1" cy="399"/>
                          </a:xfrm>
                          <a:prstGeom prst="straightConnector1">
                            <a:avLst/>
                          </a:prstGeom>
                          <a:ln w="9525" cap="flat" cmpd="sng">
                            <a:solidFill>
                              <a:srgbClr val="000000"/>
                            </a:solidFill>
                            <a:prstDash val="solid"/>
                            <a:headEnd type="none" w="med" len="med"/>
                            <a:tailEnd type="triangle" w="med" len="med"/>
                          </a:ln>
                          <a:effectLst/>
                        </wps:spPr>
                        <wps:bodyPr/>
                      </wps:wsp>
                      <wps:wsp>
                        <wps:cNvPr id="168" name="Straight Connector 394"/>
                        <wps:cNvCnPr>
                          <a:stCxn id="165" idx="2"/>
                        </wps:cNvCnPr>
                        <wps:spPr>
                          <a:xfrm>
                            <a:off x="17301" y="44048"/>
                            <a:ext cx="2940" cy="1"/>
                          </a:xfrm>
                          <a:prstGeom prst="straightConnector1">
                            <a:avLst/>
                          </a:prstGeom>
                          <a:ln w="9525" cap="flat" cmpd="sng">
                            <a:solidFill>
                              <a:srgbClr val="000000"/>
                            </a:solidFill>
                            <a:prstDash val="solid"/>
                            <a:headEnd type="none" w="med" len="med"/>
                            <a:tailEnd type="none" w="med" len="med"/>
                          </a:ln>
                          <a:effectLst/>
                        </wps:spPr>
                        <wps:bodyPr/>
                      </wps:wsp>
                      <wps:wsp>
                        <wps:cNvPr id="169" name="Rectangle 395"/>
                        <wps:cNvSpPr/>
                        <wps:spPr>
                          <a:xfrm>
                            <a:off x="16868" y="44436"/>
                            <a:ext cx="3885" cy="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0631F7">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1 各环境要素环境影响预测与评价</w:t>
                              </w:r>
                            </w:p>
                            <w:p w14:paraId="2B1BCBB5">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2 各专题环境影响分析与评价</w:t>
                              </w:r>
                            </w:p>
                          </w:txbxContent>
                        </wps:txbx>
                        <wps:bodyPr vert="horz" anchor="t" anchorCtr="0" upright="1"/>
                      </wps:wsp>
                      <wps:wsp>
                        <wps:cNvPr id="170" name="Rectangle 397"/>
                        <wps:cNvSpPr/>
                        <wps:spPr>
                          <a:xfrm>
                            <a:off x="16733" y="45729"/>
                            <a:ext cx="4170" cy="12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30D8C8">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1 提出环境保护措施，进行技术经济论证</w:t>
                              </w:r>
                            </w:p>
                            <w:p w14:paraId="5EA4E8BF">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2 给出污染物排放清单</w:t>
                              </w:r>
                            </w:p>
                            <w:p w14:paraId="303CAA18">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3给出建设项目环境影响评价结论</w:t>
                              </w:r>
                            </w:p>
                            <w:p w14:paraId="48588195">
                              <w:pPr>
                                <w:pStyle w:val="90"/>
                              </w:pPr>
                            </w:p>
                          </w:txbxContent>
                        </wps:txbx>
                        <wps:bodyPr vert="horz" anchor="t" anchorCtr="0" upright="1"/>
                      </wps:wsp>
                      <wps:wsp>
                        <wps:cNvPr id="171" name="Straight Connector 398"/>
                        <wps:cNvCnPr>
                          <a:stCxn id="165" idx="2"/>
                        </wps:cNvCnPr>
                        <wps:spPr>
                          <a:xfrm>
                            <a:off x="18831" y="47040"/>
                            <a:ext cx="1" cy="363"/>
                          </a:xfrm>
                          <a:prstGeom prst="straightConnector1">
                            <a:avLst/>
                          </a:prstGeom>
                          <a:ln w="9525" cap="flat" cmpd="sng">
                            <a:solidFill>
                              <a:srgbClr val="000000"/>
                            </a:solidFill>
                            <a:prstDash val="solid"/>
                            <a:headEnd type="none" w="med" len="med"/>
                            <a:tailEnd type="triangle" w="med" len="med"/>
                          </a:ln>
                          <a:effectLst/>
                        </wps:spPr>
                        <wps:bodyPr/>
                      </wps:wsp>
                      <wps:wsp>
                        <wps:cNvPr id="172" name="Rectangle 399"/>
                        <wps:cNvSpPr/>
                        <wps:spPr>
                          <a:xfrm>
                            <a:off x="17341" y="47397"/>
                            <a:ext cx="2909" cy="4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37605D">
                              <w:pPr>
                                <w:pStyle w:val="90"/>
                                <w:spacing w:before="0" w:after="0"/>
                              </w:pPr>
                              <w:r>
                                <w:rPr>
                                  <w:rFonts w:hint="eastAsia"/>
                                </w:rPr>
                                <w:t>编制环境影响报告书（表）</w:t>
                              </w:r>
                            </w:p>
                          </w:txbxContent>
                        </wps:txbx>
                        <wps:bodyPr vert="horz" anchor="t" anchorCtr="0" upright="1"/>
                      </wps:wsp>
                      <wps:wsp>
                        <wps:cNvPr id="173" name="Straight Connector 409"/>
                        <wps:cNvCnPr>
                          <a:stCxn id="165" idx="2"/>
                        </wps:cNvCnPr>
                        <wps:spPr>
                          <a:xfrm>
                            <a:off x="14627" y="45513"/>
                            <a:ext cx="8415" cy="1"/>
                          </a:xfrm>
                          <a:prstGeom prst="straightConnector1">
                            <a:avLst/>
                          </a:prstGeom>
                          <a:ln w="9525" cap="flat" cmpd="sng">
                            <a:solidFill>
                              <a:srgbClr val="000000"/>
                            </a:solidFill>
                            <a:prstDash val="dash"/>
                            <a:headEnd type="none" w="med" len="med"/>
                            <a:tailEnd type="none" w="med" len="med"/>
                          </a:ln>
                          <a:effectLst/>
                        </wps:spPr>
                        <wps:bodyPr/>
                      </wps:wsp>
                      <wps:wsp>
                        <wps:cNvPr id="174" name="Rectangle 413"/>
                        <wps:cNvSpPr/>
                        <wps:spPr>
                          <a:xfrm>
                            <a:off x="14764" y="37756"/>
                            <a:ext cx="8415" cy="10377"/>
                          </a:xfrm>
                          <a:prstGeom prst="rect">
                            <a:avLst/>
                          </a:prstGeom>
                          <a:noFill/>
                          <a:ln w="9525" cap="flat" cmpd="sng">
                            <a:solidFill>
                              <a:srgbClr val="000000"/>
                            </a:solidFill>
                            <a:prstDash val="dash"/>
                            <a:miter/>
                            <a:headEnd type="none" w="med" len="med"/>
                            <a:tailEnd type="none" w="med" len="med"/>
                          </a:ln>
                          <a:effectLst/>
                        </wps:spPr>
                        <wps:bodyPr vert="horz" anchor="t" anchorCtr="0" upright="1"/>
                      </wps:wsp>
                      <wps:wsp>
                        <wps:cNvPr id="175" name="Straight Connector 391"/>
                        <wps:cNvCnPr/>
                        <wps:spPr>
                          <a:xfrm>
                            <a:off x="18832" y="45359"/>
                            <a:ext cx="1" cy="399"/>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组合 1027" o:spid="_x0000_s1026" o:spt="203" style="position:absolute;left:0pt;margin-left:-12.9pt;margin-top:3.45pt;height:518.8pt;width:427.55pt;z-index:251666432;mso-width-relative:page;mso-height-relative:page;" coordorigin="14627,37756" coordsize="8551,10376" o:gfxdata="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">
                <o:lock v:ext="edit" aspectratio="f"/>
                <v:shape id="Straight Connector 377" o:spid="_x0000_s1026" o:spt="32" type="#_x0000_t32" style="position:absolute;left:18936;top:41282;height:309;width:1;" filled="f" stroked="t" coordsize="21600,21600" o:gfxdata="UEsDBAoAAAAAAIdO4kAAAAAAAAAAAAAAAAAEAAAAZHJzL1BLAwQUAAAACACHTuJAomB8ycAAAADc&#10;AAAADwAAAGRycy9kb3ducmV2LnhtbEWPT0vDQBDF74LfYRnBm91EJ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Hz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Straight Connector 387" o:spid="_x0000_s1026" o:spt="32" type="#_x0000_t32" style="position:absolute;left:17303;top:42496;height:426;width:1;" filled="f" stroked="t" coordsize="21600,21600" o:gfxdata="UEsDBAoAAAAAAIdO4kAAAAAAAAAAAAAAAAAEAAAAZHJzL1BLAwQUAAAACACHTuJARxMhoLwAAADc&#10;AAAADwAAAGRycy9kb3ducmV2LnhtbEVPTWvCQBC9F/wPywheiu4m2G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Ia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Connector 388" o:spid="_x0000_s1026" o:spt="32" type="#_x0000_t32" style="position:absolute;left:20230;top:42511;height:446;width:1;" filled="f" stroked="t" coordsize="21600,21600" o:gfxdata="UEsDBAoAAAAAAIdO4kAAAAAAAAAAAAAAAAAEAAAAZHJzL1BLAwQUAAAACACHTuJAU/Ae4L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Straight Connector 392" o:spid="_x0000_s1026" o:spt="32" type="#_x0000_t32" style="position:absolute;left:17317;top:43695;height:357;width:1;" filled="f" stroked="t" coordsize="21600,21600" o:gfxdata="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8u3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Straight Connector 393" o:spid="_x0000_s1026" o:spt="32" type="#_x0000_t32" style="position:absolute;left:20258;top:43642;height:432;width:1;" filled="f" stroked="t" coordsize="21600,21600" o:gfxdata="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4l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Straight Connector 408" o:spid="_x0000_s1026" o:spt="32" type="#_x0000_t32" style="position:absolute;left:14739;top:42201;height:1;width:8415;" filled="f" stroked="t" coordsize="21600,21600" o:gfxdata="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JvU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rect id="Rectangle 410" o:spid="_x0000_s1026" o:spt="1" style="position:absolute;left:14856;top:38806;height:1770;width:420;" filled="f" stroked="f" coordsize="21600,21600" o:gfxdata="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S1g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900C114">
                        <w:pPr>
                          <w:pStyle w:val="90"/>
                        </w:pPr>
                        <w:r>
                          <w:rPr>
                            <w:rFonts w:hint="eastAsia"/>
                          </w:rPr>
                          <w:t>第一阶段</w:t>
                        </w:r>
                      </w:p>
                    </w:txbxContent>
                  </v:textbox>
                </v:rect>
                <v:rect id="Rectangle 411" o:spid="_x0000_s1026" o:spt="1" style="position:absolute;left:14821;top:43403;height:1479;width:420;" filled="f" stroked="f" coordsize="21600,21600" o:gfxdata="UEsDBAoAAAAAAIdO4kAAAAAAAAAAAAAAAAAEAAAAZHJzL1BLAwQUAAAACACHTuJA6+gQGrsAAADc&#10;AAAADwAAAGRycy9kb3ducmV2LnhtbEVPS4vCMBC+C/6HMIIX0VTB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Q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2A3E8CE">
                        <w:pPr>
                          <w:pStyle w:val="90"/>
                        </w:pPr>
                        <w:r>
                          <w:rPr>
                            <w:rFonts w:hint="eastAsia"/>
                          </w:rPr>
                          <w:t>第二阶段</w:t>
                        </w:r>
                      </w:p>
                    </w:txbxContent>
                  </v:textbox>
                </v:rect>
                <v:rect id="Rectangle 412" o:spid="_x0000_s1026" o:spt="1" style="position:absolute;left:14776;top:45853;height:1522;width:420;" filled="f" stroked="f" coordsize="21600,21600" o:gfxdata="UEsDBAoAAAAAAIdO4kAAAAAAAAAAAAAAAAAEAAAAZHJzL1BLAwQUAAAACACHTuJAGzqObbsAAADc&#10;AAAADwAAAGRycy9kb3ducmV2LnhtbEVPTYvCMBC9C/sfwix4kTVVU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qO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A069703">
                        <w:pPr>
                          <w:pStyle w:val="90"/>
                        </w:pPr>
                        <w:r>
                          <w:rPr>
                            <w:rFonts w:hint="eastAsia"/>
                          </w:rPr>
                          <w:t>第三阶段</w:t>
                        </w:r>
                      </w:p>
                    </w:txbxContent>
                  </v:textbox>
                </v:rect>
                <v:rect id="Rectangle 376" o:spid="_x0000_s1026" o:spt="1" style="position:absolute;left:16736;top:38787;height:1083;width:4470;" fillcolor="#FFFFFF" filled="t" stroked="t" coordsize="21600,21600" o:gfxdata="UEsDBAoAAAAAAIdO4kAAAAAAAAAAAAAAAAAEAAAAZHJzL1BLAwQUAAAACACHTuJAHKvPdrwAAADc&#10;AAAADwAAAGRycy9kb3ducmV2LnhtbEVPPW/CMBDdK/EfrEPqVuxQQU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z3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8C4DBF">
                        <w:pPr>
                          <w:pStyle w:val="90"/>
                          <w:spacing w:before="0" w:after="0" w:line="280" w:lineRule="exact"/>
                          <w:rPr>
                            <w:rFonts w:ascii="Times New Roman" w:hAnsi="Times New Roman" w:cs="Times New Roman"/>
                          </w:rPr>
                        </w:pPr>
                        <w:r>
                          <w:rPr>
                            <w:rFonts w:ascii="Times New Roman" w:hAnsi="Times New Roman" w:cs="Times New Roman"/>
                          </w:rPr>
                          <w:t>1 研究相关技术文件和其他有关文件</w:t>
                        </w:r>
                      </w:p>
                      <w:p w14:paraId="40EC25B5">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进行初步工程分析</w:t>
                        </w:r>
                      </w:p>
                      <w:p w14:paraId="43AC8622">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开</w:t>
                        </w:r>
                        <w:r>
                          <w:rPr>
                            <w:rFonts w:hint="eastAsia" w:ascii="Times New Roman" w:hAnsi="Times New Roman" w:cs="Times New Roman"/>
                          </w:rPr>
                          <w:t>展初步的环境状况调查</w:t>
                        </w:r>
                      </w:p>
                    </w:txbxContent>
                  </v:textbox>
                </v:rect>
                <v:rect id="Rectangle 372" o:spid="_x0000_s1026" o:spt="1" style="position:absolute;left:16753;top:37971;height:421;width:4488;"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018C34D">
                        <w:pPr>
                          <w:pStyle w:val="90"/>
                          <w:spacing w:before="0" w:after="0"/>
                        </w:pPr>
                        <w:r>
                          <w:rPr>
                            <w:rFonts w:hint="eastAsia"/>
                          </w:rPr>
                          <w:t>依据相关规定确定环境影响评价文件类型</w:t>
                        </w:r>
                      </w:p>
                    </w:txbxContent>
                  </v:textbox>
                </v:rect>
                <v:shape id="Straight Connector 373" o:spid="_x0000_s1026" o:spt="32" type="#_x0000_t32" style="position:absolute;left:18940;top:38434;height:349;width:1;" filled="f" stroked="t" coordsize="21600,21600" o:gfxdata="UEsDBAoAAAAAAIdO4kAAAAAAAAAAAAAAAAAEAAAAZHJzL1BLAwQUAAAACACHTuJASPVPj7wAAADc&#10;AAAADwAAAGRycy9kb3ducmV2LnhtbEVPS2sCMRC+F/ofwgi91axCF1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1T4+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Connector 375" o:spid="_x0000_s1026" o:spt="32" type="#_x0000_t32" style="position:absolute;left:18936;top:39882;height:309;width:1;" filled="f" stroked="t" coordsize="21600,21600" o:gfxdata="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j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032" o:spid="_x0000_s1026" o:spt="1" style="position:absolute;left:16710;top:40204;height:1083;width:447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F2AC710">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 环境影响识别和评价因子筛选</w:t>
                        </w:r>
                      </w:p>
                      <w:p w14:paraId="2910FD85">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明确评价重点和环境保护目标</w:t>
                        </w:r>
                      </w:p>
                      <w:p w14:paraId="6AA2D179">
                        <w:pPr>
                          <w:pStyle w:val="90"/>
                          <w:spacing w:before="0" w:after="0" w:line="28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确定</w:t>
                        </w:r>
                        <w:r>
                          <w:rPr>
                            <w:rFonts w:hint="eastAsia" w:ascii="Times New Roman" w:hAnsi="Times New Roman" w:cs="Times New Roman"/>
                          </w:rPr>
                          <w:t>工作等级、评价范围和评价标准</w:t>
                        </w:r>
                      </w:p>
                    </w:txbxContent>
                  </v:textbox>
                </v:rect>
                <v:rect id="Rectangle 382" o:spid="_x0000_s1026" o:spt="1" style="position:absolute;left:17909;top:41589;height:421;width:1935;"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BB67A6A">
                        <w:pPr>
                          <w:pStyle w:val="90"/>
                          <w:spacing w:before="0" w:after="0"/>
                        </w:pPr>
                        <w:r>
                          <w:rPr>
                            <w:rFonts w:hint="eastAsia"/>
                          </w:rPr>
                          <w:t>制定工作方案</w:t>
                        </w:r>
                      </w:p>
                    </w:txbxContent>
                  </v:textbox>
                </v:rect>
                <v:shape id="Straight Connector 385" o:spid="_x0000_s1026" o:spt="32" type="#_x0000_t32" style="position:absolute;left:18893;top:42047;flip:x;height:465;width:7;" filled="f" stroked="t" coordsize="21600,21600" o:gfxdata="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34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Straight Connector 386" o:spid="_x0000_s1026" o:spt="32" type="#_x0000_t32" style="position:absolute;left:17289;top:42510;height:1;width:2940;" filled="f" stroked="t" coordsize="21600,21600" o:gfxdata="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9J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rect id="Rectangle 389" o:spid="_x0000_s1026" o:spt="1" style="position:absolute;left:16296;top:42925;height:770;width:2042;" fillcolor="#FFFFFF" filled="t" stroked="t" coordsize="21600,21600" o:gfxdata="UEsDBAoAAAAAAIdO4kAAAAAAAAAAAAAAAAAEAAAAZHJzL1BLAwQUAAAACACHTuJATVk+J7wAAADc&#10;AAAADwAAAGRycy9kb3ducmV2LnhtbEVPPW/CMBDdK/EfrENiKzagoj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P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DB6E57">
                        <w:pPr>
                          <w:pStyle w:val="90"/>
                          <w:spacing w:before="0" w:after="0" w:line="320" w:lineRule="exact"/>
                        </w:pPr>
                        <w:r>
                          <w:rPr>
                            <w:rFonts w:hint="eastAsia"/>
                          </w:rPr>
                          <w:t>环境现状调查监测与评价</w:t>
                        </w:r>
                      </w:p>
                    </w:txbxContent>
                  </v:textbox>
                </v:rect>
                <v:rect id="Rectangle 390" o:spid="_x0000_s1026" o:spt="1" style="position:absolute;left:19566;top:42937;height:781;width:1315;"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ECB73AE">
                        <w:pPr>
                          <w:pStyle w:val="90"/>
                          <w:spacing w:before="0" w:after="0" w:line="320" w:lineRule="exact"/>
                        </w:pPr>
                        <w:r>
                          <w:rPr>
                            <w:rFonts w:hint="eastAsia"/>
                          </w:rPr>
                          <w:t>建设项目工程分析</w:t>
                        </w:r>
                      </w:p>
                    </w:txbxContent>
                  </v:textbox>
                </v:rect>
                <v:shape id="Straight Connector 391" o:spid="_x0000_s1026" o:spt="32" type="#_x0000_t32" style="position:absolute;left:18871;top:44047;height:399;width:1;" filled="f" stroked="t" coordsize="21600,21600" o:gfxdata="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tN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Connector 394" o:spid="_x0000_s1026" o:spt="32" type="#_x0000_t32" style="position:absolute;left:17301;top:44048;height:1;width:2940;" filled="f" stroked="t" coordsize="21600,21600" o:gfxdata="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Rectangle 395" o:spid="_x0000_s1026" o:spt="1" style="position:absolute;left:16868;top:44436;height:895;width:3885;" fillcolor="#FFFFFF" filled="t" stroked="t" coordsize="21600,21600" o:gfxdata="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UN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0631F7">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1 各环境要素环境影响预测与评价</w:t>
                        </w:r>
                      </w:p>
                      <w:p w14:paraId="2B1BCBB5">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2 各专题环境影响分析与评价</w:t>
                        </w:r>
                      </w:p>
                    </w:txbxContent>
                  </v:textbox>
                </v:rect>
                <v:rect id="Rectangle 397" o:spid="_x0000_s1026" o:spt="1" style="position:absolute;left:16733;top:45729;height:1294;width:4170;" fillcolor="#FFFFFF" filled="t" stroked="t" coordsize="21600,21600" o:gfxdata="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cL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C30D8C8">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1 提出环境保护措施，进行技术经济论证</w:t>
                        </w:r>
                      </w:p>
                      <w:p w14:paraId="5EA4E8BF">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2 给出污染物排放清单</w:t>
                        </w:r>
                      </w:p>
                      <w:p w14:paraId="303CAA18">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3给出建设项目环境影响评价结论</w:t>
                        </w:r>
                      </w:p>
                      <w:p w14:paraId="48588195">
                        <w:pPr>
                          <w:pStyle w:val="90"/>
                        </w:pPr>
                      </w:p>
                    </w:txbxContent>
                  </v:textbox>
                </v:rect>
                <v:shape id="Straight Connector 398" o:spid="_x0000_s1026" o:spt="32" type="#_x0000_t32" style="position:absolute;left:18831;top:47040;height:363;width:1;"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Rectangle 399" o:spid="_x0000_s1026" o:spt="1" style="position:absolute;left:17341;top:47397;height:414;width:2909;" fillcolor="#FFFFFF" filled="t" stroked="t" coordsize="21600,21600" o:gfxdata="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MI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37605D">
                        <w:pPr>
                          <w:pStyle w:val="90"/>
                          <w:spacing w:before="0" w:after="0"/>
                        </w:pPr>
                        <w:r>
                          <w:rPr>
                            <w:rFonts w:hint="eastAsia"/>
                          </w:rPr>
                          <w:t>编制环境影响报告书（表）</w:t>
                        </w:r>
                      </w:p>
                    </w:txbxContent>
                  </v:textbox>
                </v:rect>
                <v:shape id="Straight Connector 409" o:spid="_x0000_s1026" o:spt="32" type="#_x0000_t32" style="position:absolute;left:14627;top:45513;height:1;width:8415;" filled="f" stroked="t" coordsize="21600,21600" o:gfxdata="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ce0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rect id="Rectangle 413" o:spid="_x0000_s1026" o:spt="1" style="position:absolute;left:14764;top:37756;height:10377;width:8415;" filled="f" stroked="t" coordsize="21600,21600" o:gfxdata="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IG8AAAA&#10;3AAAAA8AAAAAAAAAAQAgAAAAIgAAAGRycy9kb3ducmV2LnhtbFBLAQIUABQAAAAIAIdO4kAzLwWe&#10;OwAAADkAAAAQAAAAAAAAAAEAIAAAAAsBAABkcnMvc2hhcGV4bWwueG1sUEsFBgAAAAAGAAYAWwEA&#10;ALUDAAAAAA==&#10;">
                  <v:fill on="f" focussize="0,0"/>
                  <v:stroke color="#000000" joinstyle="miter" dashstyle="dash"/>
                  <v:imagedata o:title=""/>
                  <o:lock v:ext="edit" aspectratio="f"/>
                </v:rect>
                <v:shape id="Straight Connector 391" o:spid="_x0000_s1026" o:spt="32" type="#_x0000_t32" style="position:absolute;left:18832;top:45359;height:399;width:1;" filled="f" stroked="t" coordsize="21600,21600" o:gfxdata="UEsDBAoAAAAAAIdO4kAAAAAAAAAAAAAAAAAEAAAAZHJzL1BLAwQUAAAACACHTuJAgg0Z6r0AAADc&#10;AAAADwAAAGRycy9kb3ducmV2LnhtbEVPS2sCMRC+C/0PYQreatZCt3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Rn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38D362E6">
      <w:pPr>
        <w:pStyle w:val="48"/>
        <w:spacing w:before="60" w:after="60"/>
        <w:rPr>
          <w:rFonts w:hint="default" w:ascii="Times New Roman" w:hAnsi="Times New Roman" w:cs="Times New Roman"/>
          <w:color w:val="auto"/>
          <w:highlight w:val="none"/>
        </w:rPr>
      </w:pPr>
    </w:p>
    <w:p w14:paraId="4B58FD4D">
      <w:pPr>
        <w:pStyle w:val="7"/>
        <w:ind w:firstLine="560"/>
        <w:rPr>
          <w:rFonts w:hint="default" w:ascii="Times New Roman" w:hAnsi="Times New Roman" w:cs="Times New Roman"/>
          <w:color w:val="auto"/>
          <w:highlight w:val="none"/>
        </w:rPr>
      </w:pPr>
    </w:p>
    <w:p w14:paraId="465BF95E">
      <w:pPr>
        <w:pStyle w:val="7"/>
        <w:ind w:firstLine="560"/>
        <w:rPr>
          <w:rFonts w:hint="default" w:ascii="Times New Roman" w:hAnsi="Times New Roman" w:cs="Times New Roman"/>
          <w:color w:val="auto"/>
          <w:highlight w:val="none"/>
        </w:rPr>
      </w:pPr>
    </w:p>
    <w:p w14:paraId="677A90C6">
      <w:pPr>
        <w:pStyle w:val="7"/>
        <w:ind w:firstLine="560"/>
        <w:rPr>
          <w:rFonts w:hint="default" w:ascii="Times New Roman" w:hAnsi="Times New Roman" w:cs="Times New Roman"/>
          <w:color w:val="auto"/>
          <w:highlight w:val="none"/>
        </w:rPr>
      </w:pPr>
    </w:p>
    <w:p w14:paraId="447A25E7">
      <w:pPr>
        <w:pStyle w:val="7"/>
        <w:ind w:firstLine="560"/>
        <w:rPr>
          <w:rFonts w:hint="default" w:ascii="Times New Roman" w:hAnsi="Times New Roman" w:cs="Times New Roman"/>
          <w:color w:val="auto"/>
          <w:highlight w:val="none"/>
        </w:rPr>
      </w:pPr>
    </w:p>
    <w:p w14:paraId="30102397">
      <w:pPr>
        <w:pStyle w:val="7"/>
        <w:ind w:firstLine="560"/>
        <w:rPr>
          <w:rFonts w:hint="default" w:ascii="Times New Roman" w:hAnsi="Times New Roman" w:cs="Times New Roman"/>
          <w:color w:val="auto"/>
          <w:highlight w:val="none"/>
        </w:rPr>
      </w:pPr>
    </w:p>
    <w:p w14:paraId="24D29400">
      <w:pPr>
        <w:pStyle w:val="7"/>
        <w:ind w:firstLine="560"/>
        <w:rPr>
          <w:rFonts w:hint="default" w:ascii="Times New Roman" w:hAnsi="Times New Roman" w:cs="Times New Roman"/>
          <w:color w:val="auto"/>
          <w:highlight w:val="none"/>
        </w:rPr>
      </w:pPr>
    </w:p>
    <w:p w14:paraId="7F348F67">
      <w:pPr>
        <w:pStyle w:val="7"/>
        <w:ind w:firstLine="560"/>
        <w:rPr>
          <w:rFonts w:hint="default" w:ascii="Times New Roman" w:hAnsi="Times New Roman" w:cs="Times New Roman"/>
          <w:color w:val="auto"/>
          <w:highlight w:val="none"/>
        </w:rPr>
      </w:pPr>
    </w:p>
    <w:p w14:paraId="3D93D247">
      <w:pPr>
        <w:pStyle w:val="7"/>
        <w:ind w:firstLine="560"/>
        <w:rPr>
          <w:rFonts w:hint="default" w:ascii="Times New Roman" w:hAnsi="Times New Roman" w:cs="Times New Roman"/>
          <w:color w:val="auto"/>
          <w:highlight w:val="none"/>
        </w:rPr>
      </w:pPr>
    </w:p>
    <w:p w14:paraId="75EDDC6B">
      <w:pPr>
        <w:pStyle w:val="7"/>
        <w:ind w:firstLine="560"/>
        <w:rPr>
          <w:rFonts w:hint="default" w:ascii="Times New Roman" w:hAnsi="Times New Roman" w:cs="Times New Roman"/>
          <w:color w:val="auto"/>
          <w:highlight w:val="none"/>
        </w:rPr>
      </w:pPr>
    </w:p>
    <w:p w14:paraId="21567B73">
      <w:pPr>
        <w:pStyle w:val="7"/>
        <w:ind w:firstLine="560"/>
        <w:rPr>
          <w:rFonts w:hint="default" w:ascii="Times New Roman" w:hAnsi="Times New Roman" w:cs="Times New Roman"/>
          <w:color w:val="auto"/>
          <w:highlight w:val="none"/>
        </w:rPr>
      </w:pPr>
    </w:p>
    <w:p w14:paraId="15ED7009">
      <w:pPr>
        <w:pStyle w:val="7"/>
        <w:ind w:firstLine="560"/>
        <w:rPr>
          <w:rFonts w:hint="default" w:ascii="Times New Roman" w:hAnsi="Times New Roman" w:cs="Times New Roman"/>
          <w:color w:val="auto"/>
          <w:highlight w:val="none"/>
        </w:rPr>
      </w:pPr>
    </w:p>
    <w:p w14:paraId="529EFDAA">
      <w:pPr>
        <w:pStyle w:val="7"/>
        <w:ind w:firstLine="560"/>
        <w:rPr>
          <w:rFonts w:hint="default" w:ascii="Times New Roman" w:hAnsi="Times New Roman" w:cs="Times New Roman"/>
          <w:color w:val="auto"/>
          <w:highlight w:val="none"/>
        </w:rPr>
      </w:pPr>
    </w:p>
    <w:p w14:paraId="3681B975">
      <w:pPr>
        <w:pStyle w:val="7"/>
        <w:ind w:firstLine="560"/>
        <w:rPr>
          <w:rFonts w:hint="default" w:ascii="Times New Roman" w:hAnsi="Times New Roman" w:cs="Times New Roman"/>
          <w:color w:val="auto"/>
          <w:highlight w:val="none"/>
        </w:rPr>
      </w:pPr>
    </w:p>
    <w:p w14:paraId="1A0FAFD5">
      <w:pPr>
        <w:pStyle w:val="7"/>
        <w:ind w:firstLine="560"/>
        <w:rPr>
          <w:rFonts w:hint="default" w:ascii="Times New Roman" w:hAnsi="Times New Roman" w:cs="Times New Roman"/>
          <w:color w:val="auto"/>
          <w:highlight w:val="none"/>
        </w:rPr>
      </w:pPr>
    </w:p>
    <w:p w14:paraId="1143FE50">
      <w:pPr>
        <w:pStyle w:val="7"/>
        <w:ind w:firstLine="560"/>
        <w:rPr>
          <w:rFonts w:hint="default" w:ascii="Times New Roman" w:hAnsi="Times New Roman" w:cs="Times New Roman"/>
          <w:color w:val="auto"/>
          <w:highlight w:val="none"/>
        </w:rPr>
      </w:pPr>
    </w:p>
    <w:p w14:paraId="6A7C8263">
      <w:pPr>
        <w:pStyle w:val="7"/>
        <w:ind w:firstLine="560"/>
        <w:rPr>
          <w:rFonts w:hint="default" w:ascii="Times New Roman" w:hAnsi="Times New Roman" w:cs="Times New Roman"/>
          <w:color w:val="auto"/>
          <w:highlight w:val="none"/>
        </w:rPr>
      </w:pPr>
    </w:p>
    <w:p w14:paraId="66D6A028">
      <w:pPr>
        <w:pStyle w:val="7"/>
        <w:ind w:firstLine="560"/>
        <w:rPr>
          <w:rFonts w:hint="default" w:ascii="Times New Roman" w:hAnsi="Times New Roman" w:cs="Times New Roman"/>
          <w:color w:val="auto"/>
          <w:highlight w:val="none"/>
        </w:rPr>
      </w:pPr>
    </w:p>
    <w:p w14:paraId="78445004">
      <w:pPr>
        <w:pStyle w:val="7"/>
        <w:ind w:firstLine="560"/>
        <w:rPr>
          <w:rFonts w:hint="default" w:ascii="Times New Roman" w:hAnsi="Times New Roman" w:cs="Times New Roman"/>
          <w:color w:val="auto"/>
          <w:highlight w:val="none"/>
        </w:rPr>
      </w:pPr>
    </w:p>
    <w:p w14:paraId="1F3710A1">
      <w:pPr>
        <w:pStyle w:val="7"/>
        <w:ind w:firstLine="560"/>
        <w:rPr>
          <w:rFonts w:hint="default" w:ascii="Times New Roman" w:hAnsi="Times New Roman" w:cs="Times New Roman"/>
          <w:color w:val="auto"/>
          <w:highlight w:val="none"/>
        </w:rPr>
      </w:pPr>
    </w:p>
    <w:p w14:paraId="1DF79057">
      <w:pPr>
        <w:pStyle w:val="7"/>
        <w:ind w:firstLine="560"/>
        <w:rPr>
          <w:rFonts w:hint="default" w:ascii="Times New Roman" w:hAnsi="Times New Roman" w:cs="Times New Roman"/>
          <w:color w:val="auto"/>
          <w:highlight w:val="none"/>
        </w:rPr>
      </w:pPr>
    </w:p>
    <w:p w14:paraId="2E3DD2B4">
      <w:pPr>
        <w:pStyle w:val="41"/>
        <w:spacing w:line="480" w:lineRule="exact"/>
        <w:ind w:firstLine="0" w:firstLineChars="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图1.2-1    环境影响评价工作程序图</w:t>
      </w:r>
    </w:p>
    <w:p w14:paraId="1EE28E1E">
      <w:pPr>
        <w:pStyle w:val="3"/>
        <w:spacing w:line="560" w:lineRule="atLeast"/>
        <w:rPr>
          <w:rFonts w:hint="default" w:ascii="Times New Roman" w:hAnsi="Times New Roman" w:cs="Times New Roman"/>
          <w:color w:val="auto"/>
          <w:highlight w:val="none"/>
        </w:rPr>
      </w:pPr>
      <w:bookmarkStart w:id="34" w:name="_Toc19343"/>
      <w:bookmarkStart w:id="35" w:name="_Toc24627"/>
      <w:bookmarkStart w:id="36" w:name="_Toc107413873"/>
      <w:bookmarkStart w:id="37" w:name="_Toc26741"/>
      <w:bookmarkStart w:id="38" w:name="_Toc23057"/>
      <w:bookmarkStart w:id="39" w:name="_Toc107414640"/>
      <w:bookmarkStart w:id="40" w:name="_Toc4397"/>
      <w:r>
        <w:rPr>
          <w:rFonts w:hint="default" w:ascii="Times New Roman" w:hAnsi="Times New Roman" w:cs="Times New Roman"/>
          <w:color w:val="auto"/>
          <w:highlight w:val="none"/>
        </w:rPr>
        <w:t>1.3分析判定相关情况</w:t>
      </w:r>
      <w:bookmarkEnd w:id="34"/>
      <w:bookmarkEnd w:id="35"/>
      <w:bookmarkEnd w:id="36"/>
      <w:bookmarkEnd w:id="37"/>
      <w:bookmarkEnd w:id="38"/>
      <w:bookmarkEnd w:id="39"/>
      <w:bookmarkEnd w:id="40"/>
    </w:p>
    <w:p w14:paraId="012F81F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本项目与法律法规、政策规划及技术规范等符合性分析</w:t>
      </w:r>
      <w:r>
        <w:rPr>
          <w:rFonts w:hint="default" w:ascii="Times New Roman" w:hAnsi="Times New Roman" w:cs="Times New Roman"/>
          <w:color w:val="auto"/>
          <w:highlight w:val="none"/>
          <w:lang w:eastAsia="zh-CN"/>
        </w:rPr>
        <w:t>见产业政策及规划符合性分析章节，判定结果摘要</w:t>
      </w:r>
      <w:r>
        <w:rPr>
          <w:rFonts w:hint="default" w:ascii="Times New Roman" w:hAnsi="Times New Roman" w:cs="Times New Roman"/>
          <w:color w:val="auto"/>
          <w:highlight w:val="none"/>
        </w:rPr>
        <w:t>如下：</w:t>
      </w:r>
    </w:p>
    <w:p w14:paraId="053A5C5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根据《产业结构调整指导目录（20</w:t>
      </w:r>
      <w:r>
        <w:rPr>
          <w:rFonts w:hint="default"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年本）》，本项目</w:t>
      </w:r>
      <w:r>
        <w:rPr>
          <w:rFonts w:hint="default" w:ascii="Times New Roman" w:hAnsi="Times New Roman" w:eastAsia="宋体" w:cs="Times New Roman"/>
          <w:color w:val="auto"/>
          <w:sz w:val="24"/>
          <w:highlight w:val="none"/>
          <w:lang w:val="en-US" w:eastAsia="zh-CN"/>
        </w:rPr>
        <w:t>属于黄金</w:t>
      </w:r>
      <w:r>
        <w:rPr>
          <w:rFonts w:hint="default" w:ascii="Times New Roman" w:hAnsi="Times New Roman" w:cs="Times New Roman"/>
          <w:color w:val="auto"/>
          <w:sz w:val="24"/>
          <w:highlight w:val="none"/>
          <w:lang w:val="en-US" w:eastAsia="zh-CN"/>
        </w:rPr>
        <w:t>采选</w:t>
      </w:r>
      <w:r>
        <w:rPr>
          <w:rFonts w:hint="default" w:ascii="Times New Roman" w:hAnsi="Times New Roman" w:eastAsia="宋体" w:cs="Times New Roman"/>
          <w:color w:val="auto"/>
          <w:sz w:val="24"/>
          <w:highlight w:val="none"/>
          <w:lang w:val="en-US" w:eastAsia="zh-CN"/>
        </w:rPr>
        <w:t>行业</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不属于产业政策中的鼓</w:t>
      </w:r>
      <w:r>
        <w:rPr>
          <w:rFonts w:hint="default" w:ascii="Times New Roman" w:hAnsi="Times New Roman" w:eastAsia="宋体" w:cs="Times New Roman"/>
          <w:color w:val="auto"/>
          <w:sz w:val="24"/>
          <w:highlight w:val="none"/>
          <w:shd w:val="clear" w:color="auto" w:fill="auto"/>
          <w:lang w:val="en-US" w:eastAsia="zh-CN"/>
        </w:rPr>
        <w:t>励类、限制类、淘汰类，可视为允许类，本</w:t>
      </w:r>
      <w:r>
        <w:rPr>
          <w:rFonts w:hint="default" w:ascii="Times New Roman" w:hAnsi="Times New Roman" w:cs="Times New Roman"/>
          <w:color w:val="auto"/>
          <w:highlight w:val="none"/>
        </w:rPr>
        <w:t>项目</w:t>
      </w:r>
      <w:r>
        <w:rPr>
          <w:rFonts w:hint="default" w:ascii="Times New Roman" w:hAnsi="Times New Roman" w:eastAsia="宋体" w:cs="Times New Roman"/>
          <w:color w:val="auto"/>
          <w:sz w:val="24"/>
          <w:highlight w:val="none"/>
          <w:shd w:val="clear" w:color="auto" w:fill="auto"/>
          <w:lang w:val="en-US" w:eastAsia="zh-CN"/>
        </w:rPr>
        <w:t>的建设目前符合国家相关产业政策。</w:t>
      </w:r>
    </w:p>
    <w:p w14:paraId="0E87A2E5">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shd w:val="clear" w:color="auto" w:fill="auto"/>
          <w:lang w:val="en-US" w:eastAsia="zh-CN"/>
        </w:rPr>
        <w:t>根据中共中央国务院办公厅：《关于划定并严守生态保护红线的若干意见》文件内容：生态保护红线是指在生态空间范围内具有特殊重要生态功能、必须强制性严格保护的区域，是保障和</w:t>
      </w:r>
      <w:r>
        <w:rPr>
          <w:rFonts w:hint="default" w:ascii="Times New Roman" w:hAnsi="Times New Roman" w:cs="Times New Roman"/>
          <w:color w:val="auto"/>
          <w:sz w:val="24"/>
          <w:highlight w:val="none"/>
          <w:shd w:val="clear" w:color="auto" w:fill="auto"/>
          <w:lang w:val="en-US" w:eastAsia="zh-CN"/>
        </w:rPr>
        <w:t>维护</w:t>
      </w:r>
      <w:r>
        <w:rPr>
          <w:rFonts w:hint="default" w:ascii="Times New Roman" w:hAnsi="Times New Roman" w:eastAsia="宋体" w:cs="Times New Roman"/>
          <w:color w:val="auto"/>
          <w:sz w:val="24"/>
          <w:highlight w:val="none"/>
          <w:shd w:val="clear" w:color="auto" w:fill="auto"/>
          <w:lang w:val="en-US" w:eastAsia="zh-CN"/>
        </w:rPr>
        <w:t>国家生态安全的底线和生命线，通常包括具有重要水源涵养、生物多样性</w:t>
      </w:r>
      <w:r>
        <w:rPr>
          <w:rFonts w:hint="default" w:ascii="Times New Roman" w:hAnsi="Times New Roman" w:cs="Times New Roman"/>
          <w:color w:val="auto"/>
          <w:sz w:val="24"/>
          <w:highlight w:val="none"/>
          <w:shd w:val="clear" w:color="auto" w:fill="auto"/>
          <w:lang w:val="en-US" w:eastAsia="zh-CN"/>
        </w:rPr>
        <w:t>维护</w:t>
      </w:r>
      <w:r>
        <w:rPr>
          <w:rFonts w:hint="default" w:ascii="Times New Roman" w:hAnsi="Times New Roman" w:eastAsia="宋体" w:cs="Times New Roman"/>
          <w:color w:val="auto"/>
          <w:sz w:val="24"/>
          <w:highlight w:val="none"/>
          <w:shd w:val="clear" w:color="auto" w:fill="auto"/>
          <w:lang w:val="en-US" w:eastAsia="zh-CN"/>
        </w:rPr>
        <w:t>、水土保持、防风固沙、海岸生态稳定等功能的生态功能重要区域，以及水土流失、土地沙化、石漠化、盐渍化等生态环境敏感脆弱区域，</w:t>
      </w:r>
      <w:r>
        <w:rPr>
          <w:rFonts w:hint="default" w:ascii="Times New Roman" w:hAnsi="Times New Roman" w:cs="Times New Roman"/>
          <w:color w:val="auto"/>
          <w:sz w:val="24"/>
          <w:szCs w:val="24"/>
          <w:highlight w:val="none"/>
          <w:lang w:val="en-US" w:eastAsia="zh-CN"/>
        </w:rPr>
        <w:t>根据《全国水土保持规划国家级水土流失重点预防区和重点治理区复核划分成果》和新疆维吾尔自治区水利厅文件《关于印发新疆</w:t>
      </w:r>
      <w:r>
        <w:rPr>
          <w:rFonts w:hint="default" w:ascii="Times New Roman" w:hAnsi="Times New Roman" w:eastAsia="宋体" w:cs="Times New Roman"/>
          <w:color w:val="auto"/>
          <w:sz w:val="24"/>
          <w:szCs w:val="24"/>
          <w:highlight w:val="none"/>
          <w:lang w:val="en-US" w:eastAsia="zh-CN"/>
        </w:rPr>
        <w:t>维吾尔自治区级水土流失重点预防区和重点治理区复核划分成果的通知》（新水水保〔2019〕4号）可知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本项目所在富蕴县属于阿勒泰山国家级水土流失重点预防区，额尔齐斯河流域自治区级重点治理区。</w:t>
      </w:r>
    </w:p>
    <w:p w14:paraId="5C752F9A">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关于以改善环境质量为核心加强环境影响评价管理的通知》（环环评〔2016〕150号）中“为适应以改善环境质量为核心的环境管理要求，切实加强环境影响评价（以下简称环评）管理，落实‘生态保护红线、环境质量底线、资源利用上线和环境准入负面清单（已改为生态环境准入清单）’以下简称</w:t>
      </w:r>
      <w:r>
        <w:rPr>
          <w:rFonts w:hint="default" w:cs="Times New Roman"/>
          <w:color w:val="auto"/>
          <w:sz w:val="24"/>
          <w:szCs w:val="24"/>
          <w:highlight w:val="none"/>
          <w:lang w:val="en-US" w:eastAsia="zh-CN"/>
        </w:rPr>
        <w:t>分区管控</w:t>
      </w:r>
      <w:r>
        <w:rPr>
          <w:rFonts w:hint="default" w:ascii="Times New Roman" w:hAnsi="Times New Roman" w:eastAsia="宋体" w:cs="Times New Roman"/>
          <w:color w:val="auto"/>
          <w:sz w:val="24"/>
          <w:szCs w:val="24"/>
          <w:highlight w:val="none"/>
          <w:lang w:val="en-US" w:eastAsia="zh-CN"/>
        </w:rPr>
        <w:t>约束，建立项目环评审批与规划环评、现有项目环境管理、区域环境质量联动机制（以下简称“三挂钩”机制），更好地发挥环评制度从源头防范环境污染和生态破坏的作用，加快推进改善环境质量”。“在生态保护红线范围内，严控各类开发建设活动，依法不予审批新建工业项目和矿产开发项目的环评文件”，本项目通过对项目区附近的环境质量进行调查，项目区环境质量达到区域环境质量标准的要求，同时本</w:t>
      </w:r>
      <w:r>
        <w:rPr>
          <w:rFonts w:hint="default" w:ascii="Times New Roman" w:hAnsi="Times New Roman" w:cs="Times New Roman"/>
          <w:color w:val="auto"/>
          <w:highlight w:val="none"/>
        </w:rPr>
        <w:t>项目</w:t>
      </w:r>
      <w:r>
        <w:rPr>
          <w:rFonts w:hint="default" w:ascii="Times New Roman" w:hAnsi="Times New Roman" w:eastAsia="宋体" w:cs="Times New Roman"/>
          <w:color w:val="auto"/>
          <w:sz w:val="24"/>
          <w:szCs w:val="24"/>
          <w:highlight w:val="none"/>
          <w:lang w:val="en-US" w:eastAsia="zh-CN"/>
        </w:rPr>
        <w:t>不在划定的生态保护红线范围内，因此本项目符合原环境保护部发布的《关于以改善环境质量为核心加强环境影响评价管理的通知》的相关要求。</w:t>
      </w:r>
    </w:p>
    <w:p w14:paraId="59E78601">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位于新疆阿勒泰地区富蕴县，不在风景名胜区、自然保护区、饮用水源保护区，尾矿库下游1km范围内无居民区、工矿企业、集贸市场、休闲健身娱乐广场等人员密集场所，尾矿库的选址及建设符合《尾矿设施设计规范》《关于进一步加强尾矿库监督管理工作的指导意见》《关于印发防范化解尾矿库安全风险工作方案的通知》《国家安全监管总局等七部门关于印发深入开展尾矿库综合治理行动方案的通知》等文件中的相关要求。</w:t>
      </w:r>
    </w:p>
    <w:p w14:paraId="1FBE244D">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新疆维吾尔自治区重点行业生态环境准入条件（2024年）》中关于金属矿采选行业环境准入条件要求：“铁路、高速公路、国道、省道等重要交通干线两侧200米范围以内（其中，禁止在铁路、国道、省道两侧的直观可视范围内进行露天开采），重要工业区、大型水利工程设施、城镇市政工程设施所在区域，军事管理区、机场、国防工程设施圈定的区域，居民聚集区1千米以内，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存在山体等阻隔地形或建设人工地下水阻隔设施和严格防尘措施的，可适当放宽距离要求，具体根据专业机构论证结论确定。其他水体根据矿产资源开发利用结论和环境影响评价结论管控”，本项目距离最近的重要交通干线S320约5.3km，周边3km范围内无重要工业区、大型水利工程设施、城镇市政工程设施，无军事管理区、机场、国防工程设施圈定的区域，距离最近的居民聚集区白杨河村为3.2km，距离最近的水体</w:t>
      </w:r>
      <w:r>
        <w:rPr>
          <w:rFonts w:hint="default" w:ascii="Times New Roman" w:hAnsi="Times New Roman" w:cs="Times New Roman"/>
          <w:color w:val="auto"/>
          <w:szCs w:val="24"/>
          <w:highlight w:val="none"/>
          <w:lang w:eastAsia="zh-CN"/>
        </w:rPr>
        <w:t>Ⅱ类水体喀拉通克河</w:t>
      </w:r>
      <w:r>
        <w:rPr>
          <w:rFonts w:hint="default" w:ascii="Times New Roman" w:hAnsi="Times New Roman" w:cs="Times New Roman"/>
          <w:color w:val="auto"/>
          <w:szCs w:val="24"/>
          <w:highlight w:val="none"/>
          <w:lang w:val="en-US" w:eastAsia="zh-CN"/>
        </w:rPr>
        <w:t>左支一河为1.02</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sz w:val="24"/>
          <w:szCs w:val="24"/>
          <w:highlight w:val="none"/>
          <w:lang w:val="en-US" w:eastAsia="zh-CN"/>
        </w:rPr>
        <w:t>因此本项目建设满足重点行业环境准入要求。</w:t>
      </w:r>
    </w:p>
    <w:p w14:paraId="4E42148F">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新疆维吾尔自治区环境保护条例》第三十条中指出：“任何单位和个人不得在水源涵养区、饮用水水源保护区内和河流、湖泊、水库周围建设重化工、涉重金属等工业污染项目；对已建成的工业污染项目，当地人民政府应当组织限期搬迁”，本项目不在水源涵养区、饮用水水源保护区和湖泊、水库等范围内。</w:t>
      </w:r>
    </w:p>
    <w:p w14:paraId="153FCD10">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不属于《关于进一步加强重金属污染防控的意见》中重点重金属（铅、汞、镉、铬、铊、锑、砷）工业污染项目，本项目采用完善可行的污染控制措施，确保各类污染物达标排放。本工程排放的各类污染物主要为无组织排放，不设重金属总量指标，符合相关要求。</w:t>
      </w:r>
    </w:p>
    <w:p w14:paraId="1AF20762">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本项目污染物治理措施符合《新疆生态环境保护“十四五”规划》《新疆维吾尔自治区环境保护条例》《新疆维吾尔自治区大气污染防治条例》的要求，固废</w:t>
      </w:r>
      <w:r>
        <w:rPr>
          <w:rFonts w:hint="default" w:ascii="Times New Roman" w:hAnsi="Times New Roman" w:cs="Times New Roman"/>
          <w:color w:val="auto"/>
          <w:sz w:val="24"/>
          <w:szCs w:val="24"/>
          <w:highlight w:val="none"/>
          <w:lang w:val="en-US" w:eastAsia="zh-CN"/>
        </w:rPr>
        <w:t>处理措施</w:t>
      </w:r>
      <w:r>
        <w:rPr>
          <w:rFonts w:hint="default" w:ascii="Times New Roman" w:hAnsi="Times New Roman" w:eastAsia="宋体" w:cs="Times New Roman"/>
          <w:color w:val="auto"/>
          <w:sz w:val="24"/>
          <w:szCs w:val="24"/>
          <w:highlight w:val="none"/>
          <w:lang w:val="en-US" w:eastAsia="zh-CN"/>
        </w:rPr>
        <w:t>符合《关于“十四五”大宗固体废弃物综合利用的指导意见》</w:t>
      </w:r>
      <w:r>
        <w:rPr>
          <w:rFonts w:hint="default" w:ascii="Times New Roman" w:hAnsi="Times New Roman" w:cs="Times New Roman"/>
          <w:color w:val="auto"/>
          <w:sz w:val="24"/>
          <w:szCs w:val="24"/>
          <w:highlight w:val="none"/>
          <w:lang w:val="en-US" w:eastAsia="zh-CN"/>
        </w:rPr>
        <w:t>《固体废物综合治理行动方案》</w:t>
      </w:r>
      <w:r>
        <w:rPr>
          <w:rFonts w:hint="default" w:ascii="Times New Roman" w:hAnsi="Times New Roman" w:eastAsia="宋体" w:cs="Times New Roman"/>
          <w:color w:val="auto"/>
          <w:sz w:val="24"/>
          <w:szCs w:val="24"/>
          <w:highlight w:val="none"/>
          <w:lang w:val="en-US" w:eastAsia="zh-CN"/>
        </w:rPr>
        <w:t>中的相关要求。</w:t>
      </w:r>
    </w:p>
    <w:p w14:paraId="5FBEDFC3">
      <w:pPr>
        <w:ind w:firstLine="480"/>
        <w:rPr>
          <w:color w:val="auto"/>
          <w:highlight w:val="none"/>
        </w:rPr>
      </w:pPr>
      <w:r>
        <w:rPr>
          <w:rFonts w:hint="default" w:ascii="Times New Roman" w:hAnsi="Times New Roman" w:eastAsia="宋体" w:cs="Times New Roman"/>
          <w:color w:val="auto"/>
          <w:sz w:val="24"/>
          <w:szCs w:val="24"/>
          <w:highlight w:val="none"/>
          <w:lang w:val="en-US" w:eastAsia="zh-CN"/>
        </w:rPr>
        <w:t>本项目选矿矿种主要为金矿石，项目建设对发展有色工业有积极作用，符合《</w:t>
      </w:r>
      <w:r>
        <w:rPr>
          <w:rFonts w:hint="eastAsia" w:cs="Times New Roman"/>
          <w:color w:val="auto"/>
          <w:sz w:val="24"/>
          <w:szCs w:val="24"/>
          <w:highlight w:val="none"/>
          <w:lang w:val="en-US" w:eastAsia="zh-CN"/>
        </w:rPr>
        <w:t>新疆维吾尔自治区国民经济和社会发展第十五个五年规划纲要</w:t>
      </w:r>
      <w:r>
        <w:rPr>
          <w:rFonts w:hint="default" w:ascii="Times New Roman" w:hAnsi="Times New Roman" w:eastAsia="宋体" w:cs="Times New Roman"/>
          <w:color w:val="auto"/>
          <w:sz w:val="24"/>
          <w:szCs w:val="24"/>
          <w:highlight w:val="none"/>
          <w:lang w:val="en-US" w:eastAsia="zh-CN"/>
        </w:rPr>
        <w:t>》（2021年2月5日新疆维吾尔自治区第十三届人民代表大会第四次会议通过）中的相关规定，同时，也符合《</w:t>
      </w:r>
      <w:r>
        <w:rPr>
          <w:rFonts w:hint="default" w:ascii="Times New Roman" w:hAnsi="Times New Roman" w:cs="Times New Roman"/>
          <w:color w:val="auto"/>
          <w:highlight w:val="none"/>
          <w:lang w:val="en-US" w:eastAsia="zh-CN"/>
        </w:rPr>
        <w:t>富蕴县国民经济和社会发展第十四个五年规划和2035年远景目标纲要</w:t>
      </w:r>
      <w:r>
        <w:rPr>
          <w:rFonts w:hint="default" w:ascii="Times New Roman" w:hAnsi="Times New Roman" w:eastAsia="宋体" w:cs="Times New Roman"/>
          <w:color w:val="auto"/>
          <w:sz w:val="24"/>
          <w:szCs w:val="24"/>
          <w:highlight w:val="none"/>
          <w:lang w:val="en-US" w:eastAsia="zh-CN"/>
        </w:rPr>
        <w:t>》中的相关规定；尾矿库作为选矿工业场地配套设施，符合规划纲要的规划目标。</w:t>
      </w:r>
    </w:p>
    <w:p w14:paraId="2E7A72B3">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rPr>
        <w:t>本项目属于《新疆维吾尔自治区矿产资源总体规划（2021-2025年）》中阿尔泰黑色、有色及稀有金属勘查开发区，为富蕴—青河一带的金矿选矿及尾矿库建设项目，因此项目建设符合《新疆维吾尔自治区矿产资源总体规划（2021-20</w:t>
      </w:r>
      <w:r>
        <w:rPr>
          <w:rFonts w:hint="eastAsia" w:cs="Times New Roman"/>
          <w:color w:val="auto"/>
          <w:highlight w:val="none"/>
          <w:lang w:val="en-US" w:eastAsia="zh-CN"/>
        </w:rPr>
        <w:t>2</w:t>
      </w:r>
      <w:r>
        <w:rPr>
          <w:rFonts w:hint="default" w:ascii="Times New Roman" w:hAnsi="Times New Roman" w:cs="Times New Roman"/>
          <w:color w:val="auto"/>
          <w:highlight w:val="none"/>
        </w:rPr>
        <w:t>5年）》。</w:t>
      </w:r>
    </w:p>
    <w:p w14:paraId="264086C1">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本项目位于新疆阿勒泰地区富蕴县，根据阿勒泰地区生态环境分区管控要求，本项目位于富蕴县一般管控单元（ZH65432230001），本项目的建设符合《新疆维吾尔自治区生态环境分区管控动态更新成果》及</w:t>
      </w:r>
      <w:r>
        <w:rPr>
          <w:rFonts w:hint="default" w:cs="Times New Roman"/>
          <w:color w:val="auto"/>
          <w:sz w:val="24"/>
          <w:szCs w:val="24"/>
          <w:highlight w:val="none"/>
          <w:lang w:val="en-US" w:eastAsia="zh-CN"/>
        </w:rPr>
        <w:t>《阿勒泰地区区域空间生态环境评价暨“三线一单”生态环境准入清单》（2023年）</w:t>
      </w:r>
      <w:r>
        <w:rPr>
          <w:rFonts w:hint="default" w:ascii="Times New Roman" w:hAnsi="Times New Roman" w:eastAsia="宋体" w:cs="Times New Roman"/>
          <w:color w:val="auto"/>
          <w:sz w:val="24"/>
          <w:szCs w:val="24"/>
          <w:highlight w:val="none"/>
          <w:lang w:val="en-US" w:eastAsia="zh-CN"/>
        </w:rPr>
        <w:t>中的相关要求。本项目不属于《新疆维吾尔自治区28个国家重点生态功能区县（市）产业准入负面清单（试行）》</w:t>
      </w:r>
      <w:r>
        <w:rPr>
          <w:rFonts w:hint="default" w:ascii="Times New Roman" w:hAnsi="Times New Roman"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的建设内容。</w:t>
      </w:r>
    </w:p>
    <w:p w14:paraId="20329195">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已委托核工业二一六大队检测研究院对矿石中铀（钍）系单个核素活度浓度进行了测定（监测报告见附件），测样中铀（钍）系单核素活度浓度均未超过1贝可/克（Bq/g），属低放射性区，因此本区无放射性危害，符合《矿产资源开发利用辐射环境监督管理名录》要求，不需设置单独的放射性环境影响篇章。</w:t>
      </w:r>
    </w:p>
    <w:p w14:paraId="2E0396B2">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rPr>
        <w:t>综上，本项目的建设符合相关法律法规、规划及政策要求。</w:t>
      </w:r>
    </w:p>
    <w:p w14:paraId="61B4BC4C">
      <w:pPr>
        <w:pStyle w:val="3"/>
        <w:spacing w:line="560" w:lineRule="atLeast"/>
        <w:rPr>
          <w:rFonts w:hint="default" w:ascii="Times New Roman" w:hAnsi="Times New Roman" w:cs="Times New Roman"/>
          <w:color w:val="auto"/>
          <w:highlight w:val="none"/>
        </w:rPr>
      </w:pPr>
      <w:bookmarkStart w:id="41" w:name="_Toc30600"/>
      <w:bookmarkStart w:id="42" w:name="_Toc107414641"/>
      <w:bookmarkStart w:id="43" w:name="_Toc107413874"/>
      <w:bookmarkStart w:id="44" w:name="_Toc25649"/>
      <w:bookmarkStart w:id="45" w:name="_Toc14582"/>
      <w:bookmarkStart w:id="46" w:name="_Toc17239"/>
      <w:bookmarkStart w:id="47" w:name="_Toc12116"/>
      <w:r>
        <w:rPr>
          <w:rFonts w:hint="default" w:ascii="Times New Roman" w:hAnsi="Times New Roman" w:cs="Times New Roman"/>
          <w:color w:val="auto"/>
          <w:highlight w:val="none"/>
        </w:rPr>
        <w:t>1.4关注的主要环境问题及环境影响</w:t>
      </w:r>
      <w:bookmarkEnd w:id="41"/>
      <w:bookmarkEnd w:id="42"/>
      <w:bookmarkEnd w:id="43"/>
      <w:bookmarkEnd w:id="44"/>
      <w:bookmarkEnd w:id="45"/>
      <w:bookmarkEnd w:id="46"/>
      <w:bookmarkEnd w:id="47"/>
    </w:p>
    <w:p w14:paraId="64DC11AB">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以废气、废水、固废排放为主要污染特征，其大气污染物处理措施合理性、生产废水闭路循环可行性、生活污水处理及排放去向、固体废物处置可行性等是减少项目建设对外环境污染的重点关注问题。还需重视项目施工及运营引发的环境影响能否满足区域环境功能，采取的污染防治措施能否保证各项污染物达标排放，项目环境风险是否可以接受。</w:t>
      </w:r>
    </w:p>
    <w:p w14:paraId="159A8E55">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position w:val="0"/>
          <w:sz w:val="24"/>
          <w:highlight w:val="none"/>
          <w:lang w:val="en-US" w:eastAsia="zh-CN"/>
        </w:rPr>
      </w:pPr>
      <w:r>
        <w:rPr>
          <w:rFonts w:hint="default" w:ascii="Times New Roman" w:hAnsi="Times New Roman" w:cs="Times New Roman"/>
          <w:color w:val="auto"/>
          <w:spacing w:val="0"/>
          <w:w w:val="100"/>
          <w:position w:val="0"/>
          <w:sz w:val="24"/>
          <w:highlight w:val="none"/>
          <w:lang w:val="en-US" w:eastAsia="zh-CN"/>
        </w:rPr>
        <w:t>（1）</w:t>
      </w:r>
      <w:r>
        <w:rPr>
          <w:rFonts w:hint="default" w:ascii="Times New Roman" w:hAnsi="Times New Roman" w:eastAsia="宋体" w:cs="Times New Roman"/>
          <w:color w:val="auto"/>
          <w:spacing w:val="0"/>
          <w:w w:val="100"/>
          <w:position w:val="0"/>
          <w:sz w:val="24"/>
          <w:highlight w:val="none"/>
          <w:lang w:val="en-US" w:eastAsia="zh-CN"/>
        </w:rPr>
        <w:t>本项目</w:t>
      </w:r>
      <w:r>
        <w:rPr>
          <w:rFonts w:hint="default" w:ascii="Times New Roman" w:hAnsi="Times New Roman" w:cs="Times New Roman"/>
          <w:color w:val="auto"/>
          <w:spacing w:val="0"/>
          <w:w w:val="100"/>
          <w:position w:val="0"/>
          <w:sz w:val="24"/>
          <w:highlight w:val="none"/>
          <w:lang w:val="en-US" w:eastAsia="zh-CN"/>
        </w:rPr>
        <w:t>选矿</w:t>
      </w:r>
      <w:r>
        <w:rPr>
          <w:rFonts w:hint="default" w:ascii="Times New Roman" w:hAnsi="Times New Roman" w:eastAsia="宋体" w:cs="Times New Roman"/>
          <w:color w:val="auto"/>
          <w:spacing w:val="0"/>
          <w:w w:val="100"/>
          <w:position w:val="0"/>
          <w:sz w:val="24"/>
          <w:highlight w:val="none"/>
          <w:lang w:val="en-US" w:eastAsia="zh-CN"/>
        </w:rPr>
        <w:t>过程中排放的有组织、无组织废气会对外环境造成影响，因而大气污染是本项目应重点关注的环境问题。</w:t>
      </w:r>
    </w:p>
    <w:p w14:paraId="09F31FE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position w:val="0"/>
          <w:sz w:val="24"/>
          <w:highlight w:val="none"/>
          <w:lang w:val="en-US" w:eastAsia="zh-CN"/>
        </w:rPr>
      </w:pPr>
      <w:r>
        <w:rPr>
          <w:rFonts w:hint="default" w:ascii="Times New Roman" w:hAnsi="Times New Roman" w:eastAsia="宋体" w:cs="Times New Roman"/>
          <w:color w:val="auto"/>
          <w:spacing w:val="0"/>
          <w:w w:val="100"/>
          <w:position w:val="0"/>
          <w:sz w:val="24"/>
          <w:highlight w:val="none"/>
          <w:lang w:val="en-US" w:eastAsia="zh-CN"/>
        </w:rPr>
        <w:t>根据评价分析</w:t>
      </w:r>
      <w:r>
        <w:rPr>
          <w:rFonts w:hint="default" w:ascii="Times New Roman" w:hAnsi="Times New Roman" w:cs="Times New Roman"/>
          <w:color w:val="auto"/>
          <w:spacing w:val="0"/>
          <w:w w:val="100"/>
          <w:position w:val="0"/>
          <w:sz w:val="24"/>
          <w:highlight w:val="none"/>
          <w:lang w:val="en-US" w:eastAsia="zh-CN"/>
        </w:rPr>
        <w:t>，</w:t>
      </w:r>
      <w:r>
        <w:rPr>
          <w:rFonts w:hint="default" w:ascii="Times New Roman" w:hAnsi="Times New Roman" w:eastAsia="宋体" w:cs="Times New Roman"/>
          <w:color w:val="auto"/>
          <w:spacing w:val="0"/>
          <w:w w:val="100"/>
          <w:position w:val="0"/>
          <w:sz w:val="24"/>
          <w:highlight w:val="none"/>
          <w:lang w:val="en-US" w:eastAsia="zh-CN"/>
        </w:rPr>
        <w:t>尾矿库采取废石筑坝、分散放矿、库面保留一定水面；通过上述措施无组织废气可得到一定控制。</w:t>
      </w:r>
      <w:r>
        <w:rPr>
          <w:rFonts w:hint="default" w:ascii="Times New Roman" w:hAnsi="Times New Roman" w:cs="Times New Roman"/>
          <w:color w:val="auto"/>
          <w:spacing w:val="0"/>
          <w:w w:val="100"/>
          <w:position w:val="0"/>
          <w:sz w:val="24"/>
          <w:highlight w:val="none"/>
          <w:lang w:val="en-US" w:eastAsia="zh-CN"/>
        </w:rPr>
        <w:t>破碎筛分厂房</w:t>
      </w:r>
      <w:r>
        <w:rPr>
          <w:rFonts w:hint="default" w:ascii="Times New Roman" w:hAnsi="Times New Roman" w:eastAsia="宋体" w:cs="Times New Roman"/>
          <w:color w:val="auto"/>
          <w:spacing w:val="0"/>
          <w:w w:val="100"/>
          <w:position w:val="0"/>
          <w:sz w:val="24"/>
          <w:highlight w:val="none"/>
          <w:lang w:val="en-US" w:eastAsia="zh-CN"/>
        </w:rPr>
        <w:t>均采取“集气罩收集+高效除尘设备”进行有组织废气污染物控制，除尘效率≥</w:t>
      </w:r>
      <w:r>
        <w:rPr>
          <w:rFonts w:hint="default" w:ascii="Times New Roman" w:hAnsi="Times New Roman" w:cs="Times New Roman"/>
          <w:color w:val="auto"/>
          <w:spacing w:val="0"/>
          <w:w w:val="100"/>
          <w:position w:val="0"/>
          <w:sz w:val="24"/>
          <w:highlight w:val="none"/>
          <w:lang w:val="en-US" w:eastAsia="zh-CN"/>
        </w:rPr>
        <w:t>99</w:t>
      </w:r>
      <w:r>
        <w:rPr>
          <w:rFonts w:hint="default" w:ascii="Times New Roman" w:hAnsi="Times New Roman" w:eastAsia="宋体" w:cs="Times New Roman"/>
          <w:color w:val="auto"/>
          <w:spacing w:val="0"/>
          <w:w w:val="100"/>
          <w:position w:val="0"/>
          <w:sz w:val="24"/>
          <w:highlight w:val="none"/>
          <w:lang w:val="en-US" w:eastAsia="zh-CN"/>
        </w:rPr>
        <w:t>%，最终颗粒物排放浓度满足</w:t>
      </w:r>
      <w:r>
        <w:rPr>
          <w:rFonts w:hint="default"/>
          <w:color w:val="auto"/>
          <w:highlight w:val="none"/>
        </w:rPr>
        <w:t>《大气污染物综合排放标准》（GB16297-1996）</w:t>
      </w:r>
      <w:r>
        <w:rPr>
          <w:rFonts w:hint="default" w:ascii="Times New Roman" w:hAnsi="Times New Roman" w:eastAsia="宋体" w:cs="Times New Roman"/>
          <w:color w:val="auto"/>
          <w:spacing w:val="0"/>
          <w:w w:val="100"/>
          <w:position w:val="0"/>
          <w:sz w:val="24"/>
          <w:highlight w:val="none"/>
          <w:lang w:val="en-US" w:eastAsia="zh-CN"/>
        </w:rPr>
        <w:t>中的限值要求。</w:t>
      </w:r>
      <w:r>
        <w:rPr>
          <w:rFonts w:hint="default" w:ascii="Times New Roman" w:hAnsi="Times New Roman" w:cs="Times New Roman"/>
          <w:color w:val="auto"/>
          <w:spacing w:val="0"/>
          <w:w w:val="100"/>
          <w:position w:val="0"/>
          <w:sz w:val="24"/>
          <w:highlight w:val="none"/>
          <w:lang w:val="en-US" w:eastAsia="zh-CN"/>
        </w:rPr>
        <w:t>估算</w:t>
      </w:r>
      <w:r>
        <w:rPr>
          <w:rFonts w:hint="default" w:ascii="Times New Roman" w:hAnsi="Times New Roman" w:eastAsia="宋体" w:cs="Times New Roman"/>
          <w:color w:val="auto"/>
          <w:spacing w:val="0"/>
          <w:w w:val="100"/>
          <w:position w:val="0"/>
          <w:sz w:val="24"/>
          <w:highlight w:val="none"/>
          <w:lang w:val="en-US" w:eastAsia="zh-CN"/>
        </w:rPr>
        <w:t>结果表明：本项目</w:t>
      </w:r>
      <w:r>
        <w:rPr>
          <w:rFonts w:hint="default" w:ascii="Times New Roman" w:hAnsi="Times New Roman" w:cs="Times New Roman"/>
          <w:color w:val="auto"/>
          <w:spacing w:val="0"/>
          <w:w w:val="100"/>
          <w:position w:val="0"/>
          <w:sz w:val="24"/>
          <w:highlight w:val="none"/>
          <w:lang w:val="en-US" w:eastAsia="zh-CN"/>
        </w:rPr>
        <w:t>各污染物最大浓度占标率均小于10%</w:t>
      </w:r>
      <w:r>
        <w:rPr>
          <w:rFonts w:hint="default" w:ascii="Times New Roman" w:hAnsi="Times New Roman" w:eastAsia="宋体" w:cs="Times New Roman"/>
          <w:color w:val="auto"/>
          <w:spacing w:val="0"/>
          <w:w w:val="100"/>
          <w:position w:val="0"/>
          <w:sz w:val="24"/>
          <w:highlight w:val="none"/>
          <w:lang w:val="en-US" w:eastAsia="zh-CN"/>
        </w:rPr>
        <w:t>。本项目大气环境影响可以接受。</w:t>
      </w:r>
    </w:p>
    <w:p w14:paraId="10D09B20">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position w:val="0"/>
          <w:sz w:val="24"/>
          <w:highlight w:val="none"/>
          <w:lang w:val="en-US" w:eastAsia="zh-CN"/>
        </w:rPr>
      </w:pPr>
      <w:r>
        <w:rPr>
          <w:rFonts w:hint="default" w:ascii="Times New Roman" w:hAnsi="Times New Roman" w:eastAsia="宋体" w:cs="Times New Roman"/>
          <w:color w:val="auto"/>
          <w:spacing w:val="0"/>
          <w:w w:val="100"/>
          <w:position w:val="0"/>
          <w:sz w:val="24"/>
          <w:highlight w:val="none"/>
          <w:lang w:val="en-US" w:eastAsia="zh-CN"/>
        </w:rPr>
        <w:t>（</w:t>
      </w:r>
      <w:r>
        <w:rPr>
          <w:rFonts w:hint="default" w:ascii="Times New Roman" w:hAnsi="Times New Roman" w:cs="Times New Roman"/>
          <w:color w:val="auto"/>
          <w:spacing w:val="0"/>
          <w:w w:val="100"/>
          <w:position w:val="0"/>
          <w:sz w:val="24"/>
          <w:highlight w:val="none"/>
          <w:lang w:val="en-US" w:eastAsia="zh-CN"/>
        </w:rPr>
        <w:t>2</w:t>
      </w:r>
      <w:r>
        <w:rPr>
          <w:rFonts w:hint="default" w:ascii="Times New Roman" w:hAnsi="Times New Roman" w:eastAsia="宋体" w:cs="Times New Roman"/>
          <w:color w:val="auto"/>
          <w:spacing w:val="0"/>
          <w:w w:val="100"/>
          <w:position w:val="0"/>
          <w:sz w:val="24"/>
          <w:highlight w:val="none"/>
          <w:lang w:val="en-US" w:eastAsia="zh-CN"/>
        </w:rPr>
        <w:t>）作为</w:t>
      </w:r>
      <w:r>
        <w:rPr>
          <w:rFonts w:hint="default" w:ascii="Times New Roman" w:hAnsi="Times New Roman" w:cs="Times New Roman"/>
          <w:color w:val="auto"/>
          <w:spacing w:val="0"/>
          <w:w w:val="100"/>
          <w:position w:val="0"/>
          <w:sz w:val="24"/>
          <w:highlight w:val="none"/>
          <w:lang w:val="en-US" w:eastAsia="zh-CN"/>
        </w:rPr>
        <w:t>金矿选矿</w:t>
      </w:r>
      <w:r>
        <w:rPr>
          <w:rFonts w:hint="default" w:ascii="Times New Roman" w:hAnsi="Times New Roman" w:eastAsia="宋体" w:cs="Times New Roman"/>
          <w:color w:val="auto"/>
          <w:spacing w:val="0"/>
          <w:w w:val="100"/>
          <w:position w:val="0"/>
          <w:sz w:val="24"/>
          <w:highlight w:val="none"/>
          <w:lang w:val="en-US" w:eastAsia="zh-CN"/>
        </w:rPr>
        <w:t>项目，本项目服务年限内将排放大量尾矿，因而固废处置措施的安全可靠性、风险状况下的应急处置亦是本项目应重点关注的环境问题。经鉴别，矿山的尾矿均属于第Ⅱ类一般工业固体废物。尾矿库容积可满足矿山服务年限内尾矿堆存，同时尾矿库全库防渗，防渗系数小于10</w:t>
      </w:r>
      <w:r>
        <w:rPr>
          <w:rFonts w:hint="default" w:ascii="Times New Roman" w:hAnsi="Times New Roman" w:eastAsia="宋体" w:cs="Times New Roman"/>
          <w:color w:val="auto"/>
          <w:spacing w:val="0"/>
          <w:w w:val="100"/>
          <w:position w:val="0"/>
          <w:sz w:val="24"/>
          <w:highlight w:val="none"/>
          <w:vertAlign w:val="superscript"/>
          <w:lang w:val="en-US" w:eastAsia="zh-CN"/>
        </w:rPr>
        <w:t>-7</w:t>
      </w:r>
      <w:r>
        <w:rPr>
          <w:rFonts w:hint="default" w:ascii="Times New Roman" w:hAnsi="Times New Roman" w:eastAsia="宋体" w:cs="Times New Roman"/>
          <w:color w:val="auto"/>
          <w:spacing w:val="0"/>
          <w:w w:val="100"/>
          <w:position w:val="0"/>
          <w:sz w:val="24"/>
          <w:highlight w:val="none"/>
          <w:lang w:val="en-US" w:eastAsia="zh-CN"/>
        </w:rPr>
        <w:t>cm/s，其它也按规范设计，可满足《一般工业固体废物贮存和填埋污染控制标准》（GB18599-2020）和《尾矿设施设计规范》（GB50863-2013）的相关要求。</w:t>
      </w:r>
    </w:p>
    <w:p w14:paraId="54B45F6B">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position w:val="0"/>
          <w:sz w:val="24"/>
          <w:highlight w:val="none"/>
          <w:lang w:val="en-US" w:eastAsia="zh-CN"/>
        </w:rPr>
      </w:pPr>
      <w:r>
        <w:rPr>
          <w:rFonts w:hint="default" w:ascii="Times New Roman" w:hAnsi="Times New Roman" w:eastAsia="宋体" w:cs="Times New Roman"/>
          <w:color w:val="auto"/>
          <w:spacing w:val="0"/>
          <w:w w:val="100"/>
          <w:position w:val="0"/>
          <w:sz w:val="24"/>
          <w:highlight w:val="none"/>
          <w:lang w:val="en-US" w:eastAsia="zh-CN"/>
        </w:rPr>
        <w:t>综上，评价认为本工程尾矿的处理处置是合理可行的，在做好防尘、及时复垦等措施后，不会造成明显不利的环境影响。同时风险情况下环境影响较小，风险可接受。</w:t>
      </w:r>
    </w:p>
    <w:p w14:paraId="62A9BB28">
      <w:pPr>
        <w:pStyle w:val="41"/>
        <w:overflowPunct w:val="0"/>
        <w:topLinePunct/>
        <w:spacing w:line="480" w:lineRule="exact"/>
        <w:ind w:firstLine="480"/>
        <w:rPr>
          <w:rFonts w:hint="default" w:ascii="Times New Roman" w:hAnsi="Times New Roman" w:cs="Times New Roman"/>
          <w:color w:val="auto"/>
          <w:highlight w:val="none"/>
        </w:rPr>
      </w:pPr>
    </w:p>
    <w:p w14:paraId="32C12E0C">
      <w:pPr>
        <w:pStyle w:val="3"/>
        <w:spacing w:line="560" w:lineRule="atLeast"/>
        <w:rPr>
          <w:rFonts w:hint="default" w:ascii="Times New Roman" w:hAnsi="Times New Roman" w:cs="Times New Roman"/>
          <w:color w:val="auto"/>
          <w:highlight w:val="none"/>
        </w:rPr>
      </w:pPr>
      <w:bookmarkStart w:id="48" w:name="_Toc107414642"/>
      <w:bookmarkStart w:id="49" w:name="_Toc107413875"/>
      <w:bookmarkStart w:id="50" w:name="_Toc17117"/>
      <w:bookmarkStart w:id="51" w:name="_Toc20694"/>
      <w:bookmarkStart w:id="52" w:name="_Toc9244"/>
      <w:bookmarkStart w:id="53" w:name="_Toc5133"/>
      <w:bookmarkStart w:id="54" w:name="_Toc2314"/>
      <w:r>
        <w:rPr>
          <w:rFonts w:hint="default" w:ascii="Times New Roman" w:hAnsi="Times New Roman" w:cs="Times New Roman"/>
          <w:color w:val="auto"/>
          <w:highlight w:val="none"/>
        </w:rPr>
        <w:t>1.5环境影响评价的主要结论</w:t>
      </w:r>
      <w:bookmarkEnd w:id="48"/>
      <w:bookmarkEnd w:id="49"/>
      <w:bookmarkEnd w:id="50"/>
      <w:bookmarkEnd w:id="51"/>
      <w:bookmarkEnd w:id="52"/>
      <w:bookmarkEnd w:id="53"/>
      <w:bookmarkEnd w:id="54"/>
    </w:p>
    <w:p w14:paraId="4F4A16F1">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根据《国民经济行业分类》（GB/T4754-2017），本项目属于金矿采选业（B0921）；根据</w:t>
      </w:r>
      <w:r>
        <w:rPr>
          <w:rFonts w:hint="default" w:ascii="Times New Roman" w:hAnsi="Times New Roman" w:eastAsia="宋体" w:cs="Times New Roman"/>
          <w:color w:val="auto"/>
          <w:highlight w:val="none"/>
        </w:rPr>
        <w:t>《建设项目环境影响评价分类管理名录》（2021年版），本项目属于</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七、有色金属矿采选业，092贵金属矿采选</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。根据《产业结构调整指导目录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2024年本</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不属于产业政策鼓励类、限制类、淘汰类，</w:t>
      </w:r>
      <w:r>
        <w:rPr>
          <w:rFonts w:hint="default" w:ascii="Times New Roman" w:hAnsi="Times New Roman" w:cs="Times New Roman"/>
          <w:color w:val="auto"/>
          <w:highlight w:val="none"/>
          <w:lang w:val="en-US" w:eastAsia="zh-CN"/>
        </w:rPr>
        <w:t>可</w:t>
      </w:r>
      <w:r>
        <w:rPr>
          <w:rFonts w:hint="default" w:ascii="Times New Roman" w:hAnsi="Times New Roman" w:cs="Times New Roman"/>
          <w:color w:val="auto"/>
          <w:highlight w:val="none"/>
        </w:rPr>
        <w:t>视为允许类。</w:t>
      </w:r>
    </w:p>
    <w:p w14:paraId="5A5B4B4A">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rPr>
        <w:t>选址与空间布局符合性及污染防治与环境影响符合性，满足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新疆维吾尔自治区重点行业生态环境准入条件（2024年）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（新环环评发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93号）的有关要求。</w:t>
      </w:r>
    </w:p>
    <w:p w14:paraId="12E28D97">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本项目的建设符合</w:t>
      </w:r>
      <w:r>
        <w:rPr>
          <w:rFonts w:hint="default" w:ascii="Times New Roman" w:hAnsi="Times New Roman" w:eastAsia="宋体" w:cs="Times New Roman"/>
          <w:color w:val="auto"/>
          <w:sz w:val="24"/>
          <w:szCs w:val="24"/>
          <w:highlight w:val="none"/>
          <w:lang w:val="en-US" w:eastAsia="zh-CN"/>
        </w:rPr>
        <w:t>《新疆维吾尔自治区生态环境分区管控动态更新成果》及</w:t>
      </w:r>
      <w:r>
        <w:rPr>
          <w:rFonts w:hint="default" w:cs="Times New Roman"/>
          <w:color w:val="auto"/>
          <w:sz w:val="24"/>
          <w:szCs w:val="24"/>
          <w:highlight w:val="none"/>
          <w:lang w:val="en-US" w:eastAsia="zh-CN"/>
        </w:rPr>
        <w:t>《阿勒泰地区区域空间生态环境评价暨“三线一单”生态环境准入清单》（2023年）</w:t>
      </w:r>
      <w:r>
        <w:rPr>
          <w:rFonts w:hint="default" w:ascii="Times New Roman" w:hAnsi="Times New Roman" w:cs="Times New Roman"/>
          <w:color w:val="auto"/>
          <w:highlight w:val="none"/>
        </w:rPr>
        <w:t>中的相关要求，也符合《新疆维吾尔自治区国民经济和社会发展第十</w:t>
      </w:r>
      <w:r>
        <w:rPr>
          <w:rFonts w:hint="eastAsia" w:cs="Times New Roman"/>
          <w:color w:val="auto"/>
          <w:highlight w:val="none"/>
          <w:lang w:val="en-US" w:eastAsia="zh-CN"/>
        </w:rPr>
        <w:t>五</w:t>
      </w:r>
      <w:r>
        <w:rPr>
          <w:rFonts w:hint="default" w:ascii="Times New Roman" w:hAnsi="Times New Roman" w:cs="Times New Roman"/>
          <w:color w:val="auto"/>
          <w:highlight w:val="none"/>
        </w:rPr>
        <w:t>个五年规划纲要》《</w:t>
      </w:r>
      <w:r>
        <w:rPr>
          <w:rFonts w:hint="default" w:ascii="Times New Roman" w:hAnsi="Times New Roman" w:cs="Times New Roman"/>
          <w:color w:val="auto"/>
          <w:highlight w:val="none"/>
          <w:lang w:val="en-US" w:eastAsia="zh-CN"/>
        </w:rPr>
        <w:t>富蕴县国民经济和社会发展第十四个五年规划和2035年远景目标纲要</w:t>
      </w:r>
      <w:r>
        <w:rPr>
          <w:rFonts w:hint="default" w:ascii="Times New Roman" w:hAnsi="Times New Roman" w:cs="Times New Roman"/>
          <w:color w:val="auto"/>
          <w:highlight w:val="none"/>
        </w:rPr>
        <w:t>》。</w:t>
      </w:r>
    </w:p>
    <w:p w14:paraId="0EBD5F82">
      <w:pPr>
        <w:pStyle w:val="42"/>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符合清洁生产要求，环评要求建设单位积极开展清洁生产审核工作，采用国内先进的工艺设备，提高工业水重复利用率，加强尾矿综合利用，按照清洁生产二级标准执行环境管理工作；项目产生的各类污染物均采取了有效的防治措施，可达标排放并符合总量控制要求；本项目在采取有效的污染防治措施后，对周围环境产生影响较小；环境风险水平在可接受程度内；公众参与调查工作中，未收到公众对该项目的反馈意见。建设单位应加强环保设施的运行维护和管理，保证各种环保设施的正常运行和污染物长期稳定达标排放，在落实并保证以上条件实施的前提下，从环保的角度分析，该项目的建设是可行的。</w:t>
      </w:r>
    </w:p>
    <w:p w14:paraId="2A268AAF">
      <w:pPr>
        <w:autoSpaceDE w:val="0"/>
        <w:autoSpaceDN w:val="0"/>
        <w:adjustRightInd w:val="0"/>
        <w:spacing w:line="560" w:lineRule="exact"/>
        <w:ind w:firstLine="480"/>
        <w:rPr>
          <w:rFonts w:hint="default" w:ascii="Times New Roman" w:hAnsi="Times New Roman" w:cs="Times New Roman"/>
          <w:color w:val="auto"/>
          <w:highlight w:val="none"/>
        </w:rPr>
        <w:sectPr>
          <w:footerReference r:id="rId11" w:type="default"/>
          <w:footerReference r:id="rId12" w:type="even"/>
          <w:pgSz w:w="11907" w:h="16840"/>
          <w:pgMar w:top="1440" w:right="1797" w:bottom="1440" w:left="1797" w:header="851" w:footer="851" w:gutter="0"/>
          <w:pgNumType w:start="1"/>
          <w:cols w:space="425" w:num="1"/>
          <w:docGrid w:linePitch="312" w:charSpace="0"/>
        </w:sectPr>
      </w:pPr>
    </w:p>
    <w:p w14:paraId="385ABFE9">
      <w:pPr>
        <w:pStyle w:val="2"/>
        <w:spacing w:line="720" w:lineRule="exact"/>
        <w:rPr>
          <w:rFonts w:hint="default" w:ascii="Times New Roman" w:hAnsi="Times New Roman" w:cs="Times New Roman"/>
          <w:color w:val="auto"/>
          <w:highlight w:val="none"/>
        </w:rPr>
      </w:pPr>
      <w:bookmarkStart w:id="55" w:name="_Toc9287"/>
      <w:bookmarkStart w:id="56" w:name="_Toc20555"/>
      <w:bookmarkStart w:id="57" w:name="_Toc31238"/>
      <w:bookmarkStart w:id="58" w:name="_Toc20670"/>
      <w:bookmarkStart w:id="59" w:name="_Toc107413876"/>
      <w:bookmarkStart w:id="60" w:name="_Toc107414643"/>
      <w:bookmarkStart w:id="61" w:name="_Toc3876"/>
      <w:r>
        <w:rPr>
          <w:rFonts w:hint="default" w:ascii="Times New Roman" w:hAnsi="Times New Roman" w:cs="Times New Roman"/>
          <w:color w:val="auto"/>
          <w:highlight w:val="none"/>
        </w:rPr>
        <w:t>2总则</w:t>
      </w:r>
      <w:bookmarkEnd w:id="55"/>
      <w:bookmarkEnd w:id="56"/>
      <w:bookmarkEnd w:id="57"/>
      <w:bookmarkEnd w:id="58"/>
      <w:bookmarkEnd w:id="59"/>
      <w:bookmarkEnd w:id="60"/>
      <w:bookmarkEnd w:id="61"/>
    </w:p>
    <w:p w14:paraId="7A4729C4">
      <w:pPr>
        <w:pStyle w:val="3"/>
        <w:rPr>
          <w:rFonts w:hint="default" w:ascii="Times New Roman" w:hAnsi="Times New Roman" w:cs="Times New Roman"/>
          <w:color w:val="auto"/>
          <w:highlight w:val="none"/>
        </w:rPr>
      </w:pPr>
      <w:bookmarkStart w:id="62" w:name="_Toc312148931"/>
      <w:bookmarkStart w:id="63" w:name="_Toc475111950"/>
      <w:bookmarkStart w:id="64" w:name="_Toc3671"/>
      <w:bookmarkStart w:id="65" w:name="_Toc13559"/>
      <w:bookmarkStart w:id="66" w:name="_Toc23503"/>
      <w:bookmarkStart w:id="67" w:name="_Toc2817"/>
      <w:bookmarkStart w:id="68" w:name="_Toc14873"/>
      <w:bookmarkStart w:id="69" w:name="_Toc1972"/>
      <w:bookmarkStart w:id="70" w:name="_Toc27409"/>
      <w:bookmarkStart w:id="71" w:name="_Toc650"/>
      <w:bookmarkStart w:id="72" w:name="_Toc7119"/>
      <w:bookmarkStart w:id="73" w:name="_Toc27448"/>
      <w:bookmarkStart w:id="74" w:name="_Toc1176"/>
      <w:bookmarkStart w:id="75" w:name="_Toc107413877"/>
      <w:bookmarkStart w:id="76" w:name="_Toc22808"/>
      <w:bookmarkStart w:id="77" w:name="_Toc24352"/>
      <w:bookmarkStart w:id="78" w:name="_Toc5693"/>
      <w:bookmarkStart w:id="79" w:name="_Toc10163"/>
      <w:bookmarkStart w:id="80" w:name="_Toc24626"/>
      <w:bookmarkStart w:id="81" w:name="_Toc107414644"/>
      <w:bookmarkStart w:id="82" w:name="_Toc11946"/>
      <w:bookmarkStart w:id="83" w:name="_Toc16457"/>
      <w:r>
        <w:rPr>
          <w:rFonts w:hint="default" w:ascii="Times New Roman" w:hAnsi="Times New Roman" w:cs="Times New Roman"/>
          <w:color w:val="auto"/>
          <w:highlight w:val="none"/>
        </w:rPr>
        <w:t>2.1评价</w:t>
      </w:r>
      <w:bookmarkEnd w:id="62"/>
      <w:r>
        <w:rPr>
          <w:rFonts w:hint="default" w:ascii="Times New Roman" w:hAnsi="Times New Roman" w:cs="Times New Roman"/>
          <w:color w:val="auto"/>
          <w:highlight w:val="none"/>
        </w:rPr>
        <w:t>原则与</w:t>
      </w:r>
      <w:bookmarkEnd w:id="63"/>
      <w:r>
        <w:rPr>
          <w:rFonts w:hint="default" w:ascii="Times New Roman" w:hAnsi="Times New Roman" w:cs="Times New Roman"/>
          <w:color w:val="auto"/>
          <w:highlight w:val="none"/>
        </w:rPr>
        <w:t>目的</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24B4F5D">
      <w:pPr>
        <w:pStyle w:val="4"/>
        <w:rPr>
          <w:rFonts w:hint="default" w:ascii="Times New Roman" w:hAnsi="Times New Roman" w:cs="Times New Roman"/>
          <w:color w:val="auto"/>
          <w:highlight w:val="none"/>
        </w:rPr>
      </w:pPr>
      <w:bookmarkStart w:id="84" w:name="_Toc30249"/>
      <w:bookmarkStart w:id="85" w:name="_Toc14651"/>
      <w:bookmarkStart w:id="86" w:name="_Toc4690"/>
      <w:bookmarkStart w:id="87" w:name="_Toc27705"/>
      <w:bookmarkStart w:id="88" w:name="_Toc10657"/>
      <w:r>
        <w:rPr>
          <w:rFonts w:hint="default" w:ascii="Times New Roman" w:hAnsi="Times New Roman" w:cs="Times New Roman"/>
          <w:color w:val="auto"/>
          <w:highlight w:val="none"/>
        </w:rPr>
        <w:t>2.1.1评价原则</w:t>
      </w:r>
      <w:bookmarkEnd w:id="84"/>
      <w:bookmarkEnd w:id="85"/>
      <w:bookmarkEnd w:id="86"/>
      <w:bookmarkEnd w:id="87"/>
      <w:bookmarkEnd w:id="88"/>
    </w:p>
    <w:p w14:paraId="32EB7908">
      <w:pPr>
        <w:overflowPunct w:val="0"/>
        <w:topLinePunct/>
        <w:ind w:firstLine="480"/>
        <w:rPr>
          <w:rFonts w:hint="default" w:ascii="Times New Roman" w:hAnsi="Times New Roman" w:cs="Times New Roman"/>
          <w:color w:val="auto"/>
          <w:highlight w:val="none"/>
        </w:rPr>
      </w:pPr>
      <w:bookmarkStart w:id="89" w:name="_Toc384828343"/>
      <w:r>
        <w:rPr>
          <w:rFonts w:hint="default" w:ascii="Times New Roman" w:hAnsi="Times New Roman" w:cs="Times New Roman"/>
          <w:color w:val="auto"/>
          <w:highlight w:val="none"/>
        </w:rPr>
        <w:t>突出环境影响评价的源头预防作用，坚持保护和改善环境质量。</w:t>
      </w:r>
    </w:p>
    <w:p w14:paraId="4A20CE0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（1）依法评价</w:t>
      </w:r>
    </w:p>
    <w:p w14:paraId="02B7F76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贯彻执行我国环境保护相关法律法规、标准、政策和规划等，优化项目建设，服务环境管理。</w:t>
      </w:r>
    </w:p>
    <w:p w14:paraId="1BC654E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（2）科学评价</w:t>
      </w:r>
    </w:p>
    <w:p w14:paraId="17D3F8D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规范环境影响评价方法，科学分析项目建设对环境质量的影响。</w:t>
      </w:r>
    </w:p>
    <w:p w14:paraId="7BCCFCF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（3）突出重点</w:t>
      </w:r>
    </w:p>
    <w:p w14:paraId="4CFC87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根据建设项目的工程内容及其特点，明确与环境要素间的作用效应关系，充分利用符合时效的数据资料及成果，对建设项目主要环境影响予以重点分析和评价。</w:t>
      </w:r>
    </w:p>
    <w:p w14:paraId="48AEB7DC">
      <w:pPr>
        <w:pStyle w:val="4"/>
        <w:rPr>
          <w:rFonts w:hint="default" w:ascii="Times New Roman" w:hAnsi="Times New Roman" w:cs="Times New Roman"/>
          <w:color w:val="auto"/>
          <w:highlight w:val="none"/>
        </w:rPr>
      </w:pPr>
      <w:bookmarkStart w:id="90" w:name="_Toc6915"/>
      <w:bookmarkStart w:id="91" w:name="_Toc13743"/>
      <w:bookmarkStart w:id="92" w:name="_Toc12557"/>
      <w:bookmarkStart w:id="93" w:name="_Toc26663"/>
      <w:bookmarkStart w:id="94" w:name="_Toc32653"/>
      <w:bookmarkStart w:id="95" w:name="_Toc29884"/>
      <w:bookmarkStart w:id="96" w:name="_Toc11031"/>
      <w:bookmarkStart w:id="97" w:name="_Toc12265"/>
      <w:bookmarkStart w:id="98" w:name="_Toc17480"/>
      <w:r>
        <w:rPr>
          <w:rFonts w:hint="default" w:ascii="Times New Roman" w:hAnsi="Times New Roman" w:cs="Times New Roman"/>
          <w:color w:val="auto"/>
          <w:highlight w:val="none"/>
        </w:rPr>
        <w:t>2.1.2评价</w:t>
      </w:r>
      <w:bookmarkEnd w:id="89"/>
      <w:r>
        <w:rPr>
          <w:rFonts w:hint="default" w:ascii="Times New Roman" w:hAnsi="Times New Roman" w:cs="Times New Roman"/>
          <w:color w:val="auto"/>
          <w:highlight w:val="none"/>
        </w:rPr>
        <w:t>目的</w:t>
      </w:r>
      <w:bookmarkEnd w:id="90"/>
      <w:bookmarkEnd w:id="91"/>
      <w:bookmarkEnd w:id="92"/>
      <w:bookmarkEnd w:id="93"/>
      <w:bookmarkEnd w:id="94"/>
      <w:bookmarkEnd w:id="95"/>
      <w:bookmarkEnd w:id="96"/>
      <w:bookmarkEnd w:id="97"/>
      <w:bookmarkEnd w:id="98"/>
    </w:p>
    <w:p w14:paraId="2FBAE43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（1）通过现场调查、资料收集及环境监测，了解项目所在地自然环境、社会经济环境、环境质量现状以及存在的主要环境问题。</w:t>
      </w:r>
    </w:p>
    <w:p w14:paraId="69A5101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通过工程分析，明确建设项目的主要环境影响，筛选对环境造成影响的因子，尤其关注建设项目产生的主要污染因子。并通过类比调查、物料衡算，核算污染源源强，预测项目建设对环境影响的程度与范围。</w:t>
      </w:r>
    </w:p>
    <w:p w14:paraId="4541DC0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（3）从工艺着手，分析生产工艺、生产设备及原辅材料的消耗，掌握主要污染源及排放状况。</w:t>
      </w:r>
    </w:p>
    <w:p w14:paraId="3939E23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（4）通过分析和计算，预测污染物排放对周围环境的影响程度，判断其是否满足环境质量标准和总量控制要求。</w:t>
      </w:r>
    </w:p>
    <w:p w14:paraId="2F6896C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（5）从技术、经济角度分析拟采取的环保措施的可行性，为工程环保措施的设计和环境管理提供依据。</w:t>
      </w:r>
    </w:p>
    <w:p w14:paraId="5C98141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（6）从环保法规、产业政策、环境特点、污染防治等方面进行综合分析，对拟建项目的环境可行性做出明确结论，为项目的决策、污染控制和环境管理提供科学依据。</w:t>
      </w:r>
    </w:p>
    <w:p w14:paraId="0B0B0143">
      <w:pPr>
        <w:pStyle w:val="3"/>
        <w:spacing w:line="560" w:lineRule="atLeast"/>
        <w:rPr>
          <w:rFonts w:hint="default" w:ascii="Times New Roman" w:hAnsi="Times New Roman" w:cs="Times New Roman"/>
          <w:color w:val="auto"/>
          <w:highlight w:val="none"/>
        </w:rPr>
      </w:pPr>
      <w:bookmarkStart w:id="99" w:name="_Toc107414645"/>
      <w:bookmarkStart w:id="100" w:name="_Toc8683"/>
      <w:bookmarkStart w:id="101" w:name="_Toc19680"/>
      <w:bookmarkStart w:id="102" w:name="_Toc107413878"/>
      <w:bookmarkStart w:id="103" w:name="_Toc21338"/>
      <w:bookmarkStart w:id="104" w:name="_Toc28811"/>
      <w:bookmarkStart w:id="105" w:name="_Toc3095"/>
      <w:r>
        <w:rPr>
          <w:rFonts w:hint="default" w:ascii="Times New Roman" w:hAnsi="Times New Roman" w:cs="Times New Roman"/>
          <w:color w:val="auto"/>
          <w:highlight w:val="none"/>
        </w:rPr>
        <w:t>2.2编制依据</w:t>
      </w:r>
      <w:bookmarkEnd w:id="99"/>
      <w:bookmarkEnd w:id="100"/>
      <w:bookmarkEnd w:id="101"/>
      <w:bookmarkEnd w:id="102"/>
      <w:bookmarkEnd w:id="103"/>
      <w:bookmarkEnd w:id="104"/>
      <w:bookmarkEnd w:id="105"/>
    </w:p>
    <w:p w14:paraId="39B816AD">
      <w:pPr>
        <w:pStyle w:val="4"/>
        <w:rPr>
          <w:rFonts w:hint="default" w:ascii="Times New Roman" w:hAnsi="Times New Roman" w:cs="Times New Roman"/>
          <w:color w:val="auto"/>
          <w:highlight w:val="none"/>
        </w:rPr>
      </w:pPr>
      <w:bookmarkStart w:id="106" w:name="_Toc23138"/>
      <w:bookmarkStart w:id="107" w:name="_Toc27672"/>
      <w:bookmarkStart w:id="108" w:name="_Toc19960"/>
      <w:r>
        <w:rPr>
          <w:rFonts w:hint="default" w:ascii="Times New Roman" w:hAnsi="Times New Roman" w:cs="Times New Roman"/>
          <w:color w:val="auto"/>
          <w:highlight w:val="none"/>
        </w:rPr>
        <w:t>2.2.1国家及地方有关法律、法规和规章</w:t>
      </w:r>
      <w:bookmarkEnd w:id="106"/>
      <w:bookmarkEnd w:id="107"/>
      <w:bookmarkEnd w:id="108"/>
    </w:p>
    <w:p w14:paraId="5EB37E59">
      <w:pPr>
        <w:ind w:firstLine="480"/>
        <w:rPr>
          <w:rFonts w:hint="default" w:ascii="Times New Roman" w:hAnsi="Times New Roman" w:cs="Times New Roman"/>
          <w:color w:val="auto"/>
          <w:highlight w:val="none"/>
        </w:rPr>
      </w:pPr>
      <w:bookmarkStart w:id="109" w:name="_Toc10553_WPSOffice_Level2"/>
      <w:r>
        <w:rPr>
          <w:rFonts w:hint="default" w:ascii="Times New Roman" w:hAnsi="Times New Roman" w:cs="Times New Roman"/>
          <w:color w:val="auto"/>
          <w:highlight w:val="none"/>
        </w:rPr>
        <w:t>本次评价依据的国家及地方有关</w:t>
      </w:r>
      <w:r>
        <w:rPr>
          <w:rFonts w:hint="default" w:ascii="Times New Roman" w:hAnsi="Times New Roman" w:cs="Times New Roman"/>
          <w:color w:val="auto"/>
          <w:highlight w:val="none"/>
          <w:lang w:eastAsia="zh-CN"/>
        </w:rPr>
        <w:t>法律法规</w:t>
      </w:r>
      <w:r>
        <w:rPr>
          <w:rFonts w:hint="default" w:ascii="Times New Roman" w:hAnsi="Times New Roman" w:cs="Times New Roman"/>
          <w:color w:val="auto"/>
          <w:highlight w:val="none"/>
        </w:rPr>
        <w:t>和规章见表2.2-1。</w:t>
      </w:r>
    </w:p>
    <w:p w14:paraId="44D65CD4">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表2.2-1    国家及地方有关</w:t>
      </w:r>
      <w:r>
        <w:rPr>
          <w:rFonts w:hint="default" w:ascii="Times New Roman" w:hAnsi="Times New Roman" w:cs="Times New Roman"/>
          <w:b/>
          <w:bCs/>
          <w:color w:val="auto"/>
          <w:highlight w:val="none"/>
          <w:lang w:eastAsia="zh-CN"/>
        </w:rPr>
        <w:t>法律法规</w:t>
      </w:r>
      <w:r>
        <w:rPr>
          <w:rFonts w:hint="default" w:ascii="Times New Roman" w:hAnsi="Times New Roman" w:cs="Times New Roman"/>
          <w:b/>
          <w:bCs/>
          <w:color w:val="auto"/>
          <w:highlight w:val="none"/>
        </w:rPr>
        <w:t>和规章一览表</w:t>
      </w:r>
    </w:p>
    <w:tbl>
      <w:tblPr>
        <w:tblStyle w:val="33"/>
        <w:tblW w:w="526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2"/>
        <w:gridCol w:w="4442"/>
        <w:gridCol w:w="2973"/>
        <w:gridCol w:w="1077"/>
      </w:tblGrid>
      <w:tr w14:paraId="7BD120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66" w:type="pct"/>
            <w:tcBorders>
              <w:tl2br w:val="nil"/>
              <w:tr2bl w:val="nil"/>
            </w:tcBorders>
            <w:noWrap w:val="0"/>
            <w:vAlign w:val="center"/>
          </w:tcPr>
          <w:p w14:paraId="620D71B3">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528" w:type="pct"/>
            <w:tcBorders>
              <w:tl2br w:val="nil"/>
              <w:tr2bl w:val="nil"/>
            </w:tcBorders>
            <w:noWrap w:val="0"/>
            <w:vAlign w:val="center"/>
          </w:tcPr>
          <w:p w14:paraId="02D37FEF">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依据名称</w:t>
            </w:r>
          </w:p>
        </w:tc>
        <w:tc>
          <w:tcPr>
            <w:tcW w:w="1692" w:type="pct"/>
            <w:tcBorders>
              <w:tl2br w:val="nil"/>
              <w:tr2bl w:val="nil"/>
            </w:tcBorders>
            <w:noWrap w:val="0"/>
            <w:vAlign w:val="center"/>
          </w:tcPr>
          <w:p w14:paraId="70C9B659">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会议、主席令、文号</w:t>
            </w:r>
          </w:p>
        </w:tc>
        <w:tc>
          <w:tcPr>
            <w:tcW w:w="612" w:type="pct"/>
            <w:tcBorders>
              <w:tl2br w:val="nil"/>
              <w:tr2bl w:val="nil"/>
            </w:tcBorders>
            <w:noWrap w:val="0"/>
            <w:vAlign w:val="center"/>
          </w:tcPr>
          <w:p w14:paraId="31FD32DC">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实施时间</w:t>
            </w:r>
          </w:p>
        </w:tc>
      </w:tr>
      <w:tr w14:paraId="1A4FE0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B37654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w w:val="99"/>
                <w:sz w:val="21"/>
                <w:szCs w:val="21"/>
                <w:highlight w:val="none"/>
              </w:rPr>
              <w:t>一</w:t>
            </w:r>
          </w:p>
        </w:tc>
        <w:tc>
          <w:tcPr>
            <w:tcW w:w="4833" w:type="pct"/>
            <w:gridSpan w:val="3"/>
            <w:tcBorders>
              <w:tl2br w:val="nil"/>
              <w:tr2bl w:val="nil"/>
            </w:tcBorders>
            <w:noWrap w:val="0"/>
            <w:vAlign w:val="center"/>
          </w:tcPr>
          <w:p w14:paraId="5FB30E5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eastAsia="zh-CN"/>
              </w:rPr>
              <w:t>法律法规</w:t>
            </w:r>
            <w:r>
              <w:rPr>
                <w:rFonts w:hint="default" w:ascii="Times New Roman" w:hAnsi="Times New Roman" w:cs="Times New Roman"/>
                <w:b/>
                <w:bCs/>
                <w:color w:val="auto"/>
                <w:sz w:val="21"/>
                <w:szCs w:val="21"/>
                <w:highlight w:val="none"/>
              </w:rPr>
              <w:t>、条例</w:t>
            </w:r>
          </w:p>
        </w:tc>
      </w:tr>
      <w:tr w14:paraId="7FF99B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38" w:hRule="atLeast"/>
          <w:jc w:val="center"/>
        </w:trPr>
        <w:tc>
          <w:tcPr>
            <w:tcW w:w="166" w:type="pct"/>
            <w:tcBorders>
              <w:tl2br w:val="nil"/>
              <w:tr2bl w:val="nil"/>
            </w:tcBorders>
            <w:noWrap w:val="0"/>
            <w:vAlign w:val="center"/>
          </w:tcPr>
          <w:p w14:paraId="415E131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528" w:type="pct"/>
            <w:tcBorders>
              <w:tl2br w:val="nil"/>
              <w:tr2bl w:val="nil"/>
            </w:tcBorders>
            <w:noWrap w:val="0"/>
            <w:vAlign w:val="center"/>
          </w:tcPr>
          <w:p w14:paraId="567D954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中华人民共和国突发事件应对法</w:t>
            </w:r>
          </w:p>
        </w:tc>
        <w:tc>
          <w:tcPr>
            <w:tcW w:w="1692" w:type="pct"/>
            <w:tcBorders>
              <w:tl2br w:val="nil"/>
              <w:tr2bl w:val="nil"/>
            </w:tcBorders>
            <w:noWrap w:val="0"/>
            <w:vAlign w:val="center"/>
          </w:tcPr>
          <w:p w14:paraId="63978FE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14</w:t>
            </w:r>
            <w:r>
              <w:rPr>
                <w:rFonts w:hint="default" w:ascii="Times New Roman" w:hAnsi="Times New Roman" w:cs="Times New Roman"/>
                <w:color w:val="auto"/>
                <w:sz w:val="21"/>
                <w:szCs w:val="21"/>
                <w:highlight w:val="none"/>
              </w:rPr>
              <w:t>届人大第10次会议</w:t>
            </w:r>
          </w:p>
        </w:tc>
        <w:tc>
          <w:tcPr>
            <w:tcW w:w="612" w:type="pct"/>
            <w:tcBorders>
              <w:tl2br w:val="nil"/>
              <w:tr2bl w:val="nil"/>
            </w:tcBorders>
            <w:noWrap w:val="0"/>
            <w:vAlign w:val="center"/>
          </w:tcPr>
          <w:p w14:paraId="6A12D01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2024-11-01</w:t>
            </w:r>
          </w:p>
        </w:tc>
      </w:tr>
      <w:tr w14:paraId="739DFD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AFC8B9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528" w:type="pct"/>
            <w:tcBorders>
              <w:tl2br w:val="nil"/>
              <w:tr2bl w:val="nil"/>
            </w:tcBorders>
            <w:noWrap w:val="0"/>
            <w:vAlign w:val="center"/>
          </w:tcPr>
          <w:p w14:paraId="5C5FE9B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中华人民共和国矿产资源法</w:t>
            </w:r>
          </w:p>
        </w:tc>
        <w:tc>
          <w:tcPr>
            <w:tcW w:w="1692" w:type="pct"/>
            <w:tcBorders>
              <w:tl2br w:val="nil"/>
              <w:tr2bl w:val="nil"/>
            </w:tcBorders>
            <w:noWrap w:val="0"/>
            <w:vAlign w:val="center"/>
          </w:tcPr>
          <w:p w14:paraId="0B4A774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11</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10</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3282631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2009-08-27</w:t>
            </w:r>
          </w:p>
        </w:tc>
      </w:tr>
      <w:tr w14:paraId="6C015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5CFD7C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528" w:type="pct"/>
            <w:tcBorders>
              <w:tl2br w:val="nil"/>
              <w:tr2bl w:val="nil"/>
            </w:tcBorders>
            <w:noWrap w:val="0"/>
            <w:vAlign w:val="center"/>
          </w:tcPr>
          <w:p w14:paraId="2D40055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中华人民共和国防洪法</w:t>
            </w:r>
          </w:p>
        </w:tc>
        <w:tc>
          <w:tcPr>
            <w:tcW w:w="1692" w:type="pct"/>
            <w:tcBorders>
              <w:tl2br w:val="nil"/>
              <w:tr2bl w:val="nil"/>
            </w:tcBorders>
            <w:noWrap w:val="0"/>
            <w:vAlign w:val="center"/>
          </w:tcPr>
          <w:p w14:paraId="4A1EE53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11</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10</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3F3DFCF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2009-08-27</w:t>
            </w:r>
          </w:p>
        </w:tc>
      </w:tr>
      <w:tr w14:paraId="4CC40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CE5419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528" w:type="pct"/>
            <w:tcBorders>
              <w:tl2br w:val="nil"/>
              <w:tr2bl w:val="nil"/>
            </w:tcBorders>
            <w:noWrap w:val="0"/>
            <w:vAlign w:val="center"/>
          </w:tcPr>
          <w:p w14:paraId="1539168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国务院关于印发全国主体功能区规划的通知</w:t>
            </w:r>
          </w:p>
        </w:tc>
        <w:tc>
          <w:tcPr>
            <w:tcW w:w="1692" w:type="pct"/>
            <w:tcBorders>
              <w:tl2br w:val="nil"/>
              <w:tr2bl w:val="nil"/>
            </w:tcBorders>
            <w:noWrap w:val="0"/>
            <w:vAlign w:val="center"/>
          </w:tcPr>
          <w:p w14:paraId="1747711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国发〔2010〕46号</w:t>
            </w:r>
          </w:p>
        </w:tc>
        <w:tc>
          <w:tcPr>
            <w:tcW w:w="612" w:type="pct"/>
            <w:tcBorders>
              <w:tl2br w:val="nil"/>
              <w:tr2bl w:val="nil"/>
            </w:tcBorders>
            <w:noWrap w:val="0"/>
            <w:vAlign w:val="center"/>
          </w:tcPr>
          <w:p w14:paraId="48A2F12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2010-12-21</w:t>
            </w:r>
          </w:p>
        </w:tc>
      </w:tr>
      <w:tr w14:paraId="5F512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35" w:hRule="atLeast"/>
          <w:jc w:val="center"/>
        </w:trPr>
        <w:tc>
          <w:tcPr>
            <w:tcW w:w="166" w:type="pct"/>
            <w:tcBorders>
              <w:tl2br w:val="nil"/>
              <w:tr2bl w:val="nil"/>
            </w:tcBorders>
            <w:noWrap w:val="0"/>
            <w:vAlign w:val="center"/>
          </w:tcPr>
          <w:p w14:paraId="7859494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528" w:type="pct"/>
            <w:tcBorders>
              <w:tl2br w:val="nil"/>
              <w:tr2bl w:val="nil"/>
            </w:tcBorders>
            <w:noWrap w:val="0"/>
            <w:vAlign w:val="center"/>
          </w:tcPr>
          <w:p w14:paraId="6F064F9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中华人民共和国水土保持法实施条例</w:t>
            </w:r>
          </w:p>
        </w:tc>
        <w:tc>
          <w:tcPr>
            <w:tcW w:w="1692" w:type="pct"/>
            <w:tcBorders>
              <w:tl2br w:val="nil"/>
              <w:tr2bl w:val="nil"/>
            </w:tcBorders>
            <w:noWrap w:val="0"/>
            <w:vAlign w:val="center"/>
          </w:tcPr>
          <w:p w14:paraId="1DA08BF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国务院令第120号</w:t>
            </w:r>
          </w:p>
        </w:tc>
        <w:tc>
          <w:tcPr>
            <w:tcW w:w="612" w:type="pct"/>
            <w:tcBorders>
              <w:tl2br w:val="nil"/>
              <w:tr2bl w:val="nil"/>
            </w:tcBorders>
            <w:noWrap w:val="0"/>
            <w:vAlign w:val="center"/>
          </w:tcPr>
          <w:p w14:paraId="4EFED57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2011-01-08</w:t>
            </w:r>
          </w:p>
        </w:tc>
      </w:tr>
      <w:tr w14:paraId="1A4D25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604475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528" w:type="pct"/>
            <w:tcBorders>
              <w:tl2br w:val="nil"/>
              <w:tr2bl w:val="nil"/>
            </w:tcBorders>
            <w:noWrap w:val="0"/>
            <w:vAlign w:val="center"/>
          </w:tcPr>
          <w:p w14:paraId="5CBA65A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基本农田保护条例</w:t>
            </w:r>
          </w:p>
        </w:tc>
        <w:tc>
          <w:tcPr>
            <w:tcW w:w="1692" w:type="pct"/>
            <w:tcBorders>
              <w:tl2br w:val="nil"/>
              <w:tr2bl w:val="nil"/>
            </w:tcBorders>
            <w:noWrap w:val="0"/>
            <w:vAlign w:val="center"/>
          </w:tcPr>
          <w:p w14:paraId="4CA653C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国务院令第588号</w:t>
            </w:r>
          </w:p>
        </w:tc>
        <w:tc>
          <w:tcPr>
            <w:tcW w:w="612" w:type="pct"/>
            <w:tcBorders>
              <w:tl2br w:val="nil"/>
              <w:tr2bl w:val="nil"/>
            </w:tcBorders>
            <w:noWrap w:val="0"/>
            <w:vAlign w:val="center"/>
          </w:tcPr>
          <w:p w14:paraId="432EFC9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2011-01-18</w:t>
            </w:r>
          </w:p>
        </w:tc>
      </w:tr>
      <w:tr w14:paraId="24D24F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350FE3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528" w:type="pct"/>
            <w:tcBorders>
              <w:tl2br w:val="nil"/>
              <w:tr2bl w:val="nil"/>
            </w:tcBorders>
            <w:noWrap w:val="0"/>
            <w:vAlign w:val="center"/>
          </w:tcPr>
          <w:p w14:paraId="23B2D38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中华人民共和国水土保持法</w:t>
            </w:r>
          </w:p>
        </w:tc>
        <w:tc>
          <w:tcPr>
            <w:tcW w:w="1692" w:type="pct"/>
            <w:tcBorders>
              <w:tl2br w:val="nil"/>
              <w:tr2bl w:val="nil"/>
            </w:tcBorders>
            <w:noWrap w:val="0"/>
            <w:vAlign w:val="center"/>
          </w:tcPr>
          <w:p w14:paraId="31CD78F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11</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18</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1DE1CA6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2011-03-01</w:t>
            </w:r>
          </w:p>
        </w:tc>
      </w:tr>
      <w:tr w14:paraId="5E272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2DAD95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528" w:type="pct"/>
            <w:tcBorders>
              <w:tl2br w:val="nil"/>
              <w:tr2bl w:val="nil"/>
            </w:tcBorders>
            <w:noWrap w:val="0"/>
            <w:vAlign w:val="center"/>
          </w:tcPr>
          <w:p w14:paraId="2607010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土地复垦条例</w:t>
            </w:r>
          </w:p>
        </w:tc>
        <w:tc>
          <w:tcPr>
            <w:tcW w:w="1692" w:type="pct"/>
            <w:tcBorders>
              <w:tl2br w:val="nil"/>
              <w:tr2bl w:val="nil"/>
            </w:tcBorders>
            <w:noWrap w:val="0"/>
            <w:vAlign w:val="center"/>
          </w:tcPr>
          <w:p w14:paraId="30A5035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国务院令第592号</w:t>
            </w:r>
          </w:p>
        </w:tc>
        <w:tc>
          <w:tcPr>
            <w:tcW w:w="612" w:type="pct"/>
            <w:tcBorders>
              <w:tl2br w:val="nil"/>
              <w:tr2bl w:val="nil"/>
            </w:tcBorders>
            <w:noWrap w:val="0"/>
            <w:vAlign w:val="center"/>
          </w:tcPr>
          <w:p w14:paraId="4278F97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2011-03-05</w:t>
            </w:r>
          </w:p>
        </w:tc>
      </w:tr>
      <w:tr w14:paraId="49DF9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03B064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528" w:type="pct"/>
            <w:tcBorders>
              <w:tl2br w:val="nil"/>
              <w:tr2bl w:val="nil"/>
            </w:tcBorders>
            <w:noWrap w:val="0"/>
            <w:vAlign w:val="center"/>
          </w:tcPr>
          <w:p w14:paraId="75DB543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国务院关于加强环境保护重点工作的意见</w:t>
            </w:r>
          </w:p>
        </w:tc>
        <w:tc>
          <w:tcPr>
            <w:tcW w:w="1692" w:type="pct"/>
            <w:tcBorders>
              <w:tl2br w:val="nil"/>
              <w:tr2bl w:val="nil"/>
            </w:tcBorders>
            <w:noWrap w:val="0"/>
            <w:vAlign w:val="center"/>
          </w:tcPr>
          <w:p w14:paraId="348279D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国发〔2011〕35号</w:t>
            </w:r>
          </w:p>
        </w:tc>
        <w:tc>
          <w:tcPr>
            <w:tcW w:w="612" w:type="pct"/>
            <w:tcBorders>
              <w:tl2br w:val="nil"/>
              <w:tr2bl w:val="nil"/>
            </w:tcBorders>
            <w:noWrap w:val="0"/>
            <w:vAlign w:val="center"/>
          </w:tcPr>
          <w:p w14:paraId="13F3FB8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2011-10-20</w:t>
            </w:r>
          </w:p>
        </w:tc>
      </w:tr>
      <w:tr w14:paraId="19425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F557B8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528" w:type="pct"/>
            <w:tcBorders>
              <w:tl2br w:val="nil"/>
              <w:tr2bl w:val="nil"/>
            </w:tcBorders>
            <w:noWrap w:val="0"/>
            <w:vAlign w:val="center"/>
          </w:tcPr>
          <w:p w14:paraId="4C15394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中华人民共和国清洁生产促进法</w:t>
            </w:r>
          </w:p>
        </w:tc>
        <w:tc>
          <w:tcPr>
            <w:tcW w:w="1692" w:type="pct"/>
            <w:tcBorders>
              <w:tl2br w:val="nil"/>
              <w:tr2bl w:val="nil"/>
            </w:tcBorders>
            <w:noWrap w:val="0"/>
            <w:vAlign w:val="center"/>
          </w:tcPr>
          <w:p w14:paraId="0249D78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11</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25</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0E028F1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2012-07-01</w:t>
            </w:r>
          </w:p>
        </w:tc>
      </w:tr>
      <w:tr w14:paraId="017607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C6E4DE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528" w:type="pct"/>
            <w:tcBorders>
              <w:tl2br w:val="nil"/>
              <w:tr2bl w:val="nil"/>
            </w:tcBorders>
            <w:noWrap w:val="0"/>
            <w:vAlign w:val="center"/>
          </w:tcPr>
          <w:p w14:paraId="620F9B6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HYPERLINK "javascript:SLC(38905,0)"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危险化学品安全管理条例</w:t>
            </w:r>
            <w:r>
              <w:rPr>
                <w:rFonts w:hint="default" w:ascii="Times New Roman" w:hAnsi="Times New Roman" w:cs="Times New Roman"/>
                <w:color w:val="auto"/>
                <w:sz w:val="21"/>
                <w:szCs w:val="21"/>
                <w:highlight w:val="none"/>
              </w:rPr>
              <w:fldChar w:fldCharType="end"/>
            </w:r>
          </w:p>
        </w:tc>
        <w:tc>
          <w:tcPr>
            <w:tcW w:w="1692" w:type="pct"/>
            <w:tcBorders>
              <w:tl2br w:val="nil"/>
              <w:tr2bl w:val="nil"/>
            </w:tcBorders>
            <w:noWrap w:val="0"/>
            <w:vAlign w:val="center"/>
          </w:tcPr>
          <w:p w14:paraId="7C6AD240">
            <w:pPr>
              <w:pStyle w:val="45"/>
              <w:spacing w:before="0" w:beforeAutospacing="0" w:line="360" w:lineRule="exact"/>
              <w:ind w:firstLine="0" w:firstLineChars="0"/>
              <w:jc w:val="center"/>
              <w:rPr>
                <w:rFonts w:hint="default" w:ascii="Times New Roman" w:hAnsi="Times New Roman" w:eastAsia="宋体" w:cs="Times New Roman"/>
                <w:color w:val="auto"/>
                <w:spacing w:val="-3"/>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国务院令第645号</w:t>
            </w:r>
          </w:p>
        </w:tc>
        <w:tc>
          <w:tcPr>
            <w:tcW w:w="612" w:type="pct"/>
            <w:tcBorders>
              <w:tl2br w:val="nil"/>
              <w:tr2bl w:val="nil"/>
            </w:tcBorders>
            <w:noWrap w:val="0"/>
            <w:vAlign w:val="center"/>
          </w:tcPr>
          <w:p w14:paraId="6C8B04F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2013-12-07</w:t>
            </w:r>
          </w:p>
        </w:tc>
      </w:tr>
      <w:tr w14:paraId="081CF6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BEAC44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2528" w:type="pct"/>
            <w:tcBorders>
              <w:tl2br w:val="nil"/>
              <w:tr2bl w:val="nil"/>
            </w:tcBorders>
            <w:noWrap w:val="0"/>
            <w:vAlign w:val="center"/>
          </w:tcPr>
          <w:p w14:paraId="01DD532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中华人民共和国环境保护法</w:t>
            </w:r>
          </w:p>
        </w:tc>
        <w:tc>
          <w:tcPr>
            <w:tcW w:w="1692" w:type="pct"/>
            <w:tcBorders>
              <w:tl2br w:val="nil"/>
              <w:tr2bl w:val="nil"/>
            </w:tcBorders>
            <w:noWrap w:val="0"/>
            <w:vAlign w:val="center"/>
          </w:tcPr>
          <w:p w14:paraId="2B28088A">
            <w:pPr>
              <w:pStyle w:val="45"/>
              <w:spacing w:before="0" w:beforeAutospacing="0" w:line="360" w:lineRule="exact"/>
              <w:ind w:firstLine="0" w:firstLineChars="0"/>
              <w:jc w:val="center"/>
              <w:rPr>
                <w:rFonts w:hint="default" w:ascii="Times New Roman" w:hAnsi="Times New Roman" w:eastAsia="宋体" w:cs="Times New Roman"/>
                <w:color w:val="auto"/>
                <w:spacing w:val="-3"/>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12</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8</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442DBBA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2015-01-01</w:t>
            </w:r>
          </w:p>
        </w:tc>
      </w:tr>
      <w:tr w14:paraId="57132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80D745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528" w:type="pct"/>
            <w:tcBorders>
              <w:tl2br w:val="nil"/>
              <w:tr2bl w:val="nil"/>
            </w:tcBorders>
            <w:noWrap w:val="0"/>
            <w:vAlign w:val="center"/>
          </w:tcPr>
          <w:p w14:paraId="04A25E3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水污染防治行动计划</w:t>
            </w:r>
          </w:p>
        </w:tc>
        <w:tc>
          <w:tcPr>
            <w:tcW w:w="1692" w:type="pct"/>
            <w:tcBorders>
              <w:tl2br w:val="nil"/>
              <w:tr2bl w:val="nil"/>
            </w:tcBorders>
            <w:noWrap w:val="0"/>
            <w:vAlign w:val="center"/>
          </w:tcPr>
          <w:p w14:paraId="6A2E0083">
            <w:pPr>
              <w:pStyle w:val="45"/>
              <w:spacing w:before="0" w:beforeAutospacing="0" w:line="360" w:lineRule="exact"/>
              <w:ind w:firstLine="0" w:firstLineChars="0"/>
              <w:jc w:val="center"/>
              <w:rPr>
                <w:rFonts w:hint="default" w:ascii="Times New Roman" w:hAnsi="Times New Roman" w:eastAsia="宋体" w:cs="Times New Roman"/>
                <w:color w:val="auto"/>
                <w:spacing w:val="-3"/>
                <w:kern w:val="0"/>
                <w:sz w:val="21"/>
                <w:szCs w:val="21"/>
                <w:highlight w:val="none"/>
                <w:lang w:val="en-US" w:eastAsia="zh-CN" w:bidi="ar-SA"/>
              </w:rPr>
            </w:pPr>
            <w:r>
              <w:rPr>
                <w:rFonts w:hint="default" w:ascii="Times New Roman" w:hAnsi="Times New Roman" w:cs="Times New Roman"/>
                <w:color w:val="auto"/>
                <w:sz w:val="21"/>
                <w:szCs w:val="21"/>
                <w:highlight w:val="none"/>
              </w:rPr>
              <w:t>国发〔2015〕17号</w:t>
            </w:r>
          </w:p>
        </w:tc>
        <w:tc>
          <w:tcPr>
            <w:tcW w:w="612" w:type="pct"/>
            <w:tcBorders>
              <w:tl2br w:val="nil"/>
              <w:tr2bl w:val="nil"/>
            </w:tcBorders>
            <w:noWrap w:val="0"/>
            <w:vAlign w:val="center"/>
          </w:tcPr>
          <w:p w14:paraId="4EDCDC1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2015-04-02</w:t>
            </w:r>
          </w:p>
        </w:tc>
      </w:tr>
      <w:tr w14:paraId="7CA7A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F44E4E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528" w:type="pct"/>
            <w:tcBorders>
              <w:tl2br w:val="nil"/>
              <w:tr2bl w:val="nil"/>
            </w:tcBorders>
            <w:noWrap w:val="0"/>
            <w:vAlign w:val="center"/>
          </w:tcPr>
          <w:p w14:paraId="3BAF33C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中华人民共和国陆生野生动物保护实施条例</w:t>
            </w:r>
          </w:p>
        </w:tc>
        <w:tc>
          <w:tcPr>
            <w:tcW w:w="1692" w:type="pct"/>
            <w:tcBorders>
              <w:tl2br w:val="nil"/>
              <w:tr2bl w:val="nil"/>
            </w:tcBorders>
            <w:noWrap w:val="0"/>
            <w:vAlign w:val="center"/>
          </w:tcPr>
          <w:p w14:paraId="224939D7">
            <w:pPr>
              <w:pStyle w:val="45"/>
              <w:spacing w:before="0" w:beforeAutospacing="0" w:line="360" w:lineRule="exact"/>
              <w:ind w:firstLine="0" w:firstLineChars="0"/>
              <w:jc w:val="center"/>
              <w:rPr>
                <w:rFonts w:hint="default" w:ascii="Times New Roman" w:hAnsi="Times New Roman" w:eastAsia="宋体" w:cs="Times New Roman"/>
                <w:color w:val="auto"/>
                <w:spacing w:val="-3"/>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国务院令第666号</w:t>
            </w:r>
          </w:p>
        </w:tc>
        <w:tc>
          <w:tcPr>
            <w:tcW w:w="612" w:type="pct"/>
            <w:tcBorders>
              <w:tl2br w:val="nil"/>
              <w:tr2bl w:val="nil"/>
            </w:tcBorders>
            <w:noWrap w:val="0"/>
            <w:vAlign w:val="center"/>
          </w:tcPr>
          <w:p w14:paraId="145F922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2016-02-06</w:t>
            </w:r>
          </w:p>
        </w:tc>
      </w:tr>
      <w:tr w14:paraId="017DE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E79935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528" w:type="pct"/>
            <w:tcBorders>
              <w:tl2br w:val="nil"/>
              <w:tr2bl w:val="nil"/>
            </w:tcBorders>
            <w:noWrap w:val="0"/>
            <w:vAlign w:val="center"/>
          </w:tcPr>
          <w:p w14:paraId="0DB258D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土壤污染防治行动计划</w:t>
            </w:r>
          </w:p>
        </w:tc>
        <w:tc>
          <w:tcPr>
            <w:tcW w:w="1692" w:type="pct"/>
            <w:tcBorders>
              <w:tl2br w:val="nil"/>
              <w:tr2bl w:val="nil"/>
            </w:tcBorders>
            <w:noWrap w:val="0"/>
            <w:vAlign w:val="center"/>
          </w:tcPr>
          <w:p w14:paraId="74E317D9">
            <w:pPr>
              <w:pStyle w:val="45"/>
              <w:spacing w:before="0" w:beforeAutospacing="0" w:line="360" w:lineRule="exact"/>
              <w:ind w:firstLine="0" w:firstLineChars="0"/>
              <w:jc w:val="center"/>
              <w:rPr>
                <w:rFonts w:hint="default" w:ascii="Times New Roman" w:hAnsi="Times New Roman" w:eastAsia="宋体" w:cs="Times New Roman"/>
                <w:color w:val="auto"/>
                <w:spacing w:val="-3"/>
                <w:kern w:val="0"/>
                <w:sz w:val="21"/>
                <w:szCs w:val="21"/>
                <w:highlight w:val="none"/>
                <w:lang w:val="en-US" w:eastAsia="zh-CN" w:bidi="ar-SA"/>
              </w:rPr>
            </w:pPr>
            <w:r>
              <w:rPr>
                <w:rFonts w:hint="default" w:ascii="Times New Roman" w:hAnsi="Times New Roman" w:cs="Times New Roman"/>
                <w:color w:val="auto"/>
                <w:sz w:val="21"/>
                <w:szCs w:val="21"/>
                <w:highlight w:val="none"/>
              </w:rPr>
              <w:t>国发〔2016〕31号</w:t>
            </w:r>
          </w:p>
        </w:tc>
        <w:tc>
          <w:tcPr>
            <w:tcW w:w="612" w:type="pct"/>
            <w:tcBorders>
              <w:tl2br w:val="nil"/>
              <w:tr2bl w:val="nil"/>
            </w:tcBorders>
            <w:noWrap w:val="0"/>
            <w:vAlign w:val="center"/>
          </w:tcPr>
          <w:p w14:paraId="5522C02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2016-05-28</w:t>
            </w:r>
          </w:p>
        </w:tc>
      </w:tr>
      <w:tr w14:paraId="788993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854F74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528" w:type="pct"/>
            <w:tcBorders>
              <w:tl2br w:val="nil"/>
              <w:tr2bl w:val="nil"/>
            </w:tcBorders>
            <w:noWrap w:val="0"/>
            <w:vAlign w:val="center"/>
          </w:tcPr>
          <w:p w14:paraId="339551E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中华人民共和国水法</w:t>
            </w:r>
          </w:p>
        </w:tc>
        <w:tc>
          <w:tcPr>
            <w:tcW w:w="1692" w:type="pct"/>
            <w:tcBorders>
              <w:tl2br w:val="nil"/>
              <w:tr2bl w:val="nil"/>
            </w:tcBorders>
            <w:noWrap w:val="0"/>
            <w:vAlign w:val="center"/>
          </w:tcPr>
          <w:p w14:paraId="0F76EF78">
            <w:pPr>
              <w:pStyle w:val="45"/>
              <w:spacing w:before="0" w:beforeAutospacing="0" w:line="360" w:lineRule="exact"/>
              <w:ind w:firstLine="0" w:firstLineChars="0"/>
              <w:jc w:val="center"/>
              <w:rPr>
                <w:rFonts w:hint="default" w:ascii="Times New Roman" w:hAnsi="Times New Roman" w:eastAsia="宋体" w:cs="Times New Roman"/>
                <w:color w:val="auto"/>
                <w:spacing w:val="-3"/>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12</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21</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3443C2F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2016-07-02</w:t>
            </w:r>
          </w:p>
        </w:tc>
      </w:tr>
      <w:tr w14:paraId="1C23F3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B2BD7A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2528" w:type="pct"/>
            <w:tcBorders>
              <w:tl2br w:val="nil"/>
              <w:tr2bl w:val="nil"/>
            </w:tcBorders>
            <w:noWrap w:val="0"/>
            <w:vAlign w:val="center"/>
          </w:tcPr>
          <w:p w14:paraId="1E0B16B1">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关于划定并严守生态保护红线的若干意见</w:t>
            </w:r>
          </w:p>
        </w:tc>
        <w:tc>
          <w:tcPr>
            <w:tcW w:w="1692" w:type="pct"/>
            <w:tcBorders>
              <w:tl2br w:val="nil"/>
              <w:tr2bl w:val="nil"/>
            </w:tcBorders>
            <w:noWrap w:val="0"/>
            <w:vAlign w:val="center"/>
          </w:tcPr>
          <w:p w14:paraId="34CB8CE0">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中共中央办公厅 国务院办公厅</w:t>
            </w:r>
          </w:p>
        </w:tc>
        <w:tc>
          <w:tcPr>
            <w:tcW w:w="612" w:type="pct"/>
            <w:tcBorders>
              <w:tl2br w:val="nil"/>
              <w:tr2bl w:val="nil"/>
            </w:tcBorders>
            <w:noWrap w:val="0"/>
            <w:vAlign w:val="center"/>
          </w:tcPr>
          <w:p w14:paraId="0B05337E">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2017-02-07</w:t>
            </w:r>
          </w:p>
        </w:tc>
      </w:tr>
      <w:tr w14:paraId="25176A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2107AC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2528" w:type="pct"/>
            <w:tcBorders>
              <w:tl2br w:val="nil"/>
              <w:tr2bl w:val="nil"/>
            </w:tcBorders>
            <w:noWrap w:val="0"/>
            <w:vAlign w:val="center"/>
          </w:tcPr>
          <w:p w14:paraId="7DE97CFB">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建设项目环境保护管理条例</w:t>
            </w:r>
          </w:p>
        </w:tc>
        <w:tc>
          <w:tcPr>
            <w:tcW w:w="1692" w:type="pct"/>
            <w:tcBorders>
              <w:tl2br w:val="nil"/>
              <w:tr2bl w:val="nil"/>
            </w:tcBorders>
            <w:noWrap w:val="0"/>
            <w:vAlign w:val="center"/>
          </w:tcPr>
          <w:p w14:paraId="5B566A88">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国务院令第682号</w:t>
            </w:r>
          </w:p>
        </w:tc>
        <w:tc>
          <w:tcPr>
            <w:tcW w:w="612" w:type="pct"/>
            <w:tcBorders>
              <w:tl2br w:val="nil"/>
              <w:tr2bl w:val="nil"/>
            </w:tcBorders>
            <w:noWrap w:val="0"/>
            <w:vAlign w:val="center"/>
          </w:tcPr>
          <w:p w14:paraId="35C6393A">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2017-10-01</w:t>
            </w:r>
          </w:p>
        </w:tc>
      </w:tr>
      <w:tr w14:paraId="16A417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BC1C39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2528" w:type="pct"/>
            <w:tcBorders>
              <w:tl2br w:val="nil"/>
              <w:tr2bl w:val="nil"/>
            </w:tcBorders>
            <w:noWrap w:val="0"/>
            <w:vAlign w:val="center"/>
          </w:tcPr>
          <w:p w14:paraId="5D6890C1">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中华人民共和国自然保护区管理条例</w:t>
            </w:r>
          </w:p>
        </w:tc>
        <w:tc>
          <w:tcPr>
            <w:tcW w:w="1692" w:type="pct"/>
            <w:tcBorders>
              <w:tl2br w:val="nil"/>
              <w:tr2bl w:val="nil"/>
            </w:tcBorders>
            <w:noWrap w:val="0"/>
            <w:vAlign w:val="center"/>
          </w:tcPr>
          <w:p w14:paraId="27D10E8B">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国务院令第687号</w:t>
            </w:r>
          </w:p>
        </w:tc>
        <w:tc>
          <w:tcPr>
            <w:tcW w:w="612" w:type="pct"/>
            <w:tcBorders>
              <w:tl2br w:val="nil"/>
              <w:tr2bl w:val="nil"/>
            </w:tcBorders>
            <w:noWrap w:val="0"/>
            <w:vAlign w:val="center"/>
          </w:tcPr>
          <w:p w14:paraId="5584049D">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2017-10-07</w:t>
            </w:r>
          </w:p>
        </w:tc>
      </w:tr>
      <w:tr w14:paraId="210B00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AC2E00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528" w:type="pct"/>
            <w:tcBorders>
              <w:tl2br w:val="nil"/>
              <w:tr2bl w:val="nil"/>
            </w:tcBorders>
            <w:noWrap w:val="0"/>
            <w:vAlign w:val="center"/>
          </w:tcPr>
          <w:p w14:paraId="12DCFEAC">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中华人民共和国野生植物保护条例</w:t>
            </w:r>
          </w:p>
        </w:tc>
        <w:tc>
          <w:tcPr>
            <w:tcW w:w="1692" w:type="pct"/>
            <w:tcBorders>
              <w:tl2br w:val="nil"/>
              <w:tr2bl w:val="nil"/>
            </w:tcBorders>
            <w:noWrap w:val="0"/>
            <w:vAlign w:val="center"/>
          </w:tcPr>
          <w:p w14:paraId="5D03C4CA">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国务院令第204号</w:t>
            </w:r>
          </w:p>
        </w:tc>
        <w:tc>
          <w:tcPr>
            <w:tcW w:w="612" w:type="pct"/>
            <w:tcBorders>
              <w:tl2br w:val="nil"/>
              <w:tr2bl w:val="nil"/>
            </w:tcBorders>
            <w:noWrap w:val="0"/>
            <w:vAlign w:val="center"/>
          </w:tcPr>
          <w:p w14:paraId="64C126F9">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2017-10-07</w:t>
            </w:r>
          </w:p>
        </w:tc>
      </w:tr>
      <w:tr w14:paraId="34F8D5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B97135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2528" w:type="pct"/>
            <w:tcBorders>
              <w:tl2br w:val="nil"/>
              <w:tr2bl w:val="nil"/>
            </w:tcBorders>
            <w:noWrap w:val="0"/>
            <w:vAlign w:val="center"/>
          </w:tcPr>
          <w:p w14:paraId="33F2B860">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中华人民共和国道路交通安全法实施条例</w:t>
            </w:r>
          </w:p>
        </w:tc>
        <w:tc>
          <w:tcPr>
            <w:tcW w:w="1692" w:type="pct"/>
            <w:tcBorders>
              <w:tl2br w:val="nil"/>
              <w:tr2bl w:val="nil"/>
            </w:tcBorders>
            <w:noWrap w:val="0"/>
            <w:vAlign w:val="center"/>
          </w:tcPr>
          <w:p w14:paraId="655590BA">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国务院令第405号</w:t>
            </w:r>
          </w:p>
        </w:tc>
        <w:tc>
          <w:tcPr>
            <w:tcW w:w="612" w:type="pct"/>
            <w:tcBorders>
              <w:tl2br w:val="nil"/>
              <w:tr2bl w:val="nil"/>
            </w:tcBorders>
            <w:noWrap w:val="0"/>
            <w:vAlign w:val="center"/>
          </w:tcPr>
          <w:p w14:paraId="0246BBDE">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2017-10-07</w:t>
            </w:r>
          </w:p>
        </w:tc>
      </w:tr>
      <w:tr w14:paraId="4B4B4E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547F97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2528" w:type="pct"/>
            <w:tcBorders>
              <w:tl2br w:val="nil"/>
              <w:tr2bl w:val="nil"/>
            </w:tcBorders>
            <w:noWrap w:val="0"/>
            <w:vAlign w:val="center"/>
          </w:tcPr>
          <w:p w14:paraId="3E51EC26">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中华人民共和国水污染防治法</w:t>
            </w:r>
          </w:p>
        </w:tc>
        <w:tc>
          <w:tcPr>
            <w:tcW w:w="1692" w:type="pct"/>
            <w:tcBorders>
              <w:tl2br w:val="nil"/>
              <w:tr2bl w:val="nil"/>
            </w:tcBorders>
            <w:noWrap w:val="0"/>
            <w:vAlign w:val="center"/>
          </w:tcPr>
          <w:p w14:paraId="1438063F">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12</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28</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27AD305E">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2018-01-01</w:t>
            </w:r>
          </w:p>
        </w:tc>
      </w:tr>
      <w:tr w14:paraId="45CA7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9005F4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2528" w:type="pct"/>
            <w:tcBorders>
              <w:tl2br w:val="nil"/>
              <w:tr2bl w:val="nil"/>
            </w:tcBorders>
            <w:noWrap w:val="0"/>
            <w:vAlign w:val="center"/>
          </w:tcPr>
          <w:p w14:paraId="38B5042D">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中华人民共和国城乡规划法</w:t>
            </w:r>
          </w:p>
        </w:tc>
        <w:tc>
          <w:tcPr>
            <w:tcW w:w="1692" w:type="pct"/>
            <w:tcBorders>
              <w:tl2br w:val="nil"/>
              <w:tr2bl w:val="nil"/>
            </w:tcBorders>
            <w:noWrap w:val="0"/>
            <w:vAlign w:val="center"/>
          </w:tcPr>
          <w:p w14:paraId="642239E9">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10</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30</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14887F16">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2018-01-01</w:t>
            </w:r>
          </w:p>
        </w:tc>
      </w:tr>
      <w:tr w14:paraId="14CA0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1F300A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2528" w:type="pct"/>
            <w:tcBorders>
              <w:tl2br w:val="nil"/>
              <w:tr2bl w:val="nil"/>
            </w:tcBorders>
            <w:noWrap w:val="0"/>
            <w:vAlign w:val="center"/>
          </w:tcPr>
          <w:p w14:paraId="779DD27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中华人民共和国河道管理条例</w:t>
            </w:r>
          </w:p>
        </w:tc>
        <w:tc>
          <w:tcPr>
            <w:tcW w:w="1692" w:type="pct"/>
            <w:tcBorders>
              <w:tl2br w:val="nil"/>
              <w:tr2bl w:val="nil"/>
            </w:tcBorders>
            <w:noWrap w:val="0"/>
            <w:vAlign w:val="center"/>
          </w:tcPr>
          <w:p w14:paraId="1623028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国务院令第698号</w:t>
            </w:r>
          </w:p>
        </w:tc>
        <w:tc>
          <w:tcPr>
            <w:tcW w:w="612" w:type="pct"/>
            <w:tcBorders>
              <w:tl2br w:val="nil"/>
              <w:tr2bl w:val="nil"/>
            </w:tcBorders>
            <w:noWrap w:val="0"/>
            <w:vAlign w:val="center"/>
          </w:tcPr>
          <w:p w14:paraId="197F050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2018-03-19</w:t>
            </w:r>
          </w:p>
        </w:tc>
      </w:tr>
      <w:tr w14:paraId="6C4861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1822C6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2528" w:type="pct"/>
            <w:tcBorders>
              <w:tl2br w:val="nil"/>
              <w:tr2bl w:val="nil"/>
            </w:tcBorders>
            <w:noWrap w:val="0"/>
            <w:vAlign w:val="center"/>
          </w:tcPr>
          <w:p w14:paraId="06A267E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关于全面加强生态环境保护坚决打好污染防治攻坚战的意见</w:t>
            </w:r>
          </w:p>
        </w:tc>
        <w:tc>
          <w:tcPr>
            <w:tcW w:w="1692" w:type="pct"/>
            <w:tcBorders>
              <w:tl2br w:val="nil"/>
              <w:tr2bl w:val="nil"/>
            </w:tcBorders>
            <w:noWrap w:val="0"/>
            <w:vAlign w:val="center"/>
          </w:tcPr>
          <w:p w14:paraId="0810791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中发〔2018〕17号</w:t>
            </w:r>
          </w:p>
        </w:tc>
        <w:tc>
          <w:tcPr>
            <w:tcW w:w="612" w:type="pct"/>
            <w:tcBorders>
              <w:tl2br w:val="nil"/>
              <w:tr2bl w:val="nil"/>
            </w:tcBorders>
            <w:noWrap w:val="0"/>
            <w:vAlign w:val="center"/>
          </w:tcPr>
          <w:p w14:paraId="4F5E2DA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2018-06-16</w:t>
            </w:r>
          </w:p>
        </w:tc>
      </w:tr>
      <w:tr w14:paraId="69BE30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AE4919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2528" w:type="pct"/>
            <w:tcBorders>
              <w:tl2br w:val="nil"/>
              <w:tr2bl w:val="nil"/>
            </w:tcBorders>
            <w:noWrap w:val="0"/>
            <w:vAlign w:val="center"/>
          </w:tcPr>
          <w:p w14:paraId="352B089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中华人民共和国野生动物保护法</w:t>
            </w:r>
          </w:p>
        </w:tc>
        <w:tc>
          <w:tcPr>
            <w:tcW w:w="1692" w:type="pct"/>
            <w:tcBorders>
              <w:tl2br w:val="nil"/>
              <w:tr2bl w:val="nil"/>
            </w:tcBorders>
            <w:noWrap w:val="0"/>
            <w:vAlign w:val="center"/>
          </w:tcPr>
          <w:p w14:paraId="2D5F3EC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届人大第</w:t>
            </w:r>
            <w:r>
              <w:rPr>
                <w:rFonts w:hint="default" w:ascii="Times New Roman" w:hAnsi="Times New Roman" w:cs="Times New Roman"/>
                <w:color w:val="auto"/>
                <w:sz w:val="21"/>
                <w:szCs w:val="21"/>
                <w:highlight w:val="none"/>
                <w:lang w:val="en-US" w:eastAsia="zh-CN"/>
              </w:rPr>
              <w:t>38</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1252566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01</w:t>
            </w:r>
          </w:p>
        </w:tc>
      </w:tr>
      <w:tr w14:paraId="26A563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E940C0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2528" w:type="pct"/>
            <w:tcBorders>
              <w:tl2br w:val="nil"/>
              <w:tr2bl w:val="nil"/>
            </w:tcBorders>
            <w:noWrap w:val="0"/>
            <w:vAlign w:val="center"/>
          </w:tcPr>
          <w:p w14:paraId="57383D5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中华人民共和国循环经济促进法</w:t>
            </w:r>
          </w:p>
        </w:tc>
        <w:tc>
          <w:tcPr>
            <w:tcW w:w="1692" w:type="pct"/>
            <w:tcBorders>
              <w:tl2br w:val="nil"/>
              <w:tr2bl w:val="nil"/>
            </w:tcBorders>
            <w:noWrap w:val="0"/>
            <w:vAlign w:val="center"/>
          </w:tcPr>
          <w:p w14:paraId="61DED7B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45653EB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2018-10-26</w:t>
            </w:r>
          </w:p>
        </w:tc>
      </w:tr>
      <w:tr w14:paraId="4B7819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8B6892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2528" w:type="pct"/>
            <w:tcBorders>
              <w:tl2br w:val="nil"/>
              <w:tr2bl w:val="nil"/>
            </w:tcBorders>
            <w:noWrap w:val="0"/>
            <w:vAlign w:val="center"/>
          </w:tcPr>
          <w:p w14:paraId="5032D6E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中华人民共和国节约能源法</w:t>
            </w:r>
          </w:p>
        </w:tc>
        <w:tc>
          <w:tcPr>
            <w:tcW w:w="1692" w:type="pct"/>
            <w:tcBorders>
              <w:tl2br w:val="nil"/>
              <w:tr2bl w:val="nil"/>
            </w:tcBorders>
            <w:noWrap w:val="0"/>
            <w:vAlign w:val="center"/>
          </w:tcPr>
          <w:p w14:paraId="07EBA1B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2F11845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2018-10-26</w:t>
            </w:r>
          </w:p>
        </w:tc>
      </w:tr>
      <w:tr w14:paraId="3999A4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A4A139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2528" w:type="pct"/>
            <w:tcBorders>
              <w:tl2br w:val="nil"/>
              <w:tr2bl w:val="nil"/>
            </w:tcBorders>
            <w:noWrap w:val="0"/>
            <w:vAlign w:val="center"/>
          </w:tcPr>
          <w:p w14:paraId="73123D5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中华人民共和国环境保护税法</w:t>
            </w:r>
          </w:p>
        </w:tc>
        <w:tc>
          <w:tcPr>
            <w:tcW w:w="1692" w:type="pct"/>
            <w:tcBorders>
              <w:tl2br w:val="nil"/>
              <w:tr2bl w:val="nil"/>
            </w:tcBorders>
            <w:noWrap w:val="0"/>
            <w:vAlign w:val="center"/>
          </w:tcPr>
          <w:p w14:paraId="133DBA6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3B8D2D0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2018-10-26</w:t>
            </w:r>
          </w:p>
        </w:tc>
      </w:tr>
      <w:tr w14:paraId="3F338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9D3DB2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2528" w:type="pct"/>
            <w:tcBorders>
              <w:tl2br w:val="nil"/>
              <w:tr2bl w:val="nil"/>
            </w:tcBorders>
            <w:noWrap w:val="0"/>
            <w:vAlign w:val="center"/>
          </w:tcPr>
          <w:p w14:paraId="1DF90780">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中华人民共和国防沙治沙法</w:t>
            </w:r>
          </w:p>
        </w:tc>
        <w:tc>
          <w:tcPr>
            <w:tcW w:w="1692" w:type="pct"/>
            <w:tcBorders>
              <w:tl2br w:val="nil"/>
              <w:tr2bl w:val="nil"/>
            </w:tcBorders>
            <w:noWrap w:val="0"/>
            <w:vAlign w:val="center"/>
          </w:tcPr>
          <w:p w14:paraId="0C30A3EB">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53BB792B">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2018-10-26</w:t>
            </w:r>
          </w:p>
        </w:tc>
      </w:tr>
      <w:tr w14:paraId="5D4745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F5556A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2528" w:type="pct"/>
            <w:tcBorders>
              <w:tl2br w:val="nil"/>
              <w:tr2bl w:val="nil"/>
            </w:tcBorders>
            <w:noWrap w:val="0"/>
            <w:vAlign w:val="center"/>
          </w:tcPr>
          <w:p w14:paraId="38910A1E">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中华人民共和国大气污染防治法</w:t>
            </w:r>
          </w:p>
        </w:tc>
        <w:tc>
          <w:tcPr>
            <w:tcW w:w="1692" w:type="pct"/>
            <w:tcBorders>
              <w:tl2br w:val="nil"/>
              <w:tr2bl w:val="nil"/>
            </w:tcBorders>
            <w:noWrap w:val="0"/>
            <w:vAlign w:val="center"/>
          </w:tcPr>
          <w:p w14:paraId="7E11DBAE">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545B0C93">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2018-10-26</w:t>
            </w:r>
          </w:p>
        </w:tc>
      </w:tr>
      <w:tr w14:paraId="244751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E59453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2528" w:type="pct"/>
            <w:tcBorders>
              <w:tl2br w:val="nil"/>
              <w:tr2bl w:val="nil"/>
            </w:tcBorders>
            <w:noWrap w:val="0"/>
            <w:vAlign w:val="center"/>
          </w:tcPr>
          <w:p w14:paraId="36BA6D04">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中华人民共和国环境影响评价法</w:t>
            </w:r>
          </w:p>
        </w:tc>
        <w:tc>
          <w:tcPr>
            <w:tcW w:w="1692" w:type="pct"/>
            <w:tcBorders>
              <w:tl2br w:val="nil"/>
              <w:tr2bl w:val="nil"/>
            </w:tcBorders>
            <w:noWrap w:val="0"/>
            <w:vAlign w:val="center"/>
          </w:tcPr>
          <w:p w14:paraId="589DFA65">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7</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25ABF0CD">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2018-12-29</w:t>
            </w:r>
          </w:p>
        </w:tc>
      </w:tr>
      <w:tr w14:paraId="52C89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48E230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33</w:t>
            </w:r>
          </w:p>
        </w:tc>
        <w:tc>
          <w:tcPr>
            <w:tcW w:w="2528" w:type="pct"/>
            <w:tcBorders>
              <w:tl2br w:val="nil"/>
              <w:tr2bl w:val="nil"/>
            </w:tcBorders>
            <w:noWrap w:val="0"/>
            <w:vAlign w:val="center"/>
          </w:tcPr>
          <w:p w14:paraId="5E6978F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中华人民共和国土壤污染防治法</w:t>
            </w:r>
          </w:p>
        </w:tc>
        <w:tc>
          <w:tcPr>
            <w:tcW w:w="1692" w:type="pct"/>
            <w:tcBorders>
              <w:tl2br w:val="nil"/>
              <w:tr2bl w:val="nil"/>
            </w:tcBorders>
            <w:noWrap w:val="0"/>
            <w:vAlign w:val="center"/>
          </w:tcPr>
          <w:p w14:paraId="76E838E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5</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4F2140E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2019-01-01</w:t>
            </w:r>
          </w:p>
        </w:tc>
      </w:tr>
      <w:tr w14:paraId="7268A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8CAAE9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34</w:t>
            </w:r>
          </w:p>
        </w:tc>
        <w:tc>
          <w:tcPr>
            <w:tcW w:w="2528" w:type="pct"/>
            <w:tcBorders>
              <w:tl2br w:val="nil"/>
              <w:tr2bl w:val="nil"/>
            </w:tcBorders>
            <w:noWrap w:val="0"/>
            <w:vAlign w:val="center"/>
          </w:tcPr>
          <w:p w14:paraId="0ED5A93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中华人民共和国森林法</w:t>
            </w:r>
          </w:p>
        </w:tc>
        <w:tc>
          <w:tcPr>
            <w:tcW w:w="1692" w:type="pct"/>
            <w:tcBorders>
              <w:tl2br w:val="nil"/>
              <w:tr2bl w:val="nil"/>
            </w:tcBorders>
            <w:noWrap w:val="0"/>
            <w:vAlign w:val="center"/>
          </w:tcPr>
          <w:p w14:paraId="3FB65A3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15</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4604532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2019-12-28</w:t>
            </w:r>
          </w:p>
        </w:tc>
      </w:tr>
      <w:tr w14:paraId="2D3E3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137D32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2528" w:type="pct"/>
            <w:tcBorders>
              <w:tl2br w:val="nil"/>
              <w:tr2bl w:val="nil"/>
            </w:tcBorders>
            <w:noWrap w:val="0"/>
            <w:vAlign w:val="center"/>
          </w:tcPr>
          <w:p w14:paraId="37728FF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中华人民共和国土地管理法</w:t>
            </w:r>
          </w:p>
        </w:tc>
        <w:tc>
          <w:tcPr>
            <w:tcW w:w="1692" w:type="pct"/>
            <w:tcBorders>
              <w:tl2br w:val="nil"/>
              <w:tr2bl w:val="nil"/>
            </w:tcBorders>
            <w:noWrap w:val="0"/>
            <w:vAlign w:val="center"/>
          </w:tcPr>
          <w:p w14:paraId="4EAD294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12</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77E0313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2020-01-01</w:t>
            </w:r>
          </w:p>
        </w:tc>
      </w:tr>
      <w:tr w14:paraId="70A86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1C31D6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c>
          <w:tcPr>
            <w:tcW w:w="2528" w:type="pct"/>
            <w:tcBorders>
              <w:tl2br w:val="nil"/>
              <w:tr2bl w:val="nil"/>
            </w:tcBorders>
            <w:noWrap w:val="0"/>
            <w:vAlign w:val="center"/>
          </w:tcPr>
          <w:p w14:paraId="58884B8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中华人民共和国固体废物污染环境防治法</w:t>
            </w:r>
          </w:p>
        </w:tc>
        <w:tc>
          <w:tcPr>
            <w:tcW w:w="1692" w:type="pct"/>
            <w:tcBorders>
              <w:tl2br w:val="nil"/>
              <w:tr2bl w:val="nil"/>
            </w:tcBorders>
            <w:noWrap w:val="0"/>
            <w:vAlign w:val="center"/>
          </w:tcPr>
          <w:p w14:paraId="6CF83ED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17</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2FA0806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2020-09-01</w:t>
            </w:r>
          </w:p>
        </w:tc>
      </w:tr>
      <w:tr w14:paraId="596AAF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4294CC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2528" w:type="pct"/>
            <w:tcBorders>
              <w:tl2br w:val="nil"/>
              <w:tr2bl w:val="nil"/>
            </w:tcBorders>
            <w:noWrap w:val="0"/>
            <w:vAlign w:val="center"/>
          </w:tcPr>
          <w:p w14:paraId="2326844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排污许可管理条例</w:t>
            </w:r>
          </w:p>
        </w:tc>
        <w:tc>
          <w:tcPr>
            <w:tcW w:w="1692" w:type="pct"/>
            <w:tcBorders>
              <w:tl2br w:val="nil"/>
              <w:tr2bl w:val="nil"/>
            </w:tcBorders>
            <w:noWrap w:val="0"/>
            <w:vAlign w:val="center"/>
          </w:tcPr>
          <w:p w14:paraId="6D1EE99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国务院令第736号</w:t>
            </w:r>
          </w:p>
        </w:tc>
        <w:tc>
          <w:tcPr>
            <w:tcW w:w="612" w:type="pct"/>
            <w:tcBorders>
              <w:tl2br w:val="nil"/>
              <w:tr2bl w:val="nil"/>
            </w:tcBorders>
            <w:noWrap w:val="0"/>
            <w:vAlign w:val="center"/>
          </w:tcPr>
          <w:p w14:paraId="11A5D91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2021-03-01</w:t>
            </w:r>
          </w:p>
        </w:tc>
      </w:tr>
      <w:tr w14:paraId="2C8F5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069D16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2528" w:type="pct"/>
            <w:tcBorders>
              <w:tl2br w:val="nil"/>
              <w:tr2bl w:val="nil"/>
            </w:tcBorders>
            <w:noWrap w:val="0"/>
            <w:vAlign w:val="center"/>
          </w:tcPr>
          <w:p w14:paraId="4ADB8E3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中华人民共和国土地管理法实施条例</w:t>
            </w:r>
          </w:p>
        </w:tc>
        <w:tc>
          <w:tcPr>
            <w:tcW w:w="1692" w:type="pct"/>
            <w:tcBorders>
              <w:tl2br w:val="nil"/>
              <w:tr2bl w:val="nil"/>
            </w:tcBorders>
            <w:noWrap w:val="0"/>
            <w:vAlign w:val="center"/>
          </w:tcPr>
          <w:p w14:paraId="725D104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国务院令第743号</w:t>
            </w:r>
          </w:p>
        </w:tc>
        <w:tc>
          <w:tcPr>
            <w:tcW w:w="612" w:type="pct"/>
            <w:tcBorders>
              <w:tl2br w:val="nil"/>
              <w:tr2bl w:val="nil"/>
            </w:tcBorders>
            <w:noWrap w:val="0"/>
            <w:vAlign w:val="center"/>
          </w:tcPr>
          <w:p w14:paraId="0326283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2021-09-01</w:t>
            </w:r>
          </w:p>
        </w:tc>
      </w:tr>
      <w:tr w14:paraId="6CFE03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90E63E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2528" w:type="pct"/>
            <w:tcBorders>
              <w:tl2br w:val="nil"/>
              <w:tr2bl w:val="nil"/>
            </w:tcBorders>
            <w:noWrap w:val="0"/>
            <w:vAlign w:val="center"/>
          </w:tcPr>
          <w:p w14:paraId="011841B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中华人民共和国安全生产法</w:t>
            </w:r>
          </w:p>
        </w:tc>
        <w:tc>
          <w:tcPr>
            <w:tcW w:w="1692" w:type="pct"/>
            <w:tcBorders>
              <w:tl2br w:val="nil"/>
              <w:tr2bl w:val="nil"/>
            </w:tcBorders>
            <w:noWrap w:val="0"/>
            <w:vAlign w:val="center"/>
          </w:tcPr>
          <w:p w14:paraId="6DD94FB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29</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4B9737D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2021-09-01</w:t>
            </w:r>
          </w:p>
        </w:tc>
      </w:tr>
      <w:tr w14:paraId="1661BC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5DB0A8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2528" w:type="pct"/>
            <w:tcBorders>
              <w:tl2br w:val="nil"/>
              <w:tr2bl w:val="nil"/>
            </w:tcBorders>
            <w:noWrap w:val="0"/>
            <w:vAlign w:val="center"/>
          </w:tcPr>
          <w:p w14:paraId="086165A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关于完整准确全面贯彻新发展理念做好碳达峰碳中和工作的意见</w:t>
            </w:r>
          </w:p>
        </w:tc>
        <w:tc>
          <w:tcPr>
            <w:tcW w:w="1692" w:type="pct"/>
            <w:tcBorders>
              <w:tl2br w:val="nil"/>
              <w:tr2bl w:val="nil"/>
            </w:tcBorders>
            <w:noWrap w:val="0"/>
            <w:vAlign w:val="center"/>
          </w:tcPr>
          <w:p w14:paraId="462C43B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中发〔2021〕36号</w:t>
            </w:r>
          </w:p>
        </w:tc>
        <w:tc>
          <w:tcPr>
            <w:tcW w:w="612" w:type="pct"/>
            <w:tcBorders>
              <w:tl2br w:val="nil"/>
              <w:tr2bl w:val="nil"/>
            </w:tcBorders>
            <w:noWrap w:val="0"/>
            <w:vAlign w:val="center"/>
          </w:tcPr>
          <w:p w14:paraId="107EBA8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2021-09-22</w:t>
            </w:r>
          </w:p>
        </w:tc>
      </w:tr>
      <w:tr w14:paraId="3D39C8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74F5D5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2528" w:type="pct"/>
            <w:tcBorders>
              <w:tl2br w:val="nil"/>
              <w:tr2bl w:val="nil"/>
            </w:tcBorders>
            <w:noWrap w:val="0"/>
            <w:vAlign w:val="center"/>
          </w:tcPr>
          <w:p w14:paraId="58CC5B6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地下水管理条例</w:t>
            </w:r>
          </w:p>
        </w:tc>
        <w:tc>
          <w:tcPr>
            <w:tcW w:w="1692" w:type="pct"/>
            <w:tcBorders>
              <w:tl2br w:val="nil"/>
              <w:tr2bl w:val="nil"/>
            </w:tcBorders>
            <w:noWrap w:val="0"/>
            <w:vAlign w:val="center"/>
          </w:tcPr>
          <w:p w14:paraId="5A3DABF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国务院令第748号</w:t>
            </w:r>
          </w:p>
        </w:tc>
        <w:tc>
          <w:tcPr>
            <w:tcW w:w="612" w:type="pct"/>
            <w:tcBorders>
              <w:tl2br w:val="nil"/>
              <w:tr2bl w:val="nil"/>
            </w:tcBorders>
            <w:noWrap w:val="0"/>
            <w:vAlign w:val="center"/>
          </w:tcPr>
          <w:p w14:paraId="129C583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2021-12-01</w:t>
            </w:r>
          </w:p>
        </w:tc>
      </w:tr>
      <w:tr w14:paraId="1A687B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6B6712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2528" w:type="pct"/>
            <w:tcBorders>
              <w:tl2br w:val="nil"/>
              <w:tr2bl w:val="nil"/>
            </w:tcBorders>
            <w:noWrap w:val="0"/>
            <w:vAlign w:val="center"/>
          </w:tcPr>
          <w:p w14:paraId="39EA69E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中华人民共和国湿地保护法</w:t>
            </w:r>
          </w:p>
        </w:tc>
        <w:tc>
          <w:tcPr>
            <w:tcW w:w="1692" w:type="pct"/>
            <w:tcBorders>
              <w:tl2br w:val="nil"/>
              <w:tr2bl w:val="nil"/>
            </w:tcBorders>
            <w:noWrap w:val="0"/>
            <w:vAlign w:val="center"/>
          </w:tcPr>
          <w:p w14:paraId="51A81BD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32</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1C2F167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2022-06-01</w:t>
            </w:r>
          </w:p>
        </w:tc>
      </w:tr>
      <w:tr w14:paraId="10C02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A4E5D5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2528" w:type="pct"/>
            <w:tcBorders>
              <w:tl2br w:val="nil"/>
              <w:tr2bl w:val="nil"/>
            </w:tcBorders>
            <w:noWrap w:val="0"/>
            <w:vAlign w:val="center"/>
          </w:tcPr>
          <w:p w14:paraId="424580F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中华人民共和国噪声污染防治法</w:t>
            </w:r>
          </w:p>
        </w:tc>
        <w:tc>
          <w:tcPr>
            <w:tcW w:w="1692" w:type="pct"/>
            <w:tcBorders>
              <w:tl2br w:val="nil"/>
              <w:tr2bl w:val="nil"/>
            </w:tcBorders>
            <w:noWrap w:val="0"/>
            <w:vAlign w:val="center"/>
          </w:tcPr>
          <w:p w14:paraId="749BF6A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32</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59484EF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2022-06-05</w:t>
            </w:r>
          </w:p>
        </w:tc>
      </w:tr>
      <w:tr w14:paraId="77C95E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0E6F50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2528" w:type="pct"/>
            <w:tcBorders>
              <w:tl2br w:val="nil"/>
              <w:tr2bl w:val="nil"/>
            </w:tcBorders>
            <w:noWrap w:val="0"/>
            <w:vAlign w:val="center"/>
          </w:tcPr>
          <w:p w14:paraId="1BB9F3E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地下水保护利用管理办法</w:t>
            </w:r>
          </w:p>
        </w:tc>
        <w:tc>
          <w:tcPr>
            <w:tcW w:w="1692" w:type="pct"/>
            <w:tcBorders>
              <w:tl2br w:val="nil"/>
              <w:tr2bl w:val="nil"/>
            </w:tcBorders>
            <w:noWrap w:val="0"/>
            <w:vAlign w:val="center"/>
          </w:tcPr>
          <w:p w14:paraId="5326965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水资管〔2023〕214号</w:t>
            </w:r>
          </w:p>
        </w:tc>
        <w:tc>
          <w:tcPr>
            <w:tcW w:w="612" w:type="pct"/>
            <w:tcBorders>
              <w:tl2br w:val="nil"/>
              <w:tr2bl w:val="nil"/>
            </w:tcBorders>
            <w:noWrap w:val="0"/>
            <w:vAlign w:val="center"/>
          </w:tcPr>
          <w:p w14:paraId="3053DC3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2023-06-28</w:t>
            </w:r>
          </w:p>
        </w:tc>
      </w:tr>
      <w:tr w14:paraId="77BDE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D8EE6C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2528" w:type="pct"/>
            <w:tcBorders>
              <w:tl2br w:val="nil"/>
              <w:tr2bl w:val="nil"/>
            </w:tcBorders>
            <w:noWrap w:val="0"/>
            <w:vAlign w:val="center"/>
          </w:tcPr>
          <w:p w14:paraId="18824A8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关于进一步加强矿山安全生产工作的意见</w:t>
            </w:r>
          </w:p>
        </w:tc>
        <w:tc>
          <w:tcPr>
            <w:tcW w:w="1692" w:type="pct"/>
            <w:tcBorders>
              <w:tl2br w:val="nil"/>
              <w:tr2bl w:val="nil"/>
            </w:tcBorders>
            <w:noWrap w:val="0"/>
            <w:vAlign w:val="center"/>
          </w:tcPr>
          <w:p w14:paraId="604F80B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612" w:type="pct"/>
            <w:tcBorders>
              <w:tl2br w:val="nil"/>
              <w:tr2bl w:val="nil"/>
            </w:tcBorders>
            <w:noWrap w:val="0"/>
            <w:vAlign w:val="center"/>
          </w:tcPr>
          <w:p w14:paraId="02CCB5A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2023-09-06</w:t>
            </w:r>
          </w:p>
        </w:tc>
      </w:tr>
      <w:tr w14:paraId="28029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E00D7C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2528" w:type="pct"/>
            <w:tcBorders>
              <w:tl2br w:val="nil"/>
              <w:tr2bl w:val="nil"/>
            </w:tcBorders>
            <w:noWrap w:val="0"/>
            <w:vAlign w:val="center"/>
          </w:tcPr>
          <w:p w14:paraId="2E7F605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空气质量持续改善行动计划</w:t>
            </w:r>
          </w:p>
        </w:tc>
        <w:tc>
          <w:tcPr>
            <w:tcW w:w="1692" w:type="pct"/>
            <w:tcBorders>
              <w:tl2br w:val="nil"/>
              <w:tr2bl w:val="nil"/>
            </w:tcBorders>
            <w:noWrap w:val="0"/>
            <w:vAlign w:val="center"/>
          </w:tcPr>
          <w:p w14:paraId="06C65FA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国发〔2023〕24号</w:t>
            </w:r>
          </w:p>
        </w:tc>
        <w:tc>
          <w:tcPr>
            <w:tcW w:w="612" w:type="pct"/>
            <w:tcBorders>
              <w:tl2br w:val="nil"/>
              <w:tr2bl w:val="nil"/>
            </w:tcBorders>
            <w:noWrap w:val="0"/>
            <w:vAlign w:val="center"/>
          </w:tcPr>
          <w:p w14:paraId="35C55B4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2023-11-30</w:t>
            </w:r>
          </w:p>
        </w:tc>
      </w:tr>
      <w:tr w14:paraId="6BB7FC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9B88533">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7</w:t>
            </w:r>
          </w:p>
        </w:tc>
        <w:tc>
          <w:tcPr>
            <w:tcW w:w="2528" w:type="pct"/>
            <w:tcBorders>
              <w:tl2br w:val="nil"/>
              <w:tr2bl w:val="nil"/>
            </w:tcBorders>
            <w:noWrap w:val="0"/>
            <w:vAlign w:val="center"/>
          </w:tcPr>
          <w:p w14:paraId="6115166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《国务院关于印发〈固体废物综合治理行动计划〉的通知》</w:t>
            </w:r>
          </w:p>
        </w:tc>
        <w:tc>
          <w:tcPr>
            <w:tcW w:w="1692" w:type="pct"/>
            <w:tcBorders>
              <w:tl2br w:val="nil"/>
              <w:tr2bl w:val="nil"/>
            </w:tcBorders>
            <w:noWrap w:val="0"/>
            <w:vAlign w:val="center"/>
          </w:tcPr>
          <w:p w14:paraId="00024C9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国发〔2025〕14号</w:t>
            </w:r>
          </w:p>
        </w:tc>
        <w:tc>
          <w:tcPr>
            <w:tcW w:w="612" w:type="pct"/>
            <w:tcBorders>
              <w:tl2br w:val="nil"/>
              <w:tr2bl w:val="nil"/>
            </w:tcBorders>
            <w:noWrap w:val="0"/>
            <w:vAlign w:val="center"/>
          </w:tcPr>
          <w:p w14:paraId="012CB92D">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2026-01-04</w:t>
            </w:r>
          </w:p>
        </w:tc>
      </w:tr>
      <w:tr w14:paraId="0DA8D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F51476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w w:val="99"/>
                <w:sz w:val="21"/>
                <w:szCs w:val="21"/>
                <w:highlight w:val="none"/>
              </w:rPr>
              <w:t>二</w:t>
            </w:r>
          </w:p>
        </w:tc>
        <w:tc>
          <w:tcPr>
            <w:tcW w:w="4833" w:type="pct"/>
            <w:gridSpan w:val="3"/>
            <w:tcBorders>
              <w:tl2br w:val="nil"/>
              <w:tr2bl w:val="nil"/>
            </w:tcBorders>
            <w:noWrap w:val="0"/>
            <w:vAlign w:val="center"/>
          </w:tcPr>
          <w:p w14:paraId="6114A85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部门规章与部门发布的规范性文件</w:t>
            </w:r>
          </w:p>
        </w:tc>
      </w:tr>
      <w:tr w14:paraId="7E866D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A5B33A5">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w:t>
            </w:r>
          </w:p>
        </w:tc>
        <w:tc>
          <w:tcPr>
            <w:tcW w:w="2528" w:type="pct"/>
            <w:tcBorders>
              <w:tl2br w:val="nil"/>
              <w:tr2bl w:val="nil"/>
            </w:tcBorders>
            <w:noWrap w:val="0"/>
            <w:vAlign w:val="center"/>
          </w:tcPr>
          <w:p w14:paraId="7CFF746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全国生态环境保护纲要</w:t>
            </w:r>
          </w:p>
        </w:tc>
        <w:tc>
          <w:tcPr>
            <w:tcW w:w="1692" w:type="pct"/>
            <w:tcBorders>
              <w:tl2br w:val="nil"/>
              <w:tr2bl w:val="nil"/>
            </w:tcBorders>
            <w:noWrap w:val="0"/>
            <w:vAlign w:val="center"/>
          </w:tcPr>
          <w:p w14:paraId="61A3DCD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环发〔2000〕235号</w:t>
            </w:r>
          </w:p>
        </w:tc>
        <w:tc>
          <w:tcPr>
            <w:tcW w:w="612" w:type="pct"/>
            <w:tcBorders>
              <w:tl2br w:val="nil"/>
              <w:tr2bl w:val="nil"/>
            </w:tcBorders>
            <w:noWrap w:val="0"/>
            <w:vAlign w:val="center"/>
          </w:tcPr>
          <w:p w14:paraId="459114E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2000-11-26</w:t>
            </w:r>
          </w:p>
        </w:tc>
      </w:tr>
      <w:tr w14:paraId="43DE29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66" w:type="pct"/>
            <w:tcBorders>
              <w:tl2br w:val="nil"/>
              <w:tr2bl w:val="nil"/>
            </w:tcBorders>
            <w:noWrap w:val="0"/>
            <w:vAlign w:val="center"/>
          </w:tcPr>
          <w:p w14:paraId="404C223D">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2</w:t>
            </w:r>
          </w:p>
        </w:tc>
        <w:tc>
          <w:tcPr>
            <w:tcW w:w="2528" w:type="pct"/>
            <w:tcBorders>
              <w:tl2br w:val="nil"/>
              <w:tr2bl w:val="nil"/>
            </w:tcBorders>
            <w:noWrap w:val="0"/>
            <w:vAlign w:val="center"/>
          </w:tcPr>
          <w:p w14:paraId="2DE5E68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危险废物污染防治技术政策</w:t>
            </w:r>
          </w:p>
        </w:tc>
        <w:tc>
          <w:tcPr>
            <w:tcW w:w="1692" w:type="pct"/>
            <w:tcBorders>
              <w:tl2br w:val="nil"/>
              <w:tr2bl w:val="nil"/>
            </w:tcBorders>
            <w:noWrap w:val="0"/>
            <w:vAlign w:val="center"/>
          </w:tcPr>
          <w:p w14:paraId="4F69D98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环发〔2001〕199号</w:t>
            </w:r>
          </w:p>
        </w:tc>
        <w:tc>
          <w:tcPr>
            <w:tcW w:w="612" w:type="pct"/>
            <w:tcBorders>
              <w:tl2br w:val="nil"/>
              <w:tr2bl w:val="nil"/>
            </w:tcBorders>
            <w:noWrap w:val="0"/>
            <w:vAlign w:val="center"/>
          </w:tcPr>
          <w:p w14:paraId="2C65285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2001-12-17</w:t>
            </w:r>
          </w:p>
        </w:tc>
      </w:tr>
      <w:tr w14:paraId="56EC87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E2D954D">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3</w:t>
            </w:r>
          </w:p>
        </w:tc>
        <w:tc>
          <w:tcPr>
            <w:tcW w:w="2528" w:type="pct"/>
            <w:tcBorders>
              <w:tl2br w:val="nil"/>
              <w:tr2bl w:val="nil"/>
            </w:tcBorders>
            <w:noWrap w:val="0"/>
            <w:vAlign w:val="center"/>
          </w:tcPr>
          <w:p w14:paraId="6AC42B3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全国生态脆弱区保护规划纲要</w:t>
            </w:r>
          </w:p>
        </w:tc>
        <w:tc>
          <w:tcPr>
            <w:tcW w:w="1692" w:type="pct"/>
            <w:tcBorders>
              <w:tl2br w:val="nil"/>
              <w:tr2bl w:val="nil"/>
            </w:tcBorders>
            <w:noWrap w:val="0"/>
            <w:vAlign w:val="center"/>
          </w:tcPr>
          <w:p w14:paraId="79349EB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环发〔2008〕92号</w:t>
            </w:r>
          </w:p>
        </w:tc>
        <w:tc>
          <w:tcPr>
            <w:tcW w:w="612" w:type="pct"/>
            <w:tcBorders>
              <w:tl2br w:val="nil"/>
              <w:tr2bl w:val="nil"/>
            </w:tcBorders>
            <w:noWrap w:val="0"/>
            <w:vAlign w:val="center"/>
          </w:tcPr>
          <w:p w14:paraId="0B7E515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2008-09-27</w:t>
            </w:r>
          </w:p>
        </w:tc>
      </w:tr>
      <w:tr w14:paraId="1A824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38E4294">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4</w:t>
            </w:r>
          </w:p>
        </w:tc>
        <w:tc>
          <w:tcPr>
            <w:tcW w:w="2528" w:type="pct"/>
            <w:tcBorders>
              <w:tl2br w:val="nil"/>
              <w:tr2bl w:val="nil"/>
            </w:tcBorders>
            <w:noWrap w:val="0"/>
            <w:vAlign w:val="center"/>
          </w:tcPr>
          <w:p w14:paraId="150A7DA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突发环境事件信息报告办法</w:t>
            </w:r>
          </w:p>
        </w:tc>
        <w:tc>
          <w:tcPr>
            <w:tcW w:w="1692" w:type="pct"/>
            <w:tcBorders>
              <w:tl2br w:val="nil"/>
              <w:tr2bl w:val="nil"/>
            </w:tcBorders>
            <w:noWrap w:val="0"/>
            <w:vAlign w:val="center"/>
          </w:tcPr>
          <w:p w14:paraId="2EB8748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部令第17号</w:t>
            </w:r>
          </w:p>
        </w:tc>
        <w:tc>
          <w:tcPr>
            <w:tcW w:w="612" w:type="pct"/>
            <w:tcBorders>
              <w:tl2br w:val="nil"/>
              <w:tr2bl w:val="nil"/>
            </w:tcBorders>
            <w:noWrap w:val="0"/>
            <w:vAlign w:val="center"/>
          </w:tcPr>
          <w:p w14:paraId="65EEFE6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2011-05-01</w:t>
            </w:r>
          </w:p>
        </w:tc>
      </w:tr>
      <w:tr w14:paraId="70055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C29CACA">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5</w:t>
            </w:r>
          </w:p>
        </w:tc>
        <w:tc>
          <w:tcPr>
            <w:tcW w:w="2528" w:type="pct"/>
            <w:tcBorders>
              <w:tl2br w:val="nil"/>
              <w:tr2bl w:val="nil"/>
            </w:tcBorders>
            <w:noWrap w:val="0"/>
            <w:vAlign w:val="center"/>
          </w:tcPr>
          <w:p w14:paraId="4E2441B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集中式饮用水水源环境保护指南（试行）</w:t>
            </w:r>
          </w:p>
        </w:tc>
        <w:tc>
          <w:tcPr>
            <w:tcW w:w="1692" w:type="pct"/>
            <w:tcBorders>
              <w:tl2br w:val="nil"/>
              <w:tr2bl w:val="nil"/>
            </w:tcBorders>
            <w:noWrap w:val="0"/>
            <w:vAlign w:val="center"/>
          </w:tcPr>
          <w:p w14:paraId="1B05EA2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环办〔2012〕50号</w:t>
            </w:r>
          </w:p>
        </w:tc>
        <w:tc>
          <w:tcPr>
            <w:tcW w:w="612" w:type="pct"/>
            <w:tcBorders>
              <w:tl2br w:val="nil"/>
              <w:tr2bl w:val="nil"/>
            </w:tcBorders>
            <w:noWrap w:val="0"/>
            <w:vAlign w:val="center"/>
          </w:tcPr>
          <w:p w14:paraId="45317A3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2012-03-31</w:t>
            </w:r>
          </w:p>
        </w:tc>
      </w:tr>
      <w:tr w14:paraId="67CA3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79238F0">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6</w:t>
            </w:r>
          </w:p>
        </w:tc>
        <w:tc>
          <w:tcPr>
            <w:tcW w:w="2528" w:type="pct"/>
            <w:tcBorders>
              <w:tl2br w:val="nil"/>
              <w:tr2bl w:val="nil"/>
            </w:tcBorders>
            <w:noWrap w:val="0"/>
            <w:vAlign w:val="center"/>
          </w:tcPr>
          <w:p w14:paraId="51EA620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关于进一步加强环境影响评价管理防范环境风险的通知</w:t>
            </w:r>
          </w:p>
        </w:tc>
        <w:tc>
          <w:tcPr>
            <w:tcW w:w="1692" w:type="pct"/>
            <w:tcBorders>
              <w:tl2br w:val="nil"/>
              <w:tr2bl w:val="nil"/>
            </w:tcBorders>
            <w:noWrap w:val="0"/>
            <w:vAlign w:val="center"/>
          </w:tcPr>
          <w:p w14:paraId="536B891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环发〔2012〕77号</w:t>
            </w:r>
          </w:p>
        </w:tc>
        <w:tc>
          <w:tcPr>
            <w:tcW w:w="612" w:type="pct"/>
            <w:tcBorders>
              <w:tl2br w:val="nil"/>
              <w:tr2bl w:val="nil"/>
            </w:tcBorders>
            <w:noWrap w:val="0"/>
            <w:vAlign w:val="center"/>
          </w:tcPr>
          <w:p w14:paraId="35D4FAA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2012-07-03</w:t>
            </w:r>
          </w:p>
        </w:tc>
      </w:tr>
      <w:tr w14:paraId="493143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2339486">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7</w:t>
            </w:r>
          </w:p>
        </w:tc>
        <w:tc>
          <w:tcPr>
            <w:tcW w:w="2528" w:type="pct"/>
            <w:tcBorders>
              <w:tl2br w:val="nil"/>
              <w:tr2bl w:val="nil"/>
            </w:tcBorders>
            <w:noWrap w:val="0"/>
            <w:vAlign w:val="center"/>
          </w:tcPr>
          <w:p w14:paraId="1E3291D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关于加强国家重点生态功能区环境保护和管理的意见</w:t>
            </w:r>
          </w:p>
        </w:tc>
        <w:tc>
          <w:tcPr>
            <w:tcW w:w="1692" w:type="pct"/>
            <w:tcBorders>
              <w:tl2br w:val="nil"/>
              <w:tr2bl w:val="nil"/>
            </w:tcBorders>
            <w:noWrap w:val="0"/>
            <w:vAlign w:val="center"/>
          </w:tcPr>
          <w:p w14:paraId="6903DB3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环发〔2013〕16号</w:t>
            </w:r>
          </w:p>
        </w:tc>
        <w:tc>
          <w:tcPr>
            <w:tcW w:w="612" w:type="pct"/>
            <w:tcBorders>
              <w:tl2br w:val="nil"/>
              <w:tr2bl w:val="nil"/>
            </w:tcBorders>
            <w:noWrap w:val="0"/>
            <w:vAlign w:val="center"/>
          </w:tcPr>
          <w:p w14:paraId="49FF132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2013-01-22</w:t>
            </w:r>
          </w:p>
        </w:tc>
      </w:tr>
      <w:tr w14:paraId="4CB3B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1D58CE0">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8</w:t>
            </w:r>
          </w:p>
        </w:tc>
        <w:tc>
          <w:tcPr>
            <w:tcW w:w="2528" w:type="pct"/>
            <w:tcBorders>
              <w:tl2br w:val="nil"/>
              <w:tr2bl w:val="nil"/>
            </w:tcBorders>
            <w:noWrap w:val="0"/>
            <w:vAlign w:val="center"/>
          </w:tcPr>
          <w:p w14:paraId="799EB58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土地复垦条例实施办法</w:t>
            </w:r>
          </w:p>
        </w:tc>
        <w:tc>
          <w:tcPr>
            <w:tcW w:w="1692" w:type="pct"/>
            <w:tcBorders>
              <w:tl2br w:val="nil"/>
              <w:tr2bl w:val="nil"/>
            </w:tcBorders>
            <w:noWrap w:val="0"/>
            <w:vAlign w:val="center"/>
          </w:tcPr>
          <w:p w14:paraId="47C59DF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国土资源部第56号令</w:t>
            </w:r>
          </w:p>
        </w:tc>
        <w:tc>
          <w:tcPr>
            <w:tcW w:w="612" w:type="pct"/>
            <w:tcBorders>
              <w:tl2br w:val="nil"/>
              <w:tr2bl w:val="nil"/>
            </w:tcBorders>
            <w:noWrap w:val="0"/>
            <w:vAlign w:val="center"/>
          </w:tcPr>
          <w:p w14:paraId="18B7537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2013-03-01</w:t>
            </w:r>
          </w:p>
        </w:tc>
      </w:tr>
      <w:tr w14:paraId="58265A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5E10F63">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9</w:t>
            </w:r>
          </w:p>
        </w:tc>
        <w:tc>
          <w:tcPr>
            <w:tcW w:w="2528" w:type="pct"/>
            <w:tcBorders>
              <w:tl2br w:val="nil"/>
              <w:tr2bl w:val="nil"/>
            </w:tcBorders>
            <w:noWrap w:val="0"/>
            <w:vAlign w:val="center"/>
          </w:tcPr>
          <w:p w14:paraId="2A15CF7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关于切实加强环境影响评价监督管理工作的通知</w:t>
            </w:r>
          </w:p>
        </w:tc>
        <w:tc>
          <w:tcPr>
            <w:tcW w:w="1692" w:type="pct"/>
            <w:tcBorders>
              <w:tl2br w:val="nil"/>
              <w:tr2bl w:val="nil"/>
            </w:tcBorders>
            <w:noWrap w:val="0"/>
            <w:vAlign w:val="center"/>
          </w:tcPr>
          <w:p w14:paraId="59155B2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环办〔2013〕104号</w:t>
            </w:r>
          </w:p>
        </w:tc>
        <w:tc>
          <w:tcPr>
            <w:tcW w:w="612" w:type="pct"/>
            <w:tcBorders>
              <w:tl2br w:val="nil"/>
              <w:tr2bl w:val="nil"/>
            </w:tcBorders>
            <w:noWrap w:val="0"/>
            <w:vAlign w:val="center"/>
          </w:tcPr>
          <w:p w14:paraId="1200ED9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2013-11-15</w:t>
            </w:r>
          </w:p>
        </w:tc>
      </w:tr>
      <w:tr w14:paraId="25F23F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DB621A0">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10</w:t>
            </w:r>
          </w:p>
        </w:tc>
        <w:tc>
          <w:tcPr>
            <w:tcW w:w="2528" w:type="pct"/>
            <w:tcBorders>
              <w:tl2br w:val="nil"/>
              <w:tr2bl w:val="nil"/>
            </w:tcBorders>
            <w:noWrap w:val="0"/>
            <w:vAlign w:val="center"/>
          </w:tcPr>
          <w:p w14:paraId="1D81D3B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建设项目环境影响评价政府信息公开指南（试行）</w:t>
            </w:r>
          </w:p>
        </w:tc>
        <w:tc>
          <w:tcPr>
            <w:tcW w:w="1692" w:type="pct"/>
            <w:tcBorders>
              <w:tl2br w:val="nil"/>
              <w:tr2bl w:val="nil"/>
            </w:tcBorders>
            <w:noWrap w:val="0"/>
            <w:vAlign w:val="center"/>
          </w:tcPr>
          <w:p w14:paraId="27B2FF3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环办〔2013〕103号</w:t>
            </w:r>
          </w:p>
        </w:tc>
        <w:tc>
          <w:tcPr>
            <w:tcW w:w="612" w:type="pct"/>
            <w:tcBorders>
              <w:tl2br w:val="nil"/>
              <w:tr2bl w:val="nil"/>
            </w:tcBorders>
            <w:noWrap w:val="0"/>
            <w:vAlign w:val="center"/>
          </w:tcPr>
          <w:p w14:paraId="78C9311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2014-01-01</w:t>
            </w:r>
          </w:p>
        </w:tc>
      </w:tr>
      <w:tr w14:paraId="43616C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945C10E">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11</w:t>
            </w:r>
          </w:p>
        </w:tc>
        <w:tc>
          <w:tcPr>
            <w:tcW w:w="2528" w:type="pct"/>
            <w:tcBorders>
              <w:tl2br w:val="nil"/>
              <w:tr2bl w:val="nil"/>
            </w:tcBorders>
            <w:noWrap w:val="0"/>
            <w:vAlign w:val="center"/>
          </w:tcPr>
          <w:p w14:paraId="5DCB2A14">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关于落实大气污染防治行动计划严格环境影响评价准入的通知</w:t>
            </w:r>
          </w:p>
        </w:tc>
        <w:tc>
          <w:tcPr>
            <w:tcW w:w="1692" w:type="pct"/>
            <w:tcBorders>
              <w:tl2br w:val="nil"/>
              <w:tr2bl w:val="nil"/>
            </w:tcBorders>
            <w:noWrap w:val="0"/>
            <w:vAlign w:val="center"/>
          </w:tcPr>
          <w:p w14:paraId="637AA67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环办〔2014〕30号</w:t>
            </w:r>
          </w:p>
        </w:tc>
        <w:tc>
          <w:tcPr>
            <w:tcW w:w="612" w:type="pct"/>
            <w:tcBorders>
              <w:tl2br w:val="nil"/>
              <w:tr2bl w:val="nil"/>
            </w:tcBorders>
            <w:noWrap w:val="0"/>
            <w:vAlign w:val="center"/>
          </w:tcPr>
          <w:p w14:paraId="7827E32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2014-03-25</w:t>
            </w:r>
          </w:p>
        </w:tc>
      </w:tr>
      <w:tr w14:paraId="711B86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9F24399">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12</w:t>
            </w:r>
          </w:p>
        </w:tc>
        <w:tc>
          <w:tcPr>
            <w:tcW w:w="2528" w:type="pct"/>
            <w:tcBorders>
              <w:tl2br w:val="nil"/>
              <w:tr2bl w:val="nil"/>
            </w:tcBorders>
            <w:noWrap w:val="0"/>
            <w:vAlign w:val="center"/>
          </w:tcPr>
          <w:p w14:paraId="021FD5D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关于印发企业事业单位突发环境事件应急预案备案管理办法（试行）的通知</w:t>
            </w:r>
          </w:p>
        </w:tc>
        <w:tc>
          <w:tcPr>
            <w:tcW w:w="1692" w:type="pct"/>
            <w:tcBorders>
              <w:tl2br w:val="nil"/>
              <w:tr2bl w:val="nil"/>
            </w:tcBorders>
            <w:noWrap w:val="0"/>
            <w:vAlign w:val="center"/>
          </w:tcPr>
          <w:p w14:paraId="5DF9A93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环发〔2015〕4号</w:t>
            </w:r>
          </w:p>
        </w:tc>
        <w:tc>
          <w:tcPr>
            <w:tcW w:w="612" w:type="pct"/>
            <w:tcBorders>
              <w:tl2br w:val="nil"/>
              <w:tr2bl w:val="nil"/>
            </w:tcBorders>
            <w:noWrap w:val="0"/>
            <w:vAlign w:val="center"/>
          </w:tcPr>
          <w:p w14:paraId="29FA639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2015-01-08</w:t>
            </w:r>
          </w:p>
        </w:tc>
      </w:tr>
      <w:tr w14:paraId="75FE7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B4DE9B2">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13</w:t>
            </w:r>
          </w:p>
        </w:tc>
        <w:tc>
          <w:tcPr>
            <w:tcW w:w="2528" w:type="pct"/>
            <w:tcBorders>
              <w:tl2br w:val="nil"/>
              <w:tr2bl w:val="nil"/>
            </w:tcBorders>
            <w:noWrap w:val="0"/>
            <w:vAlign w:val="center"/>
          </w:tcPr>
          <w:p w14:paraId="719DB9A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突发环境事件应急管理办法</w:t>
            </w:r>
          </w:p>
        </w:tc>
        <w:tc>
          <w:tcPr>
            <w:tcW w:w="1692" w:type="pct"/>
            <w:tcBorders>
              <w:tl2br w:val="nil"/>
              <w:tr2bl w:val="nil"/>
            </w:tcBorders>
            <w:noWrap w:val="0"/>
            <w:vAlign w:val="center"/>
          </w:tcPr>
          <w:p w14:paraId="4A7D897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环境保护部令第34号</w:t>
            </w:r>
          </w:p>
        </w:tc>
        <w:tc>
          <w:tcPr>
            <w:tcW w:w="612" w:type="pct"/>
            <w:tcBorders>
              <w:tl2br w:val="nil"/>
              <w:tr2bl w:val="nil"/>
            </w:tcBorders>
            <w:noWrap w:val="0"/>
            <w:vAlign w:val="center"/>
          </w:tcPr>
          <w:p w14:paraId="1B8CE46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2015-06-05</w:t>
            </w:r>
          </w:p>
        </w:tc>
      </w:tr>
      <w:tr w14:paraId="2B3CE4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20" w:hRule="atLeast"/>
          <w:jc w:val="center"/>
        </w:trPr>
        <w:tc>
          <w:tcPr>
            <w:tcW w:w="166" w:type="pct"/>
            <w:tcBorders>
              <w:tl2br w:val="nil"/>
              <w:tr2bl w:val="nil"/>
            </w:tcBorders>
            <w:noWrap w:val="0"/>
            <w:vAlign w:val="center"/>
          </w:tcPr>
          <w:p w14:paraId="49EDE2B9">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14</w:t>
            </w:r>
          </w:p>
        </w:tc>
        <w:tc>
          <w:tcPr>
            <w:tcW w:w="2528" w:type="pct"/>
            <w:tcBorders>
              <w:tl2br w:val="nil"/>
              <w:tr2bl w:val="nil"/>
            </w:tcBorders>
            <w:noWrap w:val="0"/>
            <w:vAlign w:val="center"/>
          </w:tcPr>
          <w:p w14:paraId="0E5DF36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全国生态功能区划（修编版）</w:t>
            </w:r>
          </w:p>
        </w:tc>
        <w:tc>
          <w:tcPr>
            <w:tcW w:w="1692" w:type="pct"/>
            <w:tcBorders>
              <w:tl2br w:val="nil"/>
              <w:tr2bl w:val="nil"/>
            </w:tcBorders>
            <w:noWrap w:val="0"/>
            <w:vAlign w:val="center"/>
          </w:tcPr>
          <w:p w14:paraId="40C9D12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环保部公告2015年第61号</w:t>
            </w:r>
          </w:p>
        </w:tc>
        <w:tc>
          <w:tcPr>
            <w:tcW w:w="612" w:type="pct"/>
            <w:tcBorders>
              <w:tl2br w:val="nil"/>
              <w:tr2bl w:val="nil"/>
            </w:tcBorders>
            <w:noWrap w:val="0"/>
            <w:vAlign w:val="center"/>
          </w:tcPr>
          <w:p w14:paraId="46AAD0D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2015-11-13</w:t>
            </w:r>
          </w:p>
        </w:tc>
      </w:tr>
      <w:tr w14:paraId="6F062C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749D118">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15</w:t>
            </w:r>
          </w:p>
        </w:tc>
        <w:tc>
          <w:tcPr>
            <w:tcW w:w="2528" w:type="pct"/>
            <w:tcBorders>
              <w:tl2br w:val="nil"/>
              <w:tr2bl w:val="nil"/>
            </w:tcBorders>
            <w:noWrap w:val="0"/>
            <w:vAlign w:val="center"/>
          </w:tcPr>
          <w:p w14:paraId="7ED1257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建设项目环境保护事中事后监督管理办法（试行）</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的通知</w:t>
            </w:r>
          </w:p>
        </w:tc>
        <w:tc>
          <w:tcPr>
            <w:tcW w:w="1692" w:type="pct"/>
            <w:tcBorders>
              <w:tl2br w:val="nil"/>
              <w:tr2bl w:val="nil"/>
            </w:tcBorders>
            <w:noWrap w:val="0"/>
            <w:vAlign w:val="center"/>
          </w:tcPr>
          <w:p w14:paraId="6B32C1D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环发〔2015〕163号</w:t>
            </w:r>
          </w:p>
        </w:tc>
        <w:tc>
          <w:tcPr>
            <w:tcW w:w="612" w:type="pct"/>
            <w:tcBorders>
              <w:tl2br w:val="nil"/>
              <w:tr2bl w:val="nil"/>
            </w:tcBorders>
            <w:noWrap w:val="0"/>
            <w:vAlign w:val="center"/>
          </w:tcPr>
          <w:p w14:paraId="0BD0352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2015-12-10</w:t>
            </w:r>
          </w:p>
        </w:tc>
      </w:tr>
      <w:tr w14:paraId="713182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8E4C849">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16</w:t>
            </w:r>
          </w:p>
        </w:tc>
        <w:tc>
          <w:tcPr>
            <w:tcW w:w="2528" w:type="pct"/>
            <w:tcBorders>
              <w:tl2br w:val="nil"/>
              <w:tr2bl w:val="nil"/>
            </w:tcBorders>
            <w:noWrap w:val="0"/>
            <w:vAlign w:val="center"/>
          </w:tcPr>
          <w:p w14:paraId="13D4520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关于印发建设项目竣工环境保护验收现场检查及审查要点的通知</w:t>
            </w:r>
          </w:p>
        </w:tc>
        <w:tc>
          <w:tcPr>
            <w:tcW w:w="1692" w:type="pct"/>
            <w:tcBorders>
              <w:tl2br w:val="nil"/>
              <w:tr2bl w:val="nil"/>
            </w:tcBorders>
            <w:noWrap w:val="0"/>
            <w:vAlign w:val="center"/>
          </w:tcPr>
          <w:p w14:paraId="7F4ECB1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环办〔2015〕113号</w:t>
            </w:r>
          </w:p>
        </w:tc>
        <w:tc>
          <w:tcPr>
            <w:tcW w:w="612" w:type="pct"/>
            <w:tcBorders>
              <w:tl2br w:val="nil"/>
              <w:tr2bl w:val="nil"/>
            </w:tcBorders>
            <w:noWrap w:val="0"/>
            <w:vAlign w:val="center"/>
          </w:tcPr>
          <w:p w14:paraId="27FA2BE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2015-12-30</w:t>
            </w:r>
          </w:p>
        </w:tc>
      </w:tr>
      <w:tr w14:paraId="7DDA82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F29572B">
            <w:pPr>
              <w:pStyle w:val="45"/>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宋体" w:cs="Times New Roman"/>
                <w:color w:val="auto"/>
                <w:sz w:val="21"/>
                <w:szCs w:val="21"/>
                <w:highlight w:val="none"/>
              </w:rPr>
              <w:t>17</w:t>
            </w:r>
          </w:p>
        </w:tc>
        <w:tc>
          <w:tcPr>
            <w:tcW w:w="2528" w:type="pct"/>
            <w:tcBorders>
              <w:tl2br w:val="nil"/>
              <w:tr2bl w:val="nil"/>
            </w:tcBorders>
            <w:noWrap w:val="0"/>
            <w:vAlign w:val="center"/>
          </w:tcPr>
          <w:p w14:paraId="3E3EA46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关于以改善环境质量为核心加强环境影响评价管理的通知</w:t>
            </w:r>
          </w:p>
        </w:tc>
        <w:tc>
          <w:tcPr>
            <w:tcW w:w="1692" w:type="pct"/>
            <w:tcBorders>
              <w:tl2br w:val="nil"/>
              <w:tr2bl w:val="nil"/>
            </w:tcBorders>
            <w:noWrap w:val="0"/>
            <w:vAlign w:val="center"/>
          </w:tcPr>
          <w:p w14:paraId="2621B75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环环评〔2016〕150号</w:t>
            </w:r>
          </w:p>
        </w:tc>
        <w:tc>
          <w:tcPr>
            <w:tcW w:w="612" w:type="pct"/>
            <w:tcBorders>
              <w:tl2br w:val="nil"/>
              <w:tr2bl w:val="nil"/>
            </w:tcBorders>
            <w:noWrap w:val="0"/>
            <w:vAlign w:val="center"/>
          </w:tcPr>
          <w:p w14:paraId="5CFB881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2016-10-26</w:t>
            </w:r>
          </w:p>
        </w:tc>
      </w:tr>
      <w:tr w14:paraId="65532C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AA3671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2528" w:type="pct"/>
            <w:tcBorders>
              <w:tl2br w:val="nil"/>
              <w:tr2bl w:val="nil"/>
            </w:tcBorders>
            <w:noWrap w:val="0"/>
            <w:vAlign w:val="center"/>
          </w:tcPr>
          <w:p w14:paraId="792FF24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污染地块土壤环境管理办法（试行）</w:t>
            </w:r>
          </w:p>
        </w:tc>
        <w:tc>
          <w:tcPr>
            <w:tcW w:w="1692" w:type="pct"/>
            <w:tcBorders>
              <w:tl2br w:val="nil"/>
              <w:tr2bl w:val="nil"/>
            </w:tcBorders>
            <w:noWrap w:val="0"/>
            <w:vAlign w:val="center"/>
          </w:tcPr>
          <w:p w14:paraId="0C4F354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环境保护部令第42号</w:t>
            </w:r>
          </w:p>
        </w:tc>
        <w:tc>
          <w:tcPr>
            <w:tcW w:w="612" w:type="pct"/>
            <w:tcBorders>
              <w:tl2br w:val="nil"/>
              <w:tr2bl w:val="nil"/>
            </w:tcBorders>
            <w:noWrap w:val="0"/>
            <w:vAlign w:val="center"/>
          </w:tcPr>
          <w:p w14:paraId="13330E7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2017-07-01</w:t>
            </w:r>
          </w:p>
        </w:tc>
      </w:tr>
      <w:tr w14:paraId="5FF3BB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8712B9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2528" w:type="pct"/>
            <w:tcBorders>
              <w:tl2br w:val="nil"/>
              <w:tr2bl w:val="nil"/>
            </w:tcBorders>
            <w:noWrap w:val="0"/>
            <w:vAlign w:val="center"/>
          </w:tcPr>
          <w:p w14:paraId="12C78E7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建设项目危险废物环境影响评价指南</w:t>
            </w:r>
          </w:p>
        </w:tc>
        <w:tc>
          <w:tcPr>
            <w:tcW w:w="1692" w:type="pct"/>
            <w:tcBorders>
              <w:tl2br w:val="nil"/>
              <w:tr2bl w:val="nil"/>
            </w:tcBorders>
            <w:noWrap w:val="0"/>
            <w:vAlign w:val="center"/>
          </w:tcPr>
          <w:p w14:paraId="38DA5D5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环保部公告2017年第43号</w:t>
            </w:r>
          </w:p>
        </w:tc>
        <w:tc>
          <w:tcPr>
            <w:tcW w:w="612" w:type="pct"/>
            <w:tcBorders>
              <w:tl2br w:val="nil"/>
              <w:tr2bl w:val="nil"/>
            </w:tcBorders>
            <w:noWrap w:val="0"/>
            <w:vAlign w:val="center"/>
          </w:tcPr>
          <w:p w14:paraId="7B1758F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2017-10-01</w:t>
            </w:r>
          </w:p>
        </w:tc>
      </w:tr>
      <w:tr w14:paraId="4A9808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22B7C3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528" w:type="pct"/>
            <w:tcBorders>
              <w:tl2br w:val="nil"/>
              <w:tr2bl w:val="nil"/>
            </w:tcBorders>
            <w:noWrap w:val="0"/>
            <w:vAlign w:val="center"/>
          </w:tcPr>
          <w:p w14:paraId="1233FD0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关于做好环境影响评价制度与排污许可制衔接相关工作的通知</w:t>
            </w:r>
          </w:p>
        </w:tc>
        <w:tc>
          <w:tcPr>
            <w:tcW w:w="1692" w:type="pct"/>
            <w:tcBorders>
              <w:tl2br w:val="nil"/>
              <w:tr2bl w:val="nil"/>
            </w:tcBorders>
            <w:noWrap w:val="0"/>
            <w:vAlign w:val="center"/>
          </w:tcPr>
          <w:p w14:paraId="28BAD68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环办环评〔2017〕84号</w:t>
            </w:r>
          </w:p>
        </w:tc>
        <w:tc>
          <w:tcPr>
            <w:tcW w:w="612" w:type="pct"/>
            <w:tcBorders>
              <w:tl2br w:val="nil"/>
              <w:tr2bl w:val="nil"/>
            </w:tcBorders>
            <w:noWrap w:val="0"/>
            <w:vAlign w:val="center"/>
          </w:tcPr>
          <w:p w14:paraId="41064E3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2017-11-14</w:t>
            </w:r>
          </w:p>
        </w:tc>
      </w:tr>
      <w:tr w14:paraId="1ADC17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2E0334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2528" w:type="pct"/>
            <w:tcBorders>
              <w:tl2br w:val="nil"/>
              <w:tr2bl w:val="nil"/>
            </w:tcBorders>
            <w:noWrap w:val="0"/>
            <w:vAlign w:val="center"/>
          </w:tcPr>
          <w:p w14:paraId="2E7E5BD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关于发布</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建设项目竣工环境保护验收暂行办法</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的公告</w:t>
            </w:r>
          </w:p>
        </w:tc>
        <w:tc>
          <w:tcPr>
            <w:tcW w:w="1692" w:type="pct"/>
            <w:tcBorders>
              <w:tl2br w:val="nil"/>
              <w:tr2bl w:val="nil"/>
            </w:tcBorders>
            <w:noWrap w:val="0"/>
            <w:vAlign w:val="center"/>
          </w:tcPr>
          <w:p w14:paraId="573E377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国环规环评〔2017〕4号</w:t>
            </w:r>
          </w:p>
        </w:tc>
        <w:tc>
          <w:tcPr>
            <w:tcW w:w="612" w:type="pct"/>
            <w:tcBorders>
              <w:tl2br w:val="nil"/>
              <w:tr2bl w:val="nil"/>
            </w:tcBorders>
            <w:noWrap w:val="0"/>
            <w:vAlign w:val="center"/>
          </w:tcPr>
          <w:p w14:paraId="58A8271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2017-11-20</w:t>
            </w:r>
          </w:p>
        </w:tc>
      </w:tr>
      <w:tr w14:paraId="3EF56A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632B30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2528" w:type="pct"/>
            <w:tcBorders>
              <w:tl2br w:val="nil"/>
              <w:tr2bl w:val="nil"/>
            </w:tcBorders>
            <w:noWrap w:val="0"/>
            <w:vAlign w:val="center"/>
          </w:tcPr>
          <w:p w14:paraId="0BFB03F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生态保护红线、环境质量底线、资源利用上线和环境准入负面清单</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编制技术指南</w:t>
            </w:r>
          </w:p>
        </w:tc>
        <w:tc>
          <w:tcPr>
            <w:tcW w:w="1692" w:type="pct"/>
            <w:tcBorders>
              <w:tl2br w:val="nil"/>
              <w:tr2bl w:val="nil"/>
            </w:tcBorders>
            <w:noWrap w:val="0"/>
            <w:vAlign w:val="center"/>
          </w:tcPr>
          <w:p w14:paraId="4CCDC8B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环办环评〔2017〕99号</w:t>
            </w:r>
          </w:p>
        </w:tc>
        <w:tc>
          <w:tcPr>
            <w:tcW w:w="612" w:type="pct"/>
            <w:tcBorders>
              <w:tl2br w:val="nil"/>
              <w:tr2bl w:val="nil"/>
            </w:tcBorders>
            <w:noWrap w:val="0"/>
            <w:vAlign w:val="center"/>
          </w:tcPr>
          <w:p w14:paraId="32785B1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2017-12-01</w:t>
            </w:r>
          </w:p>
        </w:tc>
      </w:tr>
      <w:tr w14:paraId="13E1C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B42F31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2528" w:type="pct"/>
            <w:tcBorders>
              <w:tl2br w:val="nil"/>
              <w:tr2bl w:val="nil"/>
            </w:tcBorders>
            <w:noWrap w:val="0"/>
            <w:vAlign w:val="center"/>
          </w:tcPr>
          <w:p w14:paraId="7037D15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关于强化建设项目环境影响评价事中事后监管的实施意见</w:t>
            </w:r>
          </w:p>
        </w:tc>
        <w:tc>
          <w:tcPr>
            <w:tcW w:w="1692" w:type="pct"/>
            <w:tcBorders>
              <w:tl2br w:val="nil"/>
              <w:tr2bl w:val="nil"/>
            </w:tcBorders>
            <w:noWrap w:val="0"/>
            <w:vAlign w:val="center"/>
          </w:tcPr>
          <w:p w14:paraId="4A15A69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环环评〔2018〕11号</w:t>
            </w:r>
          </w:p>
        </w:tc>
        <w:tc>
          <w:tcPr>
            <w:tcW w:w="612" w:type="pct"/>
            <w:tcBorders>
              <w:tl2br w:val="nil"/>
              <w:tr2bl w:val="nil"/>
            </w:tcBorders>
            <w:noWrap w:val="0"/>
            <w:vAlign w:val="center"/>
          </w:tcPr>
          <w:p w14:paraId="7FD0324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2018-01-25</w:t>
            </w:r>
          </w:p>
        </w:tc>
      </w:tr>
      <w:tr w14:paraId="0D502A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00D014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2528" w:type="pct"/>
            <w:tcBorders>
              <w:tl2br w:val="nil"/>
              <w:tr2bl w:val="nil"/>
            </w:tcBorders>
            <w:noWrap w:val="0"/>
            <w:vAlign w:val="center"/>
          </w:tcPr>
          <w:p w14:paraId="544BBA9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工矿用地土壤环境管理办法（试行）</w:t>
            </w:r>
          </w:p>
        </w:tc>
        <w:tc>
          <w:tcPr>
            <w:tcW w:w="1692" w:type="pct"/>
            <w:tcBorders>
              <w:tl2br w:val="nil"/>
              <w:tr2bl w:val="nil"/>
            </w:tcBorders>
            <w:noWrap w:val="0"/>
            <w:vAlign w:val="center"/>
          </w:tcPr>
          <w:p w14:paraId="07E3427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生态环境部令第3号</w:t>
            </w:r>
          </w:p>
        </w:tc>
        <w:tc>
          <w:tcPr>
            <w:tcW w:w="612" w:type="pct"/>
            <w:tcBorders>
              <w:tl2br w:val="nil"/>
              <w:tr2bl w:val="nil"/>
            </w:tcBorders>
            <w:noWrap w:val="0"/>
            <w:vAlign w:val="center"/>
          </w:tcPr>
          <w:p w14:paraId="6F2B312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2018-08-01</w:t>
            </w:r>
          </w:p>
        </w:tc>
      </w:tr>
      <w:tr w14:paraId="359368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333437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2528" w:type="pct"/>
            <w:tcBorders>
              <w:tl2br w:val="nil"/>
              <w:tr2bl w:val="nil"/>
            </w:tcBorders>
            <w:noWrap w:val="0"/>
            <w:vAlign w:val="center"/>
          </w:tcPr>
          <w:p w14:paraId="24742B2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环境影响评价公众参与办法</w:t>
            </w:r>
          </w:p>
        </w:tc>
        <w:tc>
          <w:tcPr>
            <w:tcW w:w="1692" w:type="pct"/>
            <w:tcBorders>
              <w:tl2br w:val="nil"/>
              <w:tr2bl w:val="nil"/>
            </w:tcBorders>
            <w:noWrap w:val="0"/>
            <w:vAlign w:val="center"/>
          </w:tcPr>
          <w:p w14:paraId="1777B2C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生态环境部令第4号</w:t>
            </w:r>
          </w:p>
        </w:tc>
        <w:tc>
          <w:tcPr>
            <w:tcW w:w="612" w:type="pct"/>
            <w:tcBorders>
              <w:tl2br w:val="nil"/>
              <w:tr2bl w:val="nil"/>
            </w:tcBorders>
            <w:noWrap w:val="0"/>
            <w:vAlign w:val="center"/>
          </w:tcPr>
          <w:p w14:paraId="74CA118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2019-01-01</w:t>
            </w:r>
          </w:p>
        </w:tc>
      </w:tr>
      <w:tr w14:paraId="39B90A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BAB663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2528" w:type="pct"/>
            <w:tcBorders>
              <w:tl2br w:val="nil"/>
              <w:tr2bl w:val="nil"/>
            </w:tcBorders>
            <w:noWrap w:val="0"/>
            <w:vAlign w:val="center"/>
          </w:tcPr>
          <w:p w14:paraId="4361509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关于印发地下水污染防治实施方案的通知</w:t>
            </w:r>
          </w:p>
        </w:tc>
        <w:tc>
          <w:tcPr>
            <w:tcW w:w="1692" w:type="pct"/>
            <w:tcBorders>
              <w:tl2br w:val="nil"/>
              <w:tr2bl w:val="nil"/>
            </w:tcBorders>
            <w:noWrap w:val="0"/>
            <w:vAlign w:val="center"/>
          </w:tcPr>
          <w:p w14:paraId="407528C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环土壤〔2019〕25号</w:t>
            </w:r>
          </w:p>
        </w:tc>
        <w:tc>
          <w:tcPr>
            <w:tcW w:w="612" w:type="pct"/>
            <w:tcBorders>
              <w:tl2br w:val="nil"/>
              <w:tr2bl w:val="nil"/>
            </w:tcBorders>
            <w:noWrap w:val="0"/>
            <w:vAlign w:val="center"/>
          </w:tcPr>
          <w:p w14:paraId="32CAD78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2019-03-28</w:t>
            </w:r>
          </w:p>
        </w:tc>
      </w:tr>
      <w:tr w14:paraId="794D0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0A5DA7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2528" w:type="pct"/>
            <w:tcBorders>
              <w:tl2br w:val="nil"/>
              <w:tr2bl w:val="nil"/>
            </w:tcBorders>
            <w:noWrap w:val="0"/>
            <w:vAlign w:val="center"/>
          </w:tcPr>
          <w:p w14:paraId="0E6A3EE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关于提升危险废物环境监管能力、利用处置能力和环境风险防范能力的指导意见</w:t>
            </w:r>
          </w:p>
        </w:tc>
        <w:tc>
          <w:tcPr>
            <w:tcW w:w="1692" w:type="pct"/>
            <w:tcBorders>
              <w:tl2br w:val="nil"/>
              <w:tr2bl w:val="nil"/>
            </w:tcBorders>
            <w:noWrap w:val="0"/>
            <w:vAlign w:val="center"/>
          </w:tcPr>
          <w:p w14:paraId="0E0A0BE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环固体〔2019〕92号</w:t>
            </w:r>
          </w:p>
        </w:tc>
        <w:tc>
          <w:tcPr>
            <w:tcW w:w="612" w:type="pct"/>
            <w:tcBorders>
              <w:tl2br w:val="nil"/>
              <w:tr2bl w:val="nil"/>
            </w:tcBorders>
            <w:noWrap w:val="0"/>
            <w:vAlign w:val="center"/>
          </w:tcPr>
          <w:p w14:paraId="6F84F25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2019-10-15</w:t>
            </w:r>
          </w:p>
        </w:tc>
      </w:tr>
      <w:tr w14:paraId="4CD4EA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F6973B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2528" w:type="pct"/>
            <w:tcBorders>
              <w:tl2br w:val="nil"/>
              <w:tr2bl w:val="nil"/>
            </w:tcBorders>
            <w:noWrap w:val="0"/>
            <w:vAlign w:val="center"/>
          </w:tcPr>
          <w:p w14:paraId="5CCE747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关于深入推进重点行业清洁生产审核工作的通知</w:t>
            </w:r>
          </w:p>
        </w:tc>
        <w:tc>
          <w:tcPr>
            <w:tcW w:w="1692" w:type="pct"/>
            <w:tcBorders>
              <w:tl2br w:val="nil"/>
              <w:tr2bl w:val="nil"/>
            </w:tcBorders>
            <w:noWrap w:val="0"/>
            <w:vAlign w:val="center"/>
          </w:tcPr>
          <w:p w14:paraId="49E644C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环办科财〔2020〕27号</w:t>
            </w:r>
          </w:p>
        </w:tc>
        <w:tc>
          <w:tcPr>
            <w:tcW w:w="612" w:type="pct"/>
            <w:tcBorders>
              <w:tl2br w:val="nil"/>
              <w:tr2bl w:val="nil"/>
            </w:tcBorders>
            <w:noWrap w:val="0"/>
            <w:vAlign w:val="center"/>
          </w:tcPr>
          <w:p w14:paraId="716727C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2020-10-15</w:t>
            </w:r>
          </w:p>
        </w:tc>
      </w:tr>
      <w:tr w14:paraId="59EC69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BD7F33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2528" w:type="pct"/>
            <w:tcBorders>
              <w:tl2br w:val="nil"/>
              <w:tr2bl w:val="nil"/>
            </w:tcBorders>
            <w:noWrap w:val="0"/>
            <w:vAlign w:val="center"/>
          </w:tcPr>
          <w:p w14:paraId="2C9E325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关于加强生态保护监管工作的意见</w:t>
            </w:r>
          </w:p>
        </w:tc>
        <w:tc>
          <w:tcPr>
            <w:tcW w:w="1692" w:type="pct"/>
            <w:tcBorders>
              <w:tl2br w:val="nil"/>
              <w:tr2bl w:val="nil"/>
            </w:tcBorders>
            <w:noWrap w:val="0"/>
            <w:vAlign w:val="center"/>
          </w:tcPr>
          <w:p w14:paraId="7566C4E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环生态〔2020〕73号</w:t>
            </w:r>
          </w:p>
        </w:tc>
        <w:tc>
          <w:tcPr>
            <w:tcW w:w="612" w:type="pct"/>
            <w:tcBorders>
              <w:tl2br w:val="nil"/>
              <w:tr2bl w:val="nil"/>
            </w:tcBorders>
            <w:noWrap w:val="0"/>
            <w:vAlign w:val="center"/>
          </w:tcPr>
          <w:p w14:paraId="15DB46A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2020-12-24</w:t>
            </w:r>
          </w:p>
        </w:tc>
      </w:tr>
      <w:tr w14:paraId="176092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64EEA9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2528" w:type="pct"/>
            <w:tcBorders>
              <w:tl2br w:val="nil"/>
              <w:tr2bl w:val="nil"/>
            </w:tcBorders>
            <w:noWrap w:val="0"/>
            <w:vAlign w:val="center"/>
          </w:tcPr>
          <w:p w14:paraId="70A3625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关于加强重点行业建设项目区域削减措施监督管理的通知</w:t>
            </w:r>
          </w:p>
        </w:tc>
        <w:tc>
          <w:tcPr>
            <w:tcW w:w="1692" w:type="pct"/>
            <w:tcBorders>
              <w:tl2br w:val="nil"/>
              <w:tr2bl w:val="nil"/>
            </w:tcBorders>
            <w:noWrap w:val="0"/>
            <w:vAlign w:val="center"/>
          </w:tcPr>
          <w:p w14:paraId="21B170B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环办环评〔2020〕36号</w:t>
            </w:r>
          </w:p>
        </w:tc>
        <w:tc>
          <w:tcPr>
            <w:tcW w:w="612" w:type="pct"/>
            <w:tcBorders>
              <w:tl2br w:val="nil"/>
              <w:tr2bl w:val="nil"/>
            </w:tcBorders>
            <w:noWrap w:val="0"/>
            <w:vAlign w:val="center"/>
          </w:tcPr>
          <w:p w14:paraId="50237F5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2020-12-30</w:t>
            </w:r>
          </w:p>
        </w:tc>
      </w:tr>
      <w:tr w14:paraId="1AAE7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F01ED4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2528" w:type="pct"/>
            <w:tcBorders>
              <w:tl2br w:val="nil"/>
              <w:tr2bl w:val="nil"/>
            </w:tcBorders>
            <w:noWrap w:val="0"/>
            <w:vAlign w:val="center"/>
          </w:tcPr>
          <w:p w14:paraId="5EB5DAE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建设项目环境影响评价分类管理名录</w:t>
            </w:r>
          </w:p>
        </w:tc>
        <w:tc>
          <w:tcPr>
            <w:tcW w:w="1692" w:type="pct"/>
            <w:tcBorders>
              <w:tl2br w:val="nil"/>
              <w:tr2bl w:val="nil"/>
            </w:tcBorders>
            <w:noWrap w:val="0"/>
            <w:vAlign w:val="center"/>
          </w:tcPr>
          <w:p w14:paraId="43842D7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生态环境部令第16号</w:t>
            </w:r>
          </w:p>
        </w:tc>
        <w:tc>
          <w:tcPr>
            <w:tcW w:w="612" w:type="pct"/>
            <w:tcBorders>
              <w:tl2br w:val="nil"/>
              <w:tr2bl w:val="nil"/>
            </w:tcBorders>
            <w:noWrap w:val="0"/>
            <w:vAlign w:val="center"/>
          </w:tcPr>
          <w:p w14:paraId="7C0E677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2021-01-01</w:t>
            </w:r>
          </w:p>
        </w:tc>
      </w:tr>
      <w:tr w14:paraId="3A622E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3E2ECE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2528" w:type="pct"/>
            <w:tcBorders>
              <w:tl2br w:val="nil"/>
              <w:tr2bl w:val="nil"/>
            </w:tcBorders>
            <w:noWrap w:val="0"/>
            <w:vAlign w:val="center"/>
          </w:tcPr>
          <w:p w14:paraId="065017C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国家危险废物名录（202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版）</w:t>
            </w:r>
          </w:p>
        </w:tc>
        <w:tc>
          <w:tcPr>
            <w:tcW w:w="1692" w:type="pct"/>
            <w:tcBorders>
              <w:tl2br w:val="nil"/>
              <w:tr2bl w:val="nil"/>
            </w:tcBorders>
            <w:noWrap w:val="0"/>
            <w:vAlign w:val="center"/>
          </w:tcPr>
          <w:p w14:paraId="438BDC0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生态环境部、国家发展和改革委员会、公安部、交通运输部、国家卫生健康委员会令第36号</w:t>
            </w:r>
          </w:p>
        </w:tc>
        <w:tc>
          <w:tcPr>
            <w:tcW w:w="612" w:type="pct"/>
            <w:tcBorders>
              <w:tl2br w:val="nil"/>
              <w:tr2bl w:val="nil"/>
            </w:tcBorders>
            <w:noWrap w:val="0"/>
            <w:vAlign w:val="center"/>
          </w:tcPr>
          <w:p w14:paraId="2BD1CA1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-01-01</w:t>
            </w:r>
          </w:p>
        </w:tc>
      </w:tr>
      <w:tr w14:paraId="604FD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CC2EC3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33</w:t>
            </w:r>
          </w:p>
        </w:tc>
        <w:tc>
          <w:tcPr>
            <w:tcW w:w="2528" w:type="pct"/>
            <w:tcBorders>
              <w:tl2br w:val="nil"/>
              <w:tr2bl w:val="nil"/>
            </w:tcBorders>
            <w:noWrap w:val="0"/>
            <w:vAlign w:val="center"/>
          </w:tcPr>
          <w:p w14:paraId="6FC15EC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关于发布重点监管单位土壤污染隐患排查指南（试行）的公告</w:t>
            </w:r>
          </w:p>
        </w:tc>
        <w:tc>
          <w:tcPr>
            <w:tcW w:w="1692" w:type="pct"/>
            <w:tcBorders>
              <w:tl2br w:val="nil"/>
              <w:tr2bl w:val="nil"/>
            </w:tcBorders>
            <w:noWrap w:val="0"/>
            <w:vAlign w:val="center"/>
          </w:tcPr>
          <w:p w14:paraId="6B4307D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生态环境部公告2021第1号</w:t>
            </w:r>
          </w:p>
        </w:tc>
        <w:tc>
          <w:tcPr>
            <w:tcW w:w="612" w:type="pct"/>
            <w:tcBorders>
              <w:tl2br w:val="nil"/>
              <w:tr2bl w:val="nil"/>
            </w:tcBorders>
            <w:noWrap w:val="0"/>
            <w:vAlign w:val="center"/>
          </w:tcPr>
          <w:p w14:paraId="2C9A6B2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2021-01-04</w:t>
            </w:r>
          </w:p>
        </w:tc>
      </w:tr>
      <w:tr w14:paraId="64C899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37B7A5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34</w:t>
            </w:r>
          </w:p>
        </w:tc>
        <w:tc>
          <w:tcPr>
            <w:tcW w:w="2528" w:type="pct"/>
            <w:tcBorders>
              <w:tl2br w:val="nil"/>
              <w:tr2bl w:val="nil"/>
            </w:tcBorders>
            <w:noWrap w:val="0"/>
            <w:vAlign w:val="center"/>
          </w:tcPr>
          <w:p w14:paraId="1DB374C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国家重点保护野生动物名录</w:t>
            </w:r>
          </w:p>
        </w:tc>
        <w:tc>
          <w:tcPr>
            <w:tcW w:w="1692" w:type="pct"/>
            <w:tcBorders>
              <w:tl2br w:val="nil"/>
              <w:tr2bl w:val="nil"/>
            </w:tcBorders>
            <w:noWrap w:val="0"/>
            <w:vAlign w:val="center"/>
          </w:tcPr>
          <w:p w14:paraId="2693B71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国家林业和草原局 农业农村部公告（2021年第3号）</w:t>
            </w:r>
          </w:p>
        </w:tc>
        <w:tc>
          <w:tcPr>
            <w:tcW w:w="612" w:type="pct"/>
            <w:tcBorders>
              <w:tl2br w:val="nil"/>
              <w:tr2bl w:val="nil"/>
            </w:tcBorders>
            <w:noWrap w:val="0"/>
            <w:vAlign w:val="center"/>
          </w:tcPr>
          <w:p w14:paraId="0F921FC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2021-02-01</w:t>
            </w:r>
          </w:p>
        </w:tc>
      </w:tr>
      <w:tr w14:paraId="29AAF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AAA3AA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2528" w:type="pct"/>
            <w:tcBorders>
              <w:tl2br w:val="nil"/>
              <w:tr2bl w:val="nil"/>
            </w:tcBorders>
            <w:noWrap w:val="0"/>
            <w:vAlign w:val="center"/>
          </w:tcPr>
          <w:p w14:paraId="798E67E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关于“十四五”大宗固体废弃物综合利用的指导意见</w:t>
            </w:r>
          </w:p>
        </w:tc>
        <w:tc>
          <w:tcPr>
            <w:tcW w:w="1692" w:type="pct"/>
            <w:tcBorders>
              <w:tl2br w:val="nil"/>
              <w:tr2bl w:val="nil"/>
            </w:tcBorders>
            <w:noWrap w:val="0"/>
            <w:vAlign w:val="center"/>
          </w:tcPr>
          <w:p w14:paraId="6D1ACC1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发改环资〔2021〕381号</w:t>
            </w:r>
          </w:p>
        </w:tc>
        <w:tc>
          <w:tcPr>
            <w:tcW w:w="612" w:type="pct"/>
            <w:tcBorders>
              <w:tl2br w:val="nil"/>
              <w:tr2bl w:val="nil"/>
            </w:tcBorders>
            <w:noWrap w:val="0"/>
            <w:vAlign w:val="center"/>
          </w:tcPr>
          <w:p w14:paraId="5FD79B0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2021-03-18</w:t>
            </w:r>
          </w:p>
        </w:tc>
      </w:tr>
      <w:tr w14:paraId="2E0FF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70B7F1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c>
          <w:tcPr>
            <w:tcW w:w="2528" w:type="pct"/>
            <w:tcBorders>
              <w:tl2br w:val="nil"/>
              <w:tr2bl w:val="nil"/>
            </w:tcBorders>
            <w:noWrap w:val="0"/>
            <w:vAlign w:val="center"/>
          </w:tcPr>
          <w:p w14:paraId="0AECF94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关于加强高耗能、高排放建设项目生态环境源头防控的指导意见</w:t>
            </w:r>
          </w:p>
        </w:tc>
        <w:tc>
          <w:tcPr>
            <w:tcW w:w="1692" w:type="pct"/>
            <w:tcBorders>
              <w:tl2br w:val="nil"/>
              <w:tr2bl w:val="nil"/>
            </w:tcBorders>
            <w:noWrap w:val="0"/>
            <w:vAlign w:val="center"/>
          </w:tcPr>
          <w:p w14:paraId="06DDDAB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环环评〔2021〕45号</w:t>
            </w:r>
          </w:p>
        </w:tc>
        <w:tc>
          <w:tcPr>
            <w:tcW w:w="612" w:type="pct"/>
            <w:tcBorders>
              <w:tl2br w:val="nil"/>
              <w:tr2bl w:val="nil"/>
            </w:tcBorders>
            <w:noWrap w:val="0"/>
            <w:vAlign w:val="center"/>
          </w:tcPr>
          <w:p w14:paraId="4C7CD0F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2021-05-30</w:t>
            </w:r>
          </w:p>
        </w:tc>
      </w:tr>
      <w:tr w14:paraId="7CC8CE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A3657A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2528" w:type="pct"/>
            <w:tcBorders>
              <w:tl2br w:val="nil"/>
              <w:tr2bl w:val="nil"/>
            </w:tcBorders>
            <w:noWrap w:val="0"/>
            <w:vAlign w:val="center"/>
          </w:tcPr>
          <w:p w14:paraId="3E95B59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关于印发</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“十四五”全国危险废物规范化环境管理评估工作方案</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的通知</w:t>
            </w:r>
          </w:p>
        </w:tc>
        <w:tc>
          <w:tcPr>
            <w:tcW w:w="1692" w:type="pct"/>
            <w:tcBorders>
              <w:tl2br w:val="nil"/>
              <w:tr2bl w:val="nil"/>
            </w:tcBorders>
            <w:noWrap w:val="0"/>
            <w:vAlign w:val="center"/>
          </w:tcPr>
          <w:p w14:paraId="265977D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环办固体〔2021〕20号</w:t>
            </w:r>
          </w:p>
        </w:tc>
        <w:tc>
          <w:tcPr>
            <w:tcW w:w="612" w:type="pct"/>
            <w:tcBorders>
              <w:tl2br w:val="nil"/>
              <w:tr2bl w:val="nil"/>
            </w:tcBorders>
            <w:noWrap w:val="0"/>
            <w:vAlign w:val="center"/>
          </w:tcPr>
          <w:p w14:paraId="6414F9A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2021-09-01</w:t>
            </w:r>
          </w:p>
        </w:tc>
      </w:tr>
      <w:tr w14:paraId="208CF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F03B7E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2528" w:type="pct"/>
            <w:tcBorders>
              <w:tl2br w:val="nil"/>
              <w:tr2bl w:val="nil"/>
            </w:tcBorders>
            <w:noWrap w:val="0"/>
            <w:vAlign w:val="center"/>
          </w:tcPr>
          <w:p w14:paraId="26996AF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国家重点保护野生植物名录</w:t>
            </w:r>
          </w:p>
        </w:tc>
        <w:tc>
          <w:tcPr>
            <w:tcW w:w="1692" w:type="pct"/>
            <w:tcBorders>
              <w:tl2br w:val="nil"/>
              <w:tr2bl w:val="nil"/>
            </w:tcBorders>
            <w:noWrap w:val="0"/>
            <w:vAlign w:val="center"/>
          </w:tcPr>
          <w:p w14:paraId="67ED209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国家林业和草原局 农业农村部公告（2021年第15号）</w:t>
            </w:r>
          </w:p>
        </w:tc>
        <w:tc>
          <w:tcPr>
            <w:tcW w:w="612" w:type="pct"/>
            <w:tcBorders>
              <w:tl2br w:val="nil"/>
              <w:tr2bl w:val="nil"/>
            </w:tcBorders>
            <w:noWrap w:val="0"/>
            <w:vAlign w:val="center"/>
          </w:tcPr>
          <w:p w14:paraId="13521EF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2021-09-07</w:t>
            </w:r>
          </w:p>
        </w:tc>
      </w:tr>
      <w:tr w14:paraId="22AFA5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73B360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2528" w:type="pct"/>
            <w:tcBorders>
              <w:tl2br w:val="nil"/>
              <w:tr2bl w:val="nil"/>
            </w:tcBorders>
            <w:noWrap w:val="0"/>
            <w:vAlign w:val="center"/>
          </w:tcPr>
          <w:p w14:paraId="2720724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关于规范临时用地管理的通知</w:t>
            </w:r>
          </w:p>
        </w:tc>
        <w:tc>
          <w:tcPr>
            <w:tcW w:w="1692" w:type="pct"/>
            <w:tcBorders>
              <w:tl2br w:val="nil"/>
              <w:tr2bl w:val="nil"/>
            </w:tcBorders>
            <w:noWrap w:val="0"/>
            <w:vAlign w:val="center"/>
          </w:tcPr>
          <w:p w14:paraId="303ABA9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自然资规〔2021〕2号</w:t>
            </w:r>
          </w:p>
        </w:tc>
        <w:tc>
          <w:tcPr>
            <w:tcW w:w="612" w:type="pct"/>
            <w:tcBorders>
              <w:tl2br w:val="nil"/>
              <w:tr2bl w:val="nil"/>
            </w:tcBorders>
            <w:noWrap w:val="0"/>
            <w:vAlign w:val="center"/>
          </w:tcPr>
          <w:p w14:paraId="06E3229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2021-11-04</w:t>
            </w:r>
          </w:p>
        </w:tc>
      </w:tr>
      <w:tr w14:paraId="6CE8AE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97819A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2528" w:type="pct"/>
            <w:tcBorders>
              <w:tl2br w:val="nil"/>
              <w:tr2bl w:val="nil"/>
            </w:tcBorders>
            <w:noWrap w:val="0"/>
            <w:vAlign w:val="center"/>
          </w:tcPr>
          <w:p w14:paraId="7BC451B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关于实施“三线一单”生态环境分区管控的指导意见（试行）</w:t>
            </w:r>
          </w:p>
        </w:tc>
        <w:tc>
          <w:tcPr>
            <w:tcW w:w="1692" w:type="pct"/>
            <w:tcBorders>
              <w:tl2br w:val="nil"/>
              <w:tr2bl w:val="nil"/>
            </w:tcBorders>
            <w:noWrap w:val="0"/>
            <w:vAlign w:val="center"/>
          </w:tcPr>
          <w:p w14:paraId="7ED5526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环环评〔2021〕108号</w:t>
            </w:r>
          </w:p>
        </w:tc>
        <w:tc>
          <w:tcPr>
            <w:tcW w:w="612" w:type="pct"/>
            <w:tcBorders>
              <w:tl2br w:val="nil"/>
              <w:tr2bl w:val="nil"/>
            </w:tcBorders>
            <w:noWrap w:val="0"/>
            <w:vAlign w:val="center"/>
          </w:tcPr>
          <w:p w14:paraId="22BC6BA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2021-11-19</w:t>
            </w:r>
          </w:p>
        </w:tc>
      </w:tr>
      <w:tr w14:paraId="37DA55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1465C8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2528" w:type="pct"/>
            <w:tcBorders>
              <w:tl2br w:val="nil"/>
              <w:tr2bl w:val="nil"/>
            </w:tcBorders>
            <w:noWrap w:val="0"/>
            <w:vAlign w:val="center"/>
          </w:tcPr>
          <w:p w14:paraId="4F02417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工业和信息化部国家发展改革委科技部生态环境部住房城乡建设部水利部关于印发工业废水循环利用实施方案的通知</w:t>
            </w:r>
          </w:p>
        </w:tc>
        <w:tc>
          <w:tcPr>
            <w:tcW w:w="1692" w:type="pct"/>
            <w:tcBorders>
              <w:tl2br w:val="nil"/>
              <w:tr2bl w:val="nil"/>
            </w:tcBorders>
            <w:noWrap w:val="0"/>
            <w:vAlign w:val="center"/>
          </w:tcPr>
          <w:p w14:paraId="1EC624D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工信部联节〔2021〕213号</w:t>
            </w:r>
          </w:p>
        </w:tc>
        <w:tc>
          <w:tcPr>
            <w:tcW w:w="612" w:type="pct"/>
            <w:tcBorders>
              <w:tl2br w:val="nil"/>
              <w:tr2bl w:val="nil"/>
            </w:tcBorders>
            <w:noWrap w:val="0"/>
            <w:vAlign w:val="center"/>
          </w:tcPr>
          <w:p w14:paraId="218196B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2021-12-24</w:t>
            </w:r>
          </w:p>
        </w:tc>
      </w:tr>
      <w:tr w14:paraId="2D49F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39C493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2528" w:type="pct"/>
            <w:tcBorders>
              <w:tl2br w:val="nil"/>
              <w:tr2bl w:val="nil"/>
            </w:tcBorders>
            <w:noWrap w:val="0"/>
            <w:vAlign w:val="center"/>
          </w:tcPr>
          <w:p w14:paraId="3CA71CC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产业结构调整指导目录（2024本）</w:t>
            </w:r>
          </w:p>
        </w:tc>
        <w:tc>
          <w:tcPr>
            <w:tcW w:w="1692" w:type="pct"/>
            <w:tcBorders>
              <w:tl2br w:val="nil"/>
              <w:tr2bl w:val="nil"/>
            </w:tcBorders>
            <w:noWrap w:val="0"/>
            <w:vAlign w:val="center"/>
          </w:tcPr>
          <w:p w14:paraId="5B9C8C9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国家发展和改革委员会令〔2023〕第7号令</w:t>
            </w:r>
          </w:p>
        </w:tc>
        <w:tc>
          <w:tcPr>
            <w:tcW w:w="612" w:type="pct"/>
            <w:tcBorders>
              <w:tl2br w:val="nil"/>
              <w:tr2bl w:val="nil"/>
            </w:tcBorders>
            <w:noWrap w:val="0"/>
            <w:vAlign w:val="center"/>
          </w:tcPr>
          <w:p w14:paraId="166FEF8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2024-02-01</w:t>
            </w:r>
          </w:p>
        </w:tc>
      </w:tr>
      <w:tr w14:paraId="206D7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B15E90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2528" w:type="pct"/>
            <w:tcBorders>
              <w:tl2br w:val="nil"/>
              <w:tr2bl w:val="nil"/>
            </w:tcBorders>
            <w:noWrap w:val="0"/>
            <w:vAlign w:val="center"/>
          </w:tcPr>
          <w:p w14:paraId="36F313B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关于印发“十四五”土壤、地下水和农村生态环境保护规划的通知</w:t>
            </w:r>
          </w:p>
        </w:tc>
        <w:tc>
          <w:tcPr>
            <w:tcW w:w="1692" w:type="pct"/>
            <w:tcBorders>
              <w:tl2br w:val="nil"/>
              <w:tr2bl w:val="nil"/>
            </w:tcBorders>
            <w:noWrap w:val="0"/>
            <w:vAlign w:val="center"/>
          </w:tcPr>
          <w:p w14:paraId="4CF91CC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环土壤〔2021〕120号</w:t>
            </w:r>
          </w:p>
        </w:tc>
        <w:tc>
          <w:tcPr>
            <w:tcW w:w="612" w:type="pct"/>
            <w:tcBorders>
              <w:tl2br w:val="nil"/>
              <w:tr2bl w:val="nil"/>
            </w:tcBorders>
            <w:noWrap w:val="0"/>
            <w:vAlign w:val="center"/>
          </w:tcPr>
          <w:p w14:paraId="059A302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2021-12-31</w:t>
            </w:r>
          </w:p>
        </w:tc>
      </w:tr>
      <w:tr w14:paraId="36F1DC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522EE1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2528" w:type="pct"/>
            <w:tcBorders>
              <w:tl2br w:val="nil"/>
              <w:tr2bl w:val="nil"/>
            </w:tcBorders>
            <w:noWrap w:val="0"/>
            <w:vAlign w:val="center"/>
          </w:tcPr>
          <w:p w14:paraId="0B3C5F1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危险废物转移管理办法</w:t>
            </w:r>
          </w:p>
        </w:tc>
        <w:tc>
          <w:tcPr>
            <w:tcW w:w="1692" w:type="pct"/>
            <w:tcBorders>
              <w:tl2br w:val="nil"/>
              <w:tr2bl w:val="nil"/>
            </w:tcBorders>
            <w:noWrap w:val="0"/>
            <w:vAlign w:val="center"/>
          </w:tcPr>
          <w:p w14:paraId="1ECAD59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部令第23号</w:t>
            </w:r>
          </w:p>
        </w:tc>
        <w:tc>
          <w:tcPr>
            <w:tcW w:w="612" w:type="pct"/>
            <w:tcBorders>
              <w:tl2br w:val="nil"/>
              <w:tr2bl w:val="nil"/>
            </w:tcBorders>
            <w:noWrap w:val="0"/>
            <w:vAlign w:val="center"/>
          </w:tcPr>
          <w:p w14:paraId="71F0F25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2022-01-01</w:t>
            </w:r>
          </w:p>
        </w:tc>
      </w:tr>
      <w:tr w14:paraId="48D838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9A1632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2528" w:type="pct"/>
            <w:tcBorders>
              <w:tl2br w:val="nil"/>
              <w:tr2bl w:val="nil"/>
            </w:tcBorders>
            <w:noWrap w:val="0"/>
            <w:vAlign w:val="center"/>
          </w:tcPr>
          <w:p w14:paraId="17408D0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八部门关于印发加快推动工业资源综合利用实施方案的通知</w:t>
            </w:r>
          </w:p>
        </w:tc>
        <w:tc>
          <w:tcPr>
            <w:tcW w:w="1692" w:type="pct"/>
            <w:tcBorders>
              <w:tl2br w:val="nil"/>
              <w:tr2bl w:val="nil"/>
            </w:tcBorders>
            <w:noWrap w:val="0"/>
            <w:vAlign w:val="center"/>
          </w:tcPr>
          <w:p w14:paraId="3782F1B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工信部联节〔2022〕9号</w:t>
            </w:r>
          </w:p>
        </w:tc>
        <w:tc>
          <w:tcPr>
            <w:tcW w:w="612" w:type="pct"/>
            <w:tcBorders>
              <w:tl2br w:val="nil"/>
              <w:tr2bl w:val="nil"/>
            </w:tcBorders>
            <w:noWrap w:val="0"/>
            <w:vAlign w:val="center"/>
          </w:tcPr>
          <w:p w14:paraId="09567CD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2022-01-27</w:t>
            </w:r>
          </w:p>
        </w:tc>
      </w:tr>
      <w:tr w14:paraId="144141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FC9842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2528" w:type="pct"/>
            <w:tcBorders>
              <w:tl2br w:val="nil"/>
              <w:tr2bl w:val="nil"/>
            </w:tcBorders>
            <w:noWrap w:val="0"/>
            <w:vAlign w:val="center"/>
          </w:tcPr>
          <w:p w14:paraId="02AA857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企业环境信息依法披露管理办法</w:t>
            </w:r>
          </w:p>
        </w:tc>
        <w:tc>
          <w:tcPr>
            <w:tcW w:w="1692" w:type="pct"/>
            <w:tcBorders>
              <w:tl2br w:val="nil"/>
              <w:tr2bl w:val="nil"/>
            </w:tcBorders>
            <w:noWrap w:val="0"/>
            <w:vAlign w:val="center"/>
          </w:tcPr>
          <w:p w14:paraId="1A5D68D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部令第24号</w:t>
            </w:r>
          </w:p>
        </w:tc>
        <w:tc>
          <w:tcPr>
            <w:tcW w:w="612" w:type="pct"/>
            <w:tcBorders>
              <w:tl2br w:val="nil"/>
              <w:tr2bl w:val="nil"/>
            </w:tcBorders>
            <w:noWrap w:val="0"/>
            <w:vAlign w:val="center"/>
          </w:tcPr>
          <w:p w14:paraId="6729412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2022-02-08</w:t>
            </w:r>
          </w:p>
        </w:tc>
      </w:tr>
      <w:tr w14:paraId="72C55C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C4160F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2528" w:type="pct"/>
            <w:tcBorders>
              <w:tl2br w:val="nil"/>
              <w:tr2bl w:val="nil"/>
            </w:tcBorders>
            <w:noWrap w:val="0"/>
            <w:vAlign w:val="center"/>
          </w:tcPr>
          <w:p w14:paraId="5F4FAD0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关于进一步加强重金属污染防控的意见</w:t>
            </w:r>
          </w:p>
        </w:tc>
        <w:tc>
          <w:tcPr>
            <w:tcW w:w="1692" w:type="pct"/>
            <w:tcBorders>
              <w:tl2br w:val="nil"/>
              <w:tr2bl w:val="nil"/>
            </w:tcBorders>
            <w:noWrap w:val="0"/>
            <w:vAlign w:val="center"/>
          </w:tcPr>
          <w:p w14:paraId="3005157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环固体〔2022〕17号</w:t>
            </w:r>
          </w:p>
        </w:tc>
        <w:tc>
          <w:tcPr>
            <w:tcW w:w="612" w:type="pct"/>
            <w:tcBorders>
              <w:tl2br w:val="nil"/>
              <w:tr2bl w:val="nil"/>
            </w:tcBorders>
            <w:noWrap w:val="0"/>
            <w:vAlign w:val="center"/>
          </w:tcPr>
          <w:p w14:paraId="44B8C22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2022-03-03</w:t>
            </w:r>
          </w:p>
        </w:tc>
      </w:tr>
      <w:tr w14:paraId="104EB5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3EA593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2528" w:type="pct"/>
            <w:tcBorders>
              <w:tl2br w:val="nil"/>
              <w:tr2bl w:val="nil"/>
            </w:tcBorders>
            <w:noWrap w:val="0"/>
            <w:vAlign w:val="center"/>
          </w:tcPr>
          <w:p w14:paraId="432DDFF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市场准入负面清单（202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年版）</w:t>
            </w:r>
          </w:p>
        </w:tc>
        <w:tc>
          <w:tcPr>
            <w:tcW w:w="1692" w:type="pct"/>
            <w:tcBorders>
              <w:tl2br w:val="nil"/>
              <w:tr2bl w:val="nil"/>
            </w:tcBorders>
            <w:noWrap w:val="0"/>
            <w:vAlign w:val="center"/>
          </w:tcPr>
          <w:p w14:paraId="792BF5F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发改体改规〔202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466</w:t>
            </w:r>
            <w:r>
              <w:rPr>
                <w:rFonts w:hint="default" w:ascii="Times New Roman" w:hAnsi="Times New Roman" w:cs="Times New Roman"/>
                <w:color w:val="auto"/>
                <w:sz w:val="21"/>
                <w:szCs w:val="21"/>
                <w:highlight w:val="none"/>
              </w:rPr>
              <w:t>号</w:t>
            </w:r>
          </w:p>
        </w:tc>
        <w:tc>
          <w:tcPr>
            <w:tcW w:w="612" w:type="pct"/>
            <w:tcBorders>
              <w:tl2br w:val="nil"/>
              <w:tr2bl w:val="nil"/>
            </w:tcBorders>
            <w:noWrap w:val="0"/>
            <w:vAlign w:val="center"/>
          </w:tcPr>
          <w:p w14:paraId="73AAE84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p>
        </w:tc>
      </w:tr>
      <w:tr w14:paraId="572713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F7B548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2528" w:type="pct"/>
            <w:tcBorders>
              <w:tl2br w:val="nil"/>
              <w:tr2bl w:val="nil"/>
            </w:tcBorders>
            <w:noWrap w:val="0"/>
            <w:vAlign w:val="center"/>
          </w:tcPr>
          <w:p w14:paraId="71CF43F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尾矿污染环境防治管理办法</w:t>
            </w:r>
          </w:p>
        </w:tc>
        <w:tc>
          <w:tcPr>
            <w:tcW w:w="1692" w:type="pct"/>
            <w:tcBorders>
              <w:tl2br w:val="nil"/>
              <w:tr2bl w:val="nil"/>
            </w:tcBorders>
            <w:noWrap w:val="0"/>
            <w:vAlign w:val="center"/>
          </w:tcPr>
          <w:p w14:paraId="3E83C23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部令第26号</w:t>
            </w:r>
          </w:p>
        </w:tc>
        <w:tc>
          <w:tcPr>
            <w:tcW w:w="612" w:type="pct"/>
            <w:tcBorders>
              <w:tl2br w:val="nil"/>
              <w:tr2bl w:val="nil"/>
            </w:tcBorders>
            <w:noWrap w:val="0"/>
            <w:vAlign w:val="center"/>
          </w:tcPr>
          <w:p w14:paraId="54C397F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2022-07-01</w:t>
            </w:r>
          </w:p>
        </w:tc>
      </w:tr>
      <w:tr w14:paraId="4DF9C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08E486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2528" w:type="pct"/>
            <w:tcBorders>
              <w:tl2br w:val="nil"/>
              <w:tr2bl w:val="nil"/>
            </w:tcBorders>
            <w:noWrap w:val="0"/>
            <w:vAlign w:val="center"/>
          </w:tcPr>
          <w:p w14:paraId="0CA103C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关于印发“十四五”噪声污染防治行动计划的通知</w:t>
            </w:r>
          </w:p>
        </w:tc>
        <w:tc>
          <w:tcPr>
            <w:tcW w:w="1692" w:type="pct"/>
            <w:tcBorders>
              <w:tl2br w:val="nil"/>
              <w:tr2bl w:val="nil"/>
            </w:tcBorders>
            <w:noWrap w:val="0"/>
            <w:vAlign w:val="center"/>
          </w:tcPr>
          <w:p w14:paraId="1234C72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环大气〔2023〕1号</w:t>
            </w:r>
          </w:p>
        </w:tc>
        <w:tc>
          <w:tcPr>
            <w:tcW w:w="612" w:type="pct"/>
            <w:tcBorders>
              <w:tl2br w:val="nil"/>
              <w:tr2bl w:val="nil"/>
            </w:tcBorders>
            <w:noWrap w:val="0"/>
            <w:vAlign w:val="center"/>
          </w:tcPr>
          <w:p w14:paraId="24C15C0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2023-01-05</w:t>
            </w:r>
          </w:p>
        </w:tc>
      </w:tr>
      <w:tr w14:paraId="4EFA5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9660E3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2528" w:type="pct"/>
            <w:tcBorders>
              <w:tl2br w:val="nil"/>
              <w:tr2bl w:val="nil"/>
            </w:tcBorders>
            <w:noWrap w:val="0"/>
            <w:vAlign w:val="center"/>
          </w:tcPr>
          <w:p w14:paraId="0C20EDC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固体废物分类与代码目录</w:t>
            </w:r>
          </w:p>
        </w:tc>
        <w:tc>
          <w:tcPr>
            <w:tcW w:w="1692" w:type="pct"/>
            <w:tcBorders>
              <w:tl2br w:val="nil"/>
              <w:tr2bl w:val="nil"/>
            </w:tcBorders>
            <w:noWrap w:val="0"/>
            <w:vAlign w:val="center"/>
          </w:tcPr>
          <w:p w14:paraId="647D53E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612" w:type="pct"/>
            <w:tcBorders>
              <w:tl2br w:val="nil"/>
              <w:tr2bl w:val="nil"/>
            </w:tcBorders>
            <w:noWrap w:val="0"/>
            <w:vAlign w:val="center"/>
          </w:tcPr>
          <w:p w14:paraId="510E4ED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2024-01-19</w:t>
            </w:r>
          </w:p>
        </w:tc>
      </w:tr>
      <w:tr w14:paraId="59C99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CD62381">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2528" w:type="pct"/>
            <w:tcBorders>
              <w:tl2br w:val="nil"/>
              <w:tr2bl w:val="nil"/>
            </w:tcBorders>
            <w:noWrap w:val="0"/>
            <w:vAlign w:val="center"/>
          </w:tcPr>
          <w:p w14:paraId="40C4C01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危险化学品目录（2022调整</w:t>
            </w:r>
            <w:r>
              <w:rPr>
                <w:rFonts w:hint="default" w:cs="Times New Roman"/>
                <w:color w:val="auto"/>
                <w:sz w:val="21"/>
                <w:szCs w:val="21"/>
                <w:highlight w:val="none"/>
                <w:lang w:val="en-US" w:eastAsia="zh-CN"/>
              </w:rPr>
              <w:t>版</w:t>
            </w:r>
            <w:r>
              <w:rPr>
                <w:rFonts w:hint="default" w:ascii="Times New Roman" w:hAnsi="Times New Roman" w:cs="Times New Roman"/>
                <w:color w:val="auto"/>
                <w:sz w:val="21"/>
                <w:szCs w:val="21"/>
                <w:highlight w:val="none"/>
                <w:lang w:val="en-US" w:eastAsia="zh-CN"/>
              </w:rPr>
              <w:t>）</w:t>
            </w:r>
          </w:p>
        </w:tc>
        <w:tc>
          <w:tcPr>
            <w:tcW w:w="1692" w:type="pct"/>
            <w:tcBorders>
              <w:tl2br w:val="nil"/>
              <w:tr2bl w:val="nil"/>
            </w:tcBorders>
            <w:noWrap w:val="0"/>
            <w:vAlign w:val="center"/>
          </w:tcPr>
          <w:p w14:paraId="1E3CCFA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612" w:type="pct"/>
            <w:tcBorders>
              <w:tl2br w:val="nil"/>
              <w:tr2bl w:val="nil"/>
            </w:tcBorders>
            <w:noWrap w:val="0"/>
            <w:vAlign w:val="center"/>
          </w:tcPr>
          <w:p w14:paraId="55F45D2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2019-07-15</w:t>
            </w:r>
          </w:p>
        </w:tc>
      </w:tr>
      <w:tr w14:paraId="73EBD5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30D122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w:t>
            </w:r>
          </w:p>
        </w:tc>
        <w:tc>
          <w:tcPr>
            <w:tcW w:w="2528" w:type="pct"/>
            <w:tcBorders>
              <w:tl2br w:val="nil"/>
              <w:tr2bl w:val="nil"/>
            </w:tcBorders>
            <w:noWrap w:val="0"/>
            <w:vAlign w:val="center"/>
          </w:tcPr>
          <w:p w14:paraId="6CF5AC4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土壤污染源头防控行动计划</w:t>
            </w:r>
          </w:p>
        </w:tc>
        <w:tc>
          <w:tcPr>
            <w:tcW w:w="1692" w:type="pct"/>
            <w:tcBorders>
              <w:tl2br w:val="nil"/>
              <w:tr2bl w:val="nil"/>
            </w:tcBorders>
            <w:noWrap w:val="0"/>
            <w:vAlign w:val="center"/>
          </w:tcPr>
          <w:p w14:paraId="5D97A70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环土壤</w:t>
            </w:r>
            <w:r>
              <w:rPr>
                <w:rFonts w:hint="default" w:cs="Times New Roman"/>
                <w:color w:val="auto"/>
                <w:kern w:val="0"/>
                <w:sz w:val="21"/>
                <w:szCs w:val="21"/>
                <w:highlight w:val="none"/>
                <w:lang w:val="en-US" w:eastAsia="zh-CN" w:bidi="ar-SA"/>
              </w:rPr>
              <w:t>〔2024〕80号</w:t>
            </w:r>
          </w:p>
        </w:tc>
        <w:tc>
          <w:tcPr>
            <w:tcW w:w="612" w:type="pct"/>
            <w:tcBorders>
              <w:tl2br w:val="nil"/>
              <w:tr2bl w:val="nil"/>
            </w:tcBorders>
            <w:noWrap w:val="0"/>
            <w:vAlign w:val="center"/>
          </w:tcPr>
          <w:p w14:paraId="6594DF59">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2024-11-07</w:t>
            </w:r>
          </w:p>
        </w:tc>
      </w:tr>
      <w:tr w14:paraId="7054E3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B8C269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54</w:t>
            </w:r>
          </w:p>
        </w:tc>
        <w:tc>
          <w:tcPr>
            <w:tcW w:w="2528" w:type="pct"/>
            <w:tcBorders>
              <w:tl2br w:val="nil"/>
              <w:tr2bl w:val="nil"/>
            </w:tcBorders>
            <w:noWrap w:val="0"/>
            <w:vAlign w:val="center"/>
          </w:tcPr>
          <w:p w14:paraId="03F1EA48">
            <w:pPr>
              <w:pStyle w:val="135"/>
              <w:bidi w:val="0"/>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rPr>
              <w:t>土壤污染源头防控行动计划</w:t>
            </w:r>
          </w:p>
        </w:tc>
        <w:tc>
          <w:tcPr>
            <w:tcW w:w="1692" w:type="pct"/>
            <w:tcBorders>
              <w:tl2br w:val="nil"/>
              <w:tr2bl w:val="nil"/>
            </w:tcBorders>
            <w:noWrap w:val="0"/>
            <w:vAlign w:val="center"/>
          </w:tcPr>
          <w:p w14:paraId="3FECDB63">
            <w:pPr>
              <w:pStyle w:val="135"/>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环土壤〔2024〕80号</w:t>
            </w:r>
          </w:p>
        </w:tc>
        <w:tc>
          <w:tcPr>
            <w:tcW w:w="612" w:type="pct"/>
            <w:tcBorders>
              <w:tl2br w:val="nil"/>
              <w:tr2bl w:val="nil"/>
            </w:tcBorders>
            <w:noWrap w:val="0"/>
            <w:vAlign w:val="center"/>
          </w:tcPr>
          <w:p w14:paraId="350BEC26">
            <w:pPr>
              <w:pStyle w:val="135"/>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2024-11-07</w:t>
            </w:r>
          </w:p>
        </w:tc>
      </w:tr>
      <w:tr w14:paraId="13C9D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6C84BA4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55</w:t>
            </w:r>
          </w:p>
        </w:tc>
        <w:tc>
          <w:tcPr>
            <w:tcW w:w="2528" w:type="pct"/>
            <w:tcBorders>
              <w:tl2br w:val="nil"/>
              <w:tr2bl w:val="nil"/>
            </w:tcBorders>
            <w:noWrap w:val="0"/>
            <w:vAlign w:val="center"/>
          </w:tcPr>
          <w:p w14:paraId="4FAF47A3">
            <w:pPr>
              <w:pStyle w:val="135"/>
              <w:bidi w:val="0"/>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rPr>
              <w:t>关于进一步加强绿色</w:t>
            </w:r>
            <w:r>
              <w:rPr>
                <w:rFonts w:hint="default" w:cs="Times New Roman"/>
                <w:color w:val="auto"/>
                <w:highlight w:val="none"/>
                <w:lang w:eastAsia="zh-CN"/>
              </w:rPr>
              <w:t>矿</w:t>
            </w:r>
            <w:r>
              <w:rPr>
                <w:rFonts w:hint="default" w:cs="Times New Roman"/>
                <w:color w:val="auto"/>
                <w:highlight w:val="none"/>
                <w:lang w:val="en-US" w:eastAsia="zh-CN"/>
              </w:rPr>
              <w:t>山</w:t>
            </w:r>
            <w:r>
              <w:rPr>
                <w:rFonts w:hint="default" w:ascii="Times New Roman" w:hAnsi="Times New Roman" w:cs="Times New Roman"/>
                <w:color w:val="auto"/>
                <w:highlight w:val="none"/>
              </w:rPr>
              <w:t>建设的通知</w:t>
            </w:r>
          </w:p>
        </w:tc>
        <w:tc>
          <w:tcPr>
            <w:tcW w:w="1692" w:type="pct"/>
            <w:tcBorders>
              <w:tl2br w:val="nil"/>
              <w:tr2bl w:val="nil"/>
            </w:tcBorders>
            <w:noWrap w:val="0"/>
            <w:vAlign w:val="center"/>
          </w:tcPr>
          <w:p w14:paraId="5E93ECE9">
            <w:pPr>
              <w:pStyle w:val="135"/>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自然资规〔2024〕1号</w:t>
            </w:r>
          </w:p>
        </w:tc>
        <w:tc>
          <w:tcPr>
            <w:tcW w:w="612" w:type="pct"/>
            <w:tcBorders>
              <w:tl2br w:val="nil"/>
              <w:tr2bl w:val="nil"/>
            </w:tcBorders>
            <w:noWrap w:val="0"/>
            <w:vAlign w:val="center"/>
          </w:tcPr>
          <w:p w14:paraId="4665F561">
            <w:pPr>
              <w:pStyle w:val="135"/>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2024</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04</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15</w:t>
            </w:r>
          </w:p>
        </w:tc>
      </w:tr>
      <w:tr w14:paraId="77A16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1F3BBCD0">
            <w:pPr>
              <w:pStyle w:val="45"/>
              <w:spacing w:before="0" w:beforeAutospacing="0" w:line="360" w:lineRule="exact"/>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56</w:t>
            </w:r>
          </w:p>
        </w:tc>
        <w:tc>
          <w:tcPr>
            <w:tcW w:w="2528" w:type="pct"/>
            <w:tcBorders>
              <w:tl2br w:val="nil"/>
              <w:tr2bl w:val="nil"/>
            </w:tcBorders>
            <w:noWrap w:val="0"/>
            <w:vAlign w:val="center"/>
          </w:tcPr>
          <w:p w14:paraId="3F4B12D3">
            <w:pPr>
              <w:pStyle w:val="135"/>
              <w:bidi w:val="0"/>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碳排放权交易管理办法（试行）</w:t>
            </w:r>
          </w:p>
        </w:tc>
        <w:tc>
          <w:tcPr>
            <w:tcW w:w="1692" w:type="pct"/>
            <w:tcBorders>
              <w:tl2br w:val="nil"/>
              <w:tr2bl w:val="nil"/>
            </w:tcBorders>
            <w:noWrap w:val="0"/>
            <w:vAlign w:val="center"/>
          </w:tcPr>
          <w:p w14:paraId="7220561A">
            <w:pPr>
              <w:pStyle w:val="135"/>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部令第</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号</w:t>
            </w:r>
          </w:p>
        </w:tc>
        <w:tc>
          <w:tcPr>
            <w:tcW w:w="612" w:type="pct"/>
            <w:tcBorders>
              <w:tl2br w:val="nil"/>
              <w:tr2bl w:val="nil"/>
            </w:tcBorders>
            <w:noWrap w:val="0"/>
            <w:vAlign w:val="center"/>
          </w:tcPr>
          <w:p w14:paraId="34B37362">
            <w:pPr>
              <w:pStyle w:val="135"/>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2020-12-31</w:t>
            </w:r>
          </w:p>
        </w:tc>
      </w:tr>
      <w:tr w14:paraId="31225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8B2D917">
            <w:pPr>
              <w:pStyle w:val="45"/>
              <w:spacing w:before="0" w:beforeAutospacing="0" w:line="360" w:lineRule="exact"/>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57</w:t>
            </w:r>
          </w:p>
        </w:tc>
        <w:tc>
          <w:tcPr>
            <w:tcW w:w="2528" w:type="pct"/>
            <w:tcBorders>
              <w:tl2br w:val="nil"/>
              <w:tr2bl w:val="nil"/>
            </w:tcBorders>
            <w:noWrap w:val="0"/>
            <w:vAlign w:val="center"/>
          </w:tcPr>
          <w:p w14:paraId="18216182">
            <w:pPr>
              <w:pStyle w:val="135"/>
              <w:bidi w:val="0"/>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aps w:val="0"/>
                <w:color w:val="auto"/>
                <w:spacing w:val="0"/>
                <w:sz w:val="21"/>
                <w:szCs w:val="20"/>
                <w:highlight w:val="none"/>
                <w:shd w:val="clear"/>
                <w:lang w:val="en-US" w:eastAsia="zh-CN"/>
              </w:rPr>
              <w:t>黄金工业污染防治技术政策</w:t>
            </w:r>
          </w:p>
        </w:tc>
        <w:tc>
          <w:tcPr>
            <w:tcW w:w="1692" w:type="pct"/>
            <w:tcBorders>
              <w:tl2br w:val="nil"/>
              <w:tr2bl w:val="nil"/>
            </w:tcBorders>
            <w:noWrap w:val="0"/>
            <w:vAlign w:val="center"/>
          </w:tcPr>
          <w:p w14:paraId="1E6D5ED8">
            <w:pPr>
              <w:pStyle w:val="135"/>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highlight w:val="none"/>
                <w:lang w:val="en-US" w:eastAsia="zh-CN"/>
              </w:rPr>
              <w:t>生态环境部</w:t>
            </w:r>
          </w:p>
        </w:tc>
        <w:tc>
          <w:tcPr>
            <w:tcW w:w="612" w:type="pct"/>
            <w:tcBorders>
              <w:tl2br w:val="nil"/>
              <w:tr2bl w:val="nil"/>
            </w:tcBorders>
            <w:noWrap w:val="0"/>
            <w:vAlign w:val="center"/>
          </w:tcPr>
          <w:p w14:paraId="42C83F93">
            <w:pPr>
              <w:pStyle w:val="135"/>
              <w:bidi w:val="0"/>
              <w:ind w:firstLine="0" w:firstLineChars="0"/>
              <w:rPr>
                <w:rFonts w:hint="default" w:ascii="Times New Roman" w:hAnsi="Times New Roman" w:eastAsia="宋体" w:cs="Times New Roman"/>
                <w:color w:val="auto"/>
                <w:sz w:val="21"/>
                <w:szCs w:val="21"/>
                <w:highlight w:val="none"/>
                <w:lang w:val="en-US" w:eastAsia="zh-CN"/>
              </w:rPr>
            </w:pPr>
            <w:r>
              <w:rPr>
                <w:rFonts w:hint="default" w:cs="Times New Roman"/>
                <w:color w:val="auto"/>
                <w:highlight w:val="none"/>
                <w:lang w:val="en-US" w:eastAsia="zh-CN"/>
              </w:rPr>
              <w:t>2020-01-15</w:t>
            </w:r>
          </w:p>
        </w:tc>
      </w:tr>
      <w:tr w14:paraId="33D4AD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213FE0FD">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三</w:t>
            </w:r>
          </w:p>
        </w:tc>
        <w:tc>
          <w:tcPr>
            <w:tcW w:w="4833" w:type="pct"/>
            <w:gridSpan w:val="3"/>
            <w:tcBorders>
              <w:tl2br w:val="nil"/>
              <w:tr2bl w:val="nil"/>
            </w:tcBorders>
            <w:noWrap w:val="0"/>
            <w:vAlign w:val="center"/>
          </w:tcPr>
          <w:p w14:paraId="2224B12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eastAsia="zh-CN"/>
              </w:rPr>
              <w:t>地方性法规</w:t>
            </w:r>
            <w:r>
              <w:rPr>
                <w:rFonts w:hint="default" w:ascii="Times New Roman" w:hAnsi="Times New Roman" w:cs="Times New Roman"/>
                <w:b/>
                <w:bCs/>
                <w:color w:val="auto"/>
                <w:sz w:val="21"/>
                <w:szCs w:val="21"/>
                <w:highlight w:val="none"/>
              </w:rPr>
              <w:t>及通知</w:t>
            </w:r>
          </w:p>
        </w:tc>
      </w:tr>
      <w:tr w14:paraId="7920AA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FA436B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528" w:type="pct"/>
            <w:tcBorders>
              <w:tl2br w:val="nil"/>
              <w:tr2bl w:val="nil"/>
            </w:tcBorders>
            <w:noWrap w:val="0"/>
            <w:vAlign w:val="center"/>
          </w:tcPr>
          <w:p w14:paraId="1942BC7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新疆维吾尔自治区环境保护条例</w:t>
            </w:r>
          </w:p>
        </w:tc>
        <w:tc>
          <w:tcPr>
            <w:tcW w:w="1692" w:type="pct"/>
            <w:tcBorders>
              <w:tl2br w:val="nil"/>
              <w:tr2bl w:val="nil"/>
            </w:tcBorders>
            <w:noWrap w:val="0"/>
            <w:vAlign w:val="center"/>
          </w:tcPr>
          <w:p w14:paraId="0C0ADFC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52AB695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2018-09-21</w:t>
            </w:r>
          </w:p>
        </w:tc>
      </w:tr>
      <w:tr w14:paraId="3D2A4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50FF16E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528" w:type="pct"/>
            <w:tcBorders>
              <w:tl2br w:val="nil"/>
              <w:tr2bl w:val="nil"/>
            </w:tcBorders>
            <w:noWrap w:val="0"/>
            <w:vAlign w:val="center"/>
          </w:tcPr>
          <w:p w14:paraId="298C7A6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新疆维吾尔自治区野生植物保护条例</w:t>
            </w:r>
          </w:p>
        </w:tc>
        <w:tc>
          <w:tcPr>
            <w:tcW w:w="1692" w:type="pct"/>
            <w:tcBorders>
              <w:tl2br w:val="nil"/>
              <w:tr2bl w:val="nil"/>
            </w:tcBorders>
            <w:noWrap w:val="0"/>
            <w:vAlign w:val="center"/>
          </w:tcPr>
          <w:p w14:paraId="4F789E5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612" w:type="pct"/>
            <w:tcBorders>
              <w:tl2br w:val="nil"/>
              <w:tr2bl w:val="nil"/>
            </w:tcBorders>
            <w:noWrap w:val="0"/>
            <w:vAlign w:val="center"/>
          </w:tcPr>
          <w:p w14:paraId="28731DE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2018-09-21</w:t>
            </w:r>
          </w:p>
        </w:tc>
      </w:tr>
      <w:tr w14:paraId="7B0ECF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2FFD1A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528" w:type="pct"/>
            <w:tcBorders>
              <w:tl2br w:val="nil"/>
              <w:tr2bl w:val="nil"/>
            </w:tcBorders>
            <w:noWrap w:val="0"/>
            <w:vAlign w:val="center"/>
          </w:tcPr>
          <w:p w14:paraId="54BE5DD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新疆维吾尔自治区水环境功能区划</w:t>
            </w:r>
          </w:p>
        </w:tc>
        <w:tc>
          <w:tcPr>
            <w:tcW w:w="1692" w:type="pct"/>
            <w:tcBorders>
              <w:tl2br w:val="nil"/>
              <w:tr2bl w:val="nil"/>
            </w:tcBorders>
            <w:noWrap w:val="0"/>
            <w:vAlign w:val="center"/>
          </w:tcPr>
          <w:p w14:paraId="3582908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新政函〔2002〕194号</w:t>
            </w:r>
          </w:p>
        </w:tc>
        <w:tc>
          <w:tcPr>
            <w:tcW w:w="612" w:type="pct"/>
            <w:tcBorders>
              <w:tl2br w:val="nil"/>
              <w:tr2bl w:val="nil"/>
            </w:tcBorders>
            <w:noWrap w:val="0"/>
            <w:vAlign w:val="center"/>
          </w:tcPr>
          <w:p w14:paraId="387E324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2002-12-01</w:t>
            </w:r>
          </w:p>
        </w:tc>
      </w:tr>
      <w:tr w14:paraId="57064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768B0E4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528" w:type="pct"/>
            <w:tcBorders>
              <w:tl2br w:val="nil"/>
              <w:tr2bl w:val="nil"/>
            </w:tcBorders>
            <w:noWrap w:val="0"/>
            <w:vAlign w:val="center"/>
          </w:tcPr>
          <w:p w14:paraId="19BDC24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新疆生态功能区划</w:t>
            </w:r>
          </w:p>
        </w:tc>
        <w:tc>
          <w:tcPr>
            <w:tcW w:w="1692" w:type="pct"/>
            <w:tcBorders>
              <w:tl2br w:val="nil"/>
              <w:tr2bl w:val="nil"/>
            </w:tcBorders>
            <w:noWrap w:val="0"/>
            <w:vAlign w:val="center"/>
          </w:tcPr>
          <w:p w14:paraId="61D9419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新政函〔2005〕96号</w:t>
            </w:r>
          </w:p>
        </w:tc>
        <w:tc>
          <w:tcPr>
            <w:tcW w:w="612" w:type="pct"/>
            <w:tcBorders>
              <w:tl2br w:val="nil"/>
              <w:tr2bl w:val="nil"/>
            </w:tcBorders>
            <w:noWrap w:val="0"/>
            <w:vAlign w:val="center"/>
          </w:tcPr>
          <w:p w14:paraId="6820F4B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2005-07-14</w:t>
            </w:r>
          </w:p>
        </w:tc>
      </w:tr>
      <w:tr w14:paraId="25AAFE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35E35E5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528" w:type="pct"/>
            <w:tcBorders>
              <w:tl2br w:val="nil"/>
              <w:tr2bl w:val="nil"/>
            </w:tcBorders>
            <w:noWrap w:val="0"/>
            <w:vAlign w:val="center"/>
          </w:tcPr>
          <w:p w14:paraId="45AE589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新疆维吾尔自治区危险废物污染环境防治办法</w:t>
            </w:r>
          </w:p>
        </w:tc>
        <w:tc>
          <w:tcPr>
            <w:tcW w:w="1692" w:type="pct"/>
            <w:tcBorders>
              <w:tl2br w:val="nil"/>
              <w:tr2bl w:val="nil"/>
            </w:tcBorders>
            <w:noWrap w:val="0"/>
            <w:vAlign w:val="center"/>
          </w:tcPr>
          <w:p w14:paraId="2737846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新疆人民政府令第163号</w:t>
            </w:r>
          </w:p>
        </w:tc>
        <w:tc>
          <w:tcPr>
            <w:tcW w:w="612" w:type="pct"/>
            <w:tcBorders>
              <w:tl2br w:val="nil"/>
              <w:tr2bl w:val="nil"/>
            </w:tcBorders>
            <w:noWrap w:val="0"/>
            <w:vAlign w:val="center"/>
          </w:tcPr>
          <w:p w14:paraId="3F74BCE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2010-05-01</w:t>
            </w:r>
          </w:p>
        </w:tc>
      </w:tr>
      <w:tr w14:paraId="7A4C2F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B05B61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528" w:type="pct"/>
            <w:tcBorders>
              <w:tl2br w:val="nil"/>
              <w:tr2bl w:val="nil"/>
            </w:tcBorders>
            <w:noWrap w:val="0"/>
            <w:vAlign w:val="center"/>
          </w:tcPr>
          <w:p w14:paraId="66CAE81A">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新疆维吾尔自治区主体功能区规划</w:t>
            </w:r>
          </w:p>
        </w:tc>
        <w:tc>
          <w:tcPr>
            <w:tcW w:w="1692" w:type="pct"/>
            <w:tcBorders>
              <w:tl2br w:val="nil"/>
              <w:tr2bl w:val="nil"/>
            </w:tcBorders>
            <w:noWrap w:val="0"/>
            <w:vAlign w:val="center"/>
          </w:tcPr>
          <w:p w14:paraId="271BB63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自治区发展和改革委员会</w:t>
            </w:r>
          </w:p>
        </w:tc>
        <w:tc>
          <w:tcPr>
            <w:tcW w:w="612" w:type="pct"/>
            <w:tcBorders>
              <w:tl2br w:val="nil"/>
              <w:tr2bl w:val="nil"/>
            </w:tcBorders>
            <w:noWrap w:val="0"/>
            <w:vAlign w:val="center"/>
          </w:tcPr>
          <w:p w14:paraId="2B419A4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2012-10-01</w:t>
            </w:r>
          </w:p>
        </w:tc>
      </w:tr>
      <w:tr w14:paraId="102DC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00D2450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528" w:type="pct"/>
            <w:tcBorders>
              <w:tl2br w:val="nil"/>
              <w:tr2bl w:val="nil"/>
            </w:tcBorders>
            <w:noWrap w:val="0"/>
            <w:vAlign w:val="center"/>
          </w:tcPr>
          <w:p w14:paraId="2409CF05">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关于印发新疆维吾尔自治区大气污染防治行动计划实施方案的通知</w:t>
            </w:r>
          </w:p>
        </w:tc>
        <w:tc>
          <w:tcPr>
            <w:tcW w:w="1692" w:type="pct"/>
            <w:tcBorders>
              <w:tl2br w:val="nil"/>
              <w:tr2bl w:val="nil"/>
            </w:tcBorders>
            <w:noWrap w:val="0"/>
            <w:vAlign w:val="center"/>
          </w:tcPr>
          <w:p w14:paraId="235B5C2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新政发〔2014〕35号</w:t>
            </w:r>
          </w:p>
        </w:tc>
        <w:tc>
          <w:tcPr>
            <w:tcW w:w="612" w:type="pct"/>
            <w:tcBorders>
              <w:tl2br w:val="nil"/>
              <w:tr2bl w:val="nil"/>
            </w:tcBorders>
            <w:noWrap w:val="0"/>
            <w:vAlign w:val="center"/>
          </w:tcPr>
          <w:p w14:paraId="0681935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2014-04-17</w:t>
            </w:r>
          </w:p>
        </w:tc>
      </w:tr>
      <w:tr w14:paraId="5B77E5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noWrap w:val="0"/>
            <w:vAlign w:val="center"/>
          </w:tcPr>
          <w:p w14:paraId="4825E1AD">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2528" w:type="pct"/>
            <w:tcBorders>
              <w:tl2br w:val="nil"/>
              <w:tr2bl w:val="nil"/>
            </w:tcBorders>
            <w:noWrap w:val="0"/>
            <w:vAlign w:val="center"/>
          </w:tcPr>
          <w:p w14:paraId="19D8D7E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关于印发新疆维吾尔自治区水污染防治工作方案的通知</w:t>
            </w:r>
          </w:p>
        </w:tc>
        <w:tc>
          <w:tcPr>
            <w:tcW w:w="1692" w:type="pct"/>
            <w:tcBorders>
              <w:tl2br w:val="nil"/>
              <w:tr2bl w:val="nil"/>
            </w:tcBorders>
            <w:noWrap w:val="0"/>
            <w:vAlign w:val="center"/>
          </w:tcPr>
          <w:p w14:paraId="51854D5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新政发〔2016〕21号</w:t>
            </w:r>
          </w:p>
        </w:tc>
        <w:tc>
          <w:tcPr>
            <w:tcW w:w="612" w:type="pct"/>
            <w:tcBorders>
              <w:tl2br w:val="nil"/>
              <w:tr2bl w:val="nil"/>
            </w:tcBorders>
            <w:noWrap w:val="0"/>
            <w:vAlign w:val="center"/>
          </w:tcPr>
          <w:p w14:paraId="19B0868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2016-01-29</w:t>
            </w:r>
          </w:p>
        </w:tc>
      </w:tr>
      <w:tr w14:paraId="5309B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75388CA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2528" w:type="pct"/>
            <w:tcBorders>
              <w:tl2br w:val="nil"/>
              <w:tr2bl w:val="nil"/>
            </w:tcBorders>
            <w:noWrap w:val="0"/>
            <w:vAlign w:val="center"/>
          </w:tcPr>
          <w:p w14:paraId="07CF106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新疆维吾尔自治区重点行业生态环境准入条件（2024年）</w:t>
            </w:r>
          </w:p>
        </w:tc>
        <w:tc>
          <w:tcPr>
            <w:tcW w:w="1692" w:type="pct"/>
            <w:tcBorders>
              <w:tl2br w:val="nil"/>
              <w:tr2bl w:val="nil"/>
            </w:tcBorders>
            <w:noWrap w:val="0"/>
            <w:vAlign w:val="center"/>
          </w:tcPr>
          <w:p w14:paraId="019A143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新环发〔2024〕93号</w:t>
            </w:r>
          </w:p>
        </w:tc>
        <w:tc>
          <w:tcPr>
            <w:tcW w:w="612" w:type="pct"/>
            <w:tcBorders>
              <w:tl2br w:val="nil"/>
              <w:tr2bl w:val="nil"/>
            </w:tcBorders>
            <w:noWrap w:val="0"/>
            <w:vAlign w:val="center"/>
          </w:tcPr>
          <w:p w14:paraId="2892078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2024-06-09</w:t>
            </w:r>
          </w:p>
        </w:tc>
      </w:tr>
      <w:tr w14:paraId="6D3E6E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24FA9FD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2528" w:type="pct"/>
            <w:tcBorders>
              <w:tl2br w:val="nil"/>
              <w:tr2bl w:val="nil"/>
            </w:tcBorders>
            <w:noWrap w:val="0"/>
            <w:vAlign w:val="center"/>
          </w:tcPr>
          <w:p w14:paraId="15E9651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关于印发新疆维吾尔自治区土壤污染防治工作方案的通知</w:t>
            </w:r>
          </w:p>
        </w:tc>
        <w:tc>
          <w:tcPr>
            <w:tcW w:w="1692" w:type="pct"/>
            <w:tcBorders>
              <w:tl2br w:val="nil"/>
              <w:tr2bl w:val="nil"/>
            </w:tcBorders>
            <w:noWrap w:val="0"/>
            <w:vAlign w:val="center"/>
          </w:tcPr>
          <w:p w14:paraId="7CB2AE0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新政发〔2017〕25号</w:t>
            </w:r>
          </w:p>
        </w:tc>
        <w:tc>
          <w:tcPr>
            <w:tcW w:w="612" w:type="pct"/>
            <w:tcBorders>
              <w:tl2br w:val="nil"/>
              <w:tr2bl w:val="nil"/>
            </w:tcBorders>
            <w:noWrap w:val="0"/>
            <w:vAlign w:val="center"/>
          </w:tcPr>
          <w:p w14:paraId="343158A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2017-03-01</w:t>
            </w:r>
          </w:p>
        </w:tc>
      </w:tr>
      <w:tr w14:paraId="1B8018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490FD46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11</w:t>
            </w:r>
          </w:p>
        </w:tc>
        <w:tc>
          <w:tcPr>
            <w:tcW w:w="2528" w:type="pct"/>
            <w:tcBorders>
              <w:tl2br w:val="nil"/>
              <w:tr2bl w:val="nil"/>
            </w:tcBorders>
            <w:noWrap w:val="0"/>
            <w:vAlign w:val="center"/>
          </w:tcPr>
          <w:p w14:paraId="2E4FD6E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转发关于强化建设项目环境影响评价事中事后监管的实施意见</w:t>
            </w:r>
          </w:p>
        </w:tc>
        <w:tc>
          <w:tcPr>
            <w:tcW w:w="1692" w:type="pct"/>
            <w:tcBorders>
              <w:tl2br w:val="nil"/>
              <w:tr2bl w:val="nil"/>
            </w:tcBorders>
            <w:noWrap w:val="0"/>
            <w:vAlign w:val="center"/>
          </w:tcPr>
          <w:p w14:paraId="3880B5E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新环办发〔2018〕80号</w:t>
            </w:r>
          </w:p>
        </w:tc>
        <w:tc>
          <w:tcPr>
            <w:tcW w:w="612" w:type="pct"/>
            <w:tcBorders>
              <w:tl2br w:val="nil"/>
              <w:tr2bl w:val="nil"/>
            </w:tcBorders>
            <w:noWrap w:val="0"/>
            <w:vAlign w:val="center"/>
          </w:tcPr>
          <w:p w14:paraId="3AD8A1E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2018-03-27</w:t>
            </w:r>
          </w:p>
        </w:tc>
      </w:tr>
      <w:tr w14:paraId="6EB30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7AB82DA0">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2528" w:type="pct"/>
            <w:tcBorders>
              <w:tl2br w:val="nil"/>
              <w:tr2bl w:val="nil"/>
            </w:tcBorders>
            <w:noWrap w:val="0"/>
            <w:vAlign w:val="center"/>
          </w:tcPr>
          <w:p w14:paraId="60A6763B">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自治区党委、自治区人民政府印发关于全面加强生态环境保护坚决打好污染防治攻坚战实施方案的通知</w:t>
            </w:r>
          </w:p>
        </w:tc>
        <w:tc>
          <w:tcPr>
            <w:tcW w:w="1692" w:type="pct"/>
            <w:tcBorders>
              <w:tl2br w:val="nil"/>
              <w:tr2bl w:val="nil"/>
            </w:tcBorders>
            <w:noWrap w:val="0"/>
            <w:vAlign w:val="center"/>
          </w:tcPr>
          <w:p w14:paraId="07C904A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新党发〔2018〕23号</w:t>
            </w:r>
          </w:p>
        </w:tc>
        <w:tc>
          <w:tcPr>
            <w:tcW w:w="612" w:type="pct"/>
            <w:tcBorders>
              <w:tl2br w:val="nil"/>
              <w:tr2bl w:val="nil"/>
            </w:tcBorders>
            <w:noWrap w:val="0"/>
            <w:vAlign w:val="center"/>
          </w:tcPr>
          <w:p w14:paraId="3B2487E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2018-09-04</w:t>
            </w:r>
          </w:p>
        </w:tc>
      </w:tr>
      <w:tr w14:paraId="0E4DF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223EC50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13</w:t>
            </w:r>
          </w:p>
        </w:tc>
        <w:tc>
          <w:tcPr>
            <w:tcW w:w="2528" w:type="pct"/>
            <w:tcBorders>
              <w:tl2br w:val="nil"/>
              <w:tr2bl w:val="nil"/>
            </w:tcBorders>
            <w:noWrap w:val="0"/>
            <w:vAlign w:val="center"/>
          </w:tcPr>
          <w:p w14:paraId="4E255568">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新疆维吾尔自治区大气污染防治条例</w:t>
            </w:r>
          </w:p>
        </w:tc>
        <w:tc>
          <w:tcPr>
            <w:tcW w:w="1692" w:type="pct"/>
            <w:tcBorders>
              <w:tl2br w:val="nil"/>
              <w:tr2bl w:val="nil"/>
            </w:tcBorders>
            <w:noWrap w:val="0"/>
            <w:vAlign w:val="center"/>
          </w:tcPr>
          <w:p w14:paraId="6795835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自治</w:t>
            </w:r>
            <w:r>
              <w:rPr>
                <w:rFonts w:hint="default" w:cs="Times New Roman"/>
                <w:color w:val="auto"/>
                <w:sz w:val="21"/>
                <w:szCs w:val="21"/>
                <w:highlight w:val="none"/>
                <w:lang w:eastAsia="zh-CN"/>
              </w:rPr>
              <w:t>区第</w:t>
            </w:r>
            <w:r>
              <w:rPr>
                <w:rFonts w:hint="default" w:ascii="Times New Roman" w:hAnsi="Times New Roman" w:cs="Times New Roman"/>
                <w:color w:val="auto"/>
                <w:sz w:val="21"/>
                <w:szCs w:val="21"/>
                <w:highlight w:val="none"/>
              </w:rPr>
              <w:t>13届人大第7次会议</w:t>
            </w:r>
          </w:p>
        </w:tc>
        <w:tc>
          <w:tcPr>
            <w:tcW w:w="612" w:type="pct"/>
            <w:tcBorders>
              <w:tl2br w:val="nil"/>
              <w:tr2bl w:val="nil"/>
            </w:tcBorders>
            <w:noWrap w:val="0"/>
            <w:vAlign w:val="center"/>
          </w:tcPr>
          <w:p w14:paraId="1EF3531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2019-01-01</w:t>
            </w:r>
          </w:p>
        </w:tc>
      </w:tr>
      <w:tr w14:paraId="3226E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40EB9A0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14</w:t>
            </w:r>
          </w:p>
        </w:tc>
        <w:tc>
          <w:tcPr>
            <w:tcW w:w="2528" w:type="pct"/>
            <w:tcBorders>
              <w:tl2br w:val="nil"/>
              <w:tr2bl w:val="nil"/>
            </w:tcBorders>
            <w:noWrap w:val="0"/>
            <w:vAlign w:val="center"/>
          </w:tcPr>
          <w:p w14:paraId="59DFE1F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关于加强沙区建设项目环境影响评价工作的通知</w:t>
            </w:r>
          </w:p>
        </w:tc>
        <w:tc>
          <w:tcPr>
            <w:tcW w:w="1692" w:type="pct"/>
            <w:tcBorders>
              <w:tl2br w:val="nil"/>
              <w:tr2bl w:val="nil"/>
            </w:tcBorders>
            <w:noWrap w:val="0"/>
            <w:vAlign w:val="center"/>
          </w:tcPr>
          <w:p w14:paraId="2DF28D7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新环环评发〔2020〕138号</w:t>
            </w:r>
          </w:p>
        </w:tc>
        <w:tc>
          <w:tcPr>
            <w:tcW w:w="612" w:type="pct"/>
            <w:tcBorders>
              <w:tl2br w:val="nil"/>
              <w:tr2bl w:val="nil"/>
            </w:tcBorders>
            <w:noWrap w:val="0"/>
            <w:vAlign w:val="center"/>
          </w:tcPr>
          <w:p w14:paraId="6B8C4A6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2020-09-04</w:t>
            </w:r>
          </w:p>
        </w:tc>
      </w:tr>
      <w:tr w14:paraId="7004B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15D22BB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c>
          <w:tcPr>
            <w:tcW w:w="2528" w:type="pct"/>
            <w:tcBorders>
              <w:tl2br w:val="nil"/>
              <w:tr2bl w:val="nil"/>
            </w:tcBorders>
            <w:noWrap w:val="0"/>
            <w:vAlign w:val="center"/>
          </w:tcPr>
          <w:p w14:paraId="224DD39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关于加强建设项目环境影响后评价管理的通知</w:t>
            </w:r>
          </w:p>
        </w:tc>
        <w:tc>
          <w:tcPr>
            <w:tcW w:w="1692" w:type="pct"/>
            <w:tcBorders>
              <w:tl2br w:val="nil"/>
              <w:tr2bl w:val="nil"/>
            </w:tcBorders>
            <w:noWrap w:val="0"/>
            <w:vAlign w:val="center"/>
          </w:tcPr>
          <w:p w14:paraId="7A567C6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新环环评发〔2020〕162号</w:t>
            </w:r>
          </w:p>
        </w:tc>
        <w:tc>
          <w:tcPr>
            <w:tcW w:w="612" w:type="pct"/>
            <w:tcBorders>
              <w:tl2br w:val="nil"/>
              <w:tr2bl w:val="nil"/>
            </w:tcBorders>
            <w:noWrap w:val="0"/>
            <w:vAlign w:val="center"/>
          </w:tcPr>
          <w:p w14:paraId="143A73DE">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2020-09-11</w:t>
            </w:r>
          </w:p>
        </w:tc>
      </w:tr>
      <w:tr w14:paraId="29B791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1AF571C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16</w:t>
            </w:r>
          </w:p>
        </w:tc>
        <w:tc>
          <w:tcPr>
            <w:tcW w:w="2528" w:type="pct"/>
            <w:tcBorders>
              <w:tl2br w:val="nil"/>
              <w:tr2bl w:val="nil"/>
            </w:tcBorders>
            <w:noWrap w:val="0"/>
            <w:vAlign w:val="center"/>
          </w:tcPr>
          <w:p w14:paraId="47523E3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关于印发《新疆维吾尔自治区生态环境分区管控动态更新成果》的通知</w:t>
            </w:r>
          </w:p>
        </w:tc>
        <w:tc>
          <w:tcPr>
            <w:tcW w:w="1692" w:type="pct"/>
            <w:tcBorders>
              <w:tl2br w:val="nil"/>
              <w:tr2bl w:val="nil"/>
            </w:tcBorders>
            <w:noWrap w:val="0"/>
            <w:vAlign w:val="center"/>
          </w:tcPr>
          <w:p w14:paraId="53FE959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612" w:type="pct"/>
            <w:tcBorders>
              <w:tl2br w:val="nil"/>
              <w:tr2bl w:val="nil"/>
            </w:tcBorders>
            <w:noWrap w:val="0"/>
            <w:vAlign w:val="center"/>
          </w:tcPr>
          <w:p w14:paraId="10C9CD19">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18</w:t>
            </w:r>
          </w:p>
        </w:tc>
      </w:tr>
      <w:tr w14:paraId="2E0DF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2AF9F9D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17</w:t>
            </w:r>
          </w:p>
        </w:tc>
        <w:tc>
          <w:tcPr>
            <w:tcW w:w="2528" w:type="pct"/>
            <w:tcBorders>
              <w:tl2br w:val="nil"/>
              <w:tr2bl w:val="nil"/>
            </w:tcBorders>
            <w:noWrap w:val="0"/>
            <w:vAlign w:val="center"/>
          </w:tcPr>
          <w:p w14:paraId="468B9866">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关于印发新疆维吾尔自治区七大片区“三线一单”生态环境分区管控要求（2021年版）的通知</w:t>
            </w:r>
          </w:p>
        </w:tc>
        <w:tc>
          <w:tcPr>
            <w:tcW w:w="1692" w:type="pct"/>
            <w:tcBorders>
              <w:tl2br w:val="nil"/>
              <w:tr2bl w:val="nil"/>
            </w:tcBorders>
            <w:noWrap w:val="0"/>
            <w:vAlign w:val="center"/>
          </w:tcPr>
          <w:p w14:paraId="75803864">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新环环评发〔2021〕162号</w:t>
            </w:r>
          </w:p>
        </w:tc>
        <w:tc>
          <w:tcPr>
            <w:tcW w:w="612" w:type="pct"/>
            <w:tcBorders>
              <w:tl2br w:val="nil"/>
              <w:tr2bl w:val="nil"/>
            </w:tcBorders>
            <w:noWrap w:val="0"/>
            <w:vAlign w:val="center"/>
          </w:tcPr>
          <w:p w14:paraId="24E9F3D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2021-07-26</w:t>
            </w:r>
          </w:p>
        </w:tc>
      </w:tr>
      <w:tr w14:paraId="146AF3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0F9549A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18</w:t>
            </w:r>
          </w:p>
        </w:tc>
        <w:tc>
          <w:tcPr>
            <w:tcW w:w="2528" w:type="pct"/>
            <w:tcBorders>
              <w:tl2br w:val="nil"/>
              <w:tr2bl w:val="nil"/>
            </w:tcBorders>
            <w:noWrap w:val="0"/>
            <w:vAlign w:val="center"/>
          </w:tcPr>
          <w:p w14:paraId="5358B123">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新疆国家重点保护野生动物名录</w:t>
            </w:r>
          </w:p>
        </w:tc>
        <w:tc>
          <w:tcPr>
            <w:tcW w:w="1692" w:type="pct"/>
            <w:tcBorders>
              <w:tl2br w:val="nil"/>
              <w:tr2bl w:val="nil"/>
            </w:tcBorders>
            <w:noWrap w:val="0"/>
            <w:vAlign w:val="center"/>
          </w:tcPr>
          <w:p w14:paraId="33A642D7">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612" w:type="pct"/>
            <w:tcBorders>
              <w:tl2br w:val="nil"/>
              <w:tr2bl w:val="nil"/>
            </w:tcBorders>
            <w:noWrap w:val="0"/>
            <w:vAlign w:val="center"/>
          </w:tcPr>
          <w:p w14:paraId="238C5B1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2021-07-28</w:t>
            </w:r>
          </w:p>
        </w:tc>
      </w:tr>
      <w:tr w14:paraId="0C7C69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0516968D">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19</w:t>
            </w:r>
          </w:p>
        </w:tc>
        <w:tc>
          <w:tcPr>
            <w:tcW w:w="2528" w:type="pct"/>
            <w:tcBorders>
              <w:tl2br w:val="nil"/>
              <w:tr2bl w:val="nil"/>
            </w:tcBorders>
            <w:noWrap w:val="0"/>
            <w:vAlign w:val="center"/>
          </w:tcPr>
          <w:p w14:paraId="1B613793">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新疆生态环境保护</w:t>
            </w:r>
            <w:r>
              <w:rPr>
                <w:rFonts w:hint="eastAsia" w:cs="Times New Roman"/>
                <w:color w:val="auto"/>
                <w:sz w:val="21"/>
                <w:szCs w:val="21"/>
                <w:highlight w:val="none"/>
                <w:lang w:eastAsia="zh-CN"/>
              </w:rPr>
              <w:t>“十四五”规划</w:t>
            </w:r>
          </w:p>
        </w:tc>
        <w:tc>
          <w:tcPr>
            <w:tcW w:w="1692" w:type="pct"/>
            <w:tcBorders>
              <w:tl2br w:val="nil"/>
              <w:tr2bl w:val="nil"/>
            </w:tcBorders>
            <w:noWrap w:val="0"/>
            <w:vAlign w:val="center"/>
          </w:tcPr>
          <w:p w14:paraId="61D7250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自治区党委、自治区人民政府</w:t>
            </w:r>
          </w:p>
        </w:tc>
        <w:tc>
          <w:tcPr>
            <w:tcW w:w="612" w:type="pct"/>
            <w:tcBorders>
              <w:tl2br w:val="nil"/>
              <w:tr2bl w:val="nil"/>
            </w:tcBorders>
            <w:noWrap w:val="0"/>
            <w:vAlign w:val="center"/>
          </w:tcPr>
          <w:p w14:paraId="7D5C7F0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2021-12-24</w:t>
            </w:r>
          </w:p>
        </w:tc>
      </w:tr>
      <w:tr w14:paraId="69FB4A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5CADB135">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w:t>
            </w:r>
          </w:p>
        </w:tc>
        <w:tc>
          <w:tcPr>
            <w:tcW w:w="2528" w:type="pct"/>
            <w:tcBorders>
              <w:tl2br w:val="nil"/>
              <w:tr2bl w:val="nil"/>
            </w:tcBorders>
            <w:noWrap w:val="0"/>
            <w:vAlign w:val="center"/>
          </w:tcPr>
          <w:p w14:paraId="16954CBF">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新疆国家重点保护野生植物名录</w:t>
            </w:r>
          </w:p>
        </w:tc>
        <w:tc>
          <w:tcPr>
            <w:tcW w:w="1692" w:type="pct"/>
            <w:tcBorders>
              <w:tl2br w:val="nil"/>
              <w:tr2bl w:val="nil"/>
            </w:tcBorders>
            <w:noWrap w:val="0"/>
            <w:vAlign w:val="center"/>
          </w:tcPr>
          <w:p w14:paraId="4A1857D1">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新林护字〔2022〕8号</w:t>
            </w:r>
          </w:p>
        </w:tc>
        <w:tc>
          <w:tcPr>
            <w:tcW w:w="612" w:type="pct"/>
            <w:tcBorders>
              <w:tl2br w:val="nil"/>
              <w:tr2bl w:val="nil"/>
            </w:tcBorders>
            <w:noWrap w:val="0"/>
            <w:vAlign w:val="center"/>
          </w:tcPr>
          <w:p w14:paraId="58B7AB53">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2022-03-09</w:t>
            </w:r>
          </w:p>
        </w:tc>
      </w:tr>
      <w:tr w14:paraId="5A030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3E62267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21</w:t>
            </w:r>
          </w:p>
        </w:tc>
        <w:tc>
          <w:tcPr>
            <w:tcW w:w="2528" w:type="pct"/>
            <w:tcBorders>
              <w:tl2br w:val="nil"/>
              <w:tr2bl w:val="nil"/>
            </w:tcBorders>
            <w:noWrap w:val="0"/>
            <w:vAlign w:val="center"/>
          </w:tcPr>
          <w:p w14:paraId="63BCA657">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新疆维吾尔自治区重点保护野生植物名录（修订）</w:t>
            </w:r>
          </w:p>
        </w:tc>
        <w:tc>
          <w:tcPr>
            <w:tcW w:w="1692" w:type="pct"/>
            <w:tcBorders>
              <w:tl2br w:val="nil"/>
              <w:tr2bl w:val="nil"/>
            </w:tcBorders>
            <w:noWrap w:val="0"/>
            <w:vAlign w:val="center"/>
          </w:tcPr>
          <w:p w14:paraId="39B5B12C">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12" w:type="pct"/>
            <w:tcBorders>
              <w:tl2br w:val="nil"/>
              <w:tr2bl w:val="nil"/>
            </w:tcBorders>
            <w:noWrap w:val="0"/>
            <w:vAlign w:val="center"/>
          </w:tcPr>
          <w:p w14:paraId="3400B907">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2024-01-12</w:t>
            </w:r>
          </w:p>
        </w:tc>
      </w:tr>
      <w:tr w14:paraId="64C4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310E865F">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22</w:t>
            </w:r>
          </w:p>
        </w:tc>
        <w:tc>
          <w:tcPr>
            <w:tcW w:w="2528" w:type="pct"/>
            <w:tcBorders>
              <w:tl2br w:val="nil"/>
              <w:tr2bl w:val="nil"/>
            </w:tcBorders>
            <w:noWrap w:val="0"/>
            <w:vAlign w:val="center"/>
          </w:tcPr>
          <w:p w14:paraId="111F3B5A">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新疆维吾尔自治区突发环境事件应急预案</w:t>
            </w:r>
          </w:p>
        </w:tc>
        <w:tc>
          <w:tcPr>
            <w:tcW w:w="1692" w:type="pct"/>
            <w:tcBorders>
              <w:tl2br w:val="nil"/>
              <w:tr2bl w:val="nil"/>
            </w:tcBorders>
            <w:noWrap w:val="0"/>
            <w:vAlign w:val="center"/>
          </w:tcPr>
          <w:p w14:paraId="760A926D">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612" w:type="pct"/>
            <w:tcBorders>
              <w:tl2br w:val="nil"/>
              <w:tr2bl w:val="nil"/>
            </w:tcBorders>
            <w:noWrap w:val="0"/>
            <w:vAlign w:val="center"/>
          </w:tcPr>
          <w:p w14:paraId="28CB34DA">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2022-03-28</w:t>
            </w:r>
          </w:p>
        </w:tc>
      </w:tr>
      <w:tr w14:paraId="1B4A35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47EDD956">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23</w:t>
            </w:r>
          </w:p>
        </w:tc>
        <w:tc>
          <w:tcPr>
            <w:tcW w:w="2528" w:type="pct"/>
            <w:tcBorders>
              <w:tl2br w:val="nil"/>
              <w:tr2bl w:val="nil"/>
            </w:tcBorders>
            <w:noWrap w:val="0"/>
            <w:vAlign w:val="center"/>
          </w:tcPr>
          <w:p w14:paraId="2C98D993">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新疆维吾尔自治区重点保护野生动物名录（修订）</w:t>
            </w:r>
          </w:p>
        </w:tc>
        <w:tc>
          <w:tcPr>
            <w:tcW w:w="1692" w:type="pct"/>
            <w:tcBorders>
              <w:tl2br w:val="nil"/>
              <w:tr2bl w:val="nil"/>
            </w:tcBorders>
            <w:noWrap w:val="0"/>
            <w:vAlign w:val="center"/>
          </w:tcPr>
          <w:p w14:paraId="51A68264">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cs="Times New Roman"/>
                <w:color w:val="auto"/>
                <w:sz w:val="21"/>
                <w:szCs w:val="21"/>
                <w:highlight w:val="none"/>
              </w:rPr>
              <w:t>新政发〔2022〕75号</w:t>
            </w:r>
          </w:p>
        </w:tc>
        <w:tc>
          <w:tcPr>
            <w:tcW w:w="612" w:type="pct"/>
            <w:tcBorders>
              <w:tl2br w:val="nil"/>
              <w:tr2bl w:val="nil"/>
            </w:tcBorders>
            <w:noWrap w:val="0"/>
            <w:vAlign w:val="center"/>
          </w:tcPr>
          <w:p w14:paraId="31CC0FD2">
            <w:pPr>
              <w:pStyle w:val="45"/>
              <w:spacing w:before="0" w:beforeAutospacing="0" w:line="360" w:lineRule="exact"/>
              <w:ind w:firstLine="0" w:firstLineChars="0"/>
              <w:jc w:val="center"/>
              <w:rPr>
                <w:rFonts w:hint="default" w:ascii="Times New Roman" w:hAnsi="Times New Roman" w:eastAsia="宋体" w:cs="Times New Roman"/>
                <w:color w:val="auto"/>
                <w:spacing w:val="-12"/>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2022-09-18</w:t>
            </w:r>
          </w:p>
        </w:tc>
      </w:tr>
      <w:tr w14:paraId="4CA5DE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47D89EDA">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24</w:t>
            </w:r>
          </w:p>
        </w:tc>
        <w:tc>
          <w:tcPr>
            <w:tcW w:w="2528" w:type="pct"/>
            <w:tcBorders>
              <w:tl2br w:val="nil"/>
              <w:tr2bl w:val="nil"/>
            </w:tcBorders>
            <w:shd w:val="clear" w:color="auto" w:fill="auto"/>
            <w:noWrap w:val="0"/>
            <w:vAlign w:val="center"/>
          </w:tcPr>
          <w:p w14:paraId="5B9AFAD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新疆维吾尔自治区国民经济和社会发展第十五个五年规划纲要</w:t>
            </w:r>
          </w:p>
        </w:tc>
        <w:tc>
          <w:tcPr>
            <w:tcW w:w="1692" w:type="pct"/>
            <w:tcBorders>
              <w:tl2br w:val="nil"/>
              <w:tr2bl w:val="nil"/>
            </w:tcBorders>
            <w:shd w:val="clear" w:color="auto" w:fill="auto"/>
            <w:noWrap w:val="0"/>
            <w:vAlign w:val="center"/>
          </w:tcPr>
          <w:p w14:paraId="586758DC">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12" w:type="pct"/>
            <w:tcBorders>
              <w:tl2br w:val="nil"/>
              <w:tr2bl w:val="nil"/>
            </w:tcBorders>
            <w:shd w:val="clear" w:color="auto" w:fill="auto"/>
            <w:noWrap w:val="0"/>
            <w:vAlign w:val="center"/>
          </w:tcPr>
          <w:p w14:paraId="2F0176D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202</w:t>
            </w:r>
            <w:r>
              <w:rPr>
                <w:rFonts w:hint="default" w:ascii="Times New Roman" w:hAnsi="Times New Roman" w:cs="Times New Roman"/>
                <w:color w:val="auto"/>
                <w:sz w:val="21"/>
                <w:highlight w:val="none"/>
                <w:lang w:val="en-US" w:eastAsia="zh-CN"/>
              </w:rPr>
              <w:t>6</w:t>
            </w:r>
            <w:r>
              <w:rPr>
                <w:rFonts w:hint="default" w:ascii="Times New Roman" w:hAnsi="Times New Roman" w:cs="Times New Roman"/>
                <w:color w:val="auto"/>
                <w:sz w:val="21"/>
                <w:highlight w:val="none"/>
              </w:rPr>
              <w:t>-0</w:t>
            </w:r>
            <w:r>
              <w:rPr>
                <w:rFonts w:hint="default" w:ascii="Times New Roman" w:hAnsi="Times New Roman" w:cs="Times New Roman"/>
                <w:color w:val="auto"/>
                <w:sz w:val="21"/>
                <w:highlight w:val="none"/>
                <w:lang w:val="en-US" w:eastAsia="zh-CN"/>
              </w:rPr>
              <w:t>3</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25</w:t>
            </w:r>
          </w:p>
        </w:tc>
      </w:tr>
      <w:tr w14:paraId="7EA60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38D9C2FC">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c>
          <w:tcPr>
            <w:tcW w:w="2528" w:type="pct"/>
            <w:tcBorders>
              <w:tl2br w:val="nil"/>
              <w:tr2bl w:val="nil"/>
            </w:tcBorders>
            <w:shd w:val="clear" w:color="auto" w:fill="auto"/>
            <w:noWrap w:val="0"/>
            <w:vAlign w:val="center"/>
          </w:tcPr>
          <w:p w14:paraId="4115EBDA">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eastAsia="zh-CN"/>
              </w:rPr>
              <w:t>关于印发阿勒泰地区“三线一单”生态环境分区管控方案（2023年）的通知</w:t>
            </w:r>
            <w:r>
              <w:rPr>
                <w:rFonts w:hint="default" w:ascii="Times New Roman" w:hAnsi="Times New Roman" w:cs="Times New Roman"/>
                <w:color w:val="auto"/>
                <w:sz w:val="21"/>
                <w:highlight w:val="none"/>
              </w:rPr>
              <w:t>》</w:t>
            </w:r>
          </w:p>
        </w:tc>
        <w:tc>
          <w:tcPr>
            <w:tcW w:w="1692" w:type="pct"/>
            <w:tcBorders>
              <w:tl2br w:val="nil"/>
              <w:tr2bl w:val="nil"/>
            </w:tcBorders>
            <w:shd w:val="clear" w:color="auto" w:fill="auto"/>
            <w:noWrap w:val="0"/>
            <w:vAlign w:val="center"/>
          </w:tcPr>
          <w:p w14:paraId="596E5F80">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阿行署发〔2024〕7号</w:t>
            </w:r>
          </w:p>
        </w:tc>
        <w:tc>
          <w:tcPr>
            <w:tcW w:w="612" w:type="pct"/>
            <w:tcBorders>
              <w:tl2br w:val="nil"/>
              <w:tr2bl w:val="nil"/>
            </w:tcBorders>
            <w:shd w:val="clear" w:color="auto" w:fill="auto"/>
            <w:noWrap w:val="0"/>
            <w:vAlign w:val="center"/>
          </w:tcPr>
          <w:p w14:paraId="784852D3">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202</w:t>
            </w:r>
            <w:r>
              <w:rPr>
                <w:rFonts w:hint="default" w:ascii="Times New Roman" w:hAnsi="Times New Roman" w:cs="Times New Roman"/>
                <w:color w:val="auto"/>
                <w:sz w:val="21"/>
                <w:highlight w:val="none"/>
                <w:lang w:val="en-US" w:eastAsia="zh-CN"/>
              </w:rPr>
              <w:t>4</w:t>
            </w:r>
            <w:r>
              <w:rPr>
                <w:rFonts w:hint="default" w:ascii="Times New Roman" w:hAnsi="Times New Roman" w:cs="Times New Roman"/>
                <w:color w:val="auto"/>
                <w:sz w:val="21"/>
                <w:highlight w:val="none"/>
              </w:rPr>
              <w:t>-0</w:t>
            </w:r>
            <w:r>
              <w:rPr>
                <w:rFonts w:hint="default" w:ascii="Times New Roman" w:hAnsi="Times New Roman" w:cs="Times New Roman"/>
                <w:color w:val="auto"/>
                <w:sz w:val="21"/>
                <w:highlight w:val="none"/>
                <w:lang w:val="en-US" w:eastAsia="zh-CN"/>
              </w:rPr>
              <w:t>8</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13</w:t>
            </w:r>
          </w:p>
        </w:tc>
      </w:tr>
      <w:tr w14:paraId="377A93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27319752">
            <w:pPr>
              <w:pStyle w:val="45"/>
              <w:spacing w:before="0" w:beforeAutospacing="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26</w:t>
            </w:r>
          </w:p>
        </w:tc>
        <w:tc>
          <w:tcPr>
            <w:tcW w:w="2528" w:type="pct"/>
            <w:tcBorders>
              <w:tl2br w:val="nil"/>
              <w:tr2bl w:val="nil"/>
            </w:tcBorders>
            <w:shd w:val="clear" w:color="auto" w:fill="auto"/>
            <w:noWrap w:val="0"/>
            <w:vAlign w:val="center"/>
          </w:tcPr>
          <w:p w14:paraId="4423896A">
            <w:pPr>
              <w:pStyle w:val="45"/>
              <w:keepNext w:val="0"/>
              <w:keepLines w:val="0"/>
              <w:pageBreakBefore w:val="0"/>
              <w:widowControl w:val="0"/>
              <w:kinsoku/>
              <w:wordWrap/>
              <w:overflowPunct w:val="0"/>
              <w:topLinePunct/>
              <w:autoSpaceDE/>
              <w:autoSpaceDN/>
              <w:bidi w:val="0"/>
              <w:adjustRightInd/>
              <w:snapToGrid w:val="0"/>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color w:val="auto"/>
                <w:sz w:val="21"/>
                <w:szCs w:val="21"/>
                <w:highlight w:val="none"/>
                <w:lang w:eastAsia="zh-CN"/>
              </w:rPr>
              <w:t>《阿勒泰地区生态环境保护条例》</w:t>
            </w:r>
          </w:p>
        </w:tc>
        <w:tc>
          <w:tcPr>
            <w:tcW w:w="1692" w:type="pct"/>
            <w:tcBorders>
              <w:tl2br w:val="nil"/>
              <w:tr2bl w:val="nil"/>
            </w:tcBorders>
            <w:shd w:val="clear" w:color="auto" w:fill="auto"/>
            <w:noWrap w:val="0"/>
            <w:vAlign w:val="center"/>
          </w:tcPr>
          <w:p w14:paraId="3066A276">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color w:val="auto"/>
                <w:sz w:val="21"/>
                <w:szCs w:val="21"/>
                <w:highlight w:val="none"/>
              </w:rPr>
              <w:t>新疆维吾尔自治区第十三届人民代表大会第</w:t>
            </w:r>
            <w:r>
              <w:rPr>
                <w:rFonts w:hint="default"/>
                <w:color w:val="auto"/>
                <w:sz w:val="21"/>
                <w:szCs w:val="21"/>
                <w:highlight w:val="none"/>
                <w:lang w:val="en-US" w:eastAsia="zh-CN"/>
              </w:rPr>
              <w:t>三</w:t>
            </w:r>
            <w:r>
              <w:rPr>
                <w:rFonts w:hint="default"/>
                <w:color w:val="auto"/>
                <w:sz w:val="21"/>
                <w:szCs w:val="21"/>
                <w:highlight w:val="none"/>
              </w:rPr>
              <w:t>次会议通过</w:t>
            </w:r>
          </w:p>
        </w:tc>
        <w:tc>
          <w:tcPr>
            <w:tcW w:w="612" w:type="pct"/>
            <w:tcBorders>
              <w:tl2br w:val="nil"/>
              <w:tr2bl w:val="nil"/>
            </w:tcBorders>
            <w:shd w:val="clear" w:color="auto" w:fill="auto"/>
            <w:noWrap w:val="0"/>
            <w:vAlign w:val="center"/>
          </w:tcPr>
          <w:p w14:paraId="666B8C8F">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ascii="Times New Roman" w:hAnsi="Times New Roman" w:eastAsia="微软雅黑 Light" w:cs="Times New Roman"/>
                <w:color w:val="auto"/>
                <w:sz w:val="21"/>
                <w:szCs w:val="21"/>
                <w:highlight w:val="none"/>
                <w:lang w:val="en-US" w:eastAsia="zh-CN"/>
              </w:rPr>
              <w:t>2018.05.20</w:t>
            </w:r>
          </w:p>
        </w:tc>
      </w:tr>
      <w:tr w14:paraId="52090D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2264B533">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bookmarkStart w:id="110" w:name="_Toc17243_WPSOffice_Level2"/>
            <w:bookmarkStart w:id="111" w:name="_Toc1024"/>
            <w:r>
              <w:rPr>
                <w:rFonts w:hint="default" w:cs="Times New Roman"/>
                <w:color w:val="auto"/>
                <w:sz w:val="21"/>
                <w:szCs w:val="21"/>
                <w:highlight w:val="none"/>
                <w:lang w:val="en-US" w:eastAsia="zh-CN"/>
              </w:rPr>
              <w:t>27</w:t>
            </w:r>
          </w:p>
        </w:tc>
        <w:tc>
          <w:tcPr>
            <w:tcW w:w="2528" w:type="pct"/>
            <w:tcBorders>
              <w:tl2br w:val="nil"/>
              <w:tr2bl w:val="nil"/>
            </w:tcBorders>
            <w:shd w:val="clear" w:color="auto" w:fill="auto"/>
            <w:noWrap w:val="0"/>
            <w:vAlign w:val="center"/>
          </w:tcPr>
          <w:p w14:paraId="0E6EFB9C">
            <w:pPr>
              <w:pStyle w:val="45"/>
              <w:keepNext w:val="0"/>
              <w:keepLines w:val="0"/>
              <w:pageBreakBefore w:val="0"/>
              <w:widowControl w:val="0"/>
              <w:kinsoku/>
              <w:wordWrap/>
              <w:overflowPunct w:val="0"/>
              <w:topLinePunct/>
              <w:autoSpaceDE/>
              <w:autoSpaceDN/>
              <w:bidi w:val="0"/>
              <w:adjustRightInd/>
              <w:snapToGrid w:val="0"/>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ascii="Times New Roman" w:hAnsi="Times New Roman" w:cs="Times New Roman"/>
                <w:color w:val="auto"/>
                <w:sz w:val="21"/>
                <w:szCs w:val="21"/>
                <w:highlight w:val="none"/>
                <w:lang w:eastAsia="zh-CN"/>
              </w:rPr>
              <w:t>《新疆阿勒泰地区“十四五”生态环境保护规划（2021-2025年）》</w:t>
            </w:r>
          </w:p>
        </w:tc>
        <w:tc>
          <w:tcPr>
            <w:tcW w:w="1692" w:type="pct"/>
            <w:tcBorders>
              <w:tl2br w:val="nil"/>
              <w:tr2bl w:val="nil"/>
            </w:tcBorders>
            <w:shd w:val="clear" w:color="auto" w:fill="auto"/>
            <w:noWrap w:val="0"/>
            <w:vAlign w:val="center"/>
          </w:tcPr>
          <w:p w14:paraId="638BFD5C">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color w:val="auto"/>
                <w:sz w:val="21"/>
                <w:szCs w:val="21"/>
                <w:highlight w:val="none"/>
                <w:lang w:val="en-US" w:eastAsia="zh-CN"/>
              </w:rPr>
              <w:t>阿勒泰地区行政公署</w:t>
            </w:r>
          </w:p>
        </w:tc>
        <w:tc>
          <w:tcPr>
            <w:tcW w:w="612" w:type="pct"/>
            <w:tcBorders>
              <w:tl2br w:val="nil"/>
              <w:tr2bl w:val="nil"/>
            </w:tcBorders>
            <w:shd w:val="clear" w:color="auto" w:fill="auto"/>
            <w:noWrap w:val="0"/>
            <w:vAlign w:val="center"/>
          </w:tcPr>
          <w:p w14:paraId="700B62B4">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ascii="Times New Roman" w:hAnsi="Times New Roman" w:eastAsia="微软雅黑 Light" w:cs="Times New Roman"/>
                <w:color w:val="auto"/>
                <w:sz w:val="21"/>
                <w:szCs w:val="21"/>
                <w:highlight w:val="none"/>
                <w:lang w:val="en-US" w:eastAsia="zh-CN"/>
              </w:rPr>
              <w:t>2021.11</w:t>
            </w:r>
          </w:p>
        </w:tc>
      </w:tr>
      <w:tr w14:paraId="71E38C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37DB8E1D">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28</w:t>
            </w:r>
          </w:p>
        </w:tc>
        <w:tc>
          <w:tcPr>
            <w:tcW w:w="2528" w:type="pct"/>
            <w:tcBorders>
              <w:tl2br w:val="nil"/>
              <w:tr2bl w:val="nil"/>
            </w:tcBorders>
            <w:shd w:val="clear" w:color="auto" w:fill="auto"/>
            <w:noWrap w:val="0"/>
            <w:vAlign w:val="center"/>
          </w:tcPr>
          <w:p w14:paraId="2B78E4B0">
            <w:pPr>
              <w:pStyle w:val="45"/>
              <w:keepNext w:val="0"/>
              <w:keepLines w:val="0"/>
              <w:pageBreakBefore w:val="0"/>
              <w:widowControl w:val="0"/>
              <w:kinsoku/>
              <w:wordWrap/>
              <w:overflowPunct w:val="0"/>
              <w:topLinePunct/>
              <w:autoSpaceDE/>
              <w:autoSpaceDN/>
              <w:bidi w:val="0"/>
              <w:adjustRightInd/>
              <w:snapToGrid w:val="0"/>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ascii="Times New Roman" w:hAnsi="Times New Roman" w:cs="Times New Roman"/>
                <w:color w:val="auto"/>
                <w:sz w:val="21"/>
                <w:szCs w:val="21"/>
                <w:highlight w:val="none"/>
                <w:lang w:eastAsia="zh-CN"/>
              </w:rPr>
              <w:t>《阿勒泰地区矿产资源总体规划（20</w:t>
            </w:r>
            <w:r>
              <w:rPr>
                <w:rFonts w:hint="default"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eastAsia="zh-CN"/>
              </w:rPr>
              <w:t>年）》</w:t>
            </w:r>
          </w:p>
        </w:tc>
        <w:tc>
          <w:tcPr>
            <w:tcW w:w="1692" w:type="pct"/>
            <w:tcBorders>
              <w:tl2br w:val="nil"/>
              <w:tr2bl w:val="nil"/>
            </w:tcBorders>
            <w:shd w:val="clear" w:color="auto" w:fill="auto"/>
            <w:noWrap w:val="0"/>
            <w:vAlign w:val="center"/>
          </w:tcPr>
          <w:p w14:paraId="7D84048A">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color w:val="auto"/>
                <w:sz w:val="21"/>
                <w:szCs w:val="21"/>
                <w:highlight w:val="none"/>
                <w:lang w:val="en-US" w:eastAsia="zh-CN"/>
              </w:rPr>
              <w:t>阿勒泰地区自然资源局</w:t>
            </w:r>
          </w:p>
        </w:tc>
        <w:tc>
          <w:tcPr>
            <w:tcW w:w="612" w:type="pct"/>
            <w:tcBorders>
              <w:tl2br w:val="nil"/>
              <w:tr2bl w:val="nil"/>
            </w:tcBorders>
            <w:shd w:val="clear" w:color="auto" w:fill="auto"/>
            <w:noWrap w:val="0"/>
            <w:vAlign w:val="center"/>
          </w:tcPr>
          <w:p w14:paraId="0AFEFD99">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ascii="Times New Roman" w:hAnsi="Times New Roman" w:eastAsia="微软雅黑 Light" w:cs="Times New Roman"/>
                <w:color w:val="auto"/>
                <w:sz w:val="21"/>
                <w:szCs w:val="21"/>
                <w:highlight w:val="none"/>
                <w:lang w:eastAsia="zh-CN"/>
              </w:rPr>
              <w:t>20</w:t>
            </w:r>
            <w:r>
              <w:rPr>
                <w:rFonts w:hint="default" w:ascii="Times New Roman" w:hAnsi="Times New Roman" w:eastAsia="微软雅黑 Light" w:cs="Times New Roman"/>
                <w:color w:val="auto"/>
                <w:sz w:val="21"/>
                <w:szCs w:val="21"/>
                <w:highlight w:val="none"/>
                <w:lang w:val="en-US" w:eastAsia="zh-CN"/>
              </w:rPr>
              <w:t>23.</w:t>
            </w:r>
            <w:r>
              <w:rPr>
                <w:rFonts w:hint="default" w:ascii="Times New Roman" w:hAnsi="Times New Roman" w:eastAsia="微软雅黑 Light" w:cs="Times New Roman"/>
                <w:color w:val="auto"/>
                <w:sz w:val="21"/>
                <w:szCs w:val="21"/>
                <w:highlight w:val="none"/>
                <w:lang w:eastAsia="zh-CN"/>
              </w:rPr>
              <w:t>0</w:t>
            </w:r>
            <w:r>
              <w:rPr>
                <w:rFonts w:hint="default" w:ascii="Times New Roman" w:hAnsi="Times New Roman" w:eastAsia="微软雅黑 Light" w:cs="Times New Roman"/>
                <w:color w:val="auto"/>
                <w:sz w:val="21"/>
                <w:szCs w:val="21"/>
                <w:highlight w:val="none"/>
                <w:lang w:val="en-US" w:eastAsia="zh-CN"/>
              </w:rPr>
              <w:t>2.</w:t>
            </w:r>
            <w:r>
              <w:rPr>
                <w:rFonts w:hint="default" w:ascii="Times New Roman" w:hAnsi="Times New Roman" w:eastAsia="微软雅黑 Light" w:cs="Times New Roman"/>
                <w:color w:val="auto"/>
                <w:sz w:val="21"/>
                <w:szCs w:val="21"/>
                <w:highlight w:val="none"/>
                <w:lang w:eastAsia="zh-CN"/>
              </w:rPr>
              <w:t>0</w:t>
            </w:r>
            <w:r>
              <w:rPr>
                <w:rFonts w:hint="default" w:ascii="Times New Roman" w:hAnsi="Times New Roman" w:eastAsia="微软雅黑 Light" w:cs="Times New Roman"/>
                <w:color w:val="auto"/>
                <w:sz w:val="21"/>
                <w:szCs w:val="21"/>
                <w:highlight w:val="none"/>
                <w:lang w:val="en-US" w:eastAsia="zh-CN"/>
              </w:rPr>
              <w:t>6</w:t>
            </w:r>
          </w:p>
        </w:tc>
      </w:tr>
      <w:tr w14:paraId="7B654A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4180FEDA">
            <w:pPr>
              <w:pStyle w:val="45"/>
              <w:spacing w:before="0" w:beforeAutospacing="0" w:line="360" w:lineRule="exact"/>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29</w:t>
            </w:r>
          </w:p>
        </w:tc>
        <w:tc>
          <w:tcPr>
            <w:tcW w:w="2528" w:type="pct"/>
            <w:tcBorders>
              <w:tl2br w:val="nil"/>
              <w:tr2bl w:val="nil"/>
            </w:tcBorders>
            <w:shd w:val="clear" w:color="auto" w:fill="auto"/>
            <w:noWrap w:val="0"/>
            <w:vAlign w:val="center"/>
          </w:tcPr>
          <w:p w14:paraId="602F7745">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highlight w:val="none"/>
                <w:lang w:val="zh-CN" w:eastAsia="zh-CN"/>
              </w:rPr>
              <w:t>《</w:t>
            </w:r>
            <w:r>
              <w:rPr>
                <w:rFonts w:hint="default" w:ascii="Times New Roman" w:hAnsi="Times New Roman" w:cs="Times New Roman"/>
                <w:color w:val="auto"/>
                <w:sz w:val="21"/>
                <w:highlight w:val="none"/>
                <w:lang w:val="en-US" w:eastAsia="zh-CN"/>
              </w:rPr>
              <w:t>富蕴县国民经济和社会发展第十四个五年规划和2035年远景目标纲要》</w:t>
            </w:r>
          </w:p>
        </w:tc>
        <w:tc>
          <w:tcPr>
            <w:tcW w:w="1692" w:type="pct"/>
            <w:tcBorders>
              <w:tl2br w:val="nil"/>
              <w:tr2bl w:val="nil"/>
            </w:tcBorders>
            <w:shd w:val="clear" w:color="auto" w:fill="auto"/>
            <w:noWrap w:val="0"/>
            <w:vAlign w:val="center"/>
          </w:tcPr>
          <w:p w14:paraId="1DE3CAE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kern w:val="0"/>
                <w:sz w:val="21"/>
                <w:szCs w:val="21"/>
                <w:highlight w:val="none"/>
                <w:lang w:val="en-US" w:eastAsia="zh-CN" w:bidi="ar-SA"/>
              </w:rPr>
              <w:t>县第十六届人民代表大会第六次会议通过</w:t>
            </w:r>
          </w:p>
        </w:tc>
        <w:tc>
          <w:tcPr>
            <w:tcW w:w="612" w:type="pct"/>
            <w:tcBorders>
              <w:tl2br w:val="nil"/>
              <w:tr2bl w:val="nil"/>
            </w:tcBorders>
            <w:shd w:val="clear" w:color="auto" w:fill="auto"/>
            <w:noWrap w:val="0"/>
            <w:vAlign w:val="center"/>
          </w:tcPr>
          <w:p w14:paraId="210CE2D6">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2021-0</w:t>
            </w:r>
            <w:r>
              <w:rPr>
                <w:rFonts w:hint="default" w:ascii="Times New Roman" w:hAnsi="Times New Roman" w:cs="Times New Roman"/>
                <w:color w:val="auto"/>
                <w:kern w:val="0"/>
                <w:sz w:val="21"/>
                <w:szCs w:val="21"/>
                <w:highlight w:val="none"/>
                <w:lang w:val="en-US" w:eastAsia="zh-CN" w:bidi="ar-SA"/>
              </w:rPr>
              <w:t>4</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15</w:t>
            </w:r>
          </w:p>
        </w:tc>
      </w:tr>
      <w:tr w14:paraId="6E2912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66" w:type="pct"/>
            <w:tcBorders>
              <w:tl2br w:val="nil"/>
              <w:tr2bl w:val="nil"/>
            </w:tcBorders>
            <w:shd w:val="clear" w:color="auto" w:fill="auto"/>
            <w:noWrap w:val="0"/>
            <w:vAlign w:val="center"/>
          </w:tcPr>
          <w:p w14:paraId="0FD7244D">
            <w:pPr>
              <w:pStyle w:val="45"/>
              <w:spacing w:before="0" w:beforeAutospacing="0" w:line="360" w:lineRule="exact"/>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30</w:t>
            </w:r>
          </w:p>
        </w:tc>
        <w:tc>
          <w:tcPr>
            <w:tcW w:w="2528" w:type="pct"/>
            <w:tcBorders>
              <w:tl2br w:val="nil"/>
              <w:tr2bl w:val="nil"/>
            </w:tcBorders>
            <w:shd w:val="clear" w:color="auto" w:fill="auto"/>
            <w:noWrap w:val="0"/>
            <w:vAlign w:val="center"/>
          </w:tcPr>
          <w:p w14:paraId="56A4D200">
            <w:pPr>
              <w:pStyle w:val="45"/>
              <w:keepNext w:val="0"/>
              <w:keepLines w:val="0"/>
              <w:pageBreakBefore w:val="0"/>
              <w:widowControl w:val="0"/>
              <w:kinsoku/>
              <w:wordWrap/>
              <w:overflowPunct w:val="0"/>
              <w:topLinePunct/>
              <w:autoSpaceDE/>
              <w:autoSpaceDN/>
              <w:bidi w:val="0"/>
              <w:adjustRightInd/>
              <w:snapToGrid w:val="0"/>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ascii="Times New Roman" w:hAnsi="Times New Roman" w:cs="Times New Roman"/>
                <w:color w:val="auto"/>
                <w:sz w:val="21"/>
                <w:szCs w:val="21"/>
                <w:highlight w:val="none"/>
                <w:lang w:eastAsia="zh-CN"/>
              </w:rPr>
              <w:t>《富蕴县国土空间总体规划（2020-2035）》</w:t>
            </w:r>
          </w:p>
        </w:tc>
        <w:tc>
          <w:tcPr>
            <w:tcW w:w="1692" w:type="pct"/>
            <w:tcBorders>
              <w:tl2br w:val="nil"/>
              <w:tr2bl w:val="nil"/>
            </w:tcBorders>
            <w:shd w:val="clear" w:color="auto" w:fill="auto"/>
            <w:noWrap w:val="0"/>
            <w:vAlign w:val="center"/>
          </w:tcPr>
          <w:p w14:paraId="69243B93">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color w:val="auto"/>
                <w:sz w:val="21"/>
                <w:szCs w:val="21"/>
                <w:highlight w:val="none"/>
                <w:lang w:val="en-US" w:eastAsia="zh-CN"/>
              </w:rPr>
              <w:t>富蕴县人民政府</w:t>
            </w:r>
          </w:p>
        </w:tc>
        <w:tc>
          <w:tcPr>
            <w:tcW w:w="612" w:type="pct"/>
            <w:tcBorders>
              <w:tl2br w:val="nil"/>
              <w:tr2bl w:val="nil"/>
            </w:tcBorders>
            <w:shd w:val="clear" w:color="auto" w:fill="auto"/>
            <w:noWrap w:val="0"/>
            <w:vAlign w:val="center"/>
          </w:tcPr>
          <w:p w14:paraId="04DE8DD4">
            <w:pPr>
              <w:pStyle w:val="45"/>
              <w:keepNext w:val="0"/>
              <w:keepLines w:val="0"/>
              <w:pageBreakBefore w:val="0"/>
              <w:widowControl w:val="0"/>
              <w:kinsoku/>
              <w:wordWrap/>
              <w:overflowPunct w:val="0"/>
              <w:autoSpaceDE/>
              <w:autoSpaceDN/>
              <w:bidi w:val="0"/>
              <w:adjustRightIn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2"/>
                <w:highlight w:val="none"/>
                <w:lang w:val="en-US" w:eastAsia="zh-CN" w:bidi="ar-SA"/>
              </w:rPr>
            </w:pPr>
            <w:r>
              <w:rPr>
                <w:rFonts w:hint="default" w:ascii="Times New Roman" w:hAnsi="Times New Roman" w:eastAsia="微软雅黑 Light" w:cs="Times New Roman"/>
                <w:color w:val="auto"/>
                <w:kern w:val="0"/>
                <w:sz w:val="21"/>
                <w:szCs w:val="21"/>
                <w:highlight w:val="none"/>
                <w:lang w:val="en-US" w:eastAsia="zh-CN" w:bidi="ar-SA"/>
              </w:rPr>
              <w:t>2023.01.05</w:t>
            </w:r>
          </w:p>
        </w:tc>
      </w:tr>
      <w:bookmarkEnd w:id="109"/>
    </w:tbl>
    <w:p w14:paraId="622E9D09">
      <w:pPr>
        <w:pStyle w:val="4"/>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.2 </w:t>
      </w:r>
      <w:r>
        <w:rPr>
          <w:rFonts w:hint="default" w:ascii="Times New Roman" w:hAnsi="Times New Roman" w:cs="Times New Roman"/>
          <w:color w:val="auto"/>
          <w:highlight w:val="none"/>
          <w:lang w:val="en-US" w:eastAsia="zh-CN"/>
        </w:rPr>
        <w:t>评价技术导则及</w:t>
      </w:r>
      <w:r>
        <w:rPr>
          <w:rFonts w:hint="default" w:ascii="Times New Roman" w:hAnsi="Times New Roman" w:cs="Times New Roman"/>
          <w:color w:val="auto"/>
          <w:highlight w:val="none"/>
        </w:rPr>
        <w:t>规范</w:t>
      </w:r>
      <w:bookmarkEnd w:id="110"/>
      <w:bookmarkEnd w:id="111"/>
    </w:p>
    <w:p w14:paraId="13AC9491">
      <w:pPr>
        <w:ind w:firstLine="480"/>
        <w:rPr>
          <w:rFonts w:hint="default" w:ascii="Times New Roman" w:hAnsi="Times New Roman" w:cs="Times New Roman"/>
          <w:color w:val="auto"/>
          <w:highlight w:val="none"/>
        </w:rPr>
      </w:pPr>
      <w:bookmarkStart w:id="112" w:name="_Toc28858_WPSOffice_Level2"/>
      <w:r>
        <w:rPr>
          <w:rFonts w:hint="default" w:ascii="Times New Roman" w:hAnsi="Times New Roman" w:cs="Times New Roman"/>
          <w:color w:val="auto"/>
          <w:highlight w:val="none"/>
        </w:rPr>
        <w:t>本次评价依据的评价技术导则及规范见表2.2-2。</w:t>
      </w:r>
    </w:p>
    <w:p w14:paraId="034D5924">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表2.2-2    评价技术导则及规范一览表</w:t>
      </w:r>
    </w:p>
    <w:tbl>
      <w:tblPr>
        <w:tblStyle w:val="33"/>
        <w:tblW w:w="501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20"/>
        <w:gridCol w:w="5414"/>
        <w:gridCol w:w="2427"/>
      </w:tblGrid>
      <w:tr w14:paraId="7F5CD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311" w:type="pct"/>
            <w:tcBorders>
              <w:tl2br w:val="nil"/>
              <w:tr2bl w:val="nil"/>
            </w:tcBorders>
            <w:noWrap w:val="0"/>
            <w:vAlign w:val="center"/>
          </w:tcPr>
          <w:p w14:paraId="5DAA322B">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3237" w:type="pct"/>
            <w:tcBorders>
              <w:tl2br w:val="nil"/>
              <w:tr2bl w:val="nil"/>
            </w:tcBorders>
            <w:noWrap w:val="0"/>
            <w:vAlign w:val="center"/>
          </w:tcPr>
          <w:p w14:paraId="687C126C">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依据名称</w:t>
            </w:r>
          </w:p>
        </w:tc>
        <w:tc>
          <w:tcPr>
            <w:tcW w:w="1451" w:type="pct"/>
            <w:tcBorders>
              <w:tl2br w:val="nil"/>
              <w:tr2bl w:val="nil"/>
            </w:tcBorders>
            <w:noWrap w:val="0"/>
            <w:vAlign w:val="center"/>
          </w:tcPr>
          <w:p w14:paraId="2FE0AF8B">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标准号</w:t>
            </w:r>
          </w:p>
        </w:tc>
      </w:tr>
      <w:tr w14:paraId="5F813D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34F6760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237" w:type="pct"/>
            <w:tcBorders>
              <w:tl2br w:val="nil"/>
              <w:tr2bl w:val="nil"/>
            </w:tcBorders>
            <w:noWrap w:val="0"/>
            <w:vAlign w:val="center"/>
          </w:tcPr>
          <w:p w14:paraId="4947484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建设项目环境影响评价技术导则 总纲</w:t>
            </w:r>
          </w:p>
        </w:tc>
        <w:tc>
          <w:tcPr>
            <w:tcW w:w="1451" w:type="pct"/>
            <w:tcBorders>
              <w:tl2br w:val="nil"/>
              <w:tr2bl w:val="nil"/>
            </w:tcBorders>
            <w:noWrap w:val="0"/>
            <w:vAlign w:val="center"/>
          </w:tcPr>
          <w:p w14:paraId="5383F6D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HJ2.1-2016</w:t>
            </w:r>
          </w:p>
        </w:tc>
      </w:tr>
      <w:tr w14:paraId="563C44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38" w:hRule="atLeast"/>
          <w:jc w:val="center"/>
        </w:trPr>
        <w:tc>
          <w:tcPr>
            <w:tcW w:w="311" w:type="pct"/>
            <w:tcBorders>
              <w:tl2br w:val="nil"/>
              <w:tr2bl w:val="nil"/>
            </w:tcBorders>
            <w:noWrap w:val="0"/>
            <w:vAlign w:val="center"/>
          </w:tcPr>
          <w:p w14:paraId="51E6AF1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237" w:type="pct"/>
            <w:tcBorders>
              <w:tl2br w:val="nil"/>
              <w:tr2bl w:val="nil"/>
            </w:tcBorders>
            <w:noWrap w:val="0"/>
            <w:vAlign w:val="center"/>
          </w:tcPr>
          <w:p w14:paraId="0651FF9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 大气环境</w:t>
            </w:r>
          </w:p>
        </w:tc>
        <w:tc>
          <w:tcPr>
            <w:tcW w:w="1451" w:type="pct"/>
            <w:tcBorders>
              <w:tl2br w:val="nil"/>
              <w:tr2bl w:val="nil"/>
            </w:tcBorders>
            <w:noWrap w:val="0"/>
            <w:vAlign w:val="center"/>
          </w:tcPr>
          <w:p w14:paraId="4A6B315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HJ2.2-2018</w:t>
            </w:r>
          </w:p>
        </w:tc>
      </w:tr>
      <w:tr w14:paraId="1ECD6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31B46A3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3237" w:type="pct"/>
            <w:tcBorders>
              <w:tl2br w:val="nil"/>
              <w:tr2bl w:val="nil"/>
            </w:tcBorders>
            <w:noWrap w:val="0"/>
            <w:vAlign w:val="center"/>
          </w:tcPr>
          <w:p w14:paraId="3FB5F91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 地表水环境</w:t>
            </w:r>
          </w:p>
        </w:tc>
        <w:tc>
          <w:tcPr>
            <w:tcW w:w="1451" w:type="pct"/>
            <w:tcBorders>
              <w:tl2br w:val="nil"/>
              <w:tr2bl w:val="nil"/>
            </w:tcBorders>
            <w:noWrap w:val="0"/>
            <w:vAlign w:val="center"/>
          </w:tcPr>
          <w:p w14:paraId="1FBA039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HJ2.3-2018</w:t>
            </w:r>
          </w:p>
        </w:tc>
      </w:tr>
      <w:tr w14:paraId="14E2E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45A32A4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3237" w:type="pct"/>
            <w:tcBorders>
              <w:tl2br w:val="nil"/>
              <w:tr2bl w:val="nil"/>
            </w:tcBorders>
            <w:noWrap w:val="0"/>
            <w:vAlign w:val="center"/>
          </w:tcPr>
          <w:p w14:paraId="42E2243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 声环境</w:t>
            </w:r>
          </w:p>
        </w:tc>
        <w:tc>
          <w:tcPr>
            <w:tcW w:w="1451" w:type="pct"/>
            <w:tcBorders>
              <w:tl2br w:val="nil"/>
              <w:tr2bl w:val="nil"/>
            </w:tcBorders>
            <w:noWrap w:val="0"/>
            <w:vAlign w:val="center"/>
          </w:tcPr>
          <w:p w14:paraId="2F5EF8F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HJ2.4-2021</w:t>
            </w:r>
          </w:p>
        </w:tc>
      </w:tr>
      <w:tr w14:paraId="1DDD50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6745C7F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3237" w:type="pct"/>
            <w:tcBorders>
              <w:tl2br w:val="nil"/>
              <w:tr2bl w:val="nil"/>
            </w:tcBorders>
            <w:noWrap w:val="0"/>
            <w:vAlign w:val="center"/>
          </w:tcPr>
          <w:p w14:paraId="2BB2462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 地下水环境</w:t>
            </w:r>
          </w:p>
        </w:tc>
        <w:tc>
          <w:tcPr>
            <w:tcW w:w="1451" w:type="pct"/>
            <w:tcBorders>
              <w:tl2br w:val="nil"/>
              <w:tr2bl w:val="nil"/>
            </w:tcBorders>
            <w:noWrap w:val="0"/>
            <w:vAlign w:val="center"/>
          </w:tcPr>
          <w:p w14:paraId="3FCC1F0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HJ610-2016</w:t>
            </w:r>
          </w:p>
        </w:tc>
      </w:tr>
      <w:tr w14:paraId="27C663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0C362DA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3237" w:type="pct"/>
            <w:tcBorders>
              <w:tl2br w:val="nil"/>
              <w:tr2bl w:val="nil"/>
            </w:tcBorders>
            <w:noWrap w:val="0"/>
            <w:vAlign w:val="center"/>
          </w:tcPr>
          <w:p w14:paraId="6AC9C90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 生态影响</w:t>
            </w:r>
          </w:p>
        </w:tc>
        <w:tc>
          <w:tcPr>
            <w:tcW w:w="1451" w:type="pct"/>
            <w:tcBorders>
              <w:tl2br w:val="nil"/>
              <w:tr2bl w:val="nil"/>
            </w:tcBorders>
            <w:noWrap w:val="0"/>
            <w:vAlign w:val="center"/>
          </w:tcPr>
          <w:p w14:paraId="0A14909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HJ19-2022</w:t>
            </w:r>
          </w:p>
        </w:tc>
      </w:tr>
      <w:tr w14:paraId="4EAF9D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588787A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3237" w:type="pct"/>
            <w:tcBorders>
              <w:tl2br w:val="nil"/>
              <w:tr2bl w:val="nil"/>
            </w:tcBorders>
            <w:noWrap w:val="0"/>
            <w:vAlign w:val="center"/>
          </w:tcPr>
          <w:p w14:paraId="1B38EE55">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环境影响评价技术导则 土壤环境（试行）</w:t>
            </w:r>
          </w:p>
        </w:tc>
        <w:tc>
          <w:tcPr>
            <w:tcW w:w="1451" w:type="pct"/>
            <w:tcBorders>
              <w:tl2br w:val="nil"/>
              <w:tr2bl w:val="nil"/>
            </w:tcBorders>
            <w:noWrap w:val="0"/>
            <w:vAlign w:val="center"/>
          </w:tcPr>
          <w:p w14:paraId="3B3399F6">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HJ964-2018</w:t>
            </w:r>
          </w:p>
        </w:tc>
      </w:tr>
      <w:tr w14:paraId="0818B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40162E6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3237" w:type="pct"/>
            <w:tcBorders>
              <w:tl2br w:val="nil"/>
              <w:tr2bl w:val="nil"/>
            </w:tcBorders>
            <w:noWrap w:val="0"/>
            <w:vAlign w:val="center"/>
          </w:tcPr>
          <w:p w14:paraId="51E1FCD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w:t>
            </w:r>
          </w:p>
        </w:tc>
        <w:tc>
          <w:tcPr>
            <w:tcW w:w="1451" w:type="pct"/>
            <w:tcBorders>
              <w:tl2br w:val="nil"/>
              <w:tr2bl w:val="nil"/>
            </w:tcBorders>
            <w:noWrap w:val="0"/>
            <w:vAlign w:val="center"/>
          </w:tcPr>
          <w:p w14:paraId="06036B4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HJ169-2018</w:t>
            </w:r>
          </w:p>
        </w:tc>
      </w:tr>
      <w:tr w14:paraId="41B8D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498E805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3237" w:type="pct"/>
            <w:tcBorders>
              <w:tl2br w:val="nil"/>
              <w:tr2bl w:val="nil"/>
            </w:tcBorders>
            <w:noWrap w:val="0"/>
            <w:vAlign w:val="center"/>
          </w:tcPr>
          <w:p w14:paraId="3CF02D5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危险化学品重大危险源辨识</w:t>
            </w:r>
          </w:p>
        </w:tc>
        <w:tc>
          <w:tcPr>
            <w:tcW w:w="1451" w:type="pct"/>
            <w:tcBorders>
              <w:tl2br w:val="nil"/>
              <w:tr2bl w:val="nil"/>
            </w:tcBorders>
            <w:noWrap w:val="0"/>
            <w:vAlign w:val="center"/>
          </w:tcPr>
          <w:p w14:paraId="744E35E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GB18218-2018</w:t>
            </w:r>
          </w:p>
        </w:tc>
      </w:tr>
      <w:tr w14:paraId="46914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324B1B04">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3237" w:type="pct"/>
            <w:tcBorders>
              <w:tl2br w:val="nil"/>
              <w:tr2bl w:val="nil"/>
            </w:tcBorders>
            <w:noWrap w:val="0"/>
            <w:vAlign w:val="center"/>
          </w:tcPr>
          <w:p w14:paraId="0908182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水土保持综合治理技术规范</w:t>
            </w:r>
          </w:p>
        </w:tc>
        <w:tc>
          <w:tcPr>
            <w:tcW w:w="1451" w:type="pct"/>
            <w:tcBorders>
              <w:tl2br w:val="nil"/>
              <w:tr2bl w:val="nil"/>
            </w:tcBorders>
            <w:noWrap w:val="0"/>
            <w:vAlign w:val="center"/>
          </w:tcPr>
          <w:p w14:paraId="5E4CB280">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GB16453.1～16453.6-2011</w:t>
            </w:r>
          </w:p>
        </w:tc>
      </w:tr>
      <w:tr w14:paraId="7ABAC0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16254A8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3237" w:type="pct"/>
            <w:tcBorders>
              <w:tl2br w:val="nil"/>
              <w:tr2bl w:val="nil"/>
            </w:tcBorders>
            <w:noWrap w:val="0"/>
            <w:vAlign w:val="center"/>
          </w:tcPr>
          <w:p w14:paraId="4F95AB9B">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排污许可证申请与核发技术规范 总则</w:t>
            </w:r>
          </w:p>
        </w:tc>
        <w:tc>
          <w:tcPr>
            <w:tcW w:w="1451" w:type="pct"/>
            <w:tcBorders>
              <w:tl2br w:val="nil"/>
              <w:tr2bl w:val="nil"/>
            </w:tcBorders>
            <w:noWrap w:val="0"/>
            <w:vAlign w:val="center"/>
          </w:tcPr>
          <w:p w14:paraId="5AC81DE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HJ942-2018</w:t>
            </w:r>
          </w:p>
        </w:tc>
      </w:tr>
      <w:tr w14:paraId="39988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7F96332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3237" w:type="pct"/>
            <w:tcBorders>
              <w:tl2br w:val="nil"/>
              <w:tr2bl w:val="nil"/>
            </w:tcBorders>
            <w:noWrap w:val="0"/>
            <w:vAlign w:val="center"/>
          </w:tcPr>
          <w:p w14:paraId="75BAAC9B">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排污许可证申请与核发技术规范水处理通用工序</w:t>
            </w:r>
          </w:p>
        </w:tc>
        <w:tc>
          <w:tcPr>
            <w:tcW w:w="1451" w:type="pct"/>
            <w:tcBorders>
              <w:tl2br w:val="nil"/>
              <w:tr2bl w:val="nil"/>
            </w:tcBorders>
            <w:noWrap w:val="0"/>
            <w:vAlign w:val="center"/>
          </w:tcPr>
          <w:p w14:paraId="03B5974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HJ1120-2020</w:t>
            </w:r>
          </w:p>
        </w:tc>
      </w:tr>
      <w:tr w14:paraId="5A8DD7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46EC78F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3237" w:type="pct"/>
            <w:tcBorders>
              <w:tl2br w:val="nil"/>
              <w:tr2bl w:val="nil"/>
            </w:tcBorders>
            <w:noWrap w:val="0"/>
            <w:vAlign w:val="center"/>
          </w:tcPr>
          <w:p w14:paraId="1F4AD8D6">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"http://www.mee.gov.cn/ywgz/fgbz/bz/bzwb/jcffbz/202012/W020201203608473632069.pdf"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kern w:val="0"/>
                <w:sz w:val="21"/>
                <w:szCs w:val="21"/>
                <w:highlight w:val="none"/>
              </w:rPr>
              <w:t>地下水环境监测技术规范</w:t>
            </w:r>
            <w:r>
              <w:rPr>
                <w:rFonts w:hint="default" w:ascii="Times New Roman" w:hAnsi="Times New Roman" w:cs="Times New Roman"/>
                <w:color w:val="auto"/>
                <w:kern w:val="0"/>
                <w:sz w:val="21"/>
                <w:szCs w:val="21"/>
                <w:highlight w:val="none"/>
              </w:rPr>
              <w:fldChar w:fldCharType="end"/>
            </w:r>
          </w:p>
        </w:tc>
        <w:tc>
          <w:tcPr>
            <w:tcW w:w="1451" w:type="pct"/>
            <w:tcBorders>
              <w:tl2br w:val="nil"/>
              <w:tr2bl w:val="nil"/>
            </w:tcBorders>
            <w:noWrap w:val="0"/>
            <w:vAlign w:val="center"/>
          </w:tcPr>
          <w:p w14:paraId="2AB6BD9B">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HJ164-2020</w:t>
            </w:r>
          </w:p>
        </w:tc>
      </w:tr>
      <w:tr w14:paraId="024C7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5F6B72E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3237" w:type="pct"/>
            <w:tcBorders>
              <w:tl2br w:val="nil"/>
              <w:tr2bl w:val="nil"/>
            </w:tcBorders>
            <w:noWrap w:val="0"/>
            <w:vAlign w:val="center"/>
          </w:tcPr>
          <w:p w14:paraId="7ECDDF72">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排污单位自行监测技术指南</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总则</w:t>
            </w:r>
          </w:p>
        </w:tc>
        <w:tc>
          <w:tcPr>
            <w:tcW w:w="1451" w:type="pct"/>
            <w:tcBorders>
              <w:tl2br w:val="nil"/>
              <w:tr2bl w:val="nil"/>
            </w:tcBorders>
            <w:noWrap w:val="0"/>
            <w:vAlign w:val="center"/>
          </w:tcPr>
          <w:p w14:paraId="0E5EAF77">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HJ819-2017</w:t>
            </w:r>
          </w:p>
        </w:tc>
      </w:tr>
      <w:tr w14:paraId="6A6F29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60184C6F">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3237" w:type="pct"/>
            <w:tcBorders>
              <w:tl2br w:val="nil"/>
              <w:tr2bl w:val="nil"/>
            </w:tcBorders>
            <w:noWrap w:val="0"/>
            <w:vAlign w:val="center"/>
          </w:tcPr>
          <w:p w14:paraId="6A4B4CC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污染源源强核算技术指南 准则</w:t>
            </w:r>
          </w:p>
        </w:tc>
        <w:tc>
          <w:tcPr>
            <w:tcW w:w="1451" w:type="pct"/>
            <w:tcBorders>
              <w:tl2br w:val="nil"/>
              <w:tr2bl w:val="nil"/>
            </w:tcBorders>
            <w:noWrap w:val="0"/>
            <w:vAlign w:val="center"/>
          </w:tcPr>
          <w:p w14:paraId="262EEF5D">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HJ884-2018</w:t>
            </w:r>
          </w:p>
        </w:tc>
      </w:tr>
      <w:tr w14:paraId="133D12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27343E1C">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3237" w:type="pct"/>
            <w:tcBorders>
              <w:tl2br w:val="nil"/>
              <w:tr2bl w:val="nil"/>
            </w:tcBorders>
            <w:noWrap w:val="0"/>
            <w:vAlign w:val="center"/>
          </w:tcPr>
          <w:p w14:paraId="1B5A59FA">
            <w:pPr>
              <w:pStyle w:val="4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生产建设项目水土保持技术标准</w:t>
            </w:r>
          </w:p>
        </w:tc>
        <w:tc>
          <w:tcPr>
            <w:tcW w:w="1451" w:type="pct"/>
            <w:tcBorders>
              <w:tl2br w:val="nil"/>
              <w:tr2bl w:val="nil"/>
            </w:tcBorders>
            <w:noWrap w:val="0"/>
            <w:vAlign w:val="center"/>
          </w:tcPr>
          <w:p w14:paraId="006EE2B7">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GB50433-2018</w:t>
            </w:r>
          </w:p>
        </w:tc>
      </w:tr>
      <w:tr w14:paraId="2BE651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7FC6462A">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3237" w:type="pct"/>
            <w:tcBorders>
              <w:tl2br w:val="nil"/>
              <w:tr2bl w:val="nil"/>
            </w:tcBorders>
            <w:noWrap w:val="0"/>
            <w:vAlign w:val="center"/>
          </w:tcPr>
          <w:p w14:paraId="5FFFEBAE">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生产建设项目水土流失防治标准</w:t>
            </w:r>
          </w:p>
        </w:tc>
        <w:tc>
          <w:tcPr>
            <w:tcW w:w="1451" w:type="pct"/>
            <w:tcBorders>
              <w:tl2br w:val="nil"/>
              <w:tr2bl w:val="nil"/>
            </w:tcBorders>
            <w:noWrap w:val="0"/>
            <w:vAlign w:val="center"/>
          </w:tcPr>
          <w:p w14:paraId="38655856">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GB/T50434-2018</w:t>
            </w:r>
          </w:p>
        </w:tc>
      </w:tr>
      <w:tr w14:paraId="66072D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11B6DB4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3237" w:type="pct"/>
            <w:tcBorders>
              <w:tl2br w:val="nil"/>
              <w:tr2bl w:val="nil"/>
            </w:tcBorders>
            <w:noWrap w:val="0"/>
            <w:vAlign w:val="center"/>
          </w:tcPr>
          <w:p w14:paraId="00B2ACCC">
            <w:pPr>
              <w:pStyle w:val="49"/>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集中式饮用水水源地规范化建设环境保护技术要求</w:t>
            </w:r>
          </w:p>
        </w:tc>
        <w:tc>
          <w:tcPr>
            <w:tcW w:w="1451" w:type="pct"/>
            <w:tcBorders>
              <w:tl2br w:val="nil"/>
              <w:tr2bl w:val="nil"/>
            </w:tcBorders>
            <w:noWrap w:val="0"/>
            <w:vAlign w:val="center"/>
          </w:tcPr>
          <w:p w14:paraId="66E1EB95">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HJ733-2015</w:t>
            </w:r>
          </w:p>
        </w:tc>
      </w:tr>
      <w:tr w14:paraId="04333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732E011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3237" w:type="pct"/>
            <w:tcBorders>
              <w:tl2br w:val="nil"/>
              <w:tr2bl w:val="nil"/>
            </w:tcBorders>
            <w:noWrap w:val="0"/>
            <w:vAlign w:val="center"/>
          </w:tcPr>
          <w:p w14:paraId="7400A7C3">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水土保持综合治理技术规范</w:t>
            </w:r>
          </w:p>
        </w:tc>
        <w:tc>
          <w:tcPr>
            <w:tcW w:w="1451" w:type="pct"/>
            <w:tcBorders>
              <w:tl2br w:val="nil"/>
              <w:tr2bl w:val="nil"/>
            </w:tcBorders>
            <w:noWrap w:val="0"/>
            <w:vAlign w:val="center"/>
          </w:tcPr>
          <w:p w14:paraId="6DA67C34">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GB/T16453.1~6-2008</w:t>
            </w:r>
          </w:p>
        </w:tc>
      </w:tr>
      <w:tr w14:paraId="2C17C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7D31270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3237" w:type="pct"/>
            <w:tcBorders>
              <w:tl2br w:val="nil"/>
              <w:tr2bl w:val="nil"/>
            </w:tcBorders>
            <w:noWrap w:val="0"/>
            <w:vAlign w:val="center"/>
          </w:tcPr>
          <w:p w14:paraId="445FA8B2">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建设项目危险废物环境影响评价技术指南</w:t>
            </w:r>
          </w:p>
        </w:tc>
        <w:tc>
          <w:tcPr>
            <w:tcW w:w="1451" w:type="pct"/>
            <w:tcBorders>
              <w:tl2br w:val="nil"/>
              <w:tr2bl w:val="nil"/>
            </w:tcBorders>
            <w:noWrap w:val="0"/>
            <w:vAlign w:val="center"/>
          </w:tcPr>
          <w:p w14:paraId="7174A5A0">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公告2017年第43号</w:t>
            </w:r>
          </w:p>
        </w:tc>
      </w:tr>
      <w:tr w14:paraId="5C16E6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1D12F5E1">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3237" w:type="pct"/>
            <w:tcBorders>
              <w:tl2br w:val="nil"/>
              <w:tr2bl w:val="nil"/>
            </w:tcBorders>
            <w:noWrap w:val="0"/>
            <w:vAlign w:val="center"/>
          </w:tcPr>
          <w:p w14:paraId="67A013AC">
            <w:pPr>
              <w:pStyle w:val="49"/>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建设项目竣工环境保护设施验收技术</w:t>
            </w:r>
            <w:r>
              <w:rPr>
                <w:rFonts w:hint="default" w:ascii="Times New Roman" w:hAnsi="Times New Roman" w:cs="Times New Roman"/>
                <w:color w:val="auto"/>
                <w:sz w:val="21"/>
                <w:szCs w:val="21"/>
                <w:highlight w:val="none"/>
                <w:lang w:val="en-US" w:eastAsia="zh-CN"/>
              </w:rPr>
              <w:t>指南</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污染影响类</w:t>
            </w:r>
          </w:p>
        </w:tc>
        <w:tc>
          <w:tcPr>
            <w:tcW w:w="1451" w:type="pct"/>
            <w:tcBorders>
              <w:tl2br w:val="nil"/>
              <w:tr2bl w:val="nil"/>
            </w:tcBorders>
            <w:noWrap w:val="0"/>
            <w:vAlign w:val="center"/>
          </w:tcPr>
          <w:p w14:paraId="5DA7D5A6">
            <w:pPr>
              <w:pStyle w:val="4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7E132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7DDE92D8">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3237" w:type="pct"/>
            <w:tcBorders>
              <w:tl2br w:val="nil"/>
              <w:tr2bl w:val="nil"/>
            </w:tcBorders>
            <w:noWrap w:val="0"/>
            <w:vAlign w:val="center"/>
          </w:tcPr>
          <w:p w14:paraId="6F7F94BE">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排放源统计调查产排污核算方法和系数手册</w:t>
            </w:r>
          </w:p>
        </w:tc>
        <w:tc>
          <w:tcPr>
            <w:tcW w:w="1451" w:type="pct"/>
            <w:tcBorders>
              <w:tl2br w:val="nil"/>
              <w:tr2bl w:val="nil"/>
            </w:tcBorders>
            <w:noWrap w:val="0"/>
            <w:vAlign w:val="center"/>
          </w:tcPr>
          <w:p w14:paraId="29046824">
            <w:pPr>
              <w:pStyle w:val="4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公告2021年第24号</w:t>
            </w:r>
          </w:p>
        </w:tc>
      </w:tr>
      <w:tr w14:paraId="5A4A7A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37C0DA0C">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bookmarkStart w:id="113" w:name="_Toc22333"/>
            <w:bookmarkStart w:id="114" w:name="_Toc799"/>
            <w:bookmarkStart w:id="115" w:name="_Toc9142"/>
            <w:bookmarkStart w:id="116" w:name="_Toc8024"/>
            <w:bookmarkStart w:id="117" w:name="_Toc13405"/>
            <w:bookmarkStart w:id="118" w:name="_Toc14328"/>
            <w:bookmarkStart w:id="119" w:name="_Toc15421_WPSOffice_Level2"/>
            <w:bookmarkStart w:id="120" w:name="_Toc3187"/>
            <w:r>
              <w:rPr>
                <w:rFonts w:hint="default" w:cs="Times New Roman"/>
                <w:color w:val="auto"/>
                <w:sz w:val="21"/>
                <w:szCs w:val="21"/>
                <w:highlight w:val="none"/>
                <w:lang w:val="en-US" w:eastAsia="zh-CN"/>
              </w:rPr>
              <w:t>23</w:t>
            </w:r>
          </w:p>
        </w:tc>
        <w:tc>
          <w:tcPr>
            <w:tcW w:w="5414" w:type="dxa"/>
            <w:tcBorders>
              <w:tl2br w:val="nil"/>
              <w:tr2bl w:val="nil"/>
            </w:tcBorders>
            <w:noWrap w:val="0"/>
            <w:vAlign w:val="center"/>
          </w:tcPr>
          <w:p w14:paraId="135CF841">
            <w:pPr>
              <w:pStyle w:val="135"/>
              <w:bidi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lang w:val="en-US" w:eastAsia="ar-SA"/>
              </w:rPr>
              <w:t>黄金行业清洁生产评价指标体系</w:t>
            </w:r>
          </w:p>
        </w:tc>
        <w:tc>
          <w:tcPr>
            <w:tcW w:w="2427" w:type="dxa"/>
            <w:tcBorders>
              <w:tl2br w:val="nil"/>
              <w:tr2bl w:val="nil"/>
            </w:tcBorders>
            <w:noWrap w:val="0"/>
            <w:vAlign w:val="center"/>
          </w:tcPr>
          <w:p w14:paraId="4F60847C">
            <w:pPr>
              <w:pStyle w:val="135"/>
              <w:bidi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lang w:val="en-US" w:eastAsia="zh-CN"/>
              </w:rPr>
              <w:t>/</w:t>
            </w:r>
          </w:p>
        </w:tc>
      </w:tr>
      <w:tr w14:paraId="7906F2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7F625089">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24</w:t>
            </w:r>
          </w:p>
        </w:tc>
        <w:tc>
          <w:tcPr>
            <w:tcW w:w="5414" w:type="dxa"/>
            <w:tcBorders>
              <w:tl2br w:val="nil"/>
              <w:tr2bl w:val="nil"/>
            </w:tcBorders>
            <w:noWrap w:val="0"/>
            <w:vAlign w:val="center"/>
          </w:tcPr>
          <w:p w14:paraId="170839BF">
            <w:pPr>
              <w:pStyle w:val="135"/>
              <w:bidi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lang w:val="en-US" w:eastAsia="ar-SA"/>
              </w:rPr>
              <w:t>冶金行业绿色</w:t>
            </w:r>
            <w:r>
              <w:rPr>
                <w:rFonts w:hint="default" w:cs="Times New Roman"/>
                <w:color w:val="auto"/>
                <w:highlight w:val="none"/>
                <w:lang w:val="en-US" w:eastAsia="zh-CN"/>
              </w:rPr>
              <w:t>矿山</w:t>
            </w:r>
            <w:r>
              <w:rPr>
                <w:rFonts w:hint="default" w:ascii="Times New Roman" w:hAnsi="Times New Roman" w:cs="Times New Roman"/>
                <w:color w:val="auto"/>
                <w:highlight w:val="none"/>
                <w:lang w:val="en-US" w:eastAsia="ar-SA"/>
              </w:rPr>
              <w:t>建设规范</w:t>
            </w:r>
          </w:p>
        </w:tc>
        <w:tc>
          <w:tcPr>
            <w:tcW w:w="2427" w:type="dxa"/>
            <w:tcBorders>
              <w:tl2br w:val="nil"/>
              <w:tr2bl w:val="nil"/>
            </w:tcBorders>
            <w:noWrap w:val="0"/>
            <w:vAlign w:val="center"/>
          </w:tcPr>
          <w:p w14:paraId="2DEFB4DD">
            <w:pPr>
              <w:pStyle w:val="135"/>
              <w:bidi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lang w:val="en-US" w:eastAsia="ar-SA"/>
              </w:rPr>
              <w:t>DZ/T0319-2018</w:t>
            </w:r>
          </w:p>
        </w:tc>
      </w:tr>
      <w:tr w14:paraId="7EF62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11" w:type="pct"/>
            <w:tcBorders>
              <w:tl2br w:val="nil"/>
              <w:tr2bl w:val="nil"/>
            </w:tcBorders>
            <w:noWrap w:val="0"/>
            <w:vAlign w:val="center"/>
          </w:tcPr>
          <w:p w14:paraId="78EAC2D9">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25</w:t>
            </w:r>
          </w:p>
        </w:tc>
        <w:tc>
          <w:tcPr>
            <w:tcW w:w="5414" w:type="dxa"/>
            <w:tcBorders>
              <w:tl2br w:val="nil"/>
              <w:tr2bl w:val="nil"/>
            </w:tcBorders>
            <w:noWrap w:val="0"/>
            <w:vAlign w:val="center"/>
          </w:tcPr>
          <w:p w14:paraId="09E0BF60">
            <w:pPr>
              <w:pStyle w:val="135"/>
              <w:bidi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排污单位污染物排放口监测点位设置技术规范</w:t>
            </w:r>
          </w:p>
        </w:tc>
        <w:tc>
          <w:tcPr>
            <w:tcW w:w="2427" w:type="dxa"/>
            <w:tcBorders>
              <w:tl2br w:val="nil"/>
              <w:tr2bl w:val="nil"/>
            </w:tcBorders>
            <w:noWrap w:val="0"/>
            <w:vAlign w:val="center"/>
          </w:tcPr>
          <w:p w14:paraId="71F9294D">
            <w:pPr>
              <w:pStyle w:val="135"/>
              <w:bidi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HJ 1405</w:t>
            </w:r>
            <w:r>
              <w:rPr>
                <w:rFonts w:hint="default" w:cs="Times New Roman"/>
                <w:color w:val="auto"/>
                <w:highlight w:val="none"/>
                <w:lang w:val="en-US" w:eastAsia="zh-CN"/>
              </w:rPr>
              <w:t>-</w:t>
            </w:r>
            <w:r>
              <w:rPr>
                <w:rFonts w:hint="default" w:ascii="Times New Roman" w:hAnsi="Times New Roman" w:cs="Times New Roman"/>
                <w:color w:val="auto"/>
                <w:highlight w:val="none"/>
              </w:rPr>
              <w:t>2024</w:t>
            </w:r>
          </w:p>
        </w:tc>
      </w:tr>
      <w:bookmarkEnd w:id="112"/>
    </w:tbl>
    <w:p w14:paraId="5CBD3619">
      <w:pPr>
        <w:pStyle w:val="4"/>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.3 </w:t>
      </w:r>
      <w:bookmarkEnd w:id="113"/>
      <w:bookmarkEnd w:id="114"/>
      <w:bookmarkEnd w:id="115"/>
      <w:bookmarkEnd w:id="116"/>
      <w:bookmarkEnd w:id="117"/>
      <w:bookmarkEnd w:id="118"/>
      <w:r>
        <w:rPr>
          <w:rFonts w:hint="default" w:ascii="Times New Roman" w:hAnsi="Times New Roman" w:cs="Times New Roman"/>
          <w:color w:val="auto"/>
          <w:highlight w:val="none"/>
        </w:rPr>
        <w:t>项目相关资料</w:t>
      </w:r>
      <w:bookmarkEnd w:id="119"/>
      <w:bookmarkEnd w:id="120"/>
    </w:p>
    <w:p w14:paraId="4CD55E07">
      <w:pPr>
        <w:ind w:firstLine="0" w:firstLineChars="0"/>
        <w:jc w:val="center"/>
        <w:rPr>
          <w:rFonts w:hint="default" w:ascii="Times New Roman" w:hAnsi="Times New Roman" w:cs="Times New Roman"/>
          <w:color w:val="auto"/>
          <w:highlight w:val="none"/>
        </w:rPr>
      </w:pPr>
      <w:bookmarkStart w:id="121" w:name="_Toc18946_WPSOffice_Level2"/>
      <w:r>
        <w:rPr>
          <w:rFonts w:hint="default" w:ascii="Times New Roman" w:hAnsi="Times New Roman" w:cs="Times New Roman"/>
          <w:b/>
          <w:color w:val="auto"/>
          <w:kern w:val="0"/>
          <w:szCs w:val="24"/>
          <w:highlight w:val="none"/>
        </w:rPr>
        <w:t>表2.</w:t>
      </w:r>
      <w:r>
        <w:rPr>
          <w:rFonts w:hint="default" w:ascii="Times New Roman" w:hAnsi="Times New Roman" w:cs="Times New Roman"/>
          <w:b/>
          <w:color w:val="auto"/>
          <w:kern w:val="0"/>
          <w:szCs w:val="24"/>
          <w:highlight w:val="none"/>
          <w:lang w:val="en-US" w:eastAsia="zh-CN"/>
        </w:rPr>
        <w:t>2</w:t>
      </w:r>
      <w:r>
        <w:rPr>
          <w:rFonts w:hint="default" w:ascii="Times New Roman" w:hAnsi="Times New Roman" w:cs="Times New Roman"/>
          <w:b/>
          <w:color w:val="auto"/>
          <w:kern w:val="0"/>
          <w:szCs w:val="24"/>
          <w:highlight w:val="none"/>
        </w:rPr>
        <w:t>-3    项目资料汇总表</w:t>
      </w:r>
      <w:bookmarkEnd w:id="121"/>
    </w:p>
    <w:tbl>
      <w:tblPr>
        <w:tblStyle w:val="33"/>
        <w:tblW w:w="503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98"/>
        <w:gridCol w:w="6261"/>
        <w:gridCol w:w="1529"/>
      </w:tblGrid>
      <w:tr w14:paraId="14259E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357" w:type="pct"/>
            <w:noWrap w:val="0"/>
            <w:vAlign w:val="center"/>
          </w:tcPr>
          <w:p w14:paraId="2480419E">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序号</w:t>
            </w:r>
          </w:p>
        </w:tc>
        <w:tc>
          <w:tcPr>
            <w:tcW w:w="3731" w:type="pct"/>
            <w:noWrap w:val="0"/>
            <w:vAlign w:val="center"/>
          </w:tcPr>
          <w:p w14:paraId="6077D7FC">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依据名称</w:t>
            </w:r>
          </w:p>
        </w:tc>
        <w:tc>
          <w:tcPr>
            <w:tcW w:w="911" w:type="pct"/>
            <w:noWrap w:val="0"/>
            <w:vAlign w:val="center"/>
          </w:tcPr>
          <w:p w14:paraId="7D4E8596">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时间</w:t>
            </w:r>
          </w:p>
        </w:tc>
      </w:tr>
      <w:tr w14:paraId="66ED5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57" w:type="pct"/>
            <w:noWrap w:val="0"/>
            <w:vAlign w:val="center"/>
          </w:tcPr>
          <w:p w14:paraId="22740C4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c>
          <w:tcPr>
            <w:tcW w:w="3731" w:type="pct"/>
            <w:noWrap w:val="0"/>
            <w:vAlign w:val="center"/>
          </w:tcPr>
          <w:p w14:paraId="37AAC08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环境影响报告书编制委托书</w:t>
            </w:r>
          </w:p>
        </w:tc>
        <w:tc>
          <w:tcPr>
            <w:tcW w:w="911" w:type="pct"/>
            <w:noWrap w:val="0"/>
            <w:vAlign w:val="center"/>
          </w:tcPr>
          <w:p w14:paraId="3AF03B3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202</w:t>
            </w:r>
            <w:r>
              <w:rPr>
                <w:rFonts w:hint="default" w:ascii="Times New Roman" w:hAnsi="Times New Roman" w:cs="Times New Roman"/>
                <w:color w:val="auto"/>
                <w:sz w:val="21"/>
                <w:highlight w:val="none"/>
                <w:lang w:val="en-US" w:eastAsia="zh-CN"/>
              </w:rPr>
              <w:t>4</w:t>
            </w:r>
            <w:r>
              <w:rPr>
                <w:rFonts w:hint="default" w:ascii="Times New Roman" w:hAnsi="Times New Roman" w:cs="Times New Roman"/>
                <w:color w:val="auto"/>
                <w:sz w:val="21"/>
                <w:highlight w:val="none"/>
              </w:rPr>
              <w:t>-0</w:t>
            </w:r>
            <w:r>
              <w:rPr>
                <w:rFonts w:hint="default" w:ascii="Times New Roman" w:hAnsi="Times New Roman" w:cs="Times New Roman"/>
                <w:color w:val="auto"/>
                <w:sz w:val="21"/>
                <w:highlight w:val="none"/>
                <w:lang w:val="en-US" w:eastAsia="zh-CN"/>
              </w:rPr>
              <w:t>7</w:t>
            </w:r>
          </w:p>
        </w:tc>
      </w:tr>
      <w:tr w14:paraId="0FEBF5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57" w:type="pct"/>
            <w:noWrap w:val="0"/>
            <w:vAlign w:val="center"/>
          </w:tcPr>
          <w:p w14:paraId="5D12E73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w:t>
            </w:r>
          </w:p>
        </w:tc>
        <w:tc>
          <w:tcPr>
            <w:tcW w:w="3731" w:type="pct"/>
            <w:noWrap w:val="0"/>
            <w:vAlign w:val="center"/>
          </w:tcPr>
          <w:p w14:paraId="60A27C9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新疆富蕴县阿克塔斯矿区金矿详查报告</w:t>
            </w:r>
          </w:p>
        </w:tc>
        <w:tc>
          <w:tcPr>
            <w:tcW w:w="911" w:type="pct"/>
            <w:noWrap w:val="0"/>
            <w:vAlign w:val="center"/>
          </w:tcPr>
          <w:p w14:paraId="391F49F0">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cs="Times New Roman"/>
                <w:color w:val="auto"/>
                <w:sz w:val="21"/>
                <w:highlight w:val="none"/>
                <w:lang w:val="en-US"/>
              </w:rPr>
            </w:pPr>
            <w:r>
              <w:rPr>
                <w:rFonts w:hint="default" w:ascii="Times New Roman" w:hAnsi="Times New Roman" w:cs="Times New Roman"/>
                <w:color w:val="auto"/>
                <w:sz w:val="21"/>
                <w:highlight w:val="none"/>
              </w:rPr>
              <w:t>20</w:t>
            </w:r>
            <w:r>
              <w:rPr>
                <w:rFonts w:hint="default" w:ascii="Times New Roman" w:hAnsi="Times New Roman" w:cs="Times New Roman"/>
                <w:color w:val="auto"/>
                <w:sz w:val="21"/>
                <w:highlight w:val="none"/>
                <w:lang w:val="en-US" w:eastAsia="zh-CN"/>
              </w:rPr>
              <w:t>25-04</w:t>
            </w:r>
          </w:p>
        </w:tc>
      </w:tr>
      <w:tr w14:paraId="536252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57" w:type="pct"/>
            <w:noWrap w:val="0"/>
            <w:vAlign w:val="center"/>
          </w:tcPr>
          <w:p w14:paraId="6979420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w:t>
            </w:r>
          </w:p>
        </w:tc>
        <w:tc>
          <w:tcPr>
            <w:tcW w:w="3731" w:type="pct"/>
            <w:noWrap w:val="0"/>
            <w:vAlign w:val="center"/>
          </w:tcPr>
          <w:p w14:paraId="146BF29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新疆富蕴县阿克塔斯金矿采选建设项目可行性研究报告</w:t>
            </w:r>
          </w:p>
        </w:tc>
        <w:tc>
          <w:tcPr>
            <w:tcW w:w="911" w:type="pct"/>
            <w:noWrap w:val="0"/>
            <w:vAlign w:val="center"/>
          </w:tcPr>
          <w:p w14:paraId="7547674E">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2025-11</w:t>
            </w:r>
          </w:p>
        </w:tc>
      </w:tr>
      <w:tr w14:paraId="1EBB11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57" w:type="pct"/>
            <w:noWrap w:val="0"/>
            <w:vAlign w:val="center"/>
          </w:tcPr>
          <w:p w14:paraId="6E9601C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w:t>
            </w:r>
          </w:p>
        </w:tc>
        <w:tc>
          <w:tcPr>
            <w:tcW w:w="3731" w:type="pct"/>
            <w:noWrap w:val="0"/>
            <w:vAlign w:val="center"/>
          </w:tcPr>
          <w:p w14:paraId="368F09DD">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新疆富蕴县阿克塔斯矿区金矿矿产开发利用与生态修复保护方案</w:t>
            </w:r>
          </w:p>
        </w:tc>
        <w:tc>
          <w:tcPr>
            <w:tcW w:w="911" w:type="pct"/>
            <w:noWrap w:val="0"/>
            <w:vAlign w:val="center"/>
          </w:tcPr>
          <w:p w14:paraId="3C3BE931">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2025-0</w:t>
            </w:r>
            <w:r>
              <w:rPr>
                <w:rFonts w:hint="default" w:ascii="Times New Roman" w:hAnsi="Times New Roman" w:cs="Times New Roman"/>
                <w:color w:val="auto"/>
                <w:kern w:val="2"/>
                <w:sz w:val="21"/>
                <w:szCs w:val="21"/>
                <w:highlight w:val="none"/>
                <w:lang w:val="en-US" w:eastAsia="zh-CN" w:bidi="ar-SA"/>
              </w:rPr>
              <w:t>9</w:t>
            </w:r>
          </w:p>
        </w:tc>
      </w:tr>
      <w:tr w14:paraId="61EC2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57" w:type="pct"/>
            <w:noWrap w:val="0"/>
            <w:vAlign w:val="center"/>
          </w:tcPr>
          <w:p w14:paraId="3D17557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w:t>
            </w:r>
          </w:p>
        </w:tc>
        <w:tc>
          <w:tcPr>
            <w:tcW w:w="3731" w:type="pct"/>
            <w:noWrap w:val="0"/>
            <w:vAlign w:val="center"/>
          </w:tcPr>
          <w:p w14:paraId="43769098">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《新疆富蕴县阿克塔斯矿区金矿矿产开发利用与生态修复保护方案评审意见书》</w:t>
            </w:r>
            <w:r>
              <w:rPr>
                <w:rFonts w:hint="default" w:ascii="Times New Roman" w:hAnsi="Times New Roman" w:cs="Times New Roman"/>
                <w:color w:val="auto"/>
                <w:kern w:val="2"/>
                <w:sz w:val="21"/>
                <w:szCs w:val="21"/>
                <w:highlight w:val="none"/>
                <w:lang w:val="en-US" w:eastAsia="zh-CN" w:bidi="ar-SA"/>
              </w:rPr>
              <w:t>（新矿三案评字﹝2025﹞105号</w:t>
            </w:r>
            <w:r>
              <w:rPr>
                <w:rFonts w:hint="default" w:ascii="Times New Roman" w:hAnsi="Times New Roman" w:eastAsia="宋体" w:cs="Times New Roman"/>
                <w:color w:val="auto"/>
                <w:kern w:val="2"/>
                <w:sz w:val="21"/>
                <w:szCs w:val="21"/>
                <w:highlight w:val="none"/>
                <w:lang w:val="en-US" w:eastAsia="zh-CN" w:bidi="ar-SA"/>
              </w:rPr>
              <w:t>）</w:t>
            </w:r>
          </w:p>
        </w:tc>
        <w:tc>
          <w:tcPr>
            <w:tcW w:w="911" w:type="pct"/>
            <w:noWrap w:val="0"/>
            <w:vAlign w:val="center"/>
          </w:tcPr>
          <w:p w14:paraId="1EC0C7C0">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w:t>
            </w:r>
          </w:p>
        </w:tc>
      </w:tr>
      <w:tr w14:paraId="602330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57" w:type="pct"/>
            <w:noWrap w:val="0"/>
            <w:vAlign w:val="center"/>
          </w:tcPr>
          <w:p w14:paraId="00A8E005">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bookmarkStart w:id="122" w:name="_Toc24102"/>
            <w:bookmarkStart w:id="123" w:name="_Toc107413879"/>
            <w:bookmarkStart w:id="124" w:name="_Toc13789"/>
            <w:bookmarkStart w:id="125" w:name="_Toc107414646"/>
            <w:bookmarkStart w:id="126" w:name="_Toc20392"/>
            <w:bookmarkStart w:id="127" w:name="_Toc10746"/>
            <w:r>
              <w:rPr>
                <w:rFonts w:hint="default" w:ascii="Times New Roman" w:hAnsi="Times New Roman" w:cs="Times New Roman"/>
                <w:color w:val="auto"/>
                <w:sz w:val="21"/>
                <w:highlight w:val="none"/>
                <w:lang w:val="en-US" w:eastAsia="zh-CN"/>
              </w:rPr>
              <w:t>6</w:t>
            </w:r>
          </w:p>
        </w:tc>
        <w:tc>
          <w:tcPr>
            <w:tcW w:w="3731" w:type="pct"/>
            <w:noWrap w:val="0"/>
            <w:vAlign w:val="center"/>
          </w:tcPr>
          <w:p w14:paraId="0A6D381C">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项目相关的其他资料</w:t>
            </w:r>
          </w:p>
        </w:tc>
        <w:tc>
          <w:tcPr>
            <w:tcW w:w="911" w:type="pct"/>
            <w:noWrap w:val="0"/>
            <w:vAlign w:val="center"/>
          </w:tcPr>
          <w:p w14:paraId="3030C0B5">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651811A4">
      <w:pPr>
        <w:pStyle w:val="3"/>
        <w:spacing w:line="560" w:lineRule="atLeast"/>
        <w:rPr>
          <w:rFonts w:hint="default" w:ascii="Times New Roman" w:hAnsi="Times New Roman" w:cs="Times New Roman"/>
          <w:color w:val="auto"/>
          <w:highlight w:val="none"/>
        </w:rPr>
      </w:pPr>
      <w:bookmarkStart w:id="128" w:name="_Toc17971"/>
      <w:r>
        <w:rPr>
          <w:rFonts w:hint="default" w:ascii="Times New Roman" w:hAnsi="Times New Roman" w:cs="Times New Roman"/>
          <w:color w:val="auto"/>
          <w:highlight w:val="none"/>
        </w:rPr>
        <w:t>2.3环境影响评价时段</w:t>
      </w:r>
      <w:bookmarkEnd w:id="122"/>
      <w:bookmarkEnd w:id="123"/>
      <w:bookmarkEnd w:id="124"/>
      <w:bookmarkEnd w:id="125"/>
      <w:bookmarkEnd w:id="126"/>
      <w:bookmarkEnd w:id="127"/>
      <w:bookmarkEnd w:id="128"/>
    </w:p>
    <w:p w14:paraId="680F65E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本项目分为三个评价时段：</w:t>
      </w:r>
    </w:p>
    <w:p w14:paraId="4956AD3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w:t>
      </w:r>
    </w:p>
    <w:p w14:paraId="1FCC0BE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（2）运营期；</w:t>
      </w:r>
    </w:p>
    <w:p w14:paraId="5E1B628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（3）退役期。</w:t>
      </w:r>
    </w:p>
    <w:p w14:paraId="1ABE2CE9">
      <w:pPr>
        <w:pStyle w:val="3"/>
        <w:spacing w:line="560" w:lineRule="atLeast"/>
        <w:rPr>
          <w:rFonts w:hint="default" w:ascii="Times New Roman" w:hAnsi="Times New Roman" w:cs="Times New Roman"/>
          <w:color w:val="auto"/>
          <w:highlight w:val="none"/>
        </w:rPr>
      </w:pPr>
      <w:bookmarkStart w:id="129" w:name="_Toc703"/>
      <w:bookmarkStart w:id="130" w:name="_Toc21200"/>
      <w:bookmarkStart w:id="131" w:name="_Toc27166"/>
      <w:bookmarkStart w:id="132" w:name="_Toc13881"/>
      <w:bookmarkStart w:id="133" w:name="_Toc17568"/>
      <w:bookmarkStart w:id="134" w:name="_Toc107414647"/>
      <w:bookmarkStart w:id="135" w:name="_Toc107413880"/>
      <w:r>
        <w:rPr>
          <w:rFonts w:hint="default" w:ascii="Times New Roman" w:hAnsi="Times New Roman" w:cs="Times New Roman"/>
          <w:color w:val="auto"/>
          <w:highlight w:val="none"/>
        </w:rPr>
        <w:t>2.4评价因子识别及筛选</w:t>
      </w:r>
      <w:bookmarkEnd w:id="129"/>
      <w:bookmarkEnd w:id="130"/>
      <w:bookmarkEnd w:id="131"/>
      <w:bookmarkEnd w:id="132"/>
      <w:bookmarkEnd w:id="133"/>
      <w:bookmarkEnd w:id="134"/>
      <w:bookmarkEnd w:id="135"/>
    </w:p>
    <w:p w14:paraId="58F5F910">
      <w:pPr>
        <w:pStyle w:val="4"/>
        <w:rPr>
          <w:rFonts w:hint="default" w:ascii="Times New Roman" w:hAnsi="Times New Roman" w:cs="Times New Roman"/>
          <w:color w:val="auto"/>
          <w:highlight w:val="none"/>
        </w:rPr>
      </w:pPr>
      <w:bookmarkStart w:id="136" w:name="_Toc8082"/>
      <w:bookmarkStart w:id="137" w:name="_Toc16194"/>
      <w:bookmarkStart w:id="138" w:name="_Toc8897"/>
      <w:bookmarkStart w:id="139" w:name="_Toc21190"/>
      <w:bookmarkStart w:id="140" w:name="_Toc1207"/>
      <w:bookmarkStart w:id="141" w:name="_Toc31514"/>
      <w:bookmarkStart w:id="142" w:name="_Toc13960"/>
      <w:bookmarkStart w:id="143" w:name="_Toc5447"/>
      <w:bookmarkStart w:id="144" w:name="_Toc27907"/>
      <w:r>
        <w:rPr>
          <w:rFonts w:hint="default" w:ascii="Times New Roman" w:hAnsi="Times New Roman" w:cs="Times New Roman"/>
          <w:color w:val="auto"/>
          <w:highlight w:val="none"/>
        </w:rPr>
        <w:t>2.4.1环境影响因素识别</w:t>
      </w:r>
      <w:bookmarkEnd w:id="136"/>
      <w:bookmarkEnd w:id="137"/>
      <w:bookmarkEnd w:id="138"/>
      <w:bookmarkEnd w:id="139"/>
      <w:bookmarkEnd w:id="140"/>
      <w:bookmarkEnd w:id="141"/>
      <w:bookmarkEnd w:id="142"/>
      <w:bookmarkEnd w:id="143"/>
      <w:bookmarkEnd w:id="144"/>
    </w:p>
    <w:p w14:paraId="360FE97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本项目为选矿工程，</w:t>
      </w:r>
      <w:r>
        <w:rPr>
          <w:rFonts w:hint="default" w:ascii="Times New Roman" w:hAnsi="Times New Roman" w:cs="Times New Roman"/>
          <w:color w:val="auto"/>
          <w:highlight w:val="none"/>
        </w:rPr>
        <w:t>行政区划隶属</w:t>
      </w:r>
      <w:r>
        <w:rPr>
          <w:rFonts w:hint="default" w:ascii="Times New Roman" w:hAnsi="Times New Roman" w:cs="Times New Roman"/>
          <w:color w:val="auto"/>
          <w:highlight w:val="none"/>
          <w:lang w:val="en-US" w:eastAsia="zh-CN"/>
        </w:rPr>
        <w:t>富蕴县</w:t>
      </w:r>
      <w:r>
        <w:rPr>
          <w:rFonts w:hint="default" w:ascii="Times New Roman" w:hAnsi="Times New Roman" w:cs="Times New Roman"/>
          <w:color w:val="auto"/>
          <w:highlight w:val="none"/>
        </w:rPr>
        <w:t>管辖。</w:t>
      </w:r>
      <w:r>
        <w:rPr>
          <w:rFonts w:hint="default" w:ascii="Times New Roman" w:hAnsi="Times New Roman" w:cs="Times New Roman"/>
          <w:color w:val="auto"/>
          <w:kern w:val="0"/>
          <w:highlight w:val="none"/>
        </w:rPr>
        <w:t>经过对本项目生产工艺和污染物排放特征分析及对周围环境状况的调查，采用矩阵法对可能受本项目影响的环境要素进行识别筛选</w:t>
      </w:r>
      <w:r>
        <w:rPr>
          <w:rFonts w:hint="default" w:ascii="Times New Roman" w:hAnsi="Times New Roman" w:cs="Times New Roman"/>
          <w:color w:val="auto"/>
          <w:highlight w:val="none"/>
        </w:rPr>
        <w:t>，项目环境影响因素识别见表2.4-1。</w:t>
      </w:r>
    </w:p>
    <w:p w14:paraId="4AEF2722">
      <w:pPr>
        <w:pStyle w:val="47"/>
        <w:rPr>
          <w:rFonts w:hint="default" w:ascii="Times New Roman" w:hAnsi="Times New Roman" w:cs="Times New Roman"/>
          <w:color w:val="auto"/>
          <w:highlight w:val="none"/>
        </w:rPr>
      </w:pPr>
      <w:r>
        <w:rPr>
          <w:rFonts w:hint="default" w:ascii="Times New Roman" w:hAnsi="Times New Roman" w:cs="Times New Roman"/>
          <w:color w:val="auto"/>
          <w:highlight w:val="none"/>
        </w:rPr>
        <w:t>表2.4-1    主要环境影响因素识别表</w:t>
      </w:r>
    </w:p>
    <w:tbl>
      <w:tblPr>
        <w:tblStyle w:val="33"/>
        <w:tblW w:w="9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40"/>
        <w:gridCol w:w="810"/>
        <w:gridCol w:w="660"/>
        <w:gridCol w:w="690"/>
        <w:gridCol w:w="600"/>
        <w:gridCol w:w="735"/>
        <w:gridCol w:w="1125"/>
        <w:gridCol w:w="705"/>
        <w:gridCol w:w="675"/>
        <w:gridCol w:w="705"/>
        <w:gridCol w:w="664"/>
      </w:tblGrid>
      <w:tr w14:paraId="32213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65" w:type="dxa"/>
            <w:vMerge w:val="restart"/>
            <w:tcBorders>
              <w:tl2br w:val="nil"/>
              <w:tr2bl w:val="nil"/>
            </w:tcBorders>
            <w:vAlign w:val="center"/>
          </w:tcPr>
          <w:p w14:paraId="72E6A043">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评价时段</w:t>
            </w:r>
          </w:p>
        </w:tc>
        <w:tc>
          <w:tcPr>
            <w:tcW w:w="1140" w:type="dxa"/>
            <w:vMerge w:val="restart"/>
            <w:tcBorders>
              <w:tl2br w:val="nil"/>
              <w:tr2bl w:val="nil"/>
            </w:tcBorders>
            <w:vAlign w:val="center"/>
          </w:tcPr>
          <w:p w14:paraId="7ECFE35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污染因素</w:t>
            </w:r>
          </w:p>
        </w:tc>
        <w:tc>
          <w:tcPr>
            <w:tcW w:w="7369" w:type="dxa"/>
            <w:gridSpan w:val="10"/>
            <w:tcBorders>
              <w:tl2br w:val="nil"/>
              <w:tr2bl w:val="nil"/>
            </w:tcBorders>
            <w:vAlign w:val="center"/>
          </w:tcPr>
          <w:p w14:paraId="339C553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r>
      <w:tr w14:paraId="79FA5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65" w:type="dxa"/>
            <w:vMerge w:val="continue"/>
            <w:tcBorders>
              <w:tl2br w:val="nil"/>
              <w:tr2bl w:val="nil"/>
            </w:tcBorders>
            <w:vAlign w:val="center"/>
          </w:tcPr>
          <w:p w14:paraId="6C70D578">
            <w:pPr>
              <w:spacing w:line="360" w:lineRule="exact"/>
              <w:ind w:firstLine="0" w:firstLineChars="0"/>
              <w:jc w:val="center"/>
              <w:rPr>
                <w:rFonts w:hint="default" w:ascii="Times New Roman" w:hAnsi="Times New Roman" w:cs="Times New Roman"/>
                <w:b/>
                <w:bCs/>
                <w:color w:val="auto"/>
                <w:sz w:val="21"/>
                <w:szCs w:val="21"/>
                <w:highlight w:val="none"/>
              </w:rPr>
            </w:pPr>
          </w:p>
        </w:tc>
        <w:tc>
          <w:tcPr>
            <w:tcW w:w="1140" w:type="dxa"/>
            <w:vMerge w:val="continue"/>
            <w:tcBorders>
              <w:tl2br w:val="nil"/>
              <w:tr2bl w:val="nil"/>
            </w:tcBorders>
            <w:vAlign w:val="center"/>
          </w:tcPr>
          <w:p w14:paraId="08CAF7F0">
            <w:pPr>
              <w:spacing w:line="360" w:lineRule="exact"/>
              <w:ind w:firstLine="0" w:firstLineChars="0"/>
              <w:jc w:val="center"/>
              <w:rPr>
                <w:rFonts w:hint="default" w:ascii="Times New Roman" w:hAnsi="Times New Roman" w:cs="Times New Roman"/>
                <w:b/>
                <w:bCs/>
                <w:color w:val="auto"/>
                <w:sz w:val="21"/>
                <w:szCs w:val="21"/>
                <w:highlight w:val="none"/>
              </w:rPr>
            </w:pPr>
          </w:p>
        </w:tc>
        <w:tc>
          <w:tcPr>
            <w:tcW w:w="810" w:type="dxa"/>
            <w:vMerge w:val="restart"/>
            <w:tcBorders>
              <w:tl2br w:val="nil"/>
              <w:tr2bl w:val="nil"/>
            </w:tcBorders>
            <w:vAlign w:val="center"/>
          </w:tcPr>
          <w:p w14:paraId="2333FF9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环境空气</w:t>
            </w:r>
          </w:p>
        </w:tc>
        <w:tc>
          <w:tcPr>
            <w:tcW w:w="660" w:type="dxa"/>
            <w:vMerge w:val="restart"/>
            <w:tcBorders>
              <w:tl2br w:val="nil"/>
              <w:tr2bl w:val="nil"/>
            </w:tcBorders>
            <w:vAlign w:val="center"/>
          </w:tcPr>
          <w:p w14:paraId="2E8E5BE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地表水</w:t>
            </w:r>
          </w:p>
        </w:tc>
        <w:tc>
          <w:tcPr>
            <w:tcW w:w="690" w:type="dxa"/>
            <w:vMerge w:val="restart"/>
            <w:tcBorders>
              <w:tl2br w:val="nil"/>
              <w:tr2bl w:val="nil"/>
            </w:tcBorders>
            <w:vAlign w:val="center"/>
          </w:tcPr>
          <w:p w14:paraId="277CC57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地下水</w:t>
            </w:r>
          </w:p>
        </w:tc>
        <w:tc>
          <w:tcPr>
            <w:tcW w:w="600" w:type="dxa"/>
            <w:vMerge w:val="restart"/>
            <w:tcBorders>
              <w:tl2br w:val="nil"/>
              <w:tr2bl w:val="nil"/>
            </w:tcBorders>
            <w:vAlign w:val="center"/>
          </w:tcPr>
          <w:p w14:paraId="41A1042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声环境</w:t>
            </w:r>
          </w:p>
        </w:tc>
        <w:tc>
          <w:tcPr>
            <w:tcW w:w="3945" w:type="dxa"/>
            <w:gridSpan w:val="5"/>
            <w:tcBorders>
              <w:tl2br w:val="nil"/>
              <w:tr2bl w:val="nil"/>
            </w:tcBorders>
            <w:vAlign w:val="center"/>
          </w:tcPr>
          <w:p w14:paraId="28F3094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w:t>
            </w:r>
          </w:p>
        </w:tc>
        <w:tc>
          <w:tcPr>
            <w:tcW w:w="664" w:type="dxa"/>
            <w:vMerge w:val="restart"/>
            <w:tcBorders>
              <w:tl2br w:val="nil"/>
              <w:tr2bl w:val="nil"/>
            </w:tcBorders>
            <w:vAlign w:val="center"/>
          </w:tcPr>
          <w:p w14:paraId="6AA144E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环境风险</w:t>
            </w:r>
          </w:p>
        </w:tc>
      </w:tr>
      <w:tr w14:paraId="539ED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65" w:type="dxa"/>
            <w:vMerge w:val="continue"/>
            <w:tcBorders>
              <w:tl2br w:val="nil"/>
              <w:tr2bl w:val="nil"/>
            </w:tcBorders>
            <w:vAlign w:val="center"/>
          </w:tcPr>
          <w:p w14:paraId="57480A77">
            <w:pPr>
              <w:spacing w:line="360" w:lineRule="exact"/>
              <w:ind w:firstLine="0" w:firstLineChars="0"/>
              <w:jc w:val="center"/>
              <w:rPr>
                <w:rFonts w:hint="default" w:ascii="Times New Roman" w:hAnsi="Times New Roman" w:cs="Times New Roman"/>
                <w:color w:val="auto"/>
                <w:sz w:val="21"/>
                <w:szCs w:val="21"/>
                <w:highlight w:val="none"/>
              </w:rPr>
            </w:pPr>
          </w:p>
        </w:tc>
        <w:tc>
          <w:tcPr>
            <w:tcW w:w="1140" w:type="dxa"/>
            <w:vMerge w:val="continue"/>
            <w:tcBorders>
              <w:tl2br w:val="nil"/>
              <w:tr2bl w:val="nil"/>
            </w:tcBorders>
            <w:vAlign w:val="center"/>
          </w:tcPr>
          <w:p w14:paraId="49290C8E">
            <w:pPr>
              <w:spacing w:line="360" w:lineRule="exact"/>
              <w:ind w:firstLine="0" w:firstLineChars="0"/>
              <w:jc w:val="center"/>
              <w:rPr>
                <w:rFonts w:hint="default" w:ascii="Times New Roman" w:hAnsi="Times New Roman" w:cs="Times New Roman"/>
                <w:color w:val="auto"/>
                <w:sz w:val="21"/>
                <w:szCs w:val="21"/>
                <w:highlight w:val="none"/>
              </w:rPr>
            </w:pPr>
          </w:p>
        </w:tc>
        <w:tc>
          <w:tcPr>
            <w:tcW w:w="810" w:type="dxa"/>
            <w:vMerge w:val="continue"/>
            <w:tcBorders>
              <w:tl2br w:val="nil"/>
              <w:tr2bl w:val="nil"/>
            </w:tcBorders>
            <w:vAlign w:val="center"/>
          </w:tcPr>
          <w:p w14:paraId="6221C74B">
            <w:pPr>
              <w:spacing w:line="360" w:lineRule="exact"/>
              <w:ind w:firstLine="0" w:firstLineChars="0"/>
              <w:jc w:val="center"/>
              <w:rPr>
                <w:rFonts w:hint="default" w:ascii="Times New Roman" w:hAnsi="Times New Roman" w:cs="Times New Roman"/>
                <w:color w:val="auto"/>
                <w:sz w:val="21"/>
                <w:szCs w:val="21"/>
                <w:highlight w:val="none"/>
              </w:rPr>
            </w:pPr>
          </w:p>
        </w:tc>
        <w:tc>
          <w:tcPr>
            <w:tcW w:w="660" w:type="dxa"/>
            <w:vMerge w:val="continue"/>
            <w:tcBorders>
              <w:tl2br w:val="nil"/>
              <w:tr2bl w:val="nil"/>
            </w:tcBorders>
            <w:vAlign w:val="center"/>
          </w:tcPr>
          <w:p w14:paraId="4488ACF7">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vMerge w:val="continue"/>
            <w:tcBorders>
              <w:tl2br w:val="nil"/>
              <w:tr2bl w:val="nil"/>
            </w:tcBorders>
            <w:vAlign w:val="center"/>
          </w:tcPr>
          <w:p w14:paraId="51480E98">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vMerge w:val="continue"/>
            <w:tcBorders>
              <w:tl2br w:val="nil"/>
              <w:tr2bl w:val="nil"/>
            </w:tcBorders>
            <w:vAlign w:val="center"/>
          </w:tcPr>
          <w:p w14:paraId="43B462AB">
            <w:pPr>
              <w:spacing w:line="360" w:lineRule="exact"/>
              <w:ind w:firstLine="0" w:firstLineChars="0"/>
              <w:jc w:val="center"/>
              <w:rPr>
                <w:rFonts w:hint="default" w:ascii="Times New Roman" w:hAnsi="Times New Roman" w:cs="Times New Roman"/>
                <w:color w:val="auto"/>
                <w:sz w:val="21"/>
                <w:szCs w:val="21"/>
                <w:highlight w:val="none"/>
              </w:rPr>
            </w:pPr>
          </w:p>
        </w:tc>
        <w:tc>
          <w:tcPr>
            <w:tcW w:w="735" w:type="dxa"/>
            <w:tcBorders>
              <w:tl2br w:val="nil"/>
              <w:tr2bl w:val="nil"/>
            </w:tcBorders>
            <w:vAlign w:val="center"/>
          </w:tcPr>
          <w:p w14:paraId="31068D9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植被</w:t>
            </w:r>
          </w:p>
        </w:tc>
        <w:tc>
          <w:tcPr>
            <w:tcW w:w="1125" w:type="dxa"/>
            <w:tcBorders>
              <w:tl2br w:val="nil"/>
              <w:tr2bl w:val="nil"/>
            </w:tcBorders>
            <w:vAlign w:val="center"/>
          </w:tcPr>
          <w:p w14:paraId="01110A7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土壤或土地利用</w:t>
            </w:r>
          </w:p>
        </w:tc>
        <w:tc>
          <w:tcPr>
            <w:tcW w:w="705" w:type="dxa"/>
            <w:tcBorders>
              <w:tl2br w:val="nil"/>
              <w:tr2bl w:val="nil"/>
            </w:tcBorders>
            <w:vAlign w:val="center"/>
          </w:tcPr>
          <w:p w14:paraId="11C373B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水土流失</w:t>
            </w:r>
          </w:p>
        </w:tc>
        <w:tc>
          <w:tcPr>
            <w:tcW w:w="675" w:type="dxa"/>
            <w:tcBorders>
              <w:tl2br w:val="nil"/>
              <w:tr2bl w:val="nil"/>
            </w:tcBorders>
            <w:vAlign w:val="center"/>
          </w:tcPr>
          <w:p w14:paraId="69F65F6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自然景观</w:t>
            </w:r>
          </w:p>
        </w:tc>
        <w:tc>
          <w:tcPr>
            <w:tcW w:w="705" w:type="dxa"/>
            <w:tcBorders>
              <w:tl2br w:val="nil"/>
              <w:tr2bl w:val="nil"/>
            </w:tcBorders>
            <w:vAlign w:val="center"/>
          </w:tcPr>
          <w:p w14:paraId="500896F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野生生物</w:t>
            </w:r>
          </w:p>
        </w:tc>
        <w:tc>
          <w:tcPr>
            <w:tcW w:w="664" w:type="dxa"/>
            <w:vMerge w:val="continue"/>
            <w:tcBorders>
              <w:tl2br w:val="nil"/>
              <w:tr2bl w:val="nil"/>
            </w:tcBorders>
            <w:vAlign w:val="center"/>
          </w:tcPr>
          <w:p w14:paraId="1CC4D067">
            <w:pPr>
              <w:spacing w:line="360" w:lineRule="exact"/>
              <w:ind w:firstLine="0" w:firstLineChars="0"/>
              <w:jc w:val="center"/>
              <w:rPr>
                <w:rFonts w:hint="default" w:ascii="Times New Roman" w:hAnsi="Times New Roman" w:cs="Times New Roman"/>
                <w:b/>
                <w:bCs/>
                <w:color w:val="auto"/>
                <w:sz w:val="21"/>
                <w:szCs w:val="21"/>
                <w:highlight w:val="none"/>
              </w:rPr>
            </w:pPr>
          </w:p>
        </w:tc>
      </w:tr>
      <w:tr w14:paraId="16D8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665" w:type="dxa"/>
            <w:vMerge w:val="restart"/>
            <w:tcBorders>
              <w:tl2br w:val="nil"/>
              <w:tr2bl w:val="nil"/>
            </w:tcBorders>
            <w:vAlign w:val="center"/>
          </w:tcPr>
          <w:p w14:paraId="426825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1140" w:type="dxa"/>
            <w:tcBorders>
              <w:tl2br w:val="nil"/>
              <w:tr2bl w:val="nil"/>
            </w:tcBorders>
            <w:vAlign w:val="center"/>
          </w:tcPr>
          <w:p w14:paraId="55E77BD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土建工程</w:t>
            </w:r>
          </w:p>
          <w:p w14:paraId="385B3657">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土地平整</w:t>
            </w:r>
          </w:p>
        </w:tc>
        <w:tc>
          <w:tcPr>
            <w:tcW w:w="810" w:type="dxa"/>
            <w:tcBorders>
              <w:tl2br w:val="nil"/>
              <w:tr2bl w:val="nil"/>
            </w:tcBorders>
            <w:vAlign w:val="center"/>
          </w:tcPr>
          <w:p w14:paraId="3D41B6B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-2D</w:t>
            </w:r>
          </w:p>
        </w:tc>
        <w:tc>
          <w:tcPr>
            <w:tcW w:w="660" w:type="dxa"/>
            <w:tcBorders>
              <w:tl2br w:val="nil"/>
              <w:tr2bl w:val="nil"/>
            </w:tcBorders>
            <w:vAlign w:val="center"/>
          </w:tcPr>
          <w:p w14:paraId="36C1EE5A">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692E6793">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tcBorders>
              <w:tl2br w:val="nil"/>
              <w:tr2bl w:val="nil"/>
            </w:tcBorders>
            <w:vAlign w:val="center"/>
          </w:tcPr>
          <w:p w14:paraId="0EBB044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735" w:type="dxa"/>
            <w:tcBorders>
              <w:tl2br w:val="nil"/>
              <w:tr2bl w:val="nil"/>
            </w:tcBorders>
            <w:vAlign w:val="center"/>
          </w:tcPr>
          <w:p w14:paraId="51971EA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1125" w:type="dxa"/>
            <w:tcBorders>
              <w:tl2br w:val="nil"/>
              <w:tr2bl w:val="nil"/>
            </w:tcBorders>
            <w:vAlign w:val="center"/>
          </w:tcPr>
          <w:p w14:paraId="5B60AB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705" w:type="dxa"/>
            <w:tcBorders>
              <w:tl2br w:val="nil"/>
              <w:tr2bl w:val="nil"/>
            </w:tcBorders>
            <w:vAlign w:val="center"/>
          </w:tcPr>
          <w:p w14:paraId="1295060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75" w:type="dxa"/>
            <w:tcBorders>
              <w:tl2br w:val="nil"/>
              <w:tr2bl w:val="nil"/>
            </w:tcBorders>
            <w:vAlign w:val="center"/>
          </w:tcPr>
          <w:p w14:paraId="2D14A68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705" w:type="dxa"/>
            <w:tcBorders>
              <w:tl2br w:val="nil"/>
              <w:tr2bl w:val="nil"/>
            </w:tcBorders>
            <w:vAlign w:val="center"/>
          </w:tcPr>
          <w:p w14:paraId="7D54BB8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64" w:type="dxa"/>
            <w:tcBorders>
              <w:tl2br w:val="nil"/>
              <w:tr2bl w:val="nil"/>
            </w:tcBorders>
            <w:vAlign w:val="center"/>
          </w:tcPr>
          <w:p w14:paraId="58EAAA9C">
            <w:pPr>
              <w:spacing w:line="360" w:lineRule="exact"/>
              <w:ind w:firstLine="0" w:firstLineChars="0"/>
              <w:jc w:val="center"/>
              <w:rPr>
                <w:rFonts w:hint="default" w:ascii="Times New Roman" w:hAnsi="Times New Roman" w:cs="Times New Roman"/>
                <w:color w:val="auto"/>
                <w:sz w:val="21"/>
                <w:szCs w:val="21"/>
                <w:highlight w:val="none"/>
              </w:rPr>
            </w:pPr>
          </w:p>
        </w:tc>
      </w:tr>
      <w:tr w14:paraId="30B48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665" w:type="dxa"/>
            <w:vMerge w:val="continue"/>
            <w:tcBorders>
              <w:tl2br w:val="nil"/>
              <w:tr2bl w:val="nil"/>
            </w:tcBorders>
            <w:vAlign w:val="center"/>
          </w:tcPr>
          <w:p w14:paraId="137525D9">
            <w:pPr>
              <w:spacing w:line="360" w:lineRule="exact"/>
              <w:ind w:firstLine="0" w:firstLineChars="0"/>
              <w:jc w:val="center"/>
              <w:rPr>
                <w:rFonts w:hint="default" w:ascii="Times New Roman" w:hAnsi="Times New Roman" w:cs="Times New Roman"/>
                <w:color w:val="auto"/>
                <w:sz w:val="21"/>
                <w:szCs w:val="21"/>
                <w:highlight w:val="none"/>
              </w:rPr>
            </w:pPr>
          </w:p>
        </w:tc>
        <w:tc>
          <w:tcPr>
            <w:tcW w:w="1140" w:type="dxa"/>
            <w:tcBorders>
              <w:tl2br w:val="nil"/>
              <w:tr2bl w:val="nil"/>
            </w:tcBorders>
            <w:vAlign w:val="center"/>
          </w:tcPr>
          <w:p w14:paraId="59B42C4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物料运输</w:t>
            </w:r>
          </w:p>
        </w:tc>
        <w:tc>
          <w:tcPr>
            <w:tcW w:w="810" w:type="dxa"/>
            <w:tcBorders>
              <w:tl2br w:val="nil"/>
              <w:tr2bl w:val="nil"/>
            </w:tcBorders>
            <w:vAlign w:val="center"/>
          </w:tcPr>
          <w:p w14:paraId="46B2B99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60" w:type="dxa"/>
            <w:tcBorders>
              <w:tl2br w:val="nil"/>
              <w:tr2bl w:val="nil"/>
            </w:tcBorders>
            <w:vAlign w:val="center"/>
          </w:tcPr>
          <w:p w14:paraId="4B4391A5">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5DD901A0">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tcBorders>
              <w:tl2br w:val="nil"/>
              <w:tr2bl w:val="nil"/>
            </w:tcBorders>
            <w:vAlign w:val="center"/>
          </w:tcPr>
          <w:p w14:paraId="6578BFE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735" w:type="dxa"/>
            <w:tcBorders>
              <w:tl2br w:val="nil"/>
              <w:tr2bl w:val="nil"/>
            </w:tcBorders>
            <w:vAlign w:val="center"/>
          </w:tcPr>
          <w:p w14:paraId="2F3D0489">
            <w:pPr>
              <w:spacing w:line="360" w:lineRule="exact"/>
              <w:ind w:firstLine="0" w:firstLineChars="0"/>
              <w:jc w:val="center"/>
              <w:rPr>
                <w:rFonts w:hint="default" w:ascii="Times New Roman" w:hAnsi="Times New Roman" w:cs="Times New Roman"/>
                <w:color w:val="auto"/>
                <w:sz w:val="21"/>
                <w:szCs w:val="21"/>
                <w:highlight w:val="none"/>
              </w:rPr>
            </w:pPr>
          </w:p>
        </w:tc>
        <w:tc>
          <w:tcPr>
            <w:tcW w:w="1125" w:type="dxa"/>
            <w:tcBorders>
              <w:tl2br w:val="nil"/>
              <w:tr2bl w:val="nil"/>
            </w:tcBorders>
            <w:vAlign w:val="center"/>
          </w:tcPr>
          <w:p w14:paraId="2836856C">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111CDEA3">
            <w:pPr>
              <w:spacing w:line="360" w:lineRule="exact"/>
              <w:ind w:firstLine="0" w:firstLineChars="0"/>
              <w:jc w:val="center"/>
              <w:rPr>
                <w:rFonts w:hint="default" w:ascii="Times New Roman" w:hAnsi="Times New Roman" w:cs="Times New Roman"/>
                <w:color w:val="auto"/>
                <w:sz w:val="21"/>
                <w:szCs w:val="21"/>
                <w:highlight w:val="none"/>
              </w:rPr>
            </w:pPr>
          </w:p>
        </w:tc>
        <w:tc>
          <w:tcPr>
            <w:tcW w:w="675" w:type="dxa"/>
            <w:tcBorders>
              <w:tl2br w:val="nil"/>
              <w:tr2bl w:val="nil"/>
            </w:tcBorders>
            <w:vAlign w:val="center"/>
          </w:tcPr>
          <w:p w14:paraId="4EC83000">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467AD3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64" w:type="dxa"/>
            <w:tcBorders>
              <w:tl2br w:val="nil"/>
              <w:tr2bl w:val="nil"/>
            </w:tcBorders>
            <w:vAlign w:val="center"/>
          </w:tcPr>
          <w:p w14:paraId="2E6EF626">
            <w:pPr>
              <w:spacing w:line="360" w:lineRule="exact"/>
              <w:ind w:firstLine="0" w:firstLineChars="0"/>
              <w:jc w:val="center"/>
              <w:rPr>
                <w:rFonts w:hint="default" w:ascii="Times New Roman" w:hAnsi="Times New Roman" w:cs="Times New Roman"/>
                <w:color w:val="auto"/>
                <w:sz w:val="21"/>
                <w:szCs w:val="21"/>
                <w:highlight w:val="none"/>
              </w:rPr>
            </w:pPr>
          </w:p>
        </w:tc>
      </w:tr>
      <w:tr w14:paraId="09F08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vMerge w:val="continue"/>
            <w:tcBorders>
              <w:tl2br w:val="nil"/>
              <w:tr2bl w:val="nil"/>
            </w:tcBorders>
            <w:vAlign w:val="center"/>
          </w:tcPr>
          <w:p w14:paraId="4ED2E15F">
            <w:pPr>
              <w:spacing w:line="360" w:lineRule="exact"/>
              <w:ind w:firstLine="0" w:firstLineChars="0"/>
              <w:jc w:val="center"/>
              <w:rPr>
                <w:rFonts w:hint="default" w:ascii="Times New Roman" w:hAnsi="Times New Roman" w:cs="Times New Roman"/>
                <w:color w:val="auto"/>
                <w:sz w:val="21"/>
                <w:szCs w:val="21"/>
                <w:highlight w:val="none"/>
              </w:rPr>
            </w:pPr>
          </w:p>
        </w:tc>
        <w:tc>
          <w:tcPr>
            <w:tcW w:w="1140" w:type="dxa"/>
            <w:tcBorders>
              <w:tl2br w:val="nil"/>
              <w:tr2bl w:val="nil"/>
            </w:tcBorders>
            <w:vAlign w:val="center"/>
          </w:tcPr>
          <w:p w14:paraId="5048802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施工安装</w:t>
            </w:r>
          </w:p>
        </w:tc>
        <w:tc>
          <w:tcPr>
            <w:tcW w:w="810" w:type="dxa"/>
            <w:tcBorders>
              <w:tl2br w:val="nil"/>
              <w:tr2bl w:val="nil"/>
            </w:tcBorders>
            <w:vAlign w:val="center"/>
          </w:tcPr>
          <w:p w14:paraId="24E39CA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60" w:type="dxa"/>
            <w:tcBorders>
              <w:tl2br w:val="nil"/>
              <w:tr2bl w:val="nil"/>
            </w:tcBorders>
            <w:vAlign w:val="center"/>
          </w:tcPr>
          <w:p w14:paraId="67AB6A77">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34CAF0D4">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tcBorders>
              <w:tl2br w:val="nil"/>
              <w:tr2bl w:val="nil"/>
            </w:tcBorders>
            <w:vAlign w:val="center"/>
          </w:tcPr>
          <w:p w14:paraId="6C2EBAC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735" w:type="dxa"/>
            <w:tcBorders>
              <w:tl2br w:val="nil"/>
              <w:tr2bl w:val="nil"/>
            </w:tcBorders>
            <w:vAlign w:val="center"/>
          </w:tcPr>
          <w:p w14:paraId="211E0FCF">
            <w:pPr>
              <w:spacing w:line="360" w:lineRule="exact"/>
              <w:ind w:firstLine="0" w:firstLineChars="0"/>
              <w:jc w:val="center"/>
              <w:rPr>
                <w:rFonts w:hint="default" w:ascii="Times New Roman" w:hAnsi="Times New Roman" w:cs="Times New Roman"/>
                <w:color w:val="auto"/>
                <w:sz w:val="21"/>
                <w:szCs w:val="21"/>
                <w:highlight w:val="none"/>
              </w:rPr>
            </w:pPr>
          </w:p>
        </w:tc>
        <w:tc>
          <w:tcPr>
            <w:tcW w:w="1125" w:type="dxa"/>
            <w:tcBorders>
              <w:tl2br w:val="nil"/>
              <w:tr2bl w:val="nil"/>
            </w:tcBorders>
            <w:vAlign w:val="center"/>
          </w:tcPr>
          <w:p w14:paraId="05D6CD42">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17503E9F">
            <w:pPr>
              <w:spacing w:line="360" w:lineRule="exact"/>
              <w:ind w:firstLine="0" w:firstLineChars="0"/>
              <w:jc w:val="center"/>
              <w:rPr>
                <w:rFonts w:hint="default" w:ascii="Times New Roman" w:hAnsi="Times New Roman" w:cs="Times New Roman"/>
                <w:color w:val="auto"/>
                <w:sz w:val="21"/>
                <w:szCs w:val="21"/>
                <w:highlight w:val="none"/>
              </w:rPr>
            </w:pPr>
          </w:p>
        </w:tc>
        <w:tc>
          <w:tcPr>
            <w:tcW w:w="675" w:type="dxa"/>
            <w:tcBorders>
              <w:tl2br w:val="nil"/>
              <w:tr2bl w:val="nil"/>
            </w:tcBorders>
            <w:vAlign w:val="center"/>
          </w:tcPr>
          <w:p w14:paraId="6D9F4E4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705" w:type="dxa"/>
            <w:tcBorders>
              <w:tl2br w:val="nil"/>
              <w:tr2bl w:val="nil"/>
            </w:tcBorders>
            <w:vAlign w:val="center"/>
          </w:tcPr>
          <w:p w14:paraId="532D64A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64" w:type="dxa"/>
            <w:tcBorders>
              <w:tl2br w:val="nil"/>
              <w:tr2bl w:val="nil"/>
            </w:tcBorders>
            <w:vAlign w:val="center"/>
          </w:tcPr>
          <w:p w14:paraId="30994E9F">
            <w:pPr>
              <w:spacing w:line="360" w:lineRule="exact"/>
              <w:ind w:firstLine="0" w:firstLineChars="0"/>
              <w:jc w:val="center"/>
              <w:rPr>
                <w:rFonts w:hint="default" w:ascii="Times New Roman" w:hAnsi="Times New Roman" w:cs="Times New Roman"/>
                <w:color w:val="auto"/>
                <w:sz w:val="21"/>
                <w:szCs w:val="21"/>
                <w:highlight w:val="none"/>
              </w:rPr>
            </w:pPr>
          </w:p>
        </w:tc>
      </w:tr>
      <w:tr w14:paraId="01FEE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vMerge w:val="restart"/>
            <w:tcBorders>
              <w:tl2br w:val="nil"/>
              <w:tr2bl w:val="nil"/>
            </w:tcBorders>
            <w:vAlign w:val="center"/>
          </w:tcPr>
          <w:p w14:paraId="7531FF5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w:t>
            </w:r>
          </w:p>
          <w:p w14:paraId="390DF4F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期</w:t>
            </w:r>
          </w:p>
        </w:tc>
        <w:tc>
          <w:tcPr>
            <w:tcW w:w="1140" w:type="dxa"/>
            <w:tcBorders>
              <w:tl2br w:val="nil"/>
              <w:tr2bl w:val="nil"/>
            </w:tcBorders>
            <w:vAlign w:val="center"/>
          </w:tcPr>
          <w:p w14:paraId="3188E35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原料/成品运输</w:t>
            </w:r>
          </w:p>
        </w:tc>
        <w:tc>
          <w:tcPr>
            <w:tcW w:w="810" w:type="dxa"/>
            <w:tcBorders>
              <w:tl2br w:val="nil"/>
              <w:tr2bl w:val="nil"/>
            </w:tcBorders>
            <w:vAlign w:val="center"/>
          </w:tcPr>
          <w:p w14:paraId="771362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60" w:type="dxa"/>
            <w:tcBorders>
              <w:tl2br w:val="nil"/>
              <w:tr2bl w:val="nil"/>
            </w:tcBorders>
            <w:vAlign w:val="center"/>
          </w:tcPr>
          <w:p w14:paraId="1D384A08">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7C45164A">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tcBorders>
              <w:tl2br w:val="nil"/>
              <w:tr2bl w:val="nil"/>
            </w:tcBorders>
            <w:vAlign w:val="center"/>
          </w:tcPr>
          <w:p w14:paraId="7497A88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735" w:type="dxa"/>
            <w:tcBorders>
              <w:tl2br w:val="nil"/>
              <w:tr2bl w:val="nil"/>
            </w:tcBorders>
            <w:vAlign w:val="center"/>
          </w:tcPr>
          <w:p w14:paraId="0F54F65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1125" w:type="dxa"/>
            <w:tcBorders>
              <w:tl2br w:val="nil"/>
              <w:tr2bl w:val="nil"/>
            </w:tcBorders>
            <w:vAlign w:val="center"/>
          </w:tcPr>
          <w:p w14:paraId="0198759C">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1FA37002">
            <w:pPr>
              <w:spacing w:line="360" w:lineRule="exact"/>
              <w:ind w:firstLine="0" w:firstLineChars="0"/>
              <w:jc w:val="center"/>
              <w:rPr>
                <w:rFonts w:hint="default" w:ascii="Times New Roman" w:hAnsi="Times New Roman" w:cs="Times New Roman"/>
                <w:color w:val="auto"/>
                <w:sz w:val="21"/>
                <w:szCs w:val="21"/>
                <w:highlight w:val="none"/>
              </w:rPr>
            </w:pPr>
          </w:p>
        </w:tc>
        <w:tc>
          <w:tcPr>
            <w:tcW w:w="675" w:type="dxa"/>
            <w:tcBorders>
              <w:tl2br w:val="nil"/>
              <w:tr2bl w:val="nil"/>
            </w:tcBorders>
            <w:vAlign w:val="center"/>
          </w:tcPr>
          <w:p w14:paraId="7636E85A">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75CA33A2">
            <w:pPr>
              <w:spacing w:line="360" w:lineRule="exact"/>
              <w:ind w:firstLine="0" w:firstLineChars="0"/>
              <w:jc w:val="center"/>
              <w:rPr>
                <w:rFonts w:hint="default" w:ascii="Times New Roman" w:hAnsi="Times New Roman" w:cs="Times New Roman"/>
                <w:color w:val="auto"/>
                <w:sz w:val="21"/>
                <w:szCs w:val="21"/>
                <w:highlight w:val="none"/>
              </w:rPr>
            </w:pPr>
          </w:p>
        </w:tc>
        <w:tc>
          <w:tcPr>
            <w:tcW w:w="664" w:type="dxa"/>
            <w:tcBorders>
              <w:tl2br w:val="nil"/>
              <w:tr2bl w:val="nil"/>
            </w:tcBorders>
            <w:vAlign w:val="center"/>
          </w:tcPr>
          <w:p w14:paraId="064722E2">
            <w:pPr>
              <w:spacing w:line="360" w:lineRule="exact"/>
              <w:ind w:firstLine="0" w:firstLineChars="0"/>
              <w:jc w:val="center"/>
              <w:rPr>
                <w:rFonts w:hint="default" w:ascii="Times New Roman" w:hAnsi="Times New Roman" w:cs="Times New Roman"/>
                <w:color w:val="auto"/>
                <w:sz w:val="21"/>
                <w:szCs w:val="21"/>
                <w:highlight w:val="none"/>
              </w:rPr>
            </w:pPr>
          </w:p>
        </w:tc>
      </w:tr>
      <w:tr w14:paraId="797A5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vMerge w:val="continue"/>
            <w:tcBorders>
              <w:tl2br w:val="nil"/>
              <w:tr2bl w:val="nil"/>
            </w:tcBorders>
            <w:vAlign w:val="center"/>
          </w:tcPr>
          <w:p w14:paraId="456F8E7F">
            <w:pPr>
              <w:spacing w:line="360" w:lineRule="exact"/>
              <w:ind w:firstLine="0" w:firstLineChars="0"/>
              <w:jc w:val="center"/>
              <w:rPr>
                <w:rFonts w:hint="default" w:ascii="Times New Roman" w:hAnsi="Times New Roman" w:cs="Times New Roman"/>
                <w:color w:val="auto"/>
                <w:sz w:val="21"/>
                <w:szCs w:val="21"/>
                <w:highlight w:val="none"/>
              </w:rPr>
            </w:pPr>
          </w:p>
        </w:tc>
        <w:tc>
          <w:tcPr>
            <w:tcW w:w="1140" w:type="dxa"/>
            <w:tcBorders>
              <w:tl2br w:val="nil"/>
              <w:tr2bl w:val="nil"/>
            </w:tcBorders>
            <w:vAlign w:val="center"/>
          </w:tcPr>
          <w:p w14:paraId="7867E37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废气排放</w:t>
            </w:r>
          </w:p>
        </w:tc>
        <w:tc>
          <w:tcPr>
            <w:tcW w:w="810" w:type="dxa"/>
            <w:tcBorders>
              <w:tl2br w:val="nil"/>
              <w:tr2bl w:val="nil"/>
            </w:tcBorders>
            <w:vAlign w:val="center"/>
          </w:tcPr>
          <w:p w14:paraId="791D288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-2C</w:t>
            </w:r>
          </w:p>
        </w:tc>
        <w:tc>
          <w:tcPr>
            <w:tcW w:w="660" w:type="dxa"/>
            <w:tcBorders>
              <w:tl2br w:val="nil"/>
              <w:tr2bl w:val="nil"/>
            </w:tcBorders>
            <w:vAlign w:val="center"/>
          </w:tcPr>
          <w:p w14:paraId="62567E16">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3D80B922">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tcBorders>
              <w:tl2br w:val="nil"/>
              <w:tr2bl w:val="nil"/>
            </w:tcBorders>
            <w:vAlign w:val="center"/>
          </w:tcPr>
          <w:p w14:paraId="73F451B0">
            <w:pPr>
              <w:spacing w:line="360" w:lineRule="exact"/>
              <w:ind w:firstLine="0" w:firstLineChars="0"/>
              <w:jc w:val="center"/>
              <w:rPr>
                <w:rFonts w:hint="default" w:ascii="Times New Roman" w:hAnsi="Times New Roman" w:cs="Times New Roman"/>
                <w:color w:val="auto"/>
                <w:sz w:val="21"/>
                <w:szCs w:val="21"/>
                <w:highlight w:val="none"/>
              </w:rPr>
            </w:pPr>
          </w:p>
        </w:tc>
        <w:tc>
          <w:tcPr>
            <w:tcW w:w="735" w:type="dxa"/>
            <w:tcBorders>
              <w:tl2br w:val="nil"/>
              <w:tr2bl w:val="nil"/>
            </w:tcBorders>
            <w:vAlign w:val="center"/>
          </w:tcPr>
          <w:p w14:paraId="6B07DF4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1125" w:type="dxa"/>
            <w:tcBorders>
              <w:tl2br w:val="nil"/>
              <w:tr2bl w:val="nil"/>
            </w:tcBorders>
            <w:vAlign w:val="center"/>
          </w:tcPr>
          <w:p w14:paraId="6F7683E1">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6381B298">
            <w:pPr>
              <w:spacing w:line="360" w:lineRule="exact"/>
              <w:ind w:firstLine="0" w:firstLineChars="0"/>
              <w:jc w:val="center"/>
              <w:rPr>
                <w:rFonts w:hint="default" w:ascii="Times New Roman" w:hAnsi="Times New Roman" w:cs="Times New Roman"/>
                <w:color w:val="auto"/>
                <w:sz w:val="21"/>
                <w:szCs w:val="21"/>
                <w:highlight w:val="none"/>
              </w:rPr>
            </w:pPr>
          </w:p>
        </w:tc>
        <w:tc>
          <w:tcPr>
            <w:tcW w:w="675" w:type="dxa"/>
            <w:tcBorders>
              <w:tl2br w:val="nil"/>
              <w:tr2bl w:val="nil"/>
            </w:tcBorders>
            <w:vAlign w:val="center"/>
          </w:tcPr>
          <w:p w14:paraId="028CD4DC">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4F9F62E0">
            <w:pPr>
              <w:spacing w:line="360" w:lineRule="exact"/>
              <w:ind w:firstLine="0" w:firstLineChars="0"/>
              <w:jc w:val="center"/>
              <w:rPr>
                <w:rFonts w:hint="default" w:ascii="Times New Roman" w:hAnsi="Times New Roman" w:cs="Times New Roman"/>
                <w:color w:val="auto"/>
                <w:sz w:val="21"/>
                <w:szCs w:val="21"/>
                <w:highlight w:val="none"/>
              </w:rPr>
            </w:pPr>
          </w:p>
        </w:tc>
        <w:tc>
          <w:tcPr>
            <w:tcW w:w="664" w:type="dxa"/>
            <w:tcBorders>
              <w:tl2br w:val="nil"/>
              <w:tr2bl w:val="nil"/>
            </w:tcBorders>
            <w:vAlign w:val="center"/>
          </w:tcPr>
          <w:p w14:paraId="2714FA8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r>
      <w:tr w14:paraId="006FA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vMerge w:val="continue"/>
            <w:tcBorders>
              <w:tl2br w:val="nil"/>
              <w:tr2bl w:val="nil"/>
            </w:tcBorders>
            <w:vAlign w:val="center"/>
          </w:tcPr>
          <w:p w14:paraId="16D90E48">
            <w:pPr>
              <w:spacing w:line="360" w:lineRule="exact"/>
              <w:ind w:firstLine="0" w:firstLineChars="0"/>
              <w:jc w:val="center"/>
              <w:rPr>
                <w:rFonts w:hint="default" w:ascii="Times New Roman" w:hAnsi="Times New Roman" w:cs="Times New Roman"/>
                <w:color w:val="auto"/>
                <w:sz w:val="21"/>
                <w:szCs w:val="21"/>
                <w:highlight w:val="none"/>
              </w:rPr>
            </w:pPr>
          </w:p>
        </w:tc>
        <w:tc>
          <w:tcPr>
            <w:tcW w:w="1140" w:type="dxa"/>
            <w:tcBorders>
              <w:tl2br w:val="nil"/>
              <w:tr2bl w:val="nil"/>
            </w:tcBorders>
            <w:vAlign w:val="center"/>
          </w:tcPr>
          <w:p w14:paraId="183460F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废水排放</w:t>
            </w:r>
          </w:p>
        </w:tc>
        <w:tc>
          <w:tcPr>
            <w:tcW w:w="810" w:type="dxa"/>
            <w:tcBorders>
              <w:tl2br w:val="nil"/>
              <w:tr2bl w:val="nil"/>
            </w:tcBorders>
            <w:vAlign w:val="center"/>
          </w:tcPr>
          <w:p w14:paraId="33659491">
            <w:pPr>
              <w:spacing w:line="360" w:lineRule="exact"/>
              <w:ind w:firstLine="0" w:firstLineChars="0"/>
              <w:jc w:val="center"/>
              <w:rPr>
                <w:rFonts w:hint="default" w:ascii="Times New Roman" w:hAnsi="Times New Roman" w:cs="Times New Roman"/>
                <w:color w:val="auto"/>
                <w:sz w:val="21"/>
                <w:szCs w:val="21"/>
                <w:highlight w:val="none"/>
              </w:rPr>
            </w:pPr>
          </w:p>
        </w:tc>
        <w:tc>
          <w:tcPr>
            <w:tcW w:w="660" w:type="dxa"/>
            <w:tcBorders>
              <w:tl2br w:val="nil"/>
              <w:tr2bl w:val="nil"/>
            </w:tcBorders>
            <w:vAlign w:val="center"/>
          </w:tcPr>
          <w:p w14:paraId="511C5004">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594F269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00" w:type="dxa"/>
            <w:tcBorders>
              <w:tl2br w:val="nil"/>
              <w:tr2bl w:val="nil"/>
            </w:tcBorders>
            <w:vAlign w:val="center"/>
          </w:tcPr>
          <w:p w14:paraId="6F922B1E">
            <w:pPr>
              <w:spacing w:line="360" w:lineRule="exact"/>
              <w:ind w:firstLine="0" w:firstLineChars="0"/>
              <w:jc w:val="center"/>
              <w:rPr>
                <w:rFonts w:hint="default" w:ascii="Times New Roman" w:hAnsi="Times New Roman" w:cs="Times New Roman"/>
                <w:color w:val="auto"/>
                <w:sz w:val="21"/>
                <w:szCs w:val="21"/>
                <w:highlight w:val="none"/>
              </w:rPr>
            </w:pPr>
          </w:p>
        </w:tc>
        <w:tc>
          <w:tcPr>
            <w:tcW w:w="735" w:type="dxa"/>
            <w:tcBorders>
              <w:tl2br w:val="nil"/>
              <w:tr2bl w:val="nil"/>
            </w:tcBorders>
            <w:vAlign w:val="center"/>
          </w:tcPr>
          <w:p w14:paraId="186A20CF">
            <w:pPr>
              <w:spacing w:line="360" w:lineRule="exact"/>
              <w:ind w:firstLine="0" w:firstLineChars="0"/>
              <w:jc w:val="center"/>
              <w:rPr>
                <w:rFonts w:hint="default" w:ascii="Times New Roman" w:hAnsi="Times New Roman" w:cs="Times New Roman"/>
                <w:color w:val="auto"/>
                <w:sz w:val="21"/>
                <w:szCs w:val="21"/>
                <w:highlight w:val="none"/>
              </w:rPr>
            </w:pPr>
          </w:p>
        </w:tc>
        <w:tc>
          <w:tcPr>
            <w:tcW w:w="1125" w:type="dxa"/>
            <w:tcBorders>
              <w:tl2br w:val="nil"/>
              <w:tr2bl w:val="nil"/>
            </w:tcBorders>
            <w:vAlign w:val="center"/>
          </w:tcPr>
          <w:p w14:paraId="35984ACE">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14FC9E83">
            <w:pPr>
              <w:spacing w:line="360" w:lineRule="exact"/>
              <w:ind w:firstLine="0" w:firstLineChars="0"/>
              <w:jc w:val="center"/>
              <w:rPr>
                <w:rFonts w:hint="default" w:ascii="Times New Roman" w:hAnsi="Times New Roman" w:cs="Times New Roman"/>
                <w:color w:val="auto"/>
                <w:sz w:val="21"/>
                <w:szCs w:val="21"/>
                <w:highlight w:val="none"/>
              </w:rPr>
            </w:pPr>
          </w:p>
        </w:tc>
        <w:tc>
          <w:tcPr>
            <w:tcW w:w="675" w:type="dxa"/>
            <w:tcBorders>
              <w:tl2br w:val="nil"/>
              <w:tr2bl w:val="nil"/>
            </w:tcBorders>
            <w:vAlign w:val="center"/>
          </w:tcPr>
          <w:p w14:paraId="4203E0ED">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08481A6F">
            <w:pPr>
              <w:spacing w:line="360" w:lineRule="exact"/>
              <w:ind w:firstLine="0" w:firstLineChars="0"/>
              <w:jc w:val="center"/>
              <w:rPr>
                <w:rFonts w:hint="default" w:ascii="Times New Roman" w:hAnsi="Times New Roman" w:cs="Times New Roman"/>
                <w:color w:val="auto"/>
                <w:sz w:val="21"/>
                <w:szCs w:val="21"/>
                <w:highlight w:val="none"/>
              </w:rPr>
            </w:pPr>
          </w:p>
        </w:tc>
        <w:tc>
          <w:tcPr>
            <w:tcW w:w="664" w:type="dxa"/>
            <w:tcBorders>
              <w:tl2br w:val="nil"/>
              <w:tr2bl w:val="nil"/>
            </w:tcBorders>
            <w:vAlign w:val="center"/>
          </w:tcPr>
          <w:p w14:paraId="63DCB47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r>
      <w:tr w14:paraId="72707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vMerge w:val="continue"/>
            <w:tcBorders>
              <w:tl2br w:val="nil"/>
              <w:tr2bl w:val="nil"/>
            </w:tcBorders>
            <w:vAlign w:val="center"/>
          </w:tcPr>
          <w:p w14:paraId="3473D646">
            <w:pPr>
              <w:spacing w:line="360" w:lineRule="exact"/>
              <w:ind w:firstLine="0" w:firstLineChars="0"/>
              <w:jc w:val="center"/>
              <w:rPr>
                <w:rFonts w:hint="default" w:ascii="Times New Roman" w:hAnsi="Times New Roman" w:cs="Times New Roman"/>
                <w:color w:val="auto"/>
                <w:sz w:val="21"/>
                <w:szCs w:val="21"/>
                <w:highlight w:val="none"/>
              </w:rPr>
            </w:pPr>
          </w:p>
        </w:tc>
        <w:tc>
          <w:tcPr>
            <w:tcW w:w="1140" w:type="dxa"/>
            <w:tcBorders>
              <w:tl2br w:val="nil"/>
              <w:tr2bl w:val="nil"/>
            </w:tcBorders>
            <w:vAlign w:val="center"/>
          </w:tcPr>
          <w:p w14:paraId="1AFB924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噪声排放</w:t>
            </w:r>
          </w:p>
        </w:tc>
        <w:tc>
          <w:tcPr>
            <w:tcW w:w="810" w:type="dxa"/>
            <w:tcBorders>
              <w:tl2br w:val="nil"/>
              <w:tr2bl w:val="nil"/>
            </w:tcBorders>
            <w:vAlign w:val="center"/>
          </w:tcPr>
          <w:p w14:paraId="5BAC19EE">
            <w:pPr>
              <w:spacing w:line="360" w:lineRule="exact"/>
              <w:ind w:firstLine="0" w:firstLineChars="0"/>
              <w:jc w:val="center"/>
              <w:rPr>
                <w:rFonts w:hint="default" w:ascii="Times New Roman" w:hAnsi="Times New Roman" w:cs="Times New Roman"/>
                <w:color w:val="auto"/>
                <w:sz w:val="21"/>
                <w:szCs w:val="21"/>
                <w:highlight w:val="none"/>
              </w:rPr>
            </w:pPr>
          </w:p>
        </w:tc>
        <w:tc>
          <w:tcPr>
            <w:tcW w:w="660" w:type="dxa"/>
            <w:tcBorders>
              <w:tl2br w:val="nil"/>
              <w:tr2bl w:val="nil"/>
            </w:tcBorders>
            <w:vAlign w:val="center"/>
          </w:tcPr>
          <w:p w14:paraId="7443BB84">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0F692FCF">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tcBorders>
              <w:tl2br w:val="nil"/>
              <w:tr2bl w:val="nil"/>
            </w:tcBorders>
            <w:vAlign w:val="center"/>
          </w:tcPr>
          <w:p w14:paraId="3486550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735" w:type="dxa"/>
            <w:tcBorders>
              <w:tl2br w:val="nil"/>
              <w:tr2bl w:val="nil"/>
            </w:tcBorders>
            <w:vAlign w:val="center"/>
          </w:tcPr>
          <w:p w14:paraId="2317C787">
            <w:pPr>
              <w:spacing w:line="360" w:lineRule="exact"/>
              <w:ind w:firstLine="0" w:firstLineChars="0"/>
              <w:jc w:val="center"/>
              <w:rPr>
                <w:rFonts w:hint="default" w:ascii="Times New Roman" w:hAnsi="Times New Roman" w:cs="Times New Roman"/>
                <w:color w:val="auto"/>
                <w:sz w:val="21"/>
                <w:szCs w:val="21"/>
                <w:highlight w:val="none"/>
              </w:rPr>
            </w:pPr>
          </w:p>
        </w:tc>
        <w:tc>
          <w:tcPr>
            <w:tcW w:w="1125" w:type="dxa"/>
            <w:tcBorders>
              <w:tl2br w:val="nil"/>
              <w:tr2bl w:val="nil"/>
            </w:tcBorders>
            <w:vAlign w:val="center"/>
          </w:tcPr>
          <w:p w14:paraId="7EC63002">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4BC06BEE">
            <w:pPr>
              <w:spacing w:line="360" w:lineRule="exact"/>
              <w:ind w:firstLine="0" w:firstLineChars="0"/>
              <w:jc w:val="center"/>
              <w:rPr>
                <w:rFonts w:hint="default" w:ascii="Times New Roman" w:hAnsi="Times New Roman" w:cs="Times New Roman"/>
                <w:color w:val="auto"/>
                <w:sz w:val="21"/>
                <w:szCs w:val="21"/>
                <w:highlight w:val="none"/>
              </w:rPr>
            </w:pPr>
          </w:p>
        </w:tc>
        <w:tc>
          <w:tcPr>
            <w:tcW w:w="675" w:type="dxa"/>
            <w:tcBorders>
              <w:tl2br w:val="nil"/>
              <w:tr2bl w:val="nil"/>
            </w:tcBorders>
            <w:vAlign w:val="center"/>
          </w:tcPr>
          <w:p w14:paraId="147247D7">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4C4ACD1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64" w:type="dxa"/>
            <w:tcBorders>
              <w:tl2br w:val="nil"/>
              <w:tr2bl w:val="nil"/>
            </w:tcBorders>
            <w:vAlign w:val="center"/>
          </w:tcPr>
          <w:p w14:paraId="53B59DFA">
            <w:pPr>
              <w:spacing w:line="360" w:lineRule="exact"/>
              <w:ind w:firstLine="0" w:firstLineChars="0"/>
              <w:jc w:val="center"/>
              <w:rPr>
                <w:rFonts w:hint="default" w:ascii="Times New Roman" w:hAnsi="Times New Roman" w:cs="Times New Roman"/>
                <w:color w:val="auto"/>
                <w:sz w:val="21"/>
                <w:szCs w:val="21"/>
                <w:highlight w:val="none"/>
              </w:rPr>
            </w:pPr>
          </w:p>
        </w:tc>
      </w:tr>
      <w:tr w14:paraId="154A1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vMerge w:val="continue"/>
            <w:tcBorders>
              <w:tl2br w:val="nil"/>
              <w:tr2bl w:val="nil"/>
            </w:tcBorders>
            <w:vAlign w:val="center"/>
          </w:tcPr>
          <w:p w14:paraId="5A358C43">
            <w:pPr>
              <w:spacing w:line="360" w:lineRule="exact"/>
              <w:ind w:firstLine="0" w:firstLineChars="0"/>
              <w:jc w:val="center"/>
              <w:rPr>
                <w:rFonts w:hint="default" w:ascii="Times New Roman" w:hAnsi="Times New Roman" w:cs="Times New Roman"/>
                <w:color w:val="auto"/>
                <w:sz w:val="21"/>
                <w:szCs w:val="21"/>
                <w:highlight w:val="none"/>
              </w:rPr>
            </w:pPr>
          </w:p>
        </w:tc>
        <w:tc>
          <w:tcPr>
            <w:tcW w:w="1140" w:type="dxa"/>
            <w:tcBorders>
              <w:tl2br w:val="nil"/>
              <w:tr2bl w:val="nil"/>
            </w:tcBorders>
            <w:vAlign w:val="center"/>
          </w:tcPr>
          <w:p w14:paraId="1B3C8A4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w:t>
            </w:r>
          </w:p>
        </w:tc>
        <w:tc>
          <w:tcPr>
            <w:tcW w:w="810" w:type="dxa"/>
            <w:tcBorders>
              <w:tl2br w:val="nil"/>
              <w:tr2bl w:val="nil"/>
            </w:tcBorders>
            <w:vAlign w:val="center"/>
          </w:tcPr>
          <w:p w14:paraId="603AB0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60" w:type="dxa"/>
            <w:tcBorders>
              <w:tl2br w:val="nil"/>
              <w:tr2bl w:val="nil"/>
            </w:tcBorders>
            <w:vAlign w:val="center"/>
          </w:tcPr>
          <w:p w14:paraId="7E8A405A">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23E13FD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00" w:type="dxa"/>
            <w:tcBorders>
              <w:tl2br w:val="nil"/>
              <w:tr2bl w:val="nil"/>
            </w:tcBorders>
            <w:vAlign w:val="center"/>
          </w:tcPr>
          <w:p w14:paraId="17E59FD0">
            <w:pPr>
              <w:spacing w:line="360" w:lineRule="exact"/>
              <w:ind w:firstLine="0" w:firstLineChars="0"/>
              <w:jc w:val="center"/>
              <w:rPr>
                <w:rFonts w:hint="default" w:ascii="Times New Roman" w:hAnsi="Times New Roman" w:cs="Times New Roman"/>
                <w:color w:val="auto"/>
                <w:sz w:val="21"/>
                <w:szCs w:val="21"/>
                <w:highlight w:val="none"/>
              </w:rPr>
            </w:pPr>
          </w:p>
        </w:tc>
        <w:tc>
          <w:tcPr>
            <w:tcW w:w="735" w:type="dxa"/>
            <w:tcBorders>
              <w:tl2br w:val="nil"/>
              <w:tr2bl w:val="nil"/>
            </w:tcBorders>
            <w:vAlign w:val="center"/>
          </w:tcPr>
          <w:p w14:paraId="223EAF2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1125" w:type="dxa"/>
            <w:tcBorders>
              <w:tl2br w:val="nil"/>
              <w:tr2bl w:val="nil"/>
            </w:tcBorders>
            <w:vAlign w:val="center"/>
          </w:tcPr>
          <w:p w14:paraId="25F54A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705" w:type="dxa"/>
            <w:tcBorders>
              <w:tl2br w:val="nil"/>
              <w:tr2bl w:val="nil"/>
            </w:tcBorders>
            <w:vAlign w:val="center"/>
          </w:tcPr>
          <w:p w14:paraId="361F33A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75" w:type="dxa"/>
            <w:tcBorders>
              <w:tl2br w:val="nil"/>
              <w:tr2bl w:val="nil"/>
            </w:tcBorders>
            <w:vAlign w:val="center"/>
          </w:tcPr>
          <w:p w14:paraId="3AA16AE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705" w:type="dxa"/>
            <w:tcBorders>
              <w:tl2br w:val="nil"/>
              <w:tr2bl w:val="nil"/>
            </w:tcBorders>
            <w:vAlign w:val="center"/>
          </w:tcPr>
          <w:p w14:paraId="18673C18">
            <w:pPr>
              <w:spacing w:line="360" w:lineRule="exact"/>
              <w:ind w:firstLine="0" w:firstLineChars="0"/>
              <w:jc w:val="center"/>
              <w:rPr>
                <w:rFonts w:hint="default" w:ascii="Times New Roman" w:hAnsi="Times New Roman" w:cs="Times New Roman"/>
                <w:color w:val="auto"/>
                <w:sz w:val="21"/>
                <w:szCs w:val="21"/>
                <w:highlight w:val="none"/>
              </w:rPr>
            </w:pPr>
          </w:p>
        </w:tc>
        <w:tc>
          <w:tcPr>
            <w:tcW w:w="664" w:type="dxa"/>
            <w:tcBorders>
              <w:tl2br w:val="nil"/>
              <w:tr2bl w:val="nil"/>
            </w:tcBorders>
            <w:vAlign w:val="center"/>
          </w:tcPr>
          <w:p w14:paraId="3B12F6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r>
      <w:tr w14:paraId="4C825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665" w:type="dxa"/>
            <w:tcBorders>
              <w:tl2br w:val="nil"/>
              <w:tr2bl w:val="nil"/>
            </w:tcBorders>
            <w:vAlign w:val="center"/>
          </w:tcPr>
          <w:p w14:paraId="65BC13E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退役期</w:t>
            </w:r>
          </w:p>
        </w:tc>
        <w:tc>
          <w:tcPr>
            <w:tcW w:w="1140" w:type="dxa"/>
            <w:tcBorders>
              <w:tl2br w:val="nil"/>
              <w:tr2bl w:val="nil"/>
            </w:tcBorders>
            <w:vAlign w:val="center"/>
          </w:tcPr>
          <w:p w14:paraId="1817EF3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生态恢复</w:t>
            </w:r>
          </w:p>
        </w:tc>
        <w:tc>
          <w:tcPr>
            <w:tcW w:w="810" w:type="dxa"/>
            <w:tcBorders>
              <w:tl2br w:val="nil"/>
              <w:tr2bl w:val="nil"/>
            </w:tcBorders>
            <w:vAlign w:val="center"/>
          </w:tcPr>
          <w:p w14:paraId="056771F8">
            <w:pPr>
              <w:spacing w:line="360" w:lineRule="exact"/>
              <w:ind w:firstLine="0" w:firstLineChars="0"/>
              <w:jc w:val="center"/>
              <w:rPr>
                <w:rFonts w:hint="default" w:ascii="Times New Roman" w:hAnsi="Times New Roman" w:cs="Times New Roman"/>
                <w:color w:val="auto"/>
                <w:sz w:val="21"/>
                <w:szCs w:val="21"/>
                <w:highlight w:val="none"/>
              </w:rPr>
            </w:pPr>
          </w:p>
        </w:tc>
        <w:tc>
          <w:tcPr>
            <w:tcW w:w="660" w:type="dxa"/>
            <w:tcBorders>
              <w:tl2br w:val="nil"/>
              <w:tr2bl w:val="nil"/>
            </w:tcBorders>
            <w:vAlign w:val="center"/>
          </w:tcPr>
          <w:p w14:paraId="5BA95E83">
            <w:pPr>
              <w:spacing w:line="360" w:lineRule="exact"/>
              <w:ind w:firstLine="0" w:firstLineChars="0"/>
              <w:jc w:val="center"/>
              <w:rPr>
                <w:rFonts w:hint="default" w:ascii="Times New Roman" w:hAnsi="Times New Roman" w:cs="Times New Roman"/>
                <w:color w:val="auto"/>
                <w:sz w:val="21"/>
                <w:szCs w:val="21"/>
                <w:highlight w:val="none"/>
              </w:rPr>
            </w:pPr>
          </w:p>
        </w:tc>
        <w:tc>
          <w:tcPr>
            <w:tcW w:w="690" w:type="dxa"/>
            <w:tcBorders>
              <w:tl2br w:val="nil"/>
              <w:tr2bl w:val="nil"/>
            </w:tcBorders>
            <w:vAlign w:val="center"/>
          </w:tcPr>
          <w:p w14:paraId="0C8ECC8D">
            <w:pPr>
              <w:spacing w:line="360" w:lineRule="exact"/>
              <w:ind w:firstLine="0" w:firstLineChars="0"/>
              <w:jc w:val="center"/>
              <w:rPr>
                <w:rFonts w:hint="default" w:ascii="Times New Roman" w:hAnsi="Times New Roman" w:cs="Times New Roman"/>
                <w:color w:val="auto"/>
                <w:sz w:val="21"/>
                <w:szCs w:val="21"/>
                <w:highlight w:val="none"/>
              </w:rPr>
            </w:pPr>
          </w:p>
        </w:tc>
        <w:tc>
          <w:tcPr>
            <w:tcW w:w="600" w:type="dxa"/>
            <w:tcBorders>
              <w:tl2br w:val="nil"/>
              <w:tr2bl w:val="nil"/>
            </w:tcBorders>
            <w:vAlign w:val="center"/>
          </w:tcPr>
          <w:p w14:paraId="6C39DF68">
            <w:pPr>
              <w:spacing w:line="360" w:lineRule="exact"/>
              <w:ind w:firstLine="0" w:firstLineChars="0"/>
              <w:jc w:val="center"/>
              <w:rPr>
                <w:rFonts w:hint="default" w:ascii="Times New Roman" w:hAnsi="Times New Roman" w:cs="Times New Roman"/>
                <w:color w:val="auto"/>
                <w:sz w:val="21"/>
                <w:szCs w:val="21"/>
                <w:highlight w:val="none"/>
              </w:rPr>
            </w:pPr>
          </w:p>
        </w:tc>
        <w:tc>
          <w:tcPr>
            <w:tcW w:w="735" w:type="dxa"/>
            <w:tcBorders>
              <w:tl2br w:val="nil"/>
              <w:tr2bl w:val="nil"/>
            </w:tcBorders>
            <w:vAlign w:val="center"/>
          </w:tcPr>
          <w:p w14:paraId="21206E1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+2C</w:t>
            </w:r>
          </w:p>
        </w:tc>
        <w:tc>
          <w:tcPr>
            <w:tcW w:w="1125" w:type="dxa"/>
            <w:tcBorders>
              <w:tl2br w:val="nil"/>
              <w:tr2bl w:val="nil"/>
            </w:tcBorders>
            <w:vAlign w:val="center"/>
          </w:tcPr>
          <w:p w14:paraId="346E3D9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+2C</w:t>
            </w:r>
          </w:p>
        </w:tc>
        <w:tc>
          <w:tcPr>
            <w:tcW w:w="705" w:type="dxa"/>
            <w:tcBorders>
              <w:tl2br w:val="nil"/>
              <w:tr2bl w:val="nil"/>
            </w:tcBorders>
            <w:vAlign w:val="center"/>
          </w:tcPr>
          <w:p w14:paraId="203C3BAE">
            <w:pPr>
              <w:spacing w:line="360" w:lineRule="exact"/>
              <w:ind w:firstLine="0" w:firstLineChars="0"/>
              <w:jc w:val="center"/>
              <w:rPr>
                <w:rFonts w:hint="default" w:ascii="Times New Roman" w:hAnsi="Times New Roman" w:cs="Times New Roman"/>
                <w:color w:val="auto"/>
                <w:sz w:val="21"/>
                <w:szCs w:val="21"/>
                <w:highlight w:val="none"/>
              </w:rPr>
            </w:pPr>
          </w:p>
        </w:tc>
        <w:tc>
          <w:tcPr>
            <w:tcW w:w="675" w:type="dxa"/>
            <w:tcBorders>
              <w:tl2br w:val="nil"/>
              <w:tr2bl w:val="nil"/>
            </w:tcBorders>
            <w:vAlign w:val="center"/>
          </w:tcPr>
          <w:p w14:paraId="40264715">
            <w:pPr>
              <w:spacing w:line="360" w:lineRule="exact"/>
              <w:ind w:firstLine="0" w:firstLineChars="0"/>
              <w:jc w:val="center"/>
              <w:rPr>
                <w:rFonts w:hint="default" w:ascii="Times New Roman" w:hAnsi="Times New Roman" w:cs="Times New Roman"/>
                <w:color w:val="auto"/>
                <w:sz w:val="21"/>
                <w:szCs w:val="21"/>
                <w:highlight w:val="none"/>
              </w:rPr>
            </w:pPr>
          </w:p>
        </w:tc>
        <w:tc>
          <w:tcPr>
            <w:tcW w:w="705" w:type="dxa"/>
            <w:tcBorders>
              <w:tl2br w:val="nil"/>
              <w:tr2bl w:val="nil"/>
            </w:tcBorders>
            <w:vAlign w:val="center"/>
          </w:tcPr>
          <w:p w14:paraId="27D829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64" w:type="dxa"/>
            <w:tcBorders>
              <w:tl2br w:val="nil"/>
              <w:tr2bl w:val="nil"/>
            </w:tcBorders>
            <w:vAlign w:val="center"/>
          </w:tcPr>
          <w:p w14:paraId="5FB7B868">
            <w:pPr>
              <w:spacing w:line="360" w:lineRule="exact"/>
              <w:ind w:firstLine="0" w:firstLineChars="0"/>
              <w:jc w:val="center"/>
              <w:rPr>
                <w:rFonts w:hint="default" w:ascii="Times New Roman" w:hAnsi="Times New Roman" w:cs="Times New Roman"/>
                <w:color w:val="auto"/>
                <w:sz w:val="21"/>
                <w:szCs w:val="21"/>
                <w:highlight w:val="none"/>
              </w:rPr>
            </w:pPr>
          </w:p>
        </w:tc>
      </w:tr>
      <w:tr w14:paraId="28A86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74" w:type="dxa"/>
            <w:gridSpan w:val="12"/>
            <w:tcBorders>
              <w:tl2br w:val="nil"/>
              <w:tr2bl w:val="nil"/>
            </w:tcBorders>
            <w:vAlign w:val="center"/>
          </w:tcPr>
          <w:p w14:paraId="74D3B84C">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p w14:paraId="25A6314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1、表中“＋”表示有利影响，“－”表示不利影响；</w:t>
            </w:r>
          </w:p>
          <w:p w14:paraId="7BCAF74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2、表中数字表示影响的相对程度，“1”表示影响较小，“2”表示影响中等，“3”表示影响较大；</w:t>
            </w:r>
          </w:p>
          <w:p w14:paraId="5E36D22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3、表中“D”表示短期影响，“C”表示长期影响。</w:t>
            </w:r>
          </w:p>
        </w:tc>
      </w:tr>
    </w:tbl>
    <w:p w14:paraId="029D739E">
      <w:pPr>
        <w:pStyle w:val="4"/>
        <w:rPr>
          <w:rFonts w:hint="default" w:ascii="Times New Roman" w:hAnsi="Times New Roman" w:cs="Times New Roman"/>
          <w:color w:val="auto"/>
          <w:highlight w:val="none"/>
        </w:rPr>
      </w:pPr>
      <w:bookmarkStart w:id="145" w:name="_Toc26910"/>
      <w:bookmarkStart w:id="146" w:name="_Toc4614"/>
      <w:bookmarkStart w:id="147" w:name="_Toc24657"/>
      <w:bookmarkStart w:id="148" w:name="_Toc6132"/>
      <w:bookmarkStart w:id="149" w:name="_Toc8949"/>
      <w:bookmarkStart w:id="150" w:name="_Toc27656"/>
      <w:bookmarkStart w:id="151" w:name="_Toc5739"/>
      <w:bookmarkStart w:id="152" w:name="_Toc24816"/>
      <w:bookmarkStart w:id="153" w:name="_Toc31497"/>
      <w:r>
        <w:rPr>
          <w:rFonts w:hint="default" w:ascii="Times New Roman" w:hAnsi="Times New Roman" w:cs="Times New Roman"/>
          <w:color w:val="auto"/>
          <w:highlight w:val="none"/>
        </w:rPr>
        <w:t>2.4.2主要污染因子筛选</w:t>
      </w:r>
      <w:bookmarkEnd w:id="145"/>
      <w:bookmarkEnd w:id="146"/>
      <w:bookmarkEnd w:id="147"/>
      <w:bookmarkEnd w:id="148"/>
      <w:bookmarkEnd w:id="149"/>
      <w:bookmarkEnd w:id="150"/>
      <w:bookmarkEnd w:id="151"/>
      <w:bookmarkEnd w:id="152"/>
      <w:bookmarkEnd w:id="153"/>
    </w:p>
    <w:p w14:paraId="4797215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根据项目特点、污染物排放特征及所在地区环境质量状况，将最终对环境影响较大的污染因子作为主要污染因子，见表2.4-2。</w:t>
      </w:r>
    </w:p>
    <w:p w14:paraId="287072EC">
      <w:pPr>
        <w:pStyle w:val="47"/>
        <w:rPr>
          <w:rFonts w:hint="default" w:ascii="Times New Roman" w:hAnsi="Times New Roman" w:cs="Times New Roman"/>
          <w:color w:val="auto"/>
          <w:highlight w:val="none"/>
        </w:rPr>
      </w:pPr>
      <w:r>
        <w:rPr>
          <w:rFonts w:hint="default" w:ascii="Times New Roman" w:hAnsi="Times New Roman" w:cs="Times New Roman"/>
          <w:color w:val="auto"/>
          <w:highlight w:val="none"/>
        </w:rPr>
        <w:t>表2.4-2    本项目主要污染因子识别</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00"/>
        <w:gridCol w:w="1150"/>
        <w:gridCol w:w="5902"/>
      </w:tblGrid>
      <w:tr w14:paraId="12B96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tblHeader/>
          <w:jc w:val="center"/>
        </w:trPr>
        <w:tc>
          <w:tcPr>
            <w:tcW w:w="770" w:type="dxa"/>
            <w:noWrap w:val="0"/>
            <w:vAlign w:val="center"/>
          </w:tcPr>
          <w:p w14:paraId="2E0ABAFC">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lang w:eastAsia="zh-CN"/>
              </w:rPr>
              <w:t>时</w:t>
            </w:r>
            <w:r>
              <w:rPr>
                <w:rFonts w:hint="default" w:ascii="Times New Roman" w:hAnsi="Times New Roman" w:cs="Times New Roman"/>
                <w:b/>
                <w:bCs/>
                <w:color w:val="auto"/>
                <w:sz w:val="21"/>
                <w:highlight w:val="none"/>
              </w:rPr>
              <w:t>期</w:t>
            </w:r>
          </w:p>
        </w:tc>
        <w:tc>
          <w:tcPr>
            <w:tcW w:w="1850" w:type="dxa"/>
            <w:gridSpan w:val="2"/>
            <w:noWrap w:val="0"/>
            <w:vAlign w:val="center"/>
          </w:tcPr>
          <w:p w14:paraId="20F43793">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环境要素</w:t>
            </w:r>
          </w:p>
        </w:tc>
        <w:tc>
          <w:tcPr>
            <w:tcW w:w="5902" w:type="dxa"/>
            <w:noWrap w:val="0"/>
            <w:vAlign w:val="center"/>
          </w:tcPr>
          <w:p w14:paraId="7E926BF3">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评价因子</w:t>
            </w:r>
          </w:p>
        </w:tc>
      </w:tr>
      <w:tr w14:paraId="6EE8D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restart"/>
            <w:noWrap w:val="0"/>
            <w:vAlign w:val="center"/>
          </w:tcPr>
          <w:p w14:paraId="05DA054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施工期</w:t>
            </w:r>
          </w:p>
        </w:tc>
        <w:tc>
          <w:tcPr>
            <w:tcW w:w="1850" w:type="dxa"/>
            <w:gridSpan w:val="2"/>
            <w:noWrap w:val="0"/>
            <w:vAlign w:val="center"/>
          </w:tcPr>
          <w:p w14:paraId="4CD4719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环境空气</w:t>
            </w:r>
          </w:p>
        </w:tc>
        <w:tc>
          <w:tcPr>
            <w:tcW w:w="5902" w:type="dxa"/>
            <w:noWrap w:val="0"/>
            <w:vAlign w:val="center"/>
          </w:tcPr>
          <w:p w14:paraId="0C0B3CF6">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颗粒物</w:t>
            </w:r>
          </w:p>
        </w:tc>
      </w:tr>
      <w:tr w14:paraId="4F0EB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73576C7E">
            <w:pPr>
              <w:spacing w:line="360" w:lineRule="exact"/>
              <w:ind w:firstLine="0" w:firstLineChars="0"/>
              <w:jc w:val="center"/>
              <w:rPr>
                <w:rFonts w:hint="default" w:ascii="Times New Roman" w:hAnsi="Times New Roman" w:cs="Times New Roman"/>
                <w:color w:val="auto"/>
                <w:sz w:val="21"/>
                <w:highlight w:val="none"/>
              </w:rPr>
            </w:pPr>
          </w:p>
        </w:tc>
        <w:tc>
          <w:tcPr>
            <w:tcW w:w="1850" w:type="dxa"/>
            <w:gridSpan w:val="2"/>
            <w:noWrap w:val="0"/>
            <w:vAlign w:val="center"/>
          </w:tcPr>
          <w:p w14:paraId="674E6A6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水环境</w:t>
            </w:r>
          </w:p>
        </w:tc>
        <w:tc>
          <w:tcPr>
            <w:tcW w:w="5902" w:type="dxa"/>
            <w:noWrap w:val="0"/>
            <w:vAlign w:val="center"/>
          </w:tcPr>
          <w:p w14:paraId="2C5EBA91">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COD、BOD</w:t>
            </w:r>
            <w:r>
              <w:rPr>
                <w:rFonts w:hint="default" w:ascii="Times New Roman" w:hAnsi="Times New Roman" w:cs="Times New Roman"/>
                <w:color w:val="auto"/>
                <w:sz w:val="21"/>
                <w:highlight w:val="none"/>
                <w:vertAlign w:val="subscript"/>
              </w:rPr>
              <w:t>5</w:t>
            </w:r>
            <w:r>
              <w:rPr>
                <w:rFonts w:hint="default" w:ascii="Times New Roman" w:hAnsi="Times New Roman" w:cs="Times New Roman"/>
                <w:color w:val="auto"/>
                <w:sz w:val="21"/>
                <w:highlight w:val="none"/>
              </w:rPr>
              <w:t>、SS、氨氮</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szCs w:val="21"/>
                <w:highlight w:val="none"/>
                <w:lang w:val="en-US" w:eastAsia="zh-CN"/>
              </w:rPr>
              <w:t>动植物油</w:t>
            </w:r>
          </w:p>
        </w:tc>
      </w:tr>
      <w:tr w14:paraId="22A67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2D977AF7">
            <w:pPr>
              <w:spacing w:line="360" w:lineRule="exact"/>
              <w:ind w:firstLine="0" w:firstLineChars="0"/>
              <w:jc w:val="center"/>
              <w:rPr>
                <w:rFonts w:hint="default" w:ascii="Times New Roman" w:hAnsi="Times New Roman" w:cs="Times New Roman"/>
                <w:color w:val="auto"/>
                <w:sz w:val="21"/>
                <w:highlight w:val="none"/>
              </w:rPr>
            </w:pPr>
          </w:p>
        </w:tc>
        <w:tc>
          <w:tcPr>
            <w:tcW w:w="1850" w:type="dxa"/>
            <w:gridSpan w:val="2"/>
            <w:noWrap w:val="0"/>
            <w:vAlign w:val="center"/>
          </w:tcPr>
          <w:p w14:paraId="7A90FCA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声环境</w:t>
            </w:r>
          </w:p>
        </w:tc>
        <w:tc>
          <w:tcPr>
            <w:tcW w:w="5902" w:type="dxa"/>
            <w:noWrap w:val="0"/>
            <w:vAlign w:val="center"/>
          </w:tcPr>
          <w:p w14:paraId="0F801E7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lang w:val="en-US" w:eastAsia="zh-CN"/>
              </w:rPr>
              <w:t>等效连续A声级</w:t>
            </w:r>
          </w:p>
        </w:tc>
      </w:tr>
      <w:tr w14:paraId="02F26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55B11A29">
            <w:pPr>
              <w:spacing w:line="360" w:lineRule="exact"/>
              <w:ind w:firstLine="0" w:firstLineChars="0"/>
              <w:jc w:val="center"/>
              <w:rPr>
                <w:rFonts w:hint="default" w:ascii="Times New Roman" w:hAnsi="Times New Roman" w:cs="Times New Roman"/>
                <w:color w:val="auto"/>
                <w:sz w:val="21"/>
                <w:highlight w:val="none"/>
              </w:rPr>
            </w:pPr>
          </w:p>
        </w:tc>
        <w:tc>
          <w:tcPr>
            <w:tcW w:w="1850" w:type="dxa"/>
            <w:gridSpan w:val="2"/>
            <w:noWrap w:val="0"/>
            <w:vAlign w:val="center"/>
          </w:tcPr>
          <w:p w14:paraId="7B37F46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生态环境</w:t>
            </w:r>
          </w:p>
        </w:tc>
        <w:tc>
          <w:tcPr>
            <w:tcW w:w="5902" w:type="dxa"/>
            <w:noWrap w:val="0"/>
            <w:vAlign w:val="center"/>
          </w:tcPr>
          <w:p w14:paraId="0FEC2D32">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zh-CN"/>
              </w:rPr>
              <w:t>物种、生境、生物群落、生态敏感区、生物多样性、自然景观</w:t>
            </w:r>
          </w:p>
        </w:tc>
      </w:tr>
      <w:tr w14:paraId="6B4F6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restart"/>
            <w:noWrap w:val="0"/>
            <w:vAlign w:val="center"/>
          </w:tcPr>
          <w:p w14:paraId="2880374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运营期</w:t>
            </w:r>
          </w:p>
        </w:tc>
        <w:tc>
          <w:tcPr>
            <w:tcW w:w="700" w:type="dxa"/>
            <w:vMerge w:val="restart"/>
            <w:noWrap w:val="0"/>
            <w:vAlign w:val="center"/>
          </w:tcPr>
          <w:p w14:paraId="64F8FD2D">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环境</w:t>
            </w:r>
          </w:p>
          <w:p w14:paraId="7FB4A003">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空气</w:t>
            </w:r>
          </w:p>
        </w:tc>
        <w:tc>
          <w:tcPr>
            <w:tcW w:w="1150" w:type="dxa"/>
            <w:noWrap w:val="0"/>
            <w:vAlign w:val="center"/>
          </w:tcPr>
          <w:p w14:paraId="4AF55B2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现状评价</w:t>
            </w:r>
          </w:p>
        </w:tc>
        <w:tc>
          <w:tcPr>
            <w:tcW w:w="5902" w:type="dxa"/>
            <w:noWrap w:val="0"/>
            <w:vAlign w:val="center"/>
          </w:tcPr>
          <w:p w14:paraId="6DFEFDA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PM</w:t>
            </w:r>
            <w:r>
              <w:rPr>
                <w:rFonts w:hint="default" w:ascii="Times New Roman" w:hAnsi="Times New Roman" w:cs="Times New Roman"/>
                <w:color w:val="auto"/>
                <w:sz w:val="21"/>
                <w:highlight w:val="none"/>
                <w:vertAlign w:val="subscript"/>
              </w:rPr>
              <w:t>10</w:t>
            </w:r>
            <w:r>
              <w:rPr>
                <w:rFonts w:hint="default" w:ascii="Times New Roman" w:hAnsi="Times New Roman" w:cs="Times New Roman"/>
                <w:color w:val="auto"/>
                <w:sz w:val="21"/>
                <w:highlight w:val="none"/>
              </w:rPr>
              <w:t>、NO</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、SO</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、PM</w:t>
            </w:r>
            <w:r>
              <w:rPr>
                <w:rFonts w:hint="default" w:ascii="Times New Roman" w:hAnsi="Times New Roman" w:cs="Times New Roman"/>
                <w:color w:val="auto"/>
                <w:sz w:val="21"/>
                <w:highlight w:val="none"/>
                <w:vertAlign w:val="subscript"/>
              </w:rPr>
              <w:t>2.5</w:t>
            </w:r>
            <w:r>
              <w:rPr>
                <w:rFonts w:hint="default" w:ascii="Times New Roman" w:hAnsi="Times New Roman" w:cs="Times New Roman"/>
                <w:color w:val="auto"/>
                <w:sz w:val="21"/>
                <w:highlight w:val="none"/>
              </w:rPr>
              <w:t>、CO、O</w:t>
            </w:r>
            <w:r>
              <w:rPr>
                <w:rFonts w:hint="default" w:ascii="Times New Roman" w:hAnsi="Times New Roman" w:cs="Times New Roman"/>
                <w:color w:val="auto"/>
                <w:sz w:val="21"/>
                <w:highlight w:val="none"/>
                <w:vertAlign w:val="subscript"/>
              </w:rPr>
              <w:t>3</w:t>
            </w:r>
            <w:r>
              <w:rPr>
                <w:rFonts w:hint="default" w:ascii="Times New Roman" w:hAnsi="Times New Roman" w:cs="Times New Roman"/>
                <w:color w:val="auto"/>
                <w:sz w:val="21"/>
                <w:highlight w:val="none"/>
              </w:rPr>
              <w:t>、TSP</w:t>
            </w:r>
          </w:p>
        </w:tc>
      </w:tr>
      <w:tr w14:paraId="23478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1840556B">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continue"/>
            <w:noWrap w:val="0"/>
            <w:vAlign w:val="center"/>
          </w:tcPr>
          <w:p w14:paraId="75B5E925">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0483CB85">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影响分析</w:t>
            </w:r>
          </w:p>
        </w:tc>
        <w:tc>
          <w:tcPr>
            <w:tcW w:w="5902" w:type="dxa"/>
            <w:noWrap w:val="0"/>
            <w:vAlign w:val="center"/>
          </w:tcPr>
          <w:p w14:paraId="749F755C">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US" w:eastAsia="zh-CN"/>
              </w:rPr>
              <w:t>PM</w:t>
            </w:r>
            <w:r>
              <w:rPr>
                <w:rFonts w:hint="default" w:ascii="Times New Roman" w:hAnsi="Times New Roman" w:cs="Times New Roman"/>
                <w:color w:val="auto"/>
                <w:sz w:val="21"/>
                <w:highlight w:val="none"/>
                <w:vertAlign w:val="subscript"/>
                <w:lang w:val="en-US" w:eastAsia="zh-CN"/>
              </w:rPr>
              <w:t>10</w:t>
            </w:r>
            <w:r>
              <w:rPr>
                <w:rFonts w:hint="default" w:ascii="Times New Roman" w:hAnsi="Times New Roman" w:cs="Times New Roman"/>
                <w:color w:val="auto"/>
                <w:sz w:val="21"/>
                <w:highlight w:val="none"/>
                <w:lang w:val="en-US" w:eastAsia="zh-CN"/>
              </w:rPr>
              <w:t>、</w:t>
            </w:r>
            <w:r>
              <w:rPr>
                <w:rFonts w:hint="default" w:ascii="Times New Roman" w:hAnsi="Times New Roman" w:cs="Times New Roman"/>
                <w:color w:val="auto"/>
                <w:sz w:val="21"/>
                <w:highlight w:val="none"/>
              </w:rPr>
              <w:t>TSP</w:t>
            </w:r>
          </w:p>
        </w:tc>
      </w:tr>
      <w:tr w14:paraId="4C3F3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4CDA33D0">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restart"/>
            <w:noWrap w:val="0"/>
            <w:vAlign w:val="center"/>
          </w:tcPr>
          <w:p w14:paraId="367146C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地表水</w:t>
            </w:r>
          </w:p>
        </w:tc>
        <w:tc>
          <w:tcPr>
            <w:tcW w:w="1150" w:type="dxa"/>
            <w:noWrap w:val="0"/>
            <w:vAlign w:val="center"/>
          </w:tcPr>
          <w:p w14:paraId="21F3863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现状评价</w:t>
            </w:r>
          </w:p>
        </w:tc>
        <w:tc>
          <w:tcPr>
            <w:tcW w:w="5902" w:type="dxa"/>
            <w:noWrap w:val="0"/>
            <w:vAlign w:val="center"/>
          </w:tcPr>
          <w:p w14:paraId="0F1BE3B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pH值、氨氮、溶解氧、化学需氧量、五日生化需氧量、石油类、阴离子表面活性剂、总磷、铅、锌、铜、六价铬、镉、高锰酸钾指数、硫酸盐、氯化物、挥发酚、硝酸盐、砷、汞、氟化物</w:t>
            </w:r>
          </w:p>
        </w:tc>
      </w:tr>
      <w:tr w14:paraId="30377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2A6BA585">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continue"/>
            <w:noWrap w:val="0"/>
            <w:vAlign w:val="center"/>
          </w:tcPr>
          <w:p w14:paraId="739B1735">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48D2118E">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影响分析</w:t>
            </w:r>
          </w:p>
        </w:tc>
        <w:tc>
          <w:tcPr>
            <w:tcW w:w="5902" w:type="dxa"/>
            <w:noWrap w:val="0"/>
            <w:vAlign w:val="center"/>
          </w:tcPr>
          <w:p w14:paraId="7BBDD21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lang w:val="en-US" w:eastAsia="zh-CN"/>
              </w:rPr>
              <w:t>pH、COD、BOD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-N、SS</w:t>
            </w:r>
          </w:p>
        </w:tc>
      </w:tr>
      <w:tr w14:paraId="009F3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1AE3EF55">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restart"/>
            <w:noWrap w:val="0"/>
            <w:vAlign w:val="center"/>
          </w:tcPr>
          <w:p w14:paraId="180D413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地下水</w:t>
            </w:r>
          </w:p>
        </w:tc>
        <w:tc>
          <w:tcPr>
            <w:tcW w:w="1150" w:type="dxa"/>
            <w:noWrap w:val="0"/>
            <w:vAlign w:val="center"/>
          </w:tcPr>
          <w:p w14:paraId="0FD1568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现状评价</w:t>
            </w:r>
          </w:p>
        </w:tc>
        <w:tc>
          <w:tcPr>
            <w:tcW w:w="5902" w:type="dxa"/>
            <w:noWrap w:val="0"/>
            <w:vAlign w:val="center"/>
          </w:tcPr>
          <w:p w14:paraId="1078124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lang w:val="en-US" w:eastAsia="zh-CN"/>
              </w:rPr>
              <w:t>K</w:t>
            </w:r>
            <w:r>
              <w:rPr>
                <w:rFonts w:hint="default" w:ascii="Times New Roman" w:hAnsi="Times New Roman" w:cs="Times New Roman"/>
                <w:color w:val="auto"/>
                <w:sz w:val="21"/>
                <w:szCs w:val="21"/>
                <w:highlight w:val="none"/>
                <w:vertAlign w:val="superscript"/>
                <w:lang w:val="en-US" w:eastAsia="zh-CN"/>
              </w:rPr>
              <w:t>+</w:t>
            </w:r>
            <w:r>
              <w:rPr>
                <w:rFonts w:hint="default" w:ascii="Times New Roman" w:hAnsi="Times New Roman" w:cs="Times New Roman"/>
                <w:color w:val="auto"/>
                <w:sz w:val="21"/>
                <w:szCs w:val="21"/>
                <w:highlight w:val="none"/>
                <w:lang w:val="en-US" w:eastAsia="zh-CN"/>
              </w:rPr>
              <w:t>、Na</w:t>
            </w:r>
            <w:r>
              <w:rPr>
                <w:rFonts w:hint="default" w:ascii="Times New Roman" w:hAnsi="Times New Roman" w:cs="Times New Roman"/>
                <w:color w:val="auto"/>
                <w:sz w:val="21"/>
                <w:szCs w:val="21"/>
                <w:highlight w:val="none"/>
                <w:vertAlign w:val="superscript"/>
                <w:lang w:val="en-US" w:eastAsia="zh-CN"/>
              </w:rPr>
              <w:t>+</w:t>
            </w:r>
            <w:r>
              <w:rPr>
                <w:rFonts w:hint="default" w:ascii="Times New Roman" w:hAnsi="Times New Roman" w:cs="Times New Roman"/>
                <w:color w:val="auto"/>
                <w:sz w:val="21"/>
                <w:szCs w:val="21"/>
                <w:highlight w:val="none"/>
                <w:lang w:val="en-US" w:eastAsia="zh-CN"/>
              </w:rPr>
              <w:t>、Ca</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Mg</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、CO</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、HCO</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vertAlign w:val="superscript"/>
                <w:lang w:val="en-US" w:eastAsia="zh-CN"/>
              </w:rPr>
              <w:t>-</w:t>
            </w: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baseline"/>
                <w:lang w:val="en-US" w:eastAsia="zh-CN"/>
              </w:rPr>
              <w:t>l</w:t>
            </w:r>
            <w:r>
              <w:rPr>
                <w:rFonts w:hint="default" w:ascii="Times New Roman" w:hAnsi="Times New Roman" w:cs="Times New Roman"/>
                <w:color w:val="auto"/>
                <w:sz w:val="21"/>
                <w:szCs w:val="21"/>
                <w:highlight w:val="none"/>
                <w:vertAlign w:val="superscript"/>
                <w:lang w:val="en-US" w:eastAsia="zh-CN"/>
              </w:rPr>
              <w:t>-</w:t>
            </w: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pH值、总硬度</w:t>
            </w:r>
            <w:r>
              <w:rPr>
                <w:rFonts w:hint="default" w:ascii="Times New Roman" w:hAnsi="Times New Roman" w:eastAsia="宋体" w:cs="Times New Roman"/>
                <w:color w:val="auto"/>
                <w:sz w:val="21"/>
                <w:szCs w:val="21"/>
                <w:highlight w:val="none"/>
                <w:lang w:eastAsia="zh-CN"/>
              </w:rPr>
              <w:t>、溶解性总固体、铁、锰、铜、</w:t>
            </w:r>
            <w:r>
              <w:rPr>
                <w:rFonts w:hint="default" w:ascii="Times New Roman" w:hAnsi="Times New Roman" w:eastAsia="宋体" w:cs="Times New Roman"/>
                <w:color w:val="auto"/>
                <w:sz w:val="21"/>
                <w:szCs w:val="21"/>
                <w:highlight w:val="none"/>
              </w:rPr>
              <w:t>锌、挥发性酚类、氨氮、总大肠菌群、亚硝酸盐、硝酸盐</w:t>
            </w:r>
            <w:r>
              <w:rPr>
                <w:rFonts w:hint="default" w:ascii="Times New Roman" w:hAnsi="Times New Roman" w:eastAsia="宋体" w:cs="Times New Roman"/>
                <w:color w:val="auto"/>
                <w:sz w:val="21"/>
                <w:szCs w:val="21"/>
                <w:highlight w:val="none"/>
                <w:lang w:eastAsia="zh-CN"/>
              </w:rPr>
              <w:t>、氰化物、氟化物</w:t>
            </w:r>
            <w:r>
              <w:rPr>
                <w:rFonts w:hint="default" w:ascii="Times New Roman" w:hAnsi="Times New Roman" w:eastAsia="宋体" w:cs="Times New Roman"/>
                <w:color w:val="auto"/>
                <w:sz w:val="21"/>
                <w:szCs w:val="21"/>
                <w:highlight w:val="none"/>
              </w:rPr>
              <w:t>、汞、砷、镉、铬（六价）、铅、镍</w:t>
            </w:r>
            <w:r>
              <w:rPr>
                <w:rFonts w:hint="default" w:ascii="Times New Roman" w:hAnsi="Times New Roman" w:cs="Times New Roman"/>
                <w:color w:val="auto"/>
                <w:sz w:val="21"/>
                <w:szCs w:val="21"/>
                <w:highlight w:val="none"/>
                <w:lang w:eastAsia="zh-CN"/>
              </w:rPr>
              <w:t>、锑、</w:t>
            </w:r>
            <w:r>
              <w:rPr>
                <w:rFonts w:hint="default" w:ascii="Times New Roman" w:hAnsi="Times New Roman" w:cs="Times New Roman"/>
                <w:color w:val="auto"/>
                <w:kern w:val="0"/>
                <w:sz w:val="21"/>
                <w:szCs w:val="21"/>
                <w:highlight w:val="none"/>
                <w:lang w:val="en-US" w:eastAsia="zh-CN"/>
              </w:rPr>
              <w:t>石油类</w:t>
            </w:r>
          </w:p>
        </w:tc>
      </w:tr>
      <w:tr w14:paraId="187DF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244F06FB">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continue"/>
            <w:noWrap w:val="0"/>
            <w:vAlign w:val="center"/>
          </w:tcPr>
          <w:p w14:paraId="69D14C9C">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734F080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影响分析</w:t>
            </w:r>
          </w:p>
        </w:tc>
        <w:tc>
          <w:tcPr>
            <w:tcW w:w="5902" w:type="dxa"/>
            <w:noWrap w:val="0"/>
            <w:vAlign w:val="center"/>
          </w:tcPr>
          <w:p w14:paraId="7F3644A9">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kern w:val="2"/>
                <w:sz w:val="21"/>
                <w:szCs w:val="21"/>
                <w:highlight w:val="none"/>
                <w:lang w:val="en-US" w:eastAsia="zh-CN"/>
              </w:rPr>
              <w:t>铅、石油类、挥发酚</w:t>
            </w:r>
          </w:p>
        </w:tc>
      </w:tr>
      <w:tr w14:paraId="6F85F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4818983C">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restart"/>
            <w:noWrap w:val="0"/>
            <w:vAlign w:val="center"/>
          </w:tcPr>
          <w:p w14:paraId="42E5442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声</w:t>
            </w:r>
          </w:p>
        </w:tc>
        <w:tc>
          <w:tcPr>
            <w:tcW w:w="1150" w:type="dxa"/>
            <w:noWrap w:val="0"/>
            <w:vAlign w:val="center"/>
          </w:tcPr>
          <w:p w14:paraId="59846A0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现状评价</w:t>
            </w:r>
          </w:p>
        </w:tc>
        <w:tc>
          <w:tcPr>
            <w:tcW w:w="5902" w:type="dxa"/>
            <w:noWrap w:val="0"/>
            <w:vAlign w:val="center"/>
          </w:tcPr>
          <w:p w14:paraId="2ABCCB3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lang w:eastAsia="zh-CN"/>
              </w:rPr>
              <w:t>昼、夜</w:t>
            </w:r>
            <w:r>
              <w:rPr>
                <w:rFonts w:hint="default" w:ascii="Times New Roman" w:hAnsi="Times New Roman" w:cs="Times New Roman"/>
                <w:color w:val="auto"/>
                <w:sz w:val="21"/>
                <w:highlight w:val="none"/>
              </w:rPr>
              <w:t>等效连续A声级</w:t>
            </w:r>
          </w:p>
        </w:tc>
      </w:tr>
      <w:tr w14:paraId="0C6A8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10CD8C4A">
            <w:pPr>
              <w:spacing w:line="360" w:lineRule="exact"/>
              <w:ind w:firstLine="0" w:firstLineChars="0"/>
              <w:jc w:val="center"/>
              <w:rPr>
                <w:rFonts w:hint="default" w:ascii="Times New Roman" w:hAnsi="Times New Roman" w:cs="Times New Roman"/>
                <w:color w:val="auto"/>
                <w:sz w:val="21"/>
                <w:highlight w:val="none"/>
                <w:lang w:val="zh-CN"/>
              </w:rPr>
            </w:pPr>
          </w:p>
        </w:tc>
        <w:tc>
          <w:tcPr>
            <w:tcW w:w="700" w:type="dxa"/>
            <w:vMerge w:val="continue"/>
            <w:noWrap w:val="0"/>
            <w:vAlign w:val="center"/>
          </w:tcPr>
          <w:p w14:paraId="17553316">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2BB0A00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影响分析</w:t>
            </w:r>
          </w:p>
        </w:tc>
        <w:tc>
          <w:tcPr>
            <w:tcW w:w="5902" w:type="dxa"/>
            <w:noWrap w:val="0"/>
            <w:vAlign w:val="center"/>
          </w:tcPr>
          <w:p w14:paraId="248FB0EC">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szCs w:val="21"/>
                <w:highlight w:val="none"/>
                <w:lang w:eastAsia="zh-CN"/>
              </w:rPr>
              <w:t>昼、夜</w:t>
            </w:r>
            <w:r>
              <w:rPr>
                <w:rFonts w:hint="default" w:ascii="Times New Roman" w:hAnsi="Times New Roman" w:cs="Times New Roman"/>
                <w:color w:val="auto"/>
                <w:sz w:val="21"/>
                <w:highlight w:val="none"/>
                <w:lang w:val="zh-CN"/>
              </w:rPr>
              <w:t>等效连续A声级</w:t>
            </w:r>
          </w:p>
        </w:tc>
      </w:tr>
      <w:tr w14:paraId="3E997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6D42AB1B">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restart"/>
            <w:noWrap w:val="0"/>
            <w:vAlign w:val="center"/>
          </w:tcPr>
          <w:p w14:paraId="3D9A19A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固体</w:t>
            </w:r>
          </w:p>
          <w:p w14:paraId="15397EF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废物</w:t>
            </w:r>
          </w:p>
        </w:tc>
        <w:tc>
          <w:tcPr>
            <w:tcW w:w="1150" w:type="dxa"/>
            <w:noWrap w:val="0"/>
            <w:vAlign w:val="center"/>
          </w:tcPr>
          <w:p w14:paraId="78AD4E07">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现状评价</w:t>
            </w:r>
          </w:p>
        </w:tc>
        <w:tc>
          <w:tcPr>
            <w:tcW w:w="5902" w:type="dxa"/>
            <w:noWrap w:val="0"/>
            <w:vAlign w:val="center"/>
          </w:tcPr>
          <w:p w14:paraId="5EDC99D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74F0B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485BBB88">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continue"/>
            <w:noWrap w:val="0"/>
            <w:vAlign w:val="center"/>
          </w:tcPr>
          <w:p w14:paraId="66919407">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1B1103A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影响分析</w:t>
            </w:r>
          </w:p>
        </w:tc>
        <w:tc>
          <w:tcPr>
            <w:tcW w:w="5902" w:type="dxa"/>
            <w:noWrap w:val="0"/>
            <w:vAlign w:val="center"/>
          </w:tcPr>
          <w:p w14:paraId="05D61DA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生活垃圾、一般工业固废、危险废物</w:t>
            </w:r>
          </w:p>
        </w:tc>
      </w:tr>
      <w:tr w14:paraId="49116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351D55D0">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restart"/>
            <w:noWrap w:val="0"/>
            <w:vAlign w:val="center"/>
          </w:tcPr>
          <w:p w14:paraId="5F3010C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生态</w:t>
            </w:r>
          </w:p>
        </w:tc>
        <w:tc>
          <w:tcPr>
            <w:tcW w:w="1150" w:type="dxa"/>
            <w:noWrap w:val="0"/>
            <w:vAlign w:val="center"/>
          </w:tcPr>
          <w:p w14:paraId="01CEB13F">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现状评价</w:t>
            </w:r>
          </w:p>
        </w:tc>
        <w:tc>
          <w:tcPr>
            <w:tcW w:w="5902" w:type="dxa"/>
            <w:noWrap w:val="0"/>
            <w:vAlign w:val="center"/>
          </w:tcPr>
          <w:p w14:paraId="40C7671D">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物种、生境、生物群落、生态系统、生物多样性、自然景观</w:t>
            </w:r>
          </w:p>
        </w:tc>
      </w:tr>
      <w:tr w14:paraId="67383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5E8D0536">
            <w:pPr>
              <w:spacing w:line="360" w:lineRule="exact"/>
              <w:ind w:firstLine="0" w:firstLineChars="0"/>
              <w:jc w:val="center"/>
              <w:rPr>
                <w:rFonts w:hint="default" w:ascii="Times New Roman" w:hAnsi="Times New Roman" w:cs="Times New Roman"/>
                <w:color w:val="auto"/>
                <w:sz w:val="21"/>
                <w:highlight w:val="none"/>
                <w:lang w:val="zh-CN"/>
              </w:rPr>
            </w:pPr>
          </w:p>
        </w:tc>
        <w:tc>
          <w:tcPr>
            <w:tcW w:w="700" w:type="dxa"/>
            <w:vMerge w:val="continue"/>
            <w:noWrap w:val="0"/>
            <w:vAlign w:val="center"/>
          </w:tcPr>
          <w:p w14:paraId="18AE9E8F">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36F5469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影响分析</w:t>
            </w:r>
          </w:p>
        </w:tc>
        <w:tc>
          <w:tcPr>
            <w:tcW w:w="5902" w:type="dxa"/>
            <w:noWrap w:val="0"/>
            <w:vAlign w:val="center"/>
          </w:tcPr>
          <w:p w14:paraId="160DD6A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物种、生境、生物群落、生态系统、生物多样性、自然景观</w:t>
            </w:r>
          </w:p>
        </w:tc>
      </w:tr>
      <w:tr w14:paraId="39AC4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7858A3D8">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restart"/>
            <w:noWrap w:val="0"/>
            <w:vAlign w:val="center"/>
          </w:tcPr>
          <w:p w14:paraId="423EA67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土壤</w:t>
            </w:r>
          </w:p>
        </w:tc>
        <w:tc>
          <w:tcPr>
            <w:tcW w:w="1150" w:type="dxa"/>
            <w:noWrap w:val="0"/>
            <w:vAlign w:val="center"/>
          </w:tcPr>
          <w:p w14:paraId="1032B21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现状评价</w:t>
            </w:r>
          </w:p>
        </w:tc>
        <w:tc>
          <w:tcPr>
            <w:tcW w:w="5902" w:type="dxa"/>
            <w:noWrap w:val="0"/>
            <w:vAlign w:val="center"/>
          </w:tcPr>
          <w:p w14:paraId="48E7240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pH</w:t>
            </w:r>
            <w:r>
              <w:rPr>
                <w:rFonts w:hint="default" w:ascii="Times New Roman" w:hAnsi="Times New Roman" w:cs="Times New Roman"/>
                <w:color w:val="auto"/>
                <w:sz w:val="21"/>
                <w:highlight w:val="none"/>
                <w:lang w:val="en-US" w:eastAsia="zh-CN"/>
              </w:rPr>
              <w:t>+</w:t>
            </w:r>
            <w:r>
              <w:rPr>
                <w:rFonts w:hint="default" w:ascii="Times New Roman" w:hAnsi="Times New Roman" w:cs="Times New Roman"/>
                <w:color w:val="auto"/>
                <w:sz w:val="21"/>
                <w:highlight w:val="none"/>
              </w:rPr>
              <w:t>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default" w:ascii="Times New Roman" w:hAnsi="Times New Roman" w:cs="Times New Roman"/>
                <w:color w:val="auto"/>
                <w:sz w:val="21"/>
                <w:highlight w:val="none"/>
                <w:lang w:val="en-US" w:eastAsia="zh-CN"/>
              </w:rPr>
              <w:t>45项+石油烃、锌</w:t>
            </w:r>
            <w:r>
              <w:rPr>
                <w:rFonts w:hint="default" w:ascii="Times New Roman" w:hAnsi="Times New Roman" w:cs="Times New Roman"/>
                <w:color w:val="auto"/>
                <w:sz w:val="21"/>
                <w:highlight w:val="none"/>
              </w:rPr>
              <w:t>；</w:t>
            </w:r>
          </w:p>
        </w:tc>
      </w:tr>
      <w:tr w14:paraId="021BA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71EC6CA4">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continue"/>
            <w:noWrap w:val="0"/>
            <w:vAlign w:val="center"/>
          </w:tcPr>
          <w:p w14:paraId="77F20FEB">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489A56A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zh-CN"/>
              </w:rPr>
              <w:t>影响分析</w:t>
            </w:r>
          </w:p>
        </w:tc>
        <w:tc>
          <w:tcPr>
            <w:tcW w:w="5902" w:type="dxa"/>
            <w:noWrap w:val="0"/>
            <w:vAlign w:val="center"/>
          </w:tcPr>
          <w:p w14:paraId="27936AC3">
            <w:pPr>
              <w:spacing w:line="360" w:lineRule="exact"/>
              <w:ind w:firstLine="0" w:firstLineChars="0"/>
              <w:jc w:val="center"/>
              <w:rPr>
                <w:rFonts w:hint="default" w:ascii="Times New Roman" w:hAnsi="Times New Roman" w:cs="Times New Roman"/>
                <w:color w:val="auto"/>
                <w:sz w:val="21"/>
                <w:highlight w:val="none"/>
                <w:lang w:val="en-US"/>
              </w:rPr>
            </w:pPr>
            <w:r>
              <w:rPr>
                <w:rFonts w:hint="default" w:cs="Times New Roman"/>
                <w:b w:val="0"/>
                <w:bCs w:val="0"/>
                <w:color w:val="auto"/>
                <w:sz w:val="21"/>
                <w:highlight w:val="none"/>
                <w:lang w:val="en-US" w:eastAsia="zh-CN"/>
              </w:rPr>
              <w:t>铅、颗粒物</w:t>
            </w:r>
          </w:p>
        </w:tc>
      </w:tr>
      <w:tr w14:paraId="4D217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center"/>
          </w:tcPr>
          <w:p w14:paraId="0DCF9B5D">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restart"/>
            <w:noWrap w:val="0"/>
            <w:vAlign w:val="center"/>
          </w:tcPr>
          <w:p w14:paraId="2DEE767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w:t>
            </w:r>
          </w:p>
          <w:p w14:paraId="4EF158F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风险</w:t>
            </w:r>
          </w:p>
        </w:tc>
        <w:tc>
          <w:tcPr>
            <w:tcW w:w="1150" w:type="dxa"/>
            <w:noWrap w:val="0"/>
            <w:vAlign w:val="center"/>
          </w:tcPr>
          <w:p w14:paraId="2CBAF372">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lang w:val="zh-CN"/>
              </w:rPr>
              <w:t>现状评价</w:t>
            </w:r>
          </w:p>
        </w:tc>
        <w:tc>
          <w:tcPr>
            <w:tcW w:w="5902" w:type="dxa"/>
            <w:noWrap w:val="0"/>
            <w:vAlign w:val="center"/>
          </w:tcPr>
          <w:p w14:paraId="637C3860">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r>
      <w:tr w14:paraId="734B3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vMerge w:val="continue"/>
            <w:noWrap w:val="0"/>
            <w:vAlign w:val="top"/>
          </w:tcPr>
          <w:p w14:paraId="3C79F2B8">
            <w:pPr>
              <w:spacing w:line="360" w:lineRule="exact"/>
              <w:ind w:firstLine="0" w:firstLineChars="0"/>
              <w:jc w:val="center"/>
              <w:rPr>
                <w:rFonts w:hint="default" w:ascii="Times New Roman" w:hAnsi="Times New Roman" w:cs="Times New Roman"/>
                <w:color w:val="auto"/>
                <w:sz w:val="21"/>
                <w:highlight w:val="none"/>
              </w:rPr>
            </w:pPr>
          </w:p>
        </w:tc>
        <w:tc>
          <w:tcPr>
            <w:tcW w:w="700" w:type="dxa"/>
            <w:vMerge w:val="continue"/>
            <w:noWrap w:val="0"/>
            <w:vAlign w:val="center"/>
          </w:tcPr>
          <w:p w14:paraId="0F17934C">
            <w:pPr>
              <w:spacing w:line="360" w:lineRule="exact"/>
              <w:ind w:firstLine="0" w:firstLineChars="0"/>
              <w:jc w:val="center"/>
              <w:rPr>
                <w:rFonts w:hint="default" w:ascii="Times New Roman" w:hAnsi="Times New Roman" w:cs="Times New Roman"/>
                <w:color w:val="auto"/>
                <w:sz w:val="21"/>
                <w:highlight w:val="none"/>
              </w:rPr>
            </w:pPr>
          </w:p>
        </w:tc>
        <w:tc>
          <w:tcPr>
            <w:tcW w:w="1150" w:type="dxa"/>
            <w:noWrap w:val="0"/>
            <w:vAlign w:val="center"/>
          </w:tcPr>
          <w:p w14:paraId="7CAC2880">
            <w:pPr>
              <w:spacing w:line="360" w:lineRule="exact"/>
              <w:ind w:firstLine="0" w:firstLineChars="0"/>
              <w:jc w:val="center"/>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rPr>
              <w:t>影响分析</w:t>
            </w:r>
          </w:p>
        </w:tc>
        <w:tc>
          <w:tcPr>
            <w:tcW w:w="5902" w:type="dxa"/>
            <w:noWrap w:val="0"/>
            <w:vAlign w:val="center"/>
          </w:tcPr>
          <w:p w14:paraId="1CD6799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选矿厂浮选药剂</w:t>
            </w:r>
            <w:r>
              <w:rPr>
                <w:rFonts w:hint="default" w:cs="Times New Roman"/>
                <w:color w:val="auto"/>
                <w:sz w:val="21"/>
                <w:highlight w:val="none"/>
                <w:lang w:eastAsia="zh-CN"/>
              </w:rPr>
              <w:t>泄漏</w:t>
            </w:r>
            <w:r>
              <w:rPr>
                <w:rFonts w:hint="default" w:ascii="Times New Roman" w:hAnsi="Times New Roman" w:cs="Times New Roman"/>
                <w:color w:val="auto"/>
                <w:sz w:val="21"/>
                <w:highlight w:val="none"/>
              </w:rPr>
              <w:t>、尾矿库</w:t>
            </w:r>
            <w:r>
              <w:rPr>
                <w:rFonts w:hint="default" w:ascii="Times New Roman" w:hAnsi="Times New Roman" w:cs="Times New Roman"/>
                <w:color w:val="auto"/>
                <w:sz w:val="21"/>
                <w:highlight w:val="none"/>
                <w:lang w:eastAsia="zh-CN"/>
              </w:rPr>
              <w:t>溃坝、河流污染、危险废物</w:t>
            </w:r>
            <w:r>
              <w:rPr>
                <w:rFonts w:hint="default" w:cs="Times New Roman"/>
                <w:color w:val="auto"/>
                <w:sz w:val="21"/>
                <w:highlight w:val="none"/>
                <w:lang w:eastAsia="zh-CN"/>
              </w:rPr>
              <w:t>泄漏</w:t>
            </w:r>
          </w:p>
        </w:tc>
      </w:tr>
      <w:tr w14:paraId="51830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770" w:type="dxa"/>
            <w:noWrap w:val="0"/>
            <w:vAlign w:val="top"/>
          </w:tcPr>
          <w:p w14:paraId="3F6CBC82">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退役期</w:t>
            </w:r>
          </w:p>
        </w:tc>
        <w:tc>
          <w:tcPr>
            <w:tcW w:w="7752" w:type="dxa"/>
            <w:gridSpan w:val="3"/>
            <w:noWrap w:val="0"/>
            <w:vAlign w:val="center"/>
          </w:tcPr>
          <w:p w14:paraId="6D21440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选矿厂、尾矿库土地复垦及生态恢复等</w:t>
            </w:r>
          </w:p>
        </w:tc>
      </w:tr>
    </w:tbl>
    <w:p w14:paraId="08D4E317">
      <w:pPr>
        <w:bidi w:val="0"/>
        <w:rPr>
          <w:rFonts w:hint="default" w:ascii="Times New Roman" w:hAnsi="Times New Roman" w:cs="Times New Roman"/>
          <w:color w:val="auto"/>
          <w:highlight w:val="none"/>
        </w:rPr>
      </w:pPr>
    </w:p>
    <w:p w14:paraId="66E83CFB">
      <w:pPr>
        <w:pStyle w:val="3"/>
        <w:rPr>
          <w:rFonts w:hint="default" w:ascii="Times New Roman" w:hAnsi="Times New Roman" w:cs="Times New Roman"/>
          <w:color w:val="auto"/>
          <w:highlight w:val="none"/>
        </w:rPr>
      </w:pPr>
      <w:bookmarkStart w:id="154" w:name="_Toc107413881"/>
      <w:bookmarkStart w:id="155" w:name="_Toc16760"/>
      <w:bookmarkStart w:id="156" w:name="_Toc107414648"/>
      <w:bookmarkStart w:id="157" w:name="_Toc30587"/>
      <w:bookmarkStart w:id="158" w:name="_Toc26176"/>
      <w:bookmarkStart w:id="159" w:name="_Toc31241"/>
      <w:bookmarkStart w:id="160" w:name="_Toc11599"/>
      <w:r>
        <w:rPr>
          <w:rFonts w:hint="default" w:ascii="Times New Roman" w:hAnsi="Times New Roman" w:cs="Times New Roman"/>
          <w:color w:val="auto"/>
          <w:highlight w:val="none"/>
        </w:rPr>
        <w:t>2.5环境功能区划和评价标准</w:t>
      </w:r>
      <w:bookmarkEnd w:id="154"/>
      <w:bookmarkEnd w:id="155"/>
      <w:bookmarkEnd w:id="156"/>
      <w:bookmarkEnd w:id="157"/>
      <w:bookmarkEnd w:id="158"/>
      <w:bookmarkEnd w:id="159"/>
      <w:bookmarkEnd w:id="160"/>
    </w:p>
    <w:p w14:paraId="7DAFC567">
      <w:pPr>
        <w:pStyle w:val="4"/>
        <w:rPr>
          <w:rFonts w:hint="default" w:ascii="Times New Roman" w:hAnsi="Times New Roman" w:cs="Times New Roman"/>
          <w:color w:val="auto"/>
          <w:highlight w:val="none"/>
        </w:rPr>
      </w:pPr>
      <w:bookmarkStart w:id="161" w:name="_Toc2756"/>
      <w:bookmarkStart w:id="162" w:name="_Toc13718"/>
      <w:bookmarkStart w:id="163" w:name="_Toc16118"/>
      <w:bookmarkStart w:id="164" w:name="_Toc4203"/>
      <w:bookmarkStart w:id="165" w:name="_Toc1486"/>
      <w:bookmarkStart w:id="166" w:name="_Toc15413"/>
      <w:bookmarkStart w:id="167" w:name="_Toc11648"/>
      <w:bookmarkStart w:id="168" w:name="_Toc2407"/>
      <w:bookmarkStart w:id="169" w:name="_Toc3134"/>
      <w:r>
        <w:rPr>
          <w:rFonts w:hint="default" w:ascii="Times New Roman" w:hAnsi="Times New Roman" w:cs="Times New Roman"/>
          <w:color w:val="auto"/>
          <w:highlight w:val="none"/>
        </w:rPr>
        <w:t>2.5.1环境功能区划</w:t>
      </w:r>
      <w:bookmarkEnd w:id="161"/>
      <w:bookmarkEnd w:id="162"/>
      <w:bookmarkEnd w:id="163"/>
      <w:bookmarkEnd w:id="164"/>
      <w:bookmarkEnd w:id="165"/>
      <w:bookmarkEnd w:id="166"/>
      <w:bookmarkEnd w:id="167"/>
      <w:bookmarkEnd w:id="168"/>
      <w:bookmarkEnd w:id="169"/>
    </w:p>
    <w:p w14:paraId="6BA7612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2.5.1.1空气环境功能区划</w:t>
      </w:r>
    </w:p>
    <w:p w14:paraId="31F1C920">
      <w:pPr>
        <w:pStyle w:val="53"/>
        <w:overflowPunct w:val="0"/>
        <w:topLinePunct/>
        <w:adjustRightInd/>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本项目评价区域属于《环境空气质量标准》（GB3095-20</w:t>
      </w:r>
      <w:r>
        <w:rPr>
          <w:rFonts w:hint="default" w:cs="Times New Roman"/>
          <w:color w:val="auto"/>
          <w:highlight w:val="none"/>
          <w:lang w:val="en-US" w:eastAsia="zh-CN"/>
        </w:rPr>
        <w:t>26</w:t>
      </w:r>
      <w:r>
        <w:rPr>
          <w:rFonts w:hint="default" w:ascii="Times New Roman" w:hAnsi="Times New Roman" w:cs="Times New Roman"/>
          <w:color w:val="auto"/>
          <w:highlight w:val="none"/>
        </w:rPr>
        <w:t>）中规定的二类功能区。</w:t>
      </w:r>
    </w:p>
    <w:p w14:paraId="01ABD55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2.5.1.2水环境功能区划</w:t>
      </w:r>
    </w:p>
    <w:p w14:paraId="532DAF6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本项目</w:t>
      </w:r>
      <w:r>
        <w:rPr>
          <w:rFonts w:hint="default" w:ascii="Times New Roman" w:hAnsi="Times New Roman" w:cs="Times New Roman"/>
          <w:color w:val="auto"/>
          <w:szCs w:val="24"/>
          <w:highlight w:val="none"/>
          <w:lang w:val="en-US" w:eastAsia="zh-CN"/>
        </w:rPr>
        <w:t>尾矿库北距</w:t>
      </w:r>
      <w:r>
        <w:rPr>
          <w:rFonts w:hint="default" w:ascii="Times New Roman" w:hAnsi="Times New Roman" w:cs="Times New Roman"/>
          <w:color w:val="auto"/>
          <w:szCs w:val="24"/>
          <w:highlight w:val="none"/>
          <w:lang w:eastAsia="zh-CN"/>
        </w:rPr>
        <w:t>喀拉通克河</w:t>
      </w:r>
      <w:r>
        <w:rPr>
          <w:rFonts w:hint="default" w:ascii="Times New Roman" w:hAnsi="Times New Roman" w:cs="Times New Roman"/>
          <w:color w:val="auto"/>
          <w:szCs w:val="24"/>
          <w:highlight w:val="none"/>
          <w:lang w:val="en-US" w:eastAsia="zh-CN"/>
        </w:rPr>
        <w:t>左支一河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1.02</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eastAsia="zh-CN"/>
        </w:rPr>
        <w:t>喀拉通克河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3.79</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选矿厂北距</w:t>
      </w:r>
      <w:r>
        <w:rPr>
          <w:rFonts w:hint="default" w:ascii="Times New Roman" w:hAnsi="Times New Roman" w:cs="Times New Roman"/>
          <w:color w:val="auto"/>
          <w:szCs w:val="24"/>
          <w:highlight w:val="none"/>
          <w:lang w:eastAsia="zh-CN"/>
        </w:rPr>
        <w:t>喀拉通克河</w:t>
      </w:r>
      <w:r>
        <w:rPr>
          <w:rFonts w:hint="default" w:ascii="Times New Roman" w:hAnsi="Times New Roman" w:cs="Times New Roman"/>
          <w:color w:val="auto"/>
          <w:szCs w:val="24"/>
          <w:highlight w:val="none"/>
          <w:lang w:val="en-US" w:eastAsia="zh-CN"/>
        </w:rPr>
        <w:t>左支一河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2.45</w:t>
      </w:r>
      <w:r>
        <w:rPr>
          <w:rFonts w:hint="default" w:ascii="Times New Roman" w:hAnsi="Times New Roman" w:cs="Times New Roman"/>
          <w:color w:val="auto"/>
          <w:szCs w:val="24"/>
          <w:highlight w:val="none"/>
        </w:rPr>
        <w:t>km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东</w:t>
      </w:r>
      <w:r>
        <w:rPr>
          <w:rFonts w:hint="default" w:ascii="Times New Roman" w:hAnsi="Times New Roman" w:cs="Times New Roman"/>
          <w:color w:val="auto"/>
          <w:szCs w:val="24"/>
          <w:highlight w:val="none"/>
          <w:lang w:val="en-US" w:eastAsia="zh-CN"/>
        </w:rPr>
        <w:t>北</w:t>
      </w:r>
      <w:r>
        <w:rPr>
          <w:rFonts w:hint="default" w:ascii="Times New Roman" w:hAnsi="Times New Roman" w:cs="Times New Roman"/>
          <w:color w:val="auto"/>
          <w:szCs w:val="24"/>
          <w:highlight w:val="none"/>
        </w:rPr>
        <w:t>距</w:t>
      </w:r>
      <w:r>
        <w:rPr>
          <w:rFonts w:hint="default" w:ascii="Times New Roman" w:hAnsi="Times New Roman" w:cs="Times New Roman"/>
          <w:color w:val="auto"/>
          <w:szCs w:val="24"/>
          <w:highlight w:val="none"/>
          <w:lang w:eastAsia="zh-CN"/>
        </w:rPr>
        <w:t>喀拉通克河</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4.16</w:t>
      </w:r>
      <w:r>
        <w:rPr>
          <w:rFonts w:hint="default" w:ascii="Times New Roman" w:hAnsi="Times New Roman" w:cs="Times New Roman"/>
          <w:color w:val="auto"/>
          <w:szCs w:val="24"/>
          <w:highlight w:val="none"/>
        </w:rPr>
        <w:t>km</w:t>
      </w:r>
      <w:r>
        <w:rPr>
          <w:rFonts w:hint="default" w:ascii="Times New Roman" w:hAnsi="Times New Roman" w:cs="Times New Roman"/>
          <w:color w:val="auto"/>
          <w:highlight w:val="none"/>
        </w:rPr>
        <w:t>，</w:t>
      </w:r>
      <w:r>
        <w:rPr>
          <w:rFonts w:hint="default" w:cs="Times New Roman"/>
          <w:color w:val="auto"/>
          <w:szCs w:val="24"/>
          <w:highlight w:val="none"/>
          <w:lang w:val="en-US" w:eastAsia="zh-CN"/>
        </w:rPr>
        <w:t>根据新疆水功能区划，</w:t>
      </w:r>
      <w:r>
        <w:rPr>
          <w:rFonts w:hint="default" w:ascii="Times New Roman" w:hAnsi="Times New Roman" w:cs="Times New Roman"/>
          <w:color w:val="auto"/>
          <w:szCs w:val="24"/>
          <w:highlight w:val="none"/>
          <w:lang w:eastAsia="zh-CN"/>
        </w:rPr>
        <w:t>喀拉通克河</w:t>
      </w:r>
      <w:r>
        <w:rPr>
          <w:rFonts w:hint="default" w:ascii="Times New Roman" w:hAnsi="Times New Roman" w:cs="Times New Roman"/>
          <w:color w:val="auto"/>
          <w:szCs w:val="24"/>
          <w:highlight w:val="none"/>
          <w:lang w:val="en-US" w:eastAsia="zh-CN"/>
        </w:rPr>
        <w:t>左支一河未查询到</w:t>
      </w:r>
      <w:r>
        <w:rPr>
          <w:rFonts w:hint="default" w:cs="Times New Roman"/>
          <w:color w:val="auto"/>
          <w:szCs w:val="24"/>
          <w:highlight w:val="none"/>
          <w:lang w:val="en-US" w:eastAsia="zh-CN"/>
        </w:rPr>
        <w:t>水体类别，项目所在区域</w:t>
      </w:r>
      <w:r>
        <w:rPr>
          <w:rFonts w:hint="default" w:ascii="Times New Roman" w:hAnsi="Times New Roman" w:cs="Times New Roman"/>
          <w:color w:val="auto"/>
          <w:szCs w:val="24"/>
          <w:highlight w:val="none"/>
          <w:lang w:eastAsia="zh-CN"/>
        </w:rPr>
        <w:t>喀拉通克河</w:t>
      </w:r>
      <w:r>
        <w:rPr>
          <w:rFonts w:hint="default" w:ascii="Times New Roman" w:hAnsi="Times New Roman" w:cs="Times New Roman"/>
          <w:color w:val="auto"/>
          <w:highlight w:val="none"/>
        </w:rPr>
        <w:t>属Ⅱ类</w:t>
      </w:r>
      <w:r>
        <w:rPr>
          <w:rFonts w:hint="default" w:cs="Times New Roman"/>
          <w:color w:val="auto"/>
          <w:highlight w:val="none"/>
          <w:lang w:val="en-US" w:eastAsia="zh-CN"/>
        </w:rPr>
        <w:t>水环境</w:t>
      </w:r>
      <w:r>
        <w:rPr>
          <w:rFonts w:hint="default" w:ascii="Times New Roman" w:hAnsi="Times New Roman" w:cs="Times New Roman"/>
          <w:color w:val="auto"/>
          <w:highlight w:val="none"/>
        </w:rPr>
        <w:t>功能区。</w:t>
      </w:r>
    </w:p>
    <w:p w14:paraId="50B364C1">
      <w:pPr>
        <w:pStyle w:val="53"/>
        <w:overflowPunct w:val="0"/>
        <w:topLinePun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项目所在区域地下水未进行功能区划分，根据其用途执行《地下水质量标准》（GB/T14848-2017）Ⅲ类标准。区域水系图见图2.5-1。</w:t>
      </w:r>
    </w:p>
    <w:p w14:paraId="40101A2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2.5.1.3声环境功能区划</w:t>
      </w:r>
    </w:p>
    <w:p w14:paraId="0C86B24F">
      <w:pPr>
        <w:pStyle w:val="53"/>
        <w:overflowPunct w:val="0"/>
        <w:topLinePunct/>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本项目为</w:t>
      </w:r>
      <w:r>
        <w:rPr>
          <w:rFonts w:hint="default" w:ascii="Times New Roman" w:hAnsi="Times New Roman" w:cs="Times New Roman"/>
          <w:color w:val="auto"/>
          <w:spacing w:val="-1"/>
          <w:highlight w:val="none"/>
          <w:lang w:val="en-US" w:eastAsia="zh-CN"/>
        </w:rPr>
        <w:t>金矿选矿及尾矿库建设项目</w:t>
      </w:r>
      <w:r>
        <w:rPr>
          <w:rFonts w:hint="default" w:ascii="Times New Roman" w:hAnsi="Times New Roman" w:cs="Times New Roman"/>
          <w:color w:val="auto"/>
          <w:spacing w:val="-1"/>
          <w:highlight w:val="none"/>
        </w:rPr>
        <w:t>，项目区周围空旷，无其他工业、集中居民区，</w:t>
      </w:r>
      <w:r>
        <w:rPr>
          <w:rFonts w:hint="default" w:ascii="Times New Roman" w:hAnsi="Times New Roman" w:cs="Times New Roman"/>
          <w:color w:val="auto"/>
          <w:highlight w:val="none"/>
        </w:rPr>
        <w:t>根据《声环境质量标准》（GB3096-2008）中声环境功能区的划分要求，本工程属于2类声环境功能区。</w:t>
      </w:r>
    </w:p>
    <w:p w14:paraId="1F3F22C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2.5.1.4生态环境功能区划</w:t>
      </w:r>
    </w:p>
    <w:p w14:paraId="5B384103">
      <w:pPr>
        <w:pStyle w:val="53"/>
        <w:overflowPunct w:val="0"/>
        <w:topLinePunct/>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根据《新疆生态功能区划》，项目区</w:t>
      </w:r>
      <w:r>
        <w:rPr>
          <w:rFonts w:hint="default" w:ascii="Times New Roman" w:hAnsi="Times New Roman" w:eastAsia="宋体" w:cs="Times New Roman"/>
          <w:color w:val="auto"/>
          <w:highlight w:val="none"/>
        </w:rPr>
        <w:t>属</w:t>
      </w:r>
      <w:r>
        <w:rPr>
          <w:rFonts w:hint="default" w:ascii="Times New Roman" w:hAnsi="Times New Roman" w:cs="Times New Roman"/>
          <w:color w:val="auto"/>
          <w:highlight w:val="none"/>
          <w:lang w:val="en-US" w:eastAsia="zh-CN"/>
        </w:rPr>
        <w:t>Ⅰ</w:t>
      </w:r>
      <w:r>
        <w:rPr>
          <w:rFonts w:hint="default" w:ascii="Times New Roman" w:hAnsi="Times New Roman" w:eastAsia="宋体" w:cs="Times New Roman"/>
          <w:color w:val="auto"/>
          <w:highlight w:val="none"/>
        </w:rPr>
        <w:t>阿尔泰—准噶尔西部山地温凉森林、草原生态区</w:t>
      </w:r>
      <w:r>
        <w:rPr>
          <w:rFonts w:hint="default" w:ascii="Times New Roman" w:hAnsi="Times New Roman" w:cs="Times New Roman"/>
          <w:color w:val="auto"/>
          <w:highlight w:val="none"/>
          <w:lang w:val="en-US" w:eastAsia="zh-CN"/>
        </w:rPr>
        <w:t>－Ⅰ</w:t>
      </w:r>
      <w:r>
        <w:rPr>
          <w:rFonts w:hint="default" w:ascii="Times New Roman" w:hAnsi="Times New Roman" w:cs="Times New Roman"/>
          <w:color w:val="auto"/>
          <w:highlight w:val="none"/>
          <w:vertAlign w:val="subscript"/>
          <w:lang w:val="en-US" w:eastAsia="zh-CN"/>
        </w:rPr>
        <w:t>1</w:t>
      </w:r>
      <w:r>
        <w:rPr>
          <w:rFonts w:hint="default" w:ascii="Times New Roman" w:hAnsi="Times New Roman" w:eastAsia="宋体" w:cs="Times New Roman"/>
          <w:color w:val="auto"/>
          <w:highlight w:val="none"/>
          <w:vertAlign w:val="baseline"/>
          <w:lang w:val="en-US" w:eastAsia="zh-CN"/>
        </w:rPr>
        <w:t>阿尔泰山南坡寒温带针叶林、山地草原水源涵养及草地畜牧业生态亚区</w:t>
      </w:r>
      <w:r>
        <w:rPr>
          <w:rFonts w:hint="default" w:ascii="Times New Roman" w:hAnsi="Times New Roman" w:cs="Times New Roman"/>
          <w:color w:val="auto"/>
          <w:highlight w:val="none"/>
        </w:rPr>
        <w:t>-</w:t>
      </w:r>
      <w:r>
        <w:rPr>
          <w:rFonts w:hint="default"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olor w:val="auto"/>
          <w:highlight w:val="none"/>
        </w:rPr>
        <w:t>阿尔泰山中部林草保育及矿业开发环境恢复生态功能区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本项目生态功能区划见图2.5-2。</w:t>
      </w:r>
    </w:p>
    <w:p w14:paraId="5F07ADB9">
      <w:pPr>
        <w:pStyle w:val="1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表2.5-1    项目所在区域生态功能区划</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337"/>
        <w:gridCol w:w="6185"/>
      </w:tblGrid>
      <w:tr w14:paraId="7C6316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2FEBE231">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生态区</w:t>
            </w:r>
          </w:p>
        </w:tc>
        <w:tc>
          <w:tcPr>
            <w:tcW w:w="6185" w:type="dxa"/>
            <w:tcBorders>
              <w:tl2br w:val="nil"/>
              <w:tr2bl w:val="nil"/>
            </w:tcBorders>
            <w:vAlign w:val="center"/>
          </w:tcPr>
          <w:p w14:paraId="5B3BCAA2">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Ⅰ</w:t>
            </w:r>
            <w:r>
              <w:rPr>
                <w:rFonts w:hint="default" w:ascii="Times New Roman" w:hAnsi="Times New Roman" w:eastAsia="宋体" w:cs="Times New Roman"/>
                <w:color w:val="auto"/>
                <w:highlight w:val="none"/>
              </w:rPr>
              <w:t>阿尔泰—准噶尔西部山地温凉森林、草原生态区</w:t>
            </w:r>
          </w:p>
        </w:tc>
      </w:tr>
      <w:tr w14:paraId="1556E9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4AE88954">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lang w:eastAsia="zh-CN"/>
              </w:rPr>
              <w:t>生态亚区</w:t>
            </w:r>
          </w:p>
        </w:tc>
        <w:tc>
          <w:tcPr>
            <w:tcW w:w="6185" w:type="dxa"/>
            <w:tcBorders>
              <w:tl2br w:val="nil"/>
              <w:tr2bl w:val="nil"/>
            </w:tcBorders>
            <w:vAlign w:val="center"/>
          </w:tcPr>
          <w:p w14:paraId="0001F228">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Ⅰ</w:t>
            </w:r>
            <w:r>
              <w:rPr>
                <w:rFonts w:hint="default" w:ascii="Times New Roman" w:hAnsi="Times New Roman" w:cs="Times New Roman"/>
                <w:color w:val="auto"/>
                <w:highlight w:val="none"/>
                <w:vertAlign w:val="subscript"/>
                <w:lang w:val="en-US" w:eastAsia="zh-CN"/>
              </w:rPr>
              <w:t>1</w:t>
            </w:r>
            <w:r>
              <w:rPr>
                <w:rFonts w:hint="default" w:ascii="Times New Roman" w:hAnsi="Times New Roman" w:eastAsia="宋体" w:cs="Times New Roman"/>
                <w:color w:val="auto"/>
                <w:highlight w:val="none"/>
                <w:vertAlign w:val="baseline"/>
                <w:lang w:val="en-US" w:eastAsia="zh-CN"/>
              </w:rPr>
              <w:t>阿尔泰山南坡寒温带针叶林、山地草原水源涵养及草地畜牧业生态亚区</w:t>
            </w:r>
          </w:p>
        </w:tc>
      </w:tr>
      <w:tr w14:paraId="7D211C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5EF76732">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生态功能区</w:t>
            </w:r>
          </w:p>
        </w:tc>
        <w:tc>
          <w:tcPr>
            <w:tcW w:w="6185" w:type="dxa"/>
            <w:tcBorders>
              <w:tl2br w:val="nil"/>
              <w:tr2bl w:val="nil"/>
            </w:tcBorders>
            <w:vAlign w:val="center"/>
          </w:tcPr>
          <w:p w14:paraId="62E86696">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2</w:t>
            </w:r>
            <w:r>
              <w:rPr>
                <w:rFonts w:hint="default" w:ascii="Times New Roman" w:hAnsi="Times New Roman" w:cs="Times New Roman"/>
                <w:color w:val="auto"/>
                <w:highlight w:val="none"/>
              </w:rPr>
              <w:t>.阿尔泰山中部林草保育及矿业开发环境恢复生态功能区</w:t>
            </w:r>
          </w:p>
        </w:tc>
      </w:tr>
      <w:tr w14:paraId="549460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59350884">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主要生态服务功能</w:t>
            </w:r>
          </w:p>
        </w:tc>
        <w:tc>
          <w:tcPr>
            <w:tcW w:w="6185" w:type="dxa"/>
            <w:tcBorders>
              <w:tl2br w:val="nil"/>
              <w:tr2bl w:val="nil"/>
            </w:tcBorders>
            <w:vAlign w:val="center"/>
          </w:tcPr>
          <w:p w14:paraId="259ABC3D">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水源涵养、土壤保持、生物多样性维护、林畜产品生产、矿产资源开发</w:t>
            </w:r>
          </w:p>
        </w:tc>
      </w:tr>
      <w:tr w14:paraId="261FF6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111408E8">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主要生态环境问题</w:t>
            </w:r>
          </w:p>
        </w:tc>
        <w:tc>
          <w:tcPr>
            <w:tcW w:w="6185" w:type="dxa"/>
            <w:tcBorders>
              <w:tl2br w:val="nil"/>
              <w:tr2bl w:val="nil"/>
            </w:tcBorders>
            <w:vAlign w:val="center"/>
          </w:tcPr>
          <w:p w14:paraId="7E92C393">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无序采矿破坏地貌、草地退化、水土流失、环境污染</w:t>
            </w:r>
          </w:p>
        </w:tc>
      </w:tr>
      <w:tr w14:paraId="16138A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5F37FC0F">
            <w:pPr>
              <w:pStyle w:val="135"/>
              <w:widowControl w:val="0"/>
              <w:shd w:val="clear"/>
              <w:kinsoku/>
              <w:autoSpaceDE/>
              <w:autoSpaceDN/>
              <w:bidi w:val="0"/>
              <w:adjustRightInd/>
              <w:snapToGrid/>
              <w:textAlignment w:val="auto"/>
              <w:rPr>
                <w:rFonts w:hint="default" w:ascii="Times New Roman" w:hAnsi="Times New Roman" w:cs="Times New Roman"/>
                <w:b/>
                <w:bCs/>
                <w:snapToGrid/>
                <w:color w:val="auto"/>
                <w:kern w:val="0"/>
                <w:szCs w:val="20"/>
                <w:highlight w:val="none"/>
              </w:rPr>
            </w:pPr>
            <w:r>
              <w:rPr>
                <w:rFonts w:hint="default" w:ascii="Times New Roman" w:hAnsi="Times New Roman" w:cs="Times New Roman"/>
                <w:b/>
                <w:bCs/>
                <w:snapToGrid/>
                <w:color w:val="auto"/>
                <w:kern w:val="0"/>
                <w:szCs w:val="20"/>
                <w:highlight w:val="none"/>
              </w:rPr>
              <w:t>主要生态敏感因子</w:t>
            </w:r>
          </w:p>
          <w:p w14:paraId="3AF29BE7">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敏感程度</w:t>
            </w:r>
          </w:p>
        </w:tc>
        <w:tc>
          <w:tcPr>
            <w:tcW w:w="6185" w:type="dxa"/>
            <w:tcBorders>
              <w:tl2br w:val="nil"/>
              <w:tr2bl w:val="nil"/>
            </w:tcBorders>
            <w:vAlign w:val="center"/>
          </w:tcPr>
          <w:p w14:paraId="25BAE2FC">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生物多样性及其生境高度敏感，土壤侵蚀轻度敏感</w:t>
            </w:r>
          </w:p>
        </w:tc>
      </w:tr>
      <w:tr w14:paraId="07ECDB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7853F6EB">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主要保护目标</w:t>
            </w:r>
          </w:p>
        </w:tc>
        <w:tc>
          <w:tcPr>
            <w:tcW w:w="6185" w:type="dxa"/>
            <w:tcBorders>
              <w:tl2br w:val="nil"/>
              <w:tr2bl w:val="nil"/>
            </w:tcBorders>
            <w:vAlign w:val="center"/>
          </w:tcPr>
          <w:p w14:paraId="2F13CE6A">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保护林草植被、保护野生动物、保护水源</w:t>
            </w:r>
          </w:p>
        </w:tc>
      </w:tr>
      <w:tr w14:paraId="4E8C1B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5152FD73">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主要保护措施</w:t>
            </w:r>
          </w:p>
        </w:tc>
        <w:tc>
          <w:tcPr>
            <w:tcW w:w="6185" w:type="dxa"/>
            <w:tcBorders>
              <w:tl2br w:val="nil"/>
              <w:tr2bl w:val="nil"/>
            </w:tcBorders>
            <w:vAlign w:val="center"/>
          </w:tcPr>
          <w:p w14:paraId="7E4BE0FB">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规范采矿作业、恢复迹地、草原减牧、森林适度采伐</w:t>
            </w:r>
          </w:p>
        </w:tc>
      </w:tr>
      <w:tr w14:paraId="5D5B23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784D9B1D">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lang w:eastAsia="zh-CN"/>
              </w:rPr>
              <w:t>适宜发展方向</w:t>
            </w:r>
          </w:p>
        </w:tc>
        <w:tc>
          <w:tcPr>
            <w:tcW w:w="6185" w:type="dxa"/>
            <w:tcBorders>
              <w:tl2br w:val="nil"/>
              <w:tr2bl w:val="nil"/>
            </w:tcBorders>
            <w:vAlign w:val="center"/>
          </w:tcPr>
          <w:p w14:paraId="1B1BD984">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进行森林人工抚育更新与分类经营，建设草原牧业基地</w:t>
            </w:r>
          </w:p>
        </w:tc>
      </w:tr>
      <w:tr w14:paraId="4BCE34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337" w:type="dxa"/>
            <w:tcBorders>
              <w:tl2br w:val="nil"/>
              <w:tr2bl w:val="nil"/>
            </w:tcBorders>
            <w:vAlign w:val="center"/>
          </w:tcPr>
          <w:p w14:paraId="6707654A">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snapToGrid/>
                <w:color w:val="auto"/>
                <w:kern w:val="0"/>
                <w:szCs w:val="20"/>
                <w:highlight w:val="none"/>
              </w:rPr>
              <w:t>生态区</w:t>
            </w:r>
          </w:p>
        </w:tc>
        <w:tc>
          <w:tcPr>
            <w:tcW w:w="6185" w:type="dxa"/>
            <w:tcBorders>
              <w:tl2br w:val="nil"/>
              <w:tr2bl w:val="nil"/>
            </w:tcBorders>
            <w:vAlign w:val="center"/>
          </w:tcPr>
          <w:p w14:paraId="770F4522">
            <w:pPr>
              <w:pStyle w:val="135"/>
              <w:widowControl w:val="0"/>
              <w:shd w:val="clear"/>
              <w:kinsoku/>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Ⅰ</w:t>
            </w:r>
            <w:r>
              <w:rPr>
                <w:rFonts w:hint="default" w:ascii="Times New Roman" w:hAnsi="Times New Roman" w:eastAsia="宋体" w:cs="Times New Roman"/>
                <w:color w:val="auto"/>
                <w:highlight w:val="none"/>
              </w:rPr>
              <w:t>阿尔泰—准噶尔西部山地温凉森林、草原生态区</w:t>
            </w:r>
          </w:p>
        </w:tc>
      </w:tr>
    </w:tbl>
    <w:p w14:paraId="6BEBEBBE">
      <w:pPr>
        <w:rPr>
          <w:rFonts w:hint="default" w:ascii="Times New Roman" w:hAnsi="Times New Roman" w:cs="Times New Roman"/>
          <w:color w:val="auto"/>
          <w:highlight w:val="none"/>
          <w:lang w:val="en-US" w:eastAsia="zh-CN"/>
        </w:rPr>
      </w:pPr>
    </w:p>
    <w:p w14:paraId="79CB3B6C">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2.5.1.5土壤环境功能区划</w:t>
      </w:r>
    </w:p>
    <w:p w14:paraId="3F0988ED">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项目属于工业用地，根据《土壤环境质量 建设用地土壤污染风险管控标准（试行）》（GB36600-2018），本项目属于第二类用地中的工业用地（M）。</w:t>
      </w:r>
    </w:p>
    <w:p w14:paraId="6BCF4130">
      <w:pPr>
        <w:pStyle w:val="4"/>
        <w:rPr>
          <w:rFonts w:hint="default" w:ascii="Times New Roman" w:hAnsi="Times New Roman" w:cs="Times New Roman"/>
          <w:color w:val="auto"/>
          <w:highlight w:val="none"/>
        </w:rPr>
      </w:pPr>
      <w:bookmarkStart w:id="170" w:name="_Toc7992"/>
      <w:bookmarkStart w:id="171" w:name="_Toc29325"/>
      <w:bookmarkStart w:id="172" w:name="_Toc12662"/>
      <w:bookmarkStart w:id="173" w:name="_Toc16621"/>
      <w:bookmarkStart w:id="174" w:name="_Toc16394"/>
      <w:bookmarkStart w:id="175" w:name="_Toc31747"/>
      <w:bookmarkStart w:id="176" w:name="_Toc20204"/>
      <w:bookmarkStart w:id="177" w:name="_Toc31745"/>
      <w:bookmarkStart w:id="178" w:name="_Toc24772"/>
      <w:r>
        <w:rPr>
          <w:rFonts w:hint="default" w:ascii="Times New Roman" w:hAnsi="Times New Roman" w:cs="Times New Roman"/>
          <w:color w:val="auto"/>
          <w:highlight w:val="none"/>
        </w:rPr>
        <w:t>2.5.2评价标准</w:t>
      </w:r>
      <w:bookmarkEnd w:id="170"/>
      <w:bookmarkEnd w:id="171"/>
      <w:bookmarkEnd w:id="172"/>
      <w:bookmarkEnd w:id="173"/>
      <w:bookmarkEnd w:id="174"/>
      <w:bookmarkEnd w:id="175"/>
      <w:bookmarkEnd w:id="176"/>
      <w:bookmarkEnd w:id="177"/>
      <w:bookmarkEnd w:id="178"/>
    </w:p>
    <w:p w14:paraId="0F9ABCD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2.5.2.1环境质量标准</w:t>
      </w:r>
    </w:p>
    <w:p w14:paraId="437590B7">
      <w:pPr>
        <w:pStyle w:val="53"/>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（1）大气环境</w:t>
      </w:r>
    </w:p>
    <w:p w14:paraId="744065A7">
      <w:pPr>
        <w:pStyle w:val="53"/>
        <w:widowControl/>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按照《环境空气质量标准》（GB3095-20</w:t>
      </w:r>
      <w:r>
        <w:rPr>
          <w:rFonts w:hint="default" w:cs="Times New Roman"/>
          <w:color w:val="auto"/>
          <w:spacing w:val="-1"/>
          <w:highlight w:val="none"/>
          <w:lang w:val="en-US" w:eastAsia="zh-CN"/>
        </w:rPr>
        <w:t>26</w:t>
      </w:r>
      <w:r>
        <w:rPr>
          <w:rFonts w:hint="default" w:ascii="Times New Roman" w:hAnsi="Times New Roman" w:cs="Times New Roman"/>
          <w:color w:val="auto"/>
          <w:spacing w:val="-1"/>
          <w:highlight w:val="none"/>
        </w:rPr>
        <w:t>），本项目区的环境空气功能区划属二类功能区</w:t>
      </w:r>
      <w:r>
        <w:rPr>
          <w:rFonts w:hint="default" w:cs="Times New Roman"/>
          <w:color w:val="auto"/>
          <w:spacing w:val="-1"/>
          <w:highlight w:val="none"/>
          <w:lang w:eastAsia="zh-CN"/>
        </w:rPr>
        <w:t>，</w:t>
      </w:r>
      <w:r>
        <w:rPr>
          <w:rFonts w:hint="default" w:ascii="Times New Roman" w:hAnsi="Times New Roman" w:cs="Times New Roman"/>
          <w:color w:val="auto"/>
          <w:spacing w:val="-1"/>
          <w:highlight w:val="none"/>
        </w:rPr>
        <w:t>执行《环境空气质量标准》（GB3095-20</w:t>
      </w:r>
      <w:r>
        <w:rPr>
          <w:rFonts w:hint="default" w:cs="Times New Roman"/>
          <w:color w:val="auto"/>
          <w:spacing w:val="-1"/>
          <w:highlight w:val="none"/>
          <w:lang w:val="en-US" w:eastAsia="zh-CN"/>
        </w:rPr>
        <w:t>26</w:t>
      </w:r>
      <w:r>
        <w:rPr>
          <w:rFonts w:hint="default" w:ascii="Times New Roman" w:hAnsi="Times New Roman" w:cs="Times New Roman"/>
          <w:color w:val="auto"/>
          <w:spacing w:val="-1"/>
          <w:highlight w:val="none"/>
        </w:rPr>
        <w:t>）二级标准；颗粒物执行《环境空气质量标准》（GB3095-20</w:t>
      </w:r>
      <w:r>
        <w:rPr>
          <w:rFonts w:hint="default" w:cs="Times New Roman"/>
          <w:color w:val="auto"/>
          <w:spacing w:val="-1"/>
          <w:highlight w:val="none"/>
          <w:lang w:val="en-US" w:eastAsia="zh-CN"/>
        </w:rPr>
        <w:t>26</w:t>
      </w:r>
      <w:r>
        <w:rPr>
          <w:rFonts w:hint="default" w:ascii="Times New Roman" w:hAnsi="Times New Roman" w:cs="Times New Roman"/>
          <w:color w:val="auto"/>
          <w:spacing w:val="-1"/>
          <w:highlight w:val="none"/>
        </w:rPr>
        <w:t>）中表</w:t>
      </w:r>
      <w:r>
        <w:rPr>
          <w:rFonts w:hint="default" w:cs="Times New Roman"/>
          <w:color w:val="auto"/>
          <w:spacing w:val="-1"/>
          <w:highlight w:val="none"/>
          <w:lang w:val="en-US" w:eastAsia="zh-CN"/>
        </w:rPr>
        <w:t>2</w:t>
      </w:r>
      <w:r>
        <w:rPr>
          <w:rFonts w:hint="default" w:ascii="Times New Roman" w:hAnsi="Times New Roman" w:cs="Times New Roman"/>
          <w:color w:val="auto"/>
          <w:spacing w:val="-1"/>
          <w:highlight w:val="none"/>
        </w:rPr>
        <w:t>的二级浓度限值，具体标准值见表2.5-1。</w:t>
      </w:r>
    </w:p>
    <w:p w14:paraId="62861229">
      <w:pPr>
        <w:pStyle w:val="47"/>
        <w:widowControl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5-1</w:t>
      </w:r>
      <w:r>
        <w:rPr>
          <w:rFonts w:hint="default" w:ascii="Times New Roman" w:hAnsi="Times New Roman" w:cs="Times New Roman"/>
          <w:color w:val="auto"/>
          <w:highlight w:val="none"/>
          <w:lang w:val="zh-CN"/>
        </w:rPr>
        <w:t xml:space="preserve">    《</w:t>
      </w:r>
      <w:r>
        <w:rPr>
          <w:rFonts w:hint="default" w:ascii="Times New Roman" w:hAnsi="Times New Roman" w:cs="Times New Roman"/>
          <w:color w:val="auto"/>
          <w:highlight w:val="none"/>
        </w:rPr>
        <w:t>环境空气质量标准</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GB3095-20</w:t>
      </w:r>
      <w:r>
        <w:rPr>
          <w:rFonts w:hint="default" w:cs="Times New Roman"/>
          <w:color w:val="auto"/>
          <w:highlight w:val="none"/>
          <w:lang w:val="en-US" w:eastAsia="zh-CN"/>
        </w:rPr>
        <w:t>26</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部分</w:t>
      </w:r>
      <w:r>
        <w:rPr>
          <w:rFonts w:hint="default" w:ascii="Times New Roman" w:hAnsi="Times New Roman" w:cs="Times New Roman"/>
          <w:color w:val="auto"/>
          <w:highlight w:val="none"/>
          <w:lang w:val="zh-CN"/>
        </w:rPr>
        <w:t>）</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183"/>
        <w:gridCol w:w="1842"/>
        <w:gridCol w:w="1535"/>
        <w:gridCol w:w="1608"/>
        <w:gridCol w:w="771"/>
      </w:tblGrid>
      <w:tr w14:paraId="38373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42" w:type="pct"/>
            <w:tcBorders>
              <w:tl2br w:val="nil"/>
              <w:tr2bl w:val="nil"/>
            </w:tcBorders>
            <w:vAlign w:val="center"/>
          </w:tcPr>
          <w:p w14:paraId="33F0E278">
            <w:pPr>
              <w:pStyle w:val="41"/>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序号</w:t>
            </w:r>
          </w:p>
        </w:tc>
        <w:tc>
          <w:tcPr>
            <w:tcW w:w="1280" w:type="pct"/>
            <w:tcBorders>
              <w:tl2br w:val="nil"/>
              <w:tr2bl w:val="nil"/>
            </w:tcBorders>
            <w:vAlign w:val="center"/>
          </w:tcPr>
          <w:p w14:paraId="5AB38141">
            <w:pPr>
              <w:pStyle w:val="41"/>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污染物项目</w:t>
            </w:r>
          </w:p>
        </w:tc>
        <w:tc>
          <w:tcPr>
            <w:tcW w:w="1080" w:type="pct"/>
            <w:tcBorders>
              <w:tl2br w:val="nil"/>
              <w:tr2bl w:val="nil"/>
            </w:tcBorders>
            <w:vAlign w:val="center"/>
          </w:tcPr>
          <w:p w14:paraId="477A4ABC">
            <w:pPr>
              <w:pStyle w:val="41"/>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平均时间</w:t>
            </w:r>
          </w:p>
        </w:tc>
        <w:tc>
          <w:tcPr>
            <w:tcW w:w="900" w:type="pct"/>
            <w:tcBorders>
              <w:tl2br w:val="nil"/>
              <w:tr2bl w:val="nil"/>
            </w:tcBorders>
            <w:vAlign w:val="center"/>
          </w:tcPr>
          <w:p w14:paraId="2298327F">
            <w:pPr>
              <w:pStyle w:val="41"/>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cs="Times New Roman"/>
                <w:b/>
                <w:bCs/>
                <w:color w:val="auto"/>
                <w:spacing w:val="-1"/>
                <w:sz w:val="21"/>
                <w:szCs w:val="21"/>
                <w:highlight w:val="none"/>
                <w:lang w:val="en-US" w:eastAsia="zh-CN"/>
              </w:rPr>
              <w:t>过渡阶段</w:t>
            </w:r>
            <w:r>
              <w:rPr>
                <w:rFonts w:hint="default" w:ascii="Times New Roman" w:hAnsi="Times New Roman" w:cs="Times New Roman"/>
                <w:b/>
                <w:bCs/>
                <w:color w:val="auto"/>
                <w:spacing w:val="-1"/>
                <w:sz w:val="21"/>
                <w:szCs w:val="21"/>
                <w:highlight w:val="none"/>
              </w:rPr>
              <w:t>二级浓度限值</w:t>
            </w:r>
          </w:p>
        </w:tc>
        <w:tc>
          <w:tcPr>
            <w:tcW w:w="943" w:type="pct"/>
            <w:tcBorders>
              <w:tl2br w:val="nil"/>
              <w:tr2bl w:val="nil"/>
            </w:tcBorders>
            <w:vAlign w:val="center"/>
          </w:tcPr>
          <w:p w14:paraId="7BFA3AC2">
            <w:pPr>
              <w:pStyle w:val="41"/>
              <w:spacing w:line="360" w:lineRule="exact"/>
              <w:ind w:firstLine="0" w:firstLineChars="0"/>
              <w:jc w:val="center"/>
              <w:rPr>
                <w:rFonts w:hint="default" w:cs="Times New Roman"/>
                <w:b/>
                <w:bCs/>
                <w:color w:val="auto"/>
                <w:spacing w:val="-1"/>
                <w:sz w:val="21"/>
                <w:szCs w:val="21"/>
                <w:highlight w:val="none"/>
                <w:lang w:val="en-US" w:eastAsia="zh-CN"/>
              </w:rPr>
            </w:pPr>
            <w:r>
              <w:rPr>
                <w:rFonts w:hint="default" w:ascii="Times New Roman" w:hAnsi="Times New Roman" w:cs="Times New Roman"/>
                <w:b/>
                <w:bCs/>
                <w:color w:val="auto"/>
                <w:spacing w:val="-1"/>
                <w:sz w:val="21"/>
                <w:szCs w:val="21"/>
                <w:highlight w:val="none"/>
              </w:rPr>
              <w:t>二级浓度限值</w:t>
            </w:r>
          </w:p>
        </w:tc>
        <w:tc>
          <w:tcPr>
            <w:tcW w:w="452" w:type="pct"/>
            <w:tcBorders>
              <w:tl2br w:val="nil"/>
              <w:tr2bl w:val="nil"/>
            </w:tcBorders>
            <w:vAlign w:val="center"/>
          </w:tcPr>
          <w:p w14:paraId="2FD9768B">
            <w:pPr>
              <w:pStyle w:val="41"/>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单位</w:t>
            </w:r>
          </w:p>
        </w:tc>
      </w:tr>
      <w:tr w14:paraId="24294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tl2br w:val="nil"/>
              <w:tr2bl w:val="nil"/>
            </w:tcBorders>
            <w:vAlign w:val="center"/>
          </w:tcPr>
          <w:p w14:paraId="39AA948E">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1280" w:type="pct"/>
            <w:vMerge w:val="restart"/>
            <w:tcBorders>
              <w:tl2br w:val="nil"/>
              <w:tr2bl w:val="nil"/>
            </w:tcBorders>
            <w:vAlign w:val="center"/>
          </w:tcPr>
          <w:p w14:paraId="2EB13D7C">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二氧化硫（SO</w:t>
            </w:r>
            <w:r>
              <w:rPr>
                <w:rFonts w:hint="default" w:ascii="Times New Roman" w:hAnsi="Times New Roman" w:cs="Times New Roman"/>
                <w:color w:val="auto"/>
                <w:spacing w:val="-1"/>
                <w:sz w:val="21"/>
                <w:szCs w:val="21"/>
                <w:highlight w:val="none"/>
                <w:vertAlign w:val="subscript"/>
              </w:rPr>
              <w:t>2</w:t>
            </w:r>
            <w:r>
              <w:rPr>
                <w:rFonts w:hint="default" w:ascii="Times New Roman" w:hAnsi="Times New Roman" w:cs="Times New Roman"/>
                <w:color w:val="auto"/>
                <w:spacing w:val="-1"/>
                <w:sz w:val="21"/>
                <w:szCs w:val="21"/>
                <w:highlight w:val="none"/>
              </w:rPr>
              <w:t>）</w:t>
            </w:r>
          </w:p>
        </w:tc>
        <w:tc>
          <w:tcPr>
            <w:tcW w:w="1080" w:type="pct"/>
            <w:tcBorders>
              <w:tl2br w:val="nil"/>
              <w:tr2bl w:val="nil"/>
            </w:tcBorders>
            <w:vAlign w:val="center"/>
          </w:tcPr>
          <w:p w14:paraId="11941D84">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900" w:type="pct"/>
            <w:tcBorders>
              <w:tl2br w:val="nil"/>
              <w:tr2bl w:val="nil"/>
            </w:tcBorders>
            <w:vAlign w:val="center"/>
          </w:tcPr>
          <w:p w14:paraId="4C2A6C2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60</w:t>
            </w:r>
          </w:p>
        </w:tc>
        <w:tc>
          <w:tcPr>
            <w:tcW w:w="943" w:type="pct"/>
            <w:tcBorders>
              <w:tl2br w:val="nil"/>
              <w:tr2bl w:val="nil"/>
            </w:tcBorders>
            <w:vAlign w:val="center"/>
          </w:tcPr>
          <w:p w14:paraId="4AA379CF">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20</w:t>
            </w:r>
          </w:p>
        </w:tc>
        <w:tc>
          <w:tcPr>
            <w:tcW w:w="452" w:type="pct"/>
            <w:vMerge w:val="restart"/>
            <w:tcBorders>
              <w:tl2br w:val="nil"/>
              <w:tr2bl w:val="nil"/>
            </w:tcBorders>
            <w:vAlign w:val="center"/>
          </w:tcPr>
          <w:p w14:paraId="247FAE89">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343BF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7CC274C3">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280" w:type="pct"/>
            <w:vMerge w:val="continue"/>
            <w:tcBorders>
              <w:tl2br w:val="nil"/>
              <w:tr2bl w:val="nil"/>
            </w:tcBorders>
            <w:vAlign w:val="center"/>
          </w:tcPr>
          <w:p w14:paraId="44077B93">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080" w:type="pct"/>
            <w:tcBorders>
              <w:tl2br w:val="nil"/>
              <w:tr2bl w:val="nil"/>
            </w:tcBorders>
            <w:vAlign w:val="center"/>
          </w:tcPr>
          <w:p w14:paraId="144F7A0C">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900" w:type="pct"/>
            <w:tcBorders>
              <w:tl2br w:val="nil"/>
              <w:tr2bl w:val="nil"/>
            </w:tcBorders>
            <w:vAlign w:val="center"/>
          </w:tcPr>
          <w:p w14:paraId="658C6952">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150</w:t>
            </w:r>
          </w:p>
        </w:tc>
        <w:tc>
          <w:tcPr>
            <w:tcW w:w="943" w:type="pct"/>
            <w:tcBorders>
              <w:tl2br w:val="nil"/>
              <w:tr2bl w:val="nil"/>
            </w:tcBorders>
            <w:vAlign w:val="center"/>
          </w:tcPr>
          <w:p w14:paraId="6C1F0CDB">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50</w:t>
            </w:r>
          </w:p>
        </w:tc>
        <w:tc>
          <w:tcPr>
            <w:tcW w:w="452" w:type="pct"/>
            <w:vMerge w:val="continue"/>
            <w:tcBorders>
              <w:tl2br w:val="nil"/>
              <w:tr2bl w:val="nil"/>
            </w:tcBorders>
            <w:vAlign w:val="center"/>
          </w:tcPr>
          <w:p w14:paraId="1FE47EBF">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1D627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105A2FAF">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1280" w:type="pct"/>
            <w:vMerge w:val="continue"/>
            <w:tcBorders>
              <w:tl2br w:val="nil"/>
              <w:tr2bl w:val="nil"/>
            </w:tcBorders>
            <w:vAlign w:val="center"/>
          </w:tcPr>
          <w:p w14:paraId="4D089488">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1080" w:type="pct"/>
            <w:tcBorders>
              <w:tl2br w:val="nil"/>
              <w:tr2bl w:val="nil"/>
            </w:tcBorders>
            <w:vAlign w:val="center"/>
          </w:tcPr>
          <w:p w14:paraId="1A1F5EF0">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900" w:type="pct"/>
            <w:tcBorders>
              <w:tl2br w:val="nil"/>
              <w:tr2bl w:val="nil"/>
            </w:tcBorders>
            <w:vAlign w:val="center"/>
          </w:tcPr>
          <w:p w14:paraId="554CB24B">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500</w:t>
            </w:r>
          </w:p>
        </w:tc>
        <w:tc>
          <w:tcPr>
            <w:tcW w:w="943" w:type="pct"/>
            <w:tcBorders>
              <w:tl2br w:val="nil"/>
              <w:tr2bl w:val="nil"/>
            </w:tcBorders>
            <w:vAlign w:val="center"/>
          </w:tcPr>
          <w:p w14:paraId="7526227E">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150</w:t>
            </w:r>
          </w:p>
        </w:tc>
        <w:tc>
          <w:tcPr>
            <w:tcW w:w="452" w:type="pct"/>
            <w:vMerge w:val="continue"/>
            <w:tcBorders>
              <w:tl2br w:val="nil"/>
              <w:tr2bl w:val="nil"/>
            </w:tcBorders>
            <w:vAlign w:val="center"/>
          </w:tcPr>
          <w:p w14:paraId="74D10BBF">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3E149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tl2br w:val="nil"/>
              <w:tr2bl w:val="nil"/>
            </w:tcBorders>
            <w:vAlign w:val="center"/>
          </w:tcPr>
          <w:p w14:paraId="420DC027">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w:t>
            </w:r>
          </w:p>
        </w:tc>
        <w:tc>
          <w:tcPr>
            <w:tcW w:w="1280" w:type="pct"/>
            <w:vMerge w:val="restart"/>
            <w:tcBorders>
              <w:tl2br w:val="nil"/>
              <w:tr2bl w:val="nil"/>
            </w:tcBorders>
            <w:vAlign w:val="center"/>
          </w:tcPr>
          <w:p w14:paraId="05CA060E">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二氧化氮（NO</w:t>
            </w:r>
            <w:r>
              <w:rPr>
                <w:rFonts w:hint="default" w:ascii="Times New Roman" w:hAnsi="Times New Roman" w:cs="Times New Roman"/>
                <w:color w:val="auto"/>
                <w:spacing w:val="-1"/>
                <w:sz w:val="21"/>
                <w:szCs w:val="21"/>
                <w:highlight w:val="none"/>
                <w:vertAlign w:val="subscript"/>
              </w:rPr>
              <w:t>2</w:t>
            </w:r>
            <w:r>
              <w:rPr>
                <w:rFonts w:hint="default" w:ascii="Times New Roman" w:hAnsi="Times New Roman" w:cs="Times New Roman"/>
                <w:color w:val="auto"/>
                <w:spacing w:val="-1"/>
                <w:sz w:val="21"/>
                <w:szCs w:val="21"/>
                <w:highlight w:val="none"/>
              </w:rPr>
              <w:t>）</w:t>
            </w:r>
          </w:p>
        </w:tc>
        <w:tc>
          <w:tcPr>
            <w:tcW w:w="1080" w:type="pct"/>
            <w:tcBorders>
              <w:tl2br w:val="nil"/>
              <w:tr2bl w:val="nil"/>
            </w:tcBorders>
            <w:vAlign w:val="center"/>
          </w:tcPr>
          <w:p w14:paraId="595205FE">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900" w:type="pct"/>
            <w:tcBorders>
              <w:tl2br w:val="nil"/>
              <w:tr2bl w:val="nil"/>
            </w:tcBorders>
            <w:vAlign w:val="center"/>
          </w:tcPr>
          <w:p w14:paraId="7FF486C7">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40</w:t>
            </w:r>
          </w:p>
        </w:tc>
        <w:tc>
          <w:tcPr>
            <w:tcW w:w="943" w:type="pct"/>
            <w:tcBorders>
              <w:tl2br w:val="nil"/>
              <w:tr2bl w:val="nil"/>
            </w:tcBorders>
            <w:vAlign w:val="center"/>
          </w:tcPr>
          <w:p w14:paraId="7A41E3DE">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30</w:t>
            </w:r>
          </w:p>
        </w:tc>
        <w:tc>
          <w:tcPr>
            <w:tcW w:w="452" w:type="pct"/>
            <w:vMerge w:val="restart"/>
            <w:tcBorders>
              <w:tl2br w:val="nil"/>
              <w:tr2bl w:val="nil"/>
            </w:tcBorders>
            <w:vAlign w:val="center"/>
          </w:tcPr>
          <w:p w14:paraId="6BBFAD04">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54ACC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52CFC4CD">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280" w:type="pct"/>
            <w:vMerge w:val="continue"/>
            <w:tcBorders>
              <w:tl2br w:val="nil"/>
              <w:tr2bl w:val="nil"/>
            </w:tcBorders>
            <w:vAlign w:val="center"/>
          </w:tcPr>
          <w:p w14:paraId="0BD5DFC9">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080" w:type="pct"/>
            <w:tcBorders>
              <w:tl2br w:val="nil"/>
              <w:tr2bl w:val="nil"/>
            </w:tcBorders>
            <w:vAlign w:val="center"/>
          </w:tcPr>
          <w:p w14:paraId="22642CEC">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900" w:type="pct"/>
            <w:tcBorders>
              <w:tl2br w:val="nil"/>
              <w:tr2bl w:val="nil"/>
            </w:tcBorders>
            <w:vAlign w:val="center"/>
          </w:tcPr>
          <w:p w14:paraId="5BDB106F">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80</w:t>
            </w:r>
          </w:p>
        </w:tc>
        <w:tc>
          <w:tcPr>
            <w:tcW w:w="943" w:type="pct"/>
            <w:tcBorders>
              <w:tl2br w:val="nil"/>
              <w:tr2bl w:val="nil"/>
            </w:tcBorders>
            <w:vAlign w:val="center"/>
          </w:tcPr>
          <w:p w14:paraId="1354B037">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50</w:t>
            </w:r>
          </w:p>
        </w:tc>
        <w:tc>
          <w:tcPr>
            <w:tcW w:w="452" w:type="pct"/>
            <w:vMerge w:val="continue"/>
            <w:tcBorders>
              <w:tl2br w:val="nil"/>
              <w:tr2bl w:val="nil"/>
            </w:tcBorders>
            <w:vAlign w:val="center"/>
          </w:tcPr>
          <w:p w14:paraId="1692B26A">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41DE9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1DFB3D54">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1280" w:type="pct"/>
            <w:vMerge w:val="continue"/>
            <w:tcBorders>
              <w:tl2br w:val="nil"/>
              <w:tr2bl w:val="nil"/>
            </w:tcBorders>
            <w:vAlign w:val="center"/>
          </w:tcPr>
          <w:p w14:paraId="17436D09">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1080" w:type="pct"/>
            <w:tcBorders>
              <w:tl2br w:val="nil"/>
              <w:tr2bl w:val="nil"/>
            </w:tcBorders>
            <w:vAlign w:val="center"/>
          </w:tcPr>
          <w:p w14:paraId="1D54602E">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900" w:type="pct"/>
            <w:tcBorders>
              <w:tl2br w:val="nil"/>
              <w:tr2bl w:val="nil"/>
            </w:tcBorders>
            <w:vAlign w:val="center"/>
          </w:tcPr>
          <w:p w14:paraId="1D3EE8C7">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200</w:t>
            </w:r>
          </w:p>
        </w:tc>
        <w:tc>
          <w:tcPr>
            <w:tcW w:w="943" w:type="pct"/>
            <w:tcBorders>
              <w:tl2br w:val="nil"/>
              <w:tr2bl w:val="nil"/>
            </w:tcBorders>
            <w:vAlign w:val="center"/>
          </w:tcPr>
          <w:p w14:paraId="374C338C">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200</w:t>
            </w:r>
          </w:p>
        </w:tc>
        <w:tc>
          <w:tcPr>
            <w:tcW w:w="452" w:type="pct"/>
            <w:vMerge w:val="continue"/>
            <w:tcBorders>
              <w:tl2br w:val="nil"/>
              <w:tr2bl w:val="nil"/>
            </w:tcBorders>
            <w:vAlign w:val="center"/>
          </w:tcPr>
          <w:p w14:paraId="02A4A0DC">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2A778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tl2br w:val="nil"/>
              <w:tr2bl w:val="nil"/>
            </w:tcBorders>
            <w:vAlign w:val="center"/>
          </w:tcPr>
          <w:p w14:paraId="345CFB66">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w:t>
            </w:r>
          </w:p>
        </w:tc>
        <w:tc>
          <w:tcPr>
            <w:tcW w:w="1280" w:type="pct"/>
            <w:vMerge w:val="restart"/>
            <w:tcBorders>
              <w:tl2br w:val="nil"/>
              <w:tr2bl w:val="nil"/>
            </w:tcBorders>
            <w:vAlign w:val="center"/>
          </w:tcPr>
          <w:p w14:paraId="5241BDCC">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一氧化碳（CO）</w:t>
            </w:r>
          </w:p>
        </w:tc>
        <w:tc>
          <w:tcPr>
            <w:tcW w:w="1080" w:type="pct"/>
            <w:tcBorders>
              <w:tl2br w:val="nil"/>
              <w:tr2bl w:val="nil"/>
            </w:tcBorders>
            <w:vAlign w:val="center"/>
          </w:tcPr>
          <w:p w14:paraId="06BDD4D0">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900" w:type="pct"/>
            <w:tcBorders>
              <w:tl2br w:val="nil"/>
              <w:tr2bl w:val="nil"/>
            </w:tcBorders>
            <w:vAlign w:val="center"/>
          </w:tcPr>
          <w:p w14:paraId="265D7E69">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w:t>
            </w:r>
          </w:p>
        </w:tc>
        <w:tc>
          <w:tcPr>
            <w:tcW w:w="943" w:type="pct"/>
            <w:tcBorders>
              <w:tl2br w:val="nil"/>
              <w:tr2bl w:val="nil"/>
            </w:tcBorders>
            <w:vAlign w:val="center"/>
          </w:tcPr>
          <w:p w14:paraId="2531FA09">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4</w:t>
            </w:r>
          </w:p>
        </w:tc>
        <w:tc>
          <w:tcPr>
            <w:tcW w:w="452" w:type="pct"/>
            <w:vMerge w:val="restart"/>
            <w:tcBorders>
              <w:tl2br w:val="nil"/>
              <w:tr2bl w:val="nil"/>
            </w:tcBorders>
            <w:vAlign w:val="center"/>
          </w:tcPr>
          <w:p w14:paraId="297B7ACF">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mg/m</w:t>
            </w:r>
            <w:r>
              <w:rPr>
                <w:rFonts w:hint="default" w:ascii="Times New Roman" w:hAnsi="Times New Roman" w:cs="Times New Roman"/>
                <w:color w:val="auto"/>
                <w:spacing w:val="-1"/>
                <w:sz w:val="21"/>
                <w:szCs w:val="21"/>
                <w:highlight w:val="none"/>
                <w:vertAlign w:val="superscript"/>
              </w:rPr>
              <w:t>3</w:t>
            </w:r>
          </w:p>
        </w:tc>
      </w:tr>
      <w:tr w14:paraId="6EB0F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71BAB769">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280" w:type="pct"/>
            <w:vMerge w:val="continue"/>
            <w:tcBorders>
              <w:tl2br w:val="nil"/>
              <w:tr2bl w:val="nil"/>
            </w:tcBorders>
            <w:vAlign w:val="center"/>
          </w:tcPr>
          <w:p w14:paraId="07037ED1">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080" w:type="pct"/>
            <w:tcBorders>
              <w:tl2br w:val="nil"/>
              <w:tr2bl w:val="nil"/>
            </w:tcBorders>
            <w:vAlign w:val="center"/>
          </w:tcPr>
          <w:p w14:paraId="3E3999A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900" w:type="pct"/>
            <w:tcBorders>
              <w:tl2br w:val="nil"/>
              <w:tr2bl w:val="nil"/>
            </w:tcBorders>
            <w:vAlign w:val="center"/>
          </w:tcPr>
          <w:p w14:paraId="48DBEB1A">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10</w:t>
            </w:r>
          </w:p>
        </w:tc>
        <w:tc>
          <w:tcPr>
            <w:tcW w:w="943" w:type="pct"/>
            <w:tcBorders>
              <w:tl2br w:val="nil"/>
              <w:tr2bl w:val="nil"/>
            </w:tcBorders>
            <w:vAlign w:val="center"/>
          </w:tcPr>
          <w:p w14:paraId="790E4311">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10</w:t>
            </w:r>
          </w:p>
        </w:tc>
        <w:tc>
          <w:tcPr>
            <w:tcW w:w="452" w:type="pct"/>
            <w:vMerge w:val="continue"/>
            <w:tcBorders>
              <w:tl2br w:val="nil"/>
              <w:tr2bl w:val="nil"/>
            </w:tcBorders>
            <w:vAlign w:val="center"/>
          </w:tcPr>
          <w:p w14:paraId="7AF18302">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6BA32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tl2br w:val="nil"/>
              <w:tr2bl w:val="nil"/>
            </w:tcBorders>
            <w:vAlign w:val="center"/>
          </w:tcPr>
          <w:p w14:paraId="52CDA1DE">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w:t>
            </w:r>
          </w:p>
        </w:tc>
        <w:tc>
          <w:tcPr>
            <w:tcW w:w="1280" w:type="pct"/>
            <w:vMerge w:val="restart"/>
            <w:tcBorders>
              <w:tl2br w:val="nil"/>
              <w:tr2bl w:val="nil"/>
            </w:tcBorders>
            <w:vAlign w:val="center"/>
          </w:tcPr>
          <w:p w14:paraId="16B743E3">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臭氧（O</w:t>
            </w:r>
            <w:r>
              <w:rPr>
                <w:rFonts w:hint="default" w:ascii="Times New Roman" w:hAnsi="Times New Roman" w:cs="Times New Roman"/>
                <w:color w:val="auto"/>
                <w:spacing w:val="-1"/>
                <w:sz w:val="21"/>
                <w:szCs w:val="21"/>
                <w:highlight w:val="none"/>
                <w:vertAlign w:val="subscript"/>
              </w:rPr>
              <w:t>3</w:t>
            </w:r>
            <w:r>
              <w:rPr>
                <w:rFonts w:hint="default" w:ascii="Times New Roman" w:hAnsi="Times New Roman" w:cs="Times New Roman"/>
                <w:color w:val="auto"/>
                <w:spacing w:val="-1"/>
                <w:sz w:val="21"/>
                <w:szCs w:val="21"/>
                <w:highlight w:val="none"/>
              </w:rPr>
              <w:t>）</w:t>
            </w:r>
          </w:p>
        </w:tc>
        <w:tc>
          <w:tcPr>
            <w:tcW w:w="1080" w:type="pct"/>
            <w:tcBorders>
              <w:tl2br w:val="nil"/>
              <w:tr2bl w:val="nil"/>
            </w:tcBorders>
            <w:vAlign w:val="center"/>
          </w:tcPr>
          <w:p w14:paraId="3CAE005E">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日最大8小时平均</w:t>
            </w:r>
          </w:p>
        </w:tc>
        <w:tc>
          <w:tcPr>
            <w:tcW w:w="900" w:type="pct"/>
            <w:tcBorders>
              <w:tl2br w:val="nil"/>
              <w:tr2bl w:val="nil"/>
            </w:tcBorders>
            <w:vAlign w:val="center"/>
          </w:tcPr>
          <w:p w14:paraId="457AEA6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160</w:t>
            </w:r>
          </w:p>
        </w:tc>
        <w:tc>
          <w:tcPr>
            <w:tcW w:w="943" w:type="pct"/>
            <w:tcBorders>
              <w:tl2br w:val="nil"/>
              <w:tr2bl w:val="nil"/>
            </w:tcBorders>
            <w:vAlign w:val="center"/>
          </w:tcPr>
          <w:p w14:paraId="7DDDE927">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160</w:t>
            </w:r>
          </w:p>
        </w:tc>
        <w:tc>
          <w:tcPr>
            <w:tcW w:w="452" w:type="pct"/>
            <w:vMerge w:val="restart"/>
            <w:tcBorders>
              <w:tl2br w:val="nil"/>
              <w:tr2bl w:val="nil"/>
            </w:tcBorders>
            <w:vAlign w:val="center"/>
          </w:tcPr>
          <w:p w14:paraId="0A03DAA6">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1DBD2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524200C1">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280" w:type="pct"/>
            <w:vMerge w:val="continue"/>
            <w:tcBorders>
              <w:tl2br w:val="nil"/>
              <w:tr2bl w:val="nil"/>
            </w:tcBorders>
            <w:vAlign w:val="center"/>
          </w:tcPr>
          <w:p w14:paraId="7454BC5F">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080" w:type="pct"/>
            <w:tcBorders>
              <w:tl2br w:val="nil"/>
              <w:tr2bl w:val="nil"/>
            </w:tcBorders>
            <w:vAlign w:val="center"/>
          </w:tcPr>
          <w:p w14:paraId="0641ACB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900" w:type="pct"/>
            <w:tcBorders>
              <w:tl2br w:val="nil"/>
              <w:tr2bl w:val="nil"/>
            </w:tcBorders>
            <w:vAlign w:val="center"/>
          </w:tcPr>
          <w:p w14:paraId="4E82643E">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200</w:t>
            </w:r>
          </w:p>
        </w:tc>
        <w:tc>
          <w:tcPr>
            <w:tcW w:w="943" w:type="pct"/>
            <w:tcBorders>
              <w:tl2br w:val="nil"/>
              <w:tr2bl w:val="nil"/>
            </w:tcBorders>
            <w:vAlign w:val="center"/>
          </w:tcPr>
          <w:p w14:paraId="01E1D31C">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200</w:t>
            </w:r>
          </w:p>
        </w:tc>
        <w:tc>
          <w:tcPr>
            <w:tcW w:w="452" w:type="pct"/>
            <w:vMerge w:val="continue"/>
            <w:tcBorders>
              <w:tl2br w:val="nil"/>
              <w:tr2bl w:val="nil"/>
            </w:tcBorders>
            <w:vAlign w:val="center"/>
          </w:tcPr>
          <w:p w14:paraId="66297190">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739CF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tl2br w:val="nil"/>
              <w:tr2bl w:val="nil"/>
            </w:tcBorders>
            <w:vAlign w:val="center"/>
          </w:tcPr>
          <w:p w14:paraId="2E7E6C20">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5</w:t>
            </w:r>
          </w:p>
        </w:tc>
        <w:tc>
          <w:tcPr>
            <w:tcW w:w="1280" w:type="pct"/>
            <w:vMerge w:val="restart"/>
            <w:tcBorders>
              <w:tl2br w:val="nil"/>
              <w:tr2bl w:val="nil"/>
            </w:tcBorders>
            <w:vAlign w:val="center"/>
          </w:tcPr>
          <w:p w14:paraId="307EACED">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PM</w:t>
            </w:r>
            <w:r>
              <w:rPr>
                <w:rFonts w:hint="default" w:ascii="Times New Roman" w:hAnsi="Times New Roman" w:cs="Times New Roman"/>
                <w:color w:val="auto"/>
                <w:spacing w:val="-1"/>
                <w:sz w:val="21"/>
                <w:szCs w:val="21"/>
                <w:highlight w:val="none"/>
                <w:vertAlign w:val="subscript"/>
              </w:rPr>
              <w:t>10</w:t>
            </w:r>
            <w:r>
              <w:rPr>
                <w:rFonts w:hint="default" w:ascii="Times New Roman" w:hAnsi="Times New Roman" w:cs="Times New Roman"/>
                <w:color w:val="auto"/>
                <w:spacing w:val="-1"/>
                <w:sz w:val="21"/>
                <w:szCs w:val="21"/>
                <w:highlight w:val="none"/>
              </w:rPr>
              <w:t>（粒径小于等于10μm）</w:t>
            </w:r>
          </w:p>
        </w:tc>
        <w:tc>
          <w:tcPr>
            <w:tcW w:w="1080" w:type="pct"/>
            <w:tcBorders>
              <w:tl2br w:val="nil"/>
              <w:tr2bl w:val="nil"/>
            </w:tcBorders>
            <w:vAlign w:val="center"/>
          </w:tcPr>
          <w:p w14:paraId="38542AF9">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900" w:type="pct"/>
            <w:tcBorders>
              <w:tl2br w:val="nil"/>
              <w:tr2bl w:val="nil"/>
            </w:tcBorders>
            <w:vAlign w:val="center"/>
          </w:tcPr>
          <w:p w14:paraId="75159410">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eastAsia="zh-CN"/>
              </w:rPr>
              <w:t>6</w:t>
            </w:r>
            <w:r>
              <w:rPr>
                <w:rFonts w:hint="default" w:cs="Times New Roman"/>
                <w:color w:val="auto"/>
                <w:spacing w:val="-1"/>
                <w:sz w:val="21"/>
                <w:szCs w:val="21"/>
                <w:highlight w:val="none"/>
                <w:lang w:val="en-US" w:eastAsia="zh-CN"/>
              </w:rPr>
              <w:t>0</w:t>
            </w:r>
          </w:p>
        </w:tc>
        <w:tc>
          <w:tcPr>
            <w:tcW w:w="943" w:type="pct"/>
            <w:tcBorders>
              <w:tl2br w:val="nil"/>
              <w:tr2bl w:val="nil"/>
            </w:tcBorders>
            <w:vAlign w:val="center"/>
          </w:tcPr>
          <w:p w14:paraId="3C3D8A59">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50</w:t>
            </w:r>
          </w:p>
        </w:tc>
        <w:tc>
          <w:tcPr>
            <w:tcW w:w="452" w:type="pct"/>
            <w:vMerge w:val="restart"/>
            <w:tcBorders>
              <w:tl2br w:val="nil"/>
              <w:tr2bl w:val="nil"/>
            </w:tcBorders>
            <w:vAlign w:val="center"/>
          </w:tcPr>
          <w:p w14:paraId="3671FF3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13F7F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1E3D4033">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280" w:type="pct"/>
            <w:vMerge w:val="continue"/>
            <w:tcBorders>
              <w:tl2br w:val="nil"/>
              <w:tr2bl w:val="nil"/>
            </w:tcBorders>
            <w:vAlign w:val="center"/>
          </w:tcPr>
          <w:p w14:paraId="25E12CC3">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080" w:type="pct"/>
            <w:tcBorders>
              <w:tl2br w:val="nil"/>
              <w:tr2bl w:val="nil"/>
            </w:tcBorders>
            <w:vAlign w:val="center"/>
          </w:tcPr>
          <w:p w14:paraId="5184D4F9">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900" w:type="pct"/>
            <w:tcBorders>
              <w:tl2br w:val="nil"/>
              <w:tr2bl w:val="nil"/>
            </w:tcBorders>
            <w:vAlign w:val="center"/>
          </w:tcPr>
          <w:p w14:paraId="1CBFF61F">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rPr>
              <w:t>1</w:t>
            </w:r>
            <w:r>
              <w:rPr>
                <w:rFonts w:hint="default" w:cs="Times New Roman"/>
                <w:color w:val="auto"/>
                <w:spacing w:val="-1"/>
                <w:sz w:val="21"/>
                <w:szCs w:val="21"/>
                <w:highlight w:val="none"/>
                <w:lang w:val="en-US" w:eastAsia="zh-CN"/>
              </w:rPr>
              <w:t>20</w:t>
            </w:r>
          </w:p>
        </w:tc>
        <w:tc>
          <w:tcPr>
            <w:tcW w:w="943" w:type="pct"/>
            <w:tcBorders>
              <w:tl2br w:val="nil"/>
              <w:tr2bl w:val="nil"/>
            </w:tcBorders>
            <w:vAlign w:val="center"/>
          </w:tcPr>
          <w:p w14:paraId="31726E4A">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100</w:t>
            </w:r>
          </w:p>
        </w:tc>
        <w:tc>
          <w:tcPr>
            <w:tcW w:w="452" w:type="pct"/>
            <w:vMerge w:val="continue"/>
            <w:tcBorders>
              <w:tl2br w:val="nil"/>
              <w:tr2bl w:val="nil"/>
            </w:tcBorders>
            <w:vAlign w:val="center"/>
          </w:tcPr>
          <w:p w14:paraId="138869EC">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148E2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tl2br w:val="nil"/>
              <w:tr2bl w:val="nil"/>
            </w:tcBorders>
            <w:vAlign w:val="center"/>
          </w:tcPr>
          <w:p w14:paraId="73C3129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6</w:t>
            </w:r>
          </w:p>
        </w:tc>
        <w:tc>
          <w:tcPr>
            <w:tcW w:w="1280" w:type="pct"/>
            <w:vMerge w:val="restart"/>
            <w:tcBorders>
              <w:tl2br w:val="nil"/>
              <w:tr2bl w:val="nil"/>
            </w:tcBorders>
            <w:vAlign w:val="center"/>
          </w:tcPr>
          <w:p w14:paraId="1F466E9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PM</w:t>
            </w:r>
            <w:r>
              <w:rPr>
                <w:rFonts w:hint="default" w:ascii="Times New Roman" w:hAnsi="Times New Roman" w:cs="Times New Roman"/>
                <w:color w:val="auto"/>
                <w:spacing w:val="-1"/>
                <w:sz w:val="21"/>
                <w:szCs w:val="21"/>
                <w:highlight w:val="none"/>
                <w:vertAlign w:val="subscript"/>
              </w:rPr>
              <w:t>2.5</w:t>
            </w:r>
            <w:r>
              <w:rPr>
                <w:rFonts w:hint="default" w:ascii="Times New Roman" w:hAnsi="Times New Roman" w:cs="Times New Roman"/>
                <w:color w:val="auto"/>
                <w:spacing w:val="-1"/>
                <w:sz w:val="21"/>
                <w:szCs w:val="21"/>
                <w:highlight w:val="none"/>
              </w:rPr>
              <w:t>（粒径小于等于2.5μm）</w:t>
            </w:r>
          </w:p>
        </w:tc>
        <w:tc>
          <w:tcPr>
            <w:tcW w:w="1080" w:type="pct"/>
            <w:tcBorders>
              <w:tl2br w:val="nil"/>
              <w:tr2bl w:val="nil"/>
            </w:tcBorders>
            <w:vAlign w:val="center"/>
          </w:tcPr>
          <w:p w14:paraId="28222BD1">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900" w:type="pct"/>
            <w:tcBorders>
              <w:tl2br w:val="nil"/>
              <w:tr2bl w:val="nil"/>
            </w:tcBorders>
            <w:vAlign w:val="center"/>
          </w:tcPr>
          <w:p w14:paraId="2A85B01A">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30</w:t>
            </w:r>
          </w:p>
        </w:tc>
        <w:tc>
          <w:tcPr>
            <w:tcW w:w="943" w:type="pct"/>
            <w:tcBorders>
              <w:tl2br w:val="nil"/>
              <w:tr2bl w:val="nil"/>
            </w:tcBorders>
            <w:vAlign w:val="center"/>
          </w:tcPr>
          <w:p w14:paraId="7A86B845">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25</w:t>
            </w:r>
          </w:p>
        </w:tc>
        <w:tc>
          <w:tcPr>
            <w:tcW w:w="452" w:type="pct"/>
            <w:vMerge w:val="restart"/>
            <w:tcBorders>
              <w:tl2br w:val="nil"/>
              <w:tr2bl w:val="nil"/>
            </w:tcBorders>
            <w:vAlign w:val="center"/>
          </w:tcPr>
          <w:p w14:paraId="61769DE8">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05B84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79705EEE">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280" w:type="pct"/>
            <w:vMerge w:val="continue"/>
            <w:tcBorders>
              <w:tl2br w:val="nil"/>
              <w:tr2bl w:val="nil"/>
            </w:tcBorders>
            <w:vAlign w:val="center"/>
          </w:tcPr>
          <w:p w14:paraId="22A75A8D">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080" w:type="pct"/>
            <w:tcBorders>
              <w:tl2br w:val="nil"/>
              <w:tr2bl w:val="nil"/>
            </w:tcBorders>
            <w:vAlign w:val="center"/>
          </w:tcPr>
          <w:p w14:paraId="54A89A36">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900" w:type="pct"/>
            <w:tcBorders>
              <w:tl2br w:val="nil"/>
              <w:tr2bl w:val="nil"/>
            </w:tcBorders>
            <w:vAlign w:val="center"/>
          </w:tcPr>
          <w:p w14:paraId="6F7EAFD3">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60</w:t>
            </w:r>
          </w:p>
        </w:tc>
        <w:tc>
          <w:tcPr>
            <w:tcW w:w="943" w:type="pct"/>
            <w:tcBorders>
              <w:tl2br w:val="nil"/>
              <w:tr2bl w:val="nil"/>
            </w:tcBorders>
            <w:vAlign w:val="center"/>
          </w:tcPr>
          <w:p w14:paraId="2F944806">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50</w:t>
            </w:r>
          </w:p>
        </w:tc>
        <w:tc>
          <w:tcPr>
            <w:tcW w:w="452" w:type="pct"/>
            <w:vMerge w:val="continue"/>
            <w:tcBorders>
              <w:tl2br w:val="nil"/>
              <w:tr2bl w:val="nil"/>
            </w:tcBorders>
            <w:vAlign w:val="center"/>
          </w:tcPr>
          <w:p w14:paraId="6B75A3A6">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26C70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restart"/>
            <w:tcBorders>
              <w:tl2br w:val="nil"/>
              <w:tr2bl w:val="nil"/>
            </w:tcBorders>
            <w:vAlign w:val="center"/>
          </w:tcPr>
          <w:p w14:paraId="0CA0F954">
            <w:pPr>
              <w:pStyle w:val="41"/>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280" w:type="pct"/>
            <w:vMerge w:val="restart"/>
            <w:tcBorders>
              <w:tl2br w:val="nil"/>
              <w:tr2bl w:val="nil"/>
            </w:tcBorders>
            <w:vAlign w:val="center"/>
          </w:tcPr>
          <w:p w14:paraId="445C02FE">
            <w:pPr>
              <w:pStyle w:val="41"/>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总悬浮颗粒物（TSP）</w:t>
            </w:r>
          </w:p>
        </w:tc>
        <w:tc>
          <w:tcPr>
            <w:tcW w:w="1080" w:type="pct"/>
            <w:tcBorders>
              <w:tl2br w:val="nil"/>
              <w:tr2bl w:val="nil"/>
            </w:tcBorders>
            <w:vAlign w:val="center"/>
          </w:tcPr>
          <w:p w14:paraId="3D82E077">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900" w:type="pct"/>
            <w:tcBorders>
              <w:tl2br w:val="nil"/>
              <w:tr2bl w:val="nil"/>
            </w:tcBorders>
            <w:vAlign w:val="center"/>
          </w:tcPr>
          <w:p w14:paraId="50F2BE70">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eastAsia="zh-CN"/>
              </w:rPr>
            </w:pPr>
            <w:r>
              <w:rPr>
                <w:rFonts w:hint="default" w:cs="Times New Roman"/>
                <w:color w:val="auto"/>
                <w:spacing w:val="-1"/>
                <w:sz w:val="21"/>
                <w:szCs w:val="21"/>
                <w:highlight w:val="none"/>
                <w:lang w:val="en-US" w:eastAsia="zh-CN"/>
              </w:rPr>
              <w:t>/</w:t>
            </w:r>
          </w:p>
        </w:tc>
        <w:tc>
          <w:tcPr>
            <w:tcW w:w="943" w:type="pct"/>
            <w:tcBorders>
              <w:tl2br w:val="nil"/>
              <w:tr2bl w:val="nil"/>
            </w:tcBorders>
            <w:vAlign w:val="center"/>
          </w:tcPr>
          <w:p w14:paraId="5CBDF136">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200</w:t>
            </w:r>
          </w:p>
        </w:tc>
        <w:tc>
          <w:tcPr>
            <w:tcW w:w="452" w:type="pct"/>
            <w:vMerge w:val="restart"/>
            <w:tcBorders>
              <w:tl2br w:val="nil"/>
              <w:tr2bl w:val="nil"/>
            </w:tcBorders>
            <w:vAlign w:val="center"/>
          </w:tcPr>
          <w:p w14:paraId="445B4043">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2B591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 w:type="pct"/>
            <w:vMerge w:val="continue"/>
            <w:tcBorders>
              <w:tl2br w:val="nil"/>
              <w:tr2bl w:val="nil"/>
            </w:tcBorders>
            <w:vAlign w:val="center"/>
          </w:tcPr>
          <w:p w14:paraId="0CB0C1D1">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280" w:type="pct"/>
            <w:vMerge w:val="continue"/>
            <w:tcBorders>
              <w:tl2br w:val="nil"/>
              <w:tr2bl w:val="nil"/>
            </w:tcBorders>
            <w:vAlign w:val="center"/>
          </w:tcPr>
          <w:p w14:paraId="49809BF7">
            <w:pPr>
              <w:pStyle w:val="41"/>
              <w:spacing w:line="360" w:lineRule="exact"/>
              <w:ind w:firstLine="0" w:firstLineChars="0"/>
              <w:jc w:val="center"/>
              <w:rPr>
                <w:rFonts w:hint="default" w:ascii="Times New Roman" w:hAnsi="Times New Roman" w:cs="Times New Roman"/>
                <w:color w:val="auto"/>
                <w:sz w:val="21"/>
                <w:szCs w:val="21"/>
                <w:highlight w:val="none"/>
              </w:rPr>
            </w:pPr>
          </w:p>
        </w:tc>
        <w:tc>
          <w:tcPr>
            <w:tcW w:w="1080" w:type="pct"/>
            <w:tcBorders>
              <w:tl2br w:val="nil"/>
              <w:tr2bl w:val="nil"/>
            </w:tcBorders>
            <w:vAlign w:val="center"/>
          </w:tcPr>
          <w:p w14:paraId="75B60459">
            <w:pPr>
              <w:pStyle w:val="41"/>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900" w:type="pct"/>
            <w:tcBorders>
              <w:tl2br w:val="nil"/>
              <w:tr2bl w:val="nil"/>
            </w:tcBorders>
            <w:vAlign w:val="center"/>
          </w:tcPr>
          <w:p w14:paraId="7C23A28A">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eastAsia="zh-CN"/>
              </w:rPr>
            </w:pPr>
            <w:r>
              <w:rPr>
                <w:rFonts w:hint="default" w:cs="Times New Roman"/>
                <w:color w:val="auto"/>
                <w:spacing w:val="-1"/>
                <w:sz w:val="21"/>
                <w:szCs w:val="21"/>
                <w:highlight w:val="none"/>
                <w:lang w:val="en-US" w:eastAsia="zh-CN"/>
              </w:rPr>
              <w:t>/</w:t>
            </w:r>
          </w:p>
        </w:tc>
        <w:tc>
          <w:tcPr>
            <w:tcW w:w="943" w:type="pct"/>
            <w:tcBorders>
              <w:tl2br w:val="nil"/>
              <w:tr2bl w:val="nil"/>
            </w:tcBorders>
            <w:vAlign w:val="center"/>
          </w:tcPr>
          <w:p w14:paraId="0880113E">
            <w:pPr>
              <w:pStyle w:val="41"/>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300</w:t>
            </w:r>
          </w:p>
        </w:tc>
        <w:tc>
          <w:tcPr>
            <w:tcW w:w="452" w:type="pct"/>
            <w:vMerge w:val="continue"/>
            <w:tcBorders>
              <w:tl2br w:val="nil"/>
              <w:tr2bl w:val="nil"/>
            </w:tcBorders>
            <w:vAlign w:val="center"/>
          </w:tcPr>
          <w:p w14:paraId="43F7A933">
            <w:pPr>
              <w:pStyle w:val="41"/>
              <w:spacing w:line="360" w:lineRule="exact"/>
              <w:ind w:firstLine="0" w:firstLineChars="0"/>
              <w:jc w:val="center"/>
              <w:rPr>
                <w:rFonts w:hint="default" w:ascii="Times New Roman" w:hAnsi="Times New Roman" w:cs="Times New Roman"/>
                <w:color w:val="auto"/>
                <w:spacing w:val="-1"/>
                <w:sz w:val="21"/>
                <w:szCs w:val="21"/>
                <w:highlight w:val="none"/>
              </w:rPr>
            </w:pPr>
          </w:p>
        </w:tc>
      </w:tr>
    </w:tbl>
    <w:p w14:paraId="0570D20B">
      <w:pPr>
        <w:pStyle w:val="53"/>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w:t>
      </w:r>
      <w:r>
        <w:rPr>
          <w:rFonts w:hint="default" w:ascii="Times New Roman" w:hAnsi="Times New Roman" w:cs="Times New Roman"/>
          <w:color w:val="auto"/>
          <w:spacing w:val="-1"/>
          <w:highlight w:val="none"/>
          <w:lang w:val="en-US" w:eastAsia="zh-CN"/>
        </w:rPr>
        <w:t>2</w:t>
      </w:r>
      <w:r>
        <w:rPr>
          <w:rFonts w:hint="default" w:ascii="Times New Roman" w:hAnsi="Times New Roman" w:cs="Times New Roman"/>
          <w:color w:val="auto"/>
          <w:spacing w:val="-1"/>
          <w:highlight w:val="none"/>
        </w:rPr>
        <w:t>）地下水环境</w:t>
      </w:r>
    </w:p>
    <w:p w14:paraId="5CCB949F">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项目区地下水执行《地下水质量标准》（GB/T14848-2017）Ⅲ类标准。具体标准值见表2.5-</w:t>
      </w:r>
      <w:r>
        <w:rPr>
          <w:rFonts w:hint="default" w:ascii="Times New Roman" w:hAnsi="Times New Roman" w:cs="Times New Roman"/>
          <w:color w:val="auto"/>
          <w:spacing w:val="-1"/>
          <w:highlight w:val="none"/>
          <w:lang w:val="en-US" w:eastAsia="zh-CN"/>
        </w:rPr>
        <w:t>2</w:t>
      </w:r>
      <w:r>
        <w:rPr>
          <w:rFonts w:hint="default" w:ascii="Times New Roman" w:hAnsi="Times New Roman" w:cs="Times New Roman"/>
          <w:color w:val="auto"/>
          <w:spacing w:val="-1"/>
          <w:highlight w:val="none"/>
        </w:rPr>
        <w:t>。</w:t>
      </w:r>
    </w:p>
    <w:p w14:paraId="0BA5018C">
      <w:pPr>
        <w:pStyle w:val="47"/>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rPr>
        <w:t xml:space="preserve">    《地下水质量标准》</w:t>
      </w:r>
      <w:r>
        <w:rPr>
          <w:rFonts w:hint="default" w:ascii="Times New Roman" w:hAnsi="Times New Roman" w:cs="Times New Roman"/>
          <w:color w:val="auto"/>
          <w:highlight w:val="none"/>
        </w:rPr>
        <w:t>单位：mg/L</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39"/>
        <w:gridCol w:w="2499"/>
        <w:gridCol w:w="1113"/>
        <w:gridCol w:w="1125"/>
        <w:gridCol w:w="2943"/>
      </w:tblGrid>
      <w:tr w14:paraId="55E2D4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492" w:type="pct"/>
            <w:tcBorders>
              <w:tl2br w:val="nil"/>
              <w:tr2bl w:val="nil"/>
            </w:tcBorders>
            <w:vAlign w:val="center"/>
          </w:tcPr>
          <w:p w14:paraId="38E82BFA">
            <w:pPr>
              <w:pStyle w:val="132"/>
              <w:bidi w:val="0"/>
              <w:rPr>
                <w:rFonts w:hint="default"/>
                <w:b/>
                <w:bCs/>
                <w:color w:val="auto"/>
                <w:highlight w:val="none"/>
                <w:lang w:val="en-US" w:eastAsia="zh-CN"/>
              </w:rPr>
            </w:pPr>
            <w:r>
              <w:rPr>
                <w:rFonts w:hint="default"/>
                <w:b/>
                <w:bCs/>
                <w:color w:val="auto"/>
                <w:highlight w:val="none"/>
                <w:lang w:val="en-US" w:eastAsia="zh-CN"/>
              </w:rPr>
              <w:t>序号</w:t>
            </w:r>
          </w:p>
        </w:tc>
        <w:tc>
          <w:tcPr>
            <w:tcW w:w="1466" w:type="pct"/>
            <w:tcBorders>
              <w:tl2br w:val="nil"/>
              <w:tr2bl w:val="nil"/>
            </w:tcBorders>
            <w:vAlign w:val="center"/>
          </w:tcPr>
          <w:p w14:paraId="30B0F301">
            <w:pPr>
              <w:pStyle w:val="132"/>
              <w:bidi w:val="0"/>
              <w:rPr>
                <w:rFonts w:hint="default"/>
                <w:b/>
                <w:bCs/>
                <w:color w:val="auto"/>
                <w:highlight w:val="none"/>
                <w:lang w:val="en-US" w:eastAsia="zh-CN"/>
              </w:rPr>
            </w:pPr>
            <w:r>
              <w:rPr>
                <w:rFonts w:hint="default"/>
                <w:b/>
                <w:bCs/>
                <w:color w:val="auto"/>
                <w:highlight w:val="none"/>
                <w:lang w:val="en-US" w:eastAsia="zh-CN"/>
              </w:rPr>
              <w:t>监测项目</w:t>
            </w:r>
          </w:p>
        </w:tc>
        <w:tc>
          <w:tcPr>
            <w:tcW w:w="653" w:type="pct"/>
            <w:tcBorders>
              <w:tl2br w:val="nil"/>
              <w:tr2bl w:val="nil"/>
            </w:tcBorders>
            <w:vAlign w:val="center"/>
          </w:tcPr>
          <w:p w14:paraId="15E87352">
            <w:pPr>
              <w:pStyle w:val="132"/>
              <w:bidi w:val="0"/>
              <w:rPr>
                <w:rFonts w:hint="default"/>
                <w:b/>
                <w:bCs/>
                <w:color w:val="auto"/>
                <w:highlight w:val="none"/>
                <w:lang w:val="en-US" w:eastAsia="zh-CN"/>
              </w:rPr>
            </w:pPr>
            <w:r>
              <w:rPr>
                <w:rFonts w:hint="default"/>
                <w:b/>
                <w:bCs/>
                <w:color w:val="auto"/>
                <w:highlight w:val="none"/>
                <w:lang w:val="en-US" w:eastAsia="zh-CN"/>
              </w:rPr>
              <w:t>单位</w:t>
            </w:r>
          </w:p>
        </w:tc>
        <w:tc>
          <w:tcPr>
            <w:tcW w:w="660" w:type="pct"/>
            <w:tcBorders>
              <w:tl2br w:val="nil"/>
              <w:tr2bl w:val="nil"/>
            </w:tcBorders>
            <w:vAlign w:val="center"/>
          </w:tcPr>
          <w:p w14:paraId="7780A67D">
            <w:pPr>
              <w:pStyle w:val="132"/>
              <w:bidi w:val="0"/>
              <w:rPr>
                <w:rFonts w:hint="default"/>
                <w:b/>
                <w:bCs/>
                <w:color w:val="auto"/>
                <w:highlight w:val="none"/>
                <w:lang w:val="en-US" w:eastAsia="zh-CN"/>
              </w:rPr>
            </w:pPr>
            <w:r>
              <w:rPr>
                <w:rFonts w:hint="default"/>
                <w:b/>
                <w:bCs/>
                <w:color w:val="auto"/>
                <w:highlight w:val="none"/>
                <w:lang w:val="en-US" w:eastAsia="zh-CN"/>
              </w:rPr>
              <w:t>标准值</w:t>
            </w:r>
          </w:p>
        </w:tc>
        <w:tc>
          <w:tcPr>
            <w:tcW w:w="1727" w:type="pct"/>
            <w:tcBorders>
              <w:tl2br w:val="nil"/>
              <w:tr2bl w:val="nil"/>
            </w:tcBorders>
            <w:vAlign w:val="center"/>
          </w:tcPr>
          <w:p w14:paraId="50829C13">
            <w:pPr>
              <w:pStyle w:val="132"/>
              <w:bidi w:val="0"/>
              <w:rPr>
                <w:rFonts w:hint="default"/>
                <w:b/>
                <w:bCs/>
                <w:color w:val="auto"/>
                <w:highlight w:val="none"/>
                <w:lang w:val="en-US" w:eastAsia="zh-CN"/>
              </w:rPr>
            </w:pPr>
            <w:r>
              <w:rPr>
                <w:rFonts w:hint="default"/>
                <w:b/>
                <w:bCs/>
                <w:color w:val="auto"/>
                <w:highlight w:val="none"/>
                <w:lang w:val="en-US" w:eastAsia="zh-CN"/>
              </w:rPr>
              <w:t>标准来源</w:t>
            </w:r>
          </w:p>
        </w:tc>
      </w:tr>
      <w:tr w14:paraId="633B2D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7B756D82">
            <w:pPr>
              <w:pStyle w:val="132"/>
              <w:bidi w:val="0"/>
              <w:ind w:firstLine="0" w:firstLineChars="0"/>
              <w:rPr>
                <w:rFonts w:hint="default" w:ascii="Times New Roman" w:hAnsi="Times New Roman" w:eastAsia="宋体" w:cs="Times New Roman"/>
                <w:b w:val="0"/>
                <w:bCs w:val="0"/>
                <w:color w:val="auto"/>
                <w:kern w:val="0"/>
                <w:sz w:val="21"/>
                <w:szCs w:val="24"/>
                <w:highlight w:val="none"/>
                <w:lang w:val="en-US" w:eastAsia="zh-CN" w:bidi="ar-SA"/>
              </w:rPr>
            </w:pPr>
            <w:r>
              <w:rPr>
                <w:b w:val="0"/>
                <w:bCs w:val="0"/>
                <w:color w:val="auto"/>
                <w:highlight w:val="none"/>
              </w:rPr>
              <w:t>1</w:t>
            </w:r>
          </w:p>
        </w:tc>
        <w:tc>
          <w:tcPr>
            <w:tcW w:w="1466" w:type="pct"/>
            <w:tcBorders>
              <w:tl2br w:val="nil"/>
              <w:tr2bl w:val="nil"/>
            </w:tcBorders>
            <w:vAlign w:val="center"/>
          </w:tcPr>
          <w:p w14:paraId="083D1E46">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色度</w:t>
            </w:r>
          </w:p>
        </w:tc>
        <w:tc>
          <w:tcPr>
            <w:tcW w:w="653" w:type="pct"/>
            <w:tcBorders>
              <w:tl2br w:val="nil"/>
              <w:tr2bl w:val="nil"/>
            </w:tcBorders>
            <w:vAlign w:val="center"/>
          </w:tcPr>
          <w:p w14:paraId="37A4DAED">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度</w:t>
            </w:r>
          </w:p>
        </w:tc>
        <w:tc>
          <w:tcPr>
            <w:tcW w:w="660" w:type="pct"/>
            <w:tcBorders>
              <w:tl2br w:val="nil"/>
              <w:tr2bl w:val="nil"/>
            </w:tcBorders>
            <w:vAlign w:val="center"/>
          </w:tcPr>
          <w:p w14:paraId="012514A5">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≤15</w:t>
            </w:r>
          </w:p>
        </w:tc>
        <w:tc>
          <w:tcPr>
            <w:tcW w:w="1727" w:type="pct"/>
            <w:vMerge w:val="restart"/>
            <w:tcBorders>
              <w:tl2br w:val="nil"/>
              <w:tr2bl w:val="nil"/>
            </w:tcBorders>
            <w:vAlign w:val="center"/>
          </w:tcPr>
          <w:p w14:paraId="1F827896">
            <w:pPr>
              <w:pStyle w:val="132"/>
              <w:bidi w:val="0"/>
              <w:rPr>
                <w:rFonts w:hint="default"/>
                <w:b w:val="0"/>
                <w:bCs w:val="0"/>
                <w:color w:val="auto"/>
                <w:highlight w:val="none"/>
                <w:lang w:val="en-US" w:eastAsia="zh-CN"/>
              </w:rPr>
            </w:pPr>
            <w:r>
              <w:rPr>
                <w:rFonts w:hint="default"/>
                <w:b w:val="0"/>
                <w:bCs w:val="0"/>
                <w:color w:val="auto"/>
                <w:highlight w:val="none"/>
                <w:lang w:val="en-US" w:eastAsia="zh-CN"/>
              </w:rPr>
              <w:t xml:space="preserve">GB/T14848-2017 </w:t>
            </w:r>
            <w:r>
              <w:rPr>
                <w:rFonts w:hint="default" w:ascii="Times New Roman" w:hAnsi="Times New Roman" w:cs="Times New Roman"/>
                <w:color w:val="auto"/>
                <w:spacing w:val="-1"/>
                <w:highlight w:val="none"/>
              </w:rPr>
              <w:t>Ⅲ</w:t>
            </w:r>
            <w:r>
              <w:rPr>
                <w:rFonts w:hint="default"/>
                <w:b w:val="0"/>
                <w:bCs w:val="0"/>
                <w:color w:val="auto"/>
                <w:highlight w:val="none"/>
                <w:lang w:val="en-US" w:eastAsia="zh-CN"/>
              </w:rPr>
              <w:t>类</w:t>
            </w:r>
          </w:p>
        </w:tc>
      </w:tr>
      <w:tr w14:paraId="619FED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0F5EF98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w:t>
            </w:r>
          </w:p>
        </w:tc>
        <w:tc>
          <w:tcPr>
            <w:tcW w:w="1466" w:type="pct"/>
            <w:tcBorders>
              <w:tl2br w:val="nil"/>
              <w:tr2bl w:val="nil"/>
            </w:tcBorders>
            <w:vAlign w:val="center"/>
          </w:tcPr>
          <w:p w14:paraId="3FE138D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钾离子</w:t>
            </w:r>
          </w:p>
        </w:tc>
        <w:tc>
          <w:tcPr>
            <w:tcW w:w="653" w:type="pct"/>
            <w:vMerge w:val="restart"/>
            <w:tcBorders>
              <w:tl2br w:val="nil"/>
              <w:tr2bl w:val="nil"/>
            </w:tcBorders>
            <w:vAlign w:val="center"/>
          </w:tcPr>
          <w:p w14:paraId="52BEC97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mg/L</w:t>
            </w:r>
          </w:p>
        </w:tc>
        <w:tc>
          <w:tcPr>
            <w:tcW w:w="660" w:type="pct"/>
            <w:tcBorders>
              <w:tl2br w:val="nil"/>
              <w:tr2bl w:val="nil"/>
            </w:tcBorders>
            <w:vAlign w:val="center"/>
          </w:tcPr>
          <w:p w14:paraId="4B7C98C1">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c>
          <w:tcPr>
            <w:tcW w:w="1727" w:type="pct"/>
            <w:vMerge w:val="continue"/>
            <w:tcBorders>
              <w:tl2br w:val="nil"/>
              <w:tr2bl w:val="nil"/>
            </w:tcBorders>
            <w:vAlign w:val="center"/>
          </w:tcPr>
          <w:p w14:paraId="5A051088">
            <w:pPr>
              <w:pStyle w:val="132"/>
              <w:bidi w:val="0"/>
              <w:rPr>
                <w:rFonts w:hint="default"/>
                <w:b w:val="0"/>
                <w:bCs w:val="0"/>
                <w:color w:val="auto"/>
                <w:highlight w:val="none"/>
                <w:lang w:val="en-US" w:eastAsia="zh-CN"/>
              </w:rPr>
            </w:pPr>
          </w:p>
        </w:tc>
      </w:tr>
      <w:tr w14:paraId="04DEF9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0DAEA65D">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3</w:t>
            </w:r>
          </w:p>
        </w:tc>
        <w:tc>
          <w:tcPr>
            <w:tcW w:w="1466" w:type="pct"/>
            <w:tcBorders>
              <w:tl2br w:val="nil"/>
              <w:tr2bl w:val="nil"/>
            </w:tcBorders>
            <w:vAlign w:val="center"/>
          </w:tcPr>
          <w:p w14:paraId="59524DA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钠离子</w:t>
            </w:r>
          </w:p>
        </w:tc>
        <w:tc>
          <w:tcPr>
            <w:tcW w:w="653" w:type="pct"/>
            <w:vMerge w:val="continue"/>
            <w:tcBorders>
              <w:tl2br w:val="nil"/>
              <w:tr2bl w:val="nil"/>
            </w:tcBorders>
            <w:vAlign w:val="center"/>
          </w:tcPr>
          <w:p w14:paraId="43E6518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20257474">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≤200</w:t>
            </w:r>
          </w:p>
        </w:tc>
        <w:tc>
          <w:tcPr>
            <w:tcW w:w="1727" w:type="pct"/>
            <w:vMerge w:val="continue"/>
            <w:tcBorders>
              <w:tl2br w:val="nil"/>
              <w:tr2bl w:val="nil"/>
            </w:tcBorders>
            <w:vAlign w:val="center"/>
          </w:tcPr>
          <w:p w14:paraId="0D6D92FE">
            <w:pPr>
              <w:pStyle w:val="132"/>
              <w:bidi w:val="0"/>
              <w:rPr>
                <w:rFonts w:hint="default"/>
                <w:b w:val="0"/>
                <w:bCs w:val="0"/>
                <w:color w:val="auto"/>
                <w:highlight w:val="none"/>
                <w:lang w:val="en-US" w:eastAsia="zh-CN"/>
              </w:rPr>
            </w:pPr>
          </w:p>
        </w:tc>
      </w:tr>
      <w:tr w14:paraId="579DAF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4298C39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4</w:t>
            </w:r>
          </w:p>
        </w:tc>
        <w:tc>
          <w:tcPr>
            <w:tcW w:w="1466" w:type="pct"/>
            <w:tcBorders>
              <w:tl2br w:val="nil"/>
              <w:tr2bl w:val="nil"/>
            </w:tcBorders>
            <w:vAlign w:val="center"/>
          </w:tcPr>
          <w:p w14:paraId="368DF163">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钙离子</w:t>
            </w:r>
          </w:p>
        </w:tc>
        <w:tc>
          <w:tcPr>
            <w:tcW w:w="653" w:type="pct"/>
            <w:vMerge w:val="continue"/>
            <w:tcBorders>
              <w:tl2br w:val="nil"/>
              <w:tr2bl w:val="nil"/>
            </w:tcBorders>
            <w:vAlign w:val="center"/>
          </w:tcPr>
          <w:p w14:paraId="14EF9742">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251118DF">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c>
          <w:tcPr>
            <w:tcW w:w="1727" w:type="pct"/>
            <w:vMerge w:val="continue"/>
            <w:tcBorders>
              <w:tl2br w:val="nil"/>
              <w:tr2bl w:val="nil"/>
            </w:tcBorders>
            <w:vAlign w:val="center"/>
          </w:tcPr>
          <w:p w14:paraId="14678C66">
            <w:pPr>
              <w:pStyle w:val="132"/>
              <w:bidi w:val="0"/>
              <w:rPr>
                <w:rFonts w:hint="default"/>
                <w:b w:val="0"/>
                <w:bCs w:val="0"/>
                <w:color w:val="auto"/>
                <w:highlight w:val="none"/>
                <w:lang w:val="en-US" w:eastAsia="zh-CN"/>
              </w:rPr>
            </w:pPr>
          </w:p>
        </w:tc>
      </w:tr>
      <w:tr w14:paraId="7D484B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90B4CA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5</w:t>
            </w:r>
          </w:p>
        </w:tc>
        <w:tc>
          <w:tcPr>
            <w:tcW w:w="1466" w:type="pct"/>
            <w:tcBorders>
              <w:tl2br w:val="nil"/>
              <w:tr2bl w:val="nil"/>
            </w:tcBorders>
            <w:vAlign w:val="center"/>
          </w:tcPr>
          <w:p w14:paraId="178F46D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镁离子</w:t>
            </w:r>
          </w:p>
        </w:tc>
        <w:tc>
          <w:tcPr>
            <w:tcW w:w="653" w:type="pct"/>
            <w:vMerge w:val="continue"/>
            <w:tcBorders>
              <w:tl2br w:val="nil"/>
              <w:tr2bl w:val="nil"/>
            </w:tcBorders>
            <w:vAlign w:val="center"/>
          </w:tcPr>
          <w:p w14:paraId="7FA75AF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7D6E6996">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c>
          <w:tcPr>
            <w:tcW w:w="1727" w:type="pct"/>
            <w:vMerge w:val="continue"/>
            <w:tcBorders>
              <w:tl2br w:val="nil"/>
              <w:tr2bl w:val="nil"/>
            </w:tcBorders>
            <w:vAlign w:val="center"/>
          </w:tcPr>
          <w:p w14:paraId="1F7A6307">
            <w:pPr>
              <w:pStyle w:val="132"/>
              <w:bidi w:val="0"/>
              <w:rPr>
                <w:rFonts w:hint="default"/>
                <w:b w:val="0"/>
                <w:bCs w:val="0"/>
                <w:color w:val="auto"/>
                <w:highlight w:val="none"/>
                <w:lang w:val="en-US" w:eastAsia="zh-CN"/>
              </w:rPr>
            </w:pPr>
          </w:p>
        </w:tc>
      </w:tr>
      <w:tr w14:paraId="301E2F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26417AB2">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6</w:t>
            </w:r>
          </w:p>
        </w:tc>
        <w:tc>
          <w:tcPr>
            <w:tcW w:w="1466" w:type="pct"/>
            <w:tcBorders>
              <w:tl2br w:val="nil"/>
              <w:tr2bl w:val="nil"/>
            </w:tcBorders>
            <w:vAlign w:val="center"/>
          </w:tcPr>
          <w:p w14:paraId="186EF1A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碱度</w:t>
            </w:r>
            <w:r>
              <w:rPr>
                <w:rFonts w:hint="default"/>
                <w:b w:val="0"/>
                <w:bCs w:val="0"/>
                <w:color w:val="auto"/>
                <w:highlight w:val="none"/>
                <w:lang w:eastAsia="zh-CN"/>
              </w:rPr>
              <w:t>（</w:t>
            </w:r>
            <w:r>
              <w:rPr>
                <w:b w:val="0"/>
                <w:bCs w:val="0"/>
                <w:color w:val="auto"/>
                <w:highlight w:val="none"/>
              </w:rPr>
              <w:t>碳酸根</w:t>
            </w:r>
            <w:r>
              <w:rPr>
                <w:rFonts w:hint="default"/>
                <w:b w:val="0"/>
                <w:bCs w:val="0"/>
                <w:color w:val="auto"/>
                <w:highlight w:val="none"/>
                <w:lang w:eastAsia="zh-CN"/>
              </w:rPr>
              <w:t>）</w:t>
            </w:r>
          </w:p>
        </w:tc>
        <w:tc>
          <w:tcPr>
            <w:tcW w:w="653" w:type="pct"/>
            <w:vMerge w:val="continue"/>
            <w:tcBorders>
              <w:tl2br w:val="nil"/>
              <w:tr2bl w:val="nil"/>
            </w:tcBorders>
            <w:vAlign w:val="center"/>
          </w:tcPr>
          <w:p w14:paraId="0E39472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5BAB4740">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c>
          <w:tcPr>
            <w:tcW w:w="1727" w:type="pct"/>
            <w:vMerge w:val="continue"/>
            <w:tcBorders>
              <w:tl2br w:val="nil"/>
              <w:tr2bl w:val="nil"/>
            </w:tcBorders>
            <w:vAlign w:val="center"/>
          </w:tcPr>
          <w:p w14:paraId="18D9DCBB">
            <w:pPr>
              <w:pStyle w:val="132"/>
              <w:bidi w:val="0"/>
              <w:rPr>
                <w:rFonts w:hint="default"/>
                <w:b w:val="0"/>
                <w:bCs w:val="0"/>
                <w:color w:val="auto"/>
                <w:highlight w:val="none"/>
                <w:lang w:val="en-US" w:eastAsia="zh-CN"/>
              </w:rPr>
            </w:pPr>
          </w:p>
        </w:tc>
      </w:tr>
      <w:tr w14:paraId="723714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295AF245">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7</w:t>
            </w:r>
          </w:p>
        </w:tc>
        <w:tc>
          <w:tcPr>
            <w:tcW w:w="1466" w:type="pct"/>
            <w:tcBorders>
              <w:tl2br w:val="nil"/>
              <w:tr2bl w:val="nil"/>
            </w:tcBorders>
            <w:vAlign w:val="center"/>
          </w:tcPr>
          <w:p w14:paraId="0E37AB2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碱度</w:t>
            </w:r>
            <w:r>
              <w:rPr>
                <w:rFonts w:hint="default"/>
                <w:b w:val="0"/>
                <w:bCs w:val="0"/>
                <w:color w:val="auto"/>
                <w:highlight w:val="none"/>
                <w:lang w:eastAsia="zh-CN"/>
              </w:rPr>
              <w:t>（</w:t>
            </w:r>
            <w:r>
              <w:rPr>
                <w:b w:val="0"/>
                <w:bCs w:val="0"/>
                <w:color w:val="auto"/>
                <w:highlight w:val="none"/>
              </w:rPr>
              <w:t>碳酸氢根</w:t>
            </w:r>
            <w:r>
              <w:rPr>
                <w:rFonts w:hint="default"/>
                <w:b w:val="0"/>
                <w:bCs w:val="0"/>
                <w:color w:val="auto"/>
                <w:highlight w:val="none"/>
                <w:lang w:eastAsia="zh-CN"/>
              </w:rPr>
              <w:t>）</w:t>
            </w:r>
          </w:p>
        </w:tc>
        <w:tc>
          <w:tcPr>
            <w:tcW w:w="653" w:type="pct"/>
            <w:vMerge w:val="continue"/>
            <w:tcBorders>
              <w:tl2br w:val="nil"/>
              <w:tr2bl w:val="nil"/>
            </w:tcBorders>
            <w:vAlign w:val="center"/>
          </w:tcPr>
          <w:p w14:paraId="288DDC4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6228F04F">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c>
          <w:tcPr>
            <w:tcW w:w="1727" w:type="pct"/>
            <w:vMerge w:val="continue"/>
            <w:tcBorders>
              <w:tl2br w:val="nil"/>
              <w:tr2bl w:val="nil"/>
            </w:tcBorders>
            <w:vAlign w:val="center"/>
          </w:tcPr>
          <w:p w14:paraId="14702346">
            <w:pPr>
              <w:pStyle w:val="132"/>
              <w:bidi w:val="0"/>
              <w:rPr>
                <w:rFonts w:hint="default"/>
                <w:b w:val="0"/>
                <w:bCs w:val="0"/>
                <w:color w:val="auto"/>
                <w:highlight w:val="none"/>
                <w:lang w:val="en-US" w:eastAsia="zh-CN"/>
              </w:rPr>
            </w:pPr>
          </w:p>
        </w:tc>
      </w:tr>
      <w:tr w14:paraId="179471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2D71BD60">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8</w:t>
            </w:r>
          </w:p>
        </w:tc>
        <w:tc>
          <w:tcPr>
            <w:tcW w:w="1466" w:type="pct"/>
            <w:tcBorders>
              <w:tl2br w:val="nil"/>
              <w:tr2bl w:val="nil"/>
            </w:tcBorders>
            <w:vAlign w:val="center"/>
          </w:tcPr>
          <w:p w14:paraId="0491114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氯化物</w:t>
            </w:r>
          </w:p>
        </w:tc>
        <w:tc>
          <w:tcPr>
            <w:tcW w:w="653" w:type="pct"/>
            <w:vMerge w:val="continue"/>
            <w:tcBorders>
              <w:tl2br w:val="nil"/>
              <w:tr2bl w:val="nil"/>
            </w:tcBorders>
            <w:vAlign w:val="center"/>
          </w:tcPr>
          <w:p w14:paraId="745F015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198C717C">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≤250</w:t>
            </w:r>
          </w:p>
        </w:tc>
        <w:tc>
          <w:tcPr>
            <w:tcW w:w="1727" w:type="pct"/>
            <w:vMerge w:val="continue"/>
            <w:tcBorders>
              <w:tl2br w:val="nil"/>
              <w:tr2bl w:val="nil"/>
            </w:tcBorders>
            <w:vAlign w:val="center"/>
          </w:tcPr>
          <w:p w14:paraId="6C0F29BD">
            <w:pPr>
              <w:pStyle w:val="132"/>
              <w:bidi w:val="0"/>
              <w:rPr>
                <w:rFonts w:hint="default"/>
                <w:b w:val="0"/>
                <w:bCs w:val="0"/>
                <w:color w:val="auto"/>
                <w:highlight w:val="none"/>
                <w:lang w:val="en-US" w:eastAsia="zh-CN"/>
              </w:rPr>
            </w:pPr>
          </w:p>
        </w:tc>
      </w:tr>
      <w:tr w14:paraId="420426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2EBED005">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9</w:t>
            </w:r>
          </w:p>
        </w:tc>
        <w:tc>
          <w:tcPr>
            <w:tcW w:w="1466" w:type="pct"/>
            <w:tcBorders>
              <w:tl2br w:val="nil"/>
              <w:tr2bl w:val="nil"/>
            </w:tcBorders>
            <w:vAlign w:val="center"/>
          </w:tcPr>
          <w:p w14:paraId="47F90BF2">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硫酸盐</w:t>
            </w:r>
          </w:p>
        </w:tc>
        <w:tc>
          <w:tcPr>
            <w:tcW w:w="653" w:type="pct"/>
            <w:vMerge w:val="continue"/>
            <w:tcBorders>
              <w:tl2br w:val="nil"/>
              <w:tr2bl w:val="nil"/>
            </w:tcBorders>
            <w:vAlign w:val="center"/>
          </w:tcPr>
          <w:p w14:paraId="592AA6C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5D59377F">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≤250</w:t>
            </w:r>
          </w:p>
        </w:tc>
        <w:tc>
          <w:tcPr>
            <w:tcW w:w="1727" w:type="pct"/>
            <w:vMerge w:val="continue"/>
            <w:tcBorders>
              <w:tl2br w:val="nil"/>
              <w:tr2bl w:val="nil"/>
            </w:tcBorders>
            <w:vAlign w:val="center"/>
          </w:tcPr>
          <w:p w14:paraId="2A38DF15">
            <w:pPr>
              <w:pStyle w:val="132"/>
              <w:bidi w:val="0"/>
              <w:rPr>
                <w:rFonts w:hint="default"/>
                <w:b w:val="0"/>
                <w:bCs w:val="0"/>
                <w:color w:val="auto"/>
                <w:highlight w:val="none"/>
                <w:lang w:val="en-US" w:eastAsia="zh-CN"/>
              </w:rPr>
            </w:pPr>
          </w:p>
        </w:tc>
      </w:tr>
      <w:tr w14:paraId="26F479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31AC1F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10</w:t>
            </w:r>
          </w:p>
        </w:tc>
        <w:tc>
          <w:tcPr>
            <w:tcW w:w="1466" w:type="pct"/>
            <w:tcBorders>
              <w:tl2br w:val="nil"/>
              <w:tr2bl w:val="nil"/>
            </w:tcBorders>
            <w:vAlign w:val="center"/>
          </w:tcPr>
          <w:p w14:paraId="73DD0879">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嗅和味</w:t>
            </w:r>
          </w:p>
        </w:tc>
        <w:tc>
          <w:tcPr>
            <w:tcW w:w="653" w:type="pct"/>
            <w:tcBorders>
              <w:tl2br w:val="nil"/>
              <w:tr2bl w:val="nil"/>
            </w:tcBorders>
            <w:vAlign w:val="center"/>
          </w:tcPr>
          <w:p w14:paraId="1F55A4D5">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w:t>
            </w:r>
          </w:p>
        </w:tc>
        <w:tc>
          <w:tcPr>
            <w:tcW w:w="660" w:type="pct"/>
            <w:tcBorders>
              <w:tl2br w:val="nil"/>
              <w:tr2bl w:val="nil"/>
            </w:tcBorders>
            <w:vAlign w:val="center"/>
          </w:tcPr>
          <w:p w14:paraId="39519E07">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无</w:t>
            </w:r>
          </w:p>
        </w:tc>
        <w:tc>
          <w:tcPr>
            <w:tcW w:w="1727" w:type="pct"/>
            <w:vMerge w:val="continue"/>
            <w:tcBorders>
              <w:tl2br w:val="nil"/>
              <w:tr2bl w:val="nil"/>
            </w:tcBorders>
            <w:vAlign w:val="center"/>
          </w:tcPr>
          <w:p w14:paraId="09B74FDF">
            <w:pPr>
              <w:pStyle w:val="132"/>
              <w:bidi w:val="0"/>
              <w:rPr>
                <w:rFonts w:hint="default"/>
                <w:b w:val="0"/>
                <w:bCs w:val="0"/>
                <w:color w:val="auto"/>
                <w:highlight w:val="none"/>
                <w:lang w:val="en-US" w:eastAsia="zh-CN"/>
              </w:rPr>
            </w:pPr>
          </w:p>
        </w:tc>
      </w:tr>
      <w:tr w14:paraId="09C084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3DCF15F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11</w:t>
            </w:r>
          </w:p>
        </w:tc>
        <w:tc>
          <w:tcPr>
            <w:tcW w:w="1466" w:type="pct"/>
            <w:tcBorders>
              <w:tl2br w:val="nil"/>
              <w:tr2bl w:val="nil"/>
            </w:tcBorders>
            <w:vAlign w:val="center"/>
          </w:tcPr>
          <w:p w14:paraId="6D2B308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肉眼可见物</w:t>
            </w:r>
          </w:p>
        </w:tc>
        <w:tc>
          <w:tcPr>
            <w:tcW w:w="653" w:type="pct"/>
            <w:tcBorders>
              <w:tl2br w:val="nil"/>
              <w:tr2bl w:val="nil"/>
            </w:tcBorders>
            <w:vAlign w:val="center"/>
          </w:tcPr>
          <w:p w14:paraId="79982905">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w:t>
            </w:r>
          </w:p>
        </w:tc>
        <w:tc>
          <w:tcPr>
            <w:tcW w:w="660" w:type="pct"/>
            <w:tcBorders>
              <w:tl2br w:val="nil"/>
              <w:tr2bl w:val="nil"/>
            </w:tcBorders>
            <w:vAlign w:val="center"/>
          </w:tcPr>
          <w:p w14:paraId="2D3EAF54">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无</w:t>
            </w:r>
          </w:p>
        </w:tc>
        <w:tc>
          <w:tcPr>
            <w:tcW w:w="1727" w:type="pct"/>
            <w:vMerge w:val="continue"/>
            <w:tcBorders>
              <w:tl2br w:val="nil"/>
              <w:tr2bl w:val="nil"/>
            </w:tcBorders>
            <w:vAlign w:val="center"/>
          </w:tcPr>
          <w:p w14:paraId="073FB5AC">
            <w:pPr>
              <w:pStyle w:val="132"/>
              <w:bidi w:val="0"/>
              <w:rPr>
                <w:rFonts w:hint="default"/>
                <w:b w:val="0"/>
                <w:bCs w:val="0"/>
                <w:color w:val="auto"/>
                <w:highlight w:val="none"/>
                <w:lang w:val="en-US" w:eastAsia="zh-CN"/>
              </w:rPr>
            </w:pPr>
          </w:p>
        </w:tc>
      </w:tr>
      <w:tr w14:paraId="3E81C0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468DB355">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12</w:t>
            </w:r>
          </w:p>
        </w:tc>
        <w:tc>
          <w:tcPr>
            <w:tcW w:w="1466" w:type="pct"/>
            <w:tcBorders>
              <w:tl2br w:val="nil"/>
              <w:tr2bl w:val="nil"/>
            </w:tcBorders>
            <w:vAlign w:val="center"/>
          </w:tcPr>
          <w:p w14:paraId="1917D61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浑浊度</w:t>
            </w:r>
          </w:p>
        </w:tc>
        <w:tc>
          <w:tcPr>
            <w:tcW w:w="653" w:type="pct"/>
            <w:tcBorders>
              <w:tl2br w:val="nil"/>
              <w:tr2bl w:val="nil"/>
            </w:tcBorders>
            <w:vAlign w:val="center"/>
          </w:tcPr>
          <w:p w14:paraId="07AFC943">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NTU</w:t>
            </w:r>
          </w:p>
        </w:tc>
        <w:tc>
          <w:tcPr>
            <w:tcW w:w="660" w:type="pct"/>
            <w:tcBorders>
              <w:tl2br w:val="nil"/>
              <w:tr2bl w:val="nil"/>
            </w:tcBorders>
            <w:vAlign w:val="center"/>
          </w:tcPr>
          <w:p w14:paraId="248E1D96">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≤3</w:t>
            </w:r>
          </w:p>
        </w:tc>
        <w:tc>
          <w:tcPr>
            <w:tcW w:w="1727" w:type="pct"/>
            <w:vMerge w:val="continue"/>
            <w:tcBorders>
              <w:tl2br w:val="nil"/>
              <w:tr2bl w:val="nil"/>
            </w:tcBorders>
            <w:vAlign w:val="center"/>
          </w:tcPr>
          <w:p w14:paraId="65E784ED">
            <w:pPr>
              <w:pStyle w:val="132"/>
              <w:bidi w:val="0"/>
              <w:rPr>
                <w:rFonts w:hint="default"/>
                <w:b w:val="0"/>
                <w:bCs w:val="0"/>
                <w:color w:val="auto"/>
                <w:highlight w:val="none"/>
                <w:lang w:val="en-US" w:eastAsia="zh-CN"/>
              </w:rPr>
            </w:pPr>
          </w:p>
        </w:tc>
      </w:tr>
      <w:tr w14:paraId="3280D0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7820A98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13</w:t>
            </w:r>
          </w:p>
        </w:tc>
        <w:tc>
          <w:tcPr>
            <w:tcW w:w="1466" w:type="pct"/>
            <w:tcBorders>
              <w:tl2br w:val="nil"/>
              <w:tr2bl w:val="nil"/>
            </w:tcBorders>
            <w:vAlign w:val="center"/>
          </w:tcPr>
          <w:p w14:paraId="234FE29F">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pH值</w:t>
            </w:r>
          </w:p>
        </w:tc>
        <w:tc>
          <w:tcPr>
            <w:tcW w:w="653" w:type="pct"/>
            <w:tcBorders>
              <w:tl2br w:val="nil"/>
              <w:tr2bl w:val="nil"/>
            </w:tcBorders>
            <w:vAlign w:val="center"/>
          </w:tcPr>
          <w:p w14:paraId="0B88D28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无量纲</w:t>
            </w:r>
          </w:p>
        </w:tc>
        <w:tc>
          <w:tcPr>
            <w:tcW w:w="660" w:type="pct"/>
            <w:tcBorders>
              <w:tl2br w:val="nil"/>
              <w:tr2bl w:val="nil"/>
            </w:tcBorders>
            <w:vAlign w:val="center"/>
          </w:tcPr>
          <w:p w14:paraId="4FD63F0C">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6.5~8.5</w:t>
            </w:r>
          </w:p>
        </w:tc>
        <w:tc>
          <w:tcPr>
            <w:tcW w:w="1727" w:type="pct"/>
            <w:vMerge w:val="continue"/>
            <w:tcBorders>
              <w:tl2br w:val="nil"/>
              <w:tr2bl w:val="nil"/>
            </w:tcBorders>
            <w:vAlign w:val="center"/>
          </w:tcPr>
          <w:p w14:paraId="1FCDC738">
            <w:pPr>
              <w:pStyle w:val="132"/>
              <w:bidi w:val="0"/>
              <w:rPr>
                <w:rFonts w:hint="default"/>
                <w:b w:val="0"/>
                <w:bCs w:val="0"/>
                <w:color w:val="auto"/>
                <w:highlight w:val="none"/>
                <w:lang w:val="en-US" w:eastAsia="zh-CN"/>
              </w:rPr>
            </w:pPr>
          </w:p>
        </w:tc>
      </w:tr>
      <w:tr w14:paraId="48FB10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64BDF9F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14</w:t>
            </w:r>
          </w:p>
        </w:tc>
        <w:tc>
          <w:tcPr>
            <w:tcW w:w="1466" w:type="pct"/>
            <w:tcBorders>
              <w:tl2br w:val="nil"/>
              <w:tr2bl w:val="nil"/>
            </w:tcBorders>
            <w:vAlign w:val="center"/>
          </w:tcPr>
          <w:p w14:paraId="258055F5">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总硬度</w:t>
            </w:r>
          </w:p>
        </w:tc>
        <w:tc>
          <w:tcPr>
            <w:tcW w:w="653" w:type="pct"/>
            <w:vMerge w:val="restart"/>
            <w:tcBorders>
              <w:tl2br w:val="nil"/>
              <w:tr2bl w:val="nil"/>
            </w:tcBorders>
            <w:vAlign w:val="center"/>
          </w:tcPr>
          <w:p w14:paraId="34666B0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mg/L</w:t>
            </w:r>
          </w:p>
        </w:tc>
        <w:tc>
          <w:tcPr>
            <w:tcW w:w="660" w:type="pct"/>
            <w:tcBorders>
              <w:tl2br w:val="nil"/>
              <w:tr2bl w:val="nil"/>
            </w:tcBorders>
            <w:vAlign w:val="center"/>
          </w:tcPr>
          <w:p w14:paraId="29637D83">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≤450</w:t>
            </w:r>
          </w:p>
        </w:tc>
        <w:tc>
          <w:tcPr>
            <w:tcW w:w="1727" w:type="pct"/>
            <w:vMerge w:val="continue"/>
            <w:tcBorders>
              <w:tl2br w:val="nil"/>
              <w:tr2bl w:val="nil"/>
            </w:tcBorders>
            <w:vAlign w:val="center"/>
          </w:tcPr>
          <w:p w14:paraId="7B990E7B">
            <w:pPr>
              <w:pStyle w:val="132"/>
              <w:bidi w:val="0"/>
              <w:rPr>
                <w:rFonts w:hint="default"/>
                <w:b w:val="0"/>
                <w:bCs w:val="0"/>
                <w:color w:val="auto"/>
                <w:highlight w:val="none"/>
                <w:lang w:val="en-US" w:eastAsia="zh-CN"/>
              </w:rPr>
            </w:pPr>
          </w:p>
        </w:tc>
      </w:tr>
      <w:tr w14:paraId="738577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31CF95F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15</w:t>
            </w:r>
          </w:p>
        </w:tc>
        <w:tc>
          <w:tcPr>
            <w:tcW w:w="1466" w:type="pct"/>
            <w:tcBorders>
              <w:tl2br w:val="nil"/>
              <w:tr2bl w:val="nil"/>
            </w:tcBorders>
            <w:vAlign w:val="center"/>
          </w:tcPr>
          <w:p w14:paraId="64147BE8">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溶解性总固体</w:t>
            </w:r>
          </w:p>
        </w:tc>
        <w:tc>
          <w:tcPr>
            <w:tcW w:w="653" w:type="pct"/>
            <w:vMerge w:val="continue"/>
            <w:tcBorders>
              <w:tl2br w:val="nil"/>
              <w:tr2bl w:val="nil"/>
            </w:tcBorders>
            <w:vAlign w:val="center"/>
          </w:tcPr>
          <w:p w14:paraId="0926554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3188C079">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≤1000</w:t>
            </w:r>
          </w:p>
        </w:tc>
        <w:tc>
          <w:tcPr>
            <w:tcW w:w="1727" w:type="pct"/>
            <w:vMerge w:val="continue"/>
            <w:tcBorders>
              <w:tl2br w:val="nil"/>
              <w:tr2bl w:val="nil"/>
            </w:tcBorders>
            <w:vAlign w:val="center"/>
          </w:tcPr>
          <w:p w14:paraId="5F7BD8EB">
            <w:pPr>
              <w:pStyle w:val="132"/>
              <w:bidi w:val="0"/>
              <w:rPr>
                <w:rFonts w:hint="default"/>
                <w:b w:val="0"/>
                <w:bCs w:val="0"/>
                <w:color w:val="auto"/>
                <w:highlight w:val="none"/>
                <w:lang w:val="en-US" w:eastAsia="zh-CN"/>
              </w:rPr>
            </w:pPr>
          </w:p>
        </w:tc>
      </w:tr>
      <w:tr w14:paraId="7F5A8E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074E5DD0">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16</w:t>
            </w:r>
          </w:p>
        </w:tc>
        <w:tc>
          <w:tcPr>
            <w:tcW w:w="1466" w:type="pct"/>
            <w:tcBorders>
              <w:tl2br w:val="nil"/>
              <w:tr2bl w:val="nil"/>
            </w:tcBorders>
            <w:vAlign w:val="center"/>
          </w:tcPr>
          <w:p w14:paraId="39B28492">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铁</w:t>
            </w:r>
          </w:p>
        </w:tc>
        <w:tc>
          <w:tcPr>
            <w:tcW w:w="653" w:type="pct"/>
            <w:vMerge w:val="continue"/>
            <w:tcBorders>
              <w:tl2br w:val="nil"/>
              <w:tr2bl w:val="nil"/>
            </w:tcBorders>
            <w:vAlign w:val="center"/>
          </w:tcPr>
          <w:p w14:paraId="6C39A12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51238A86">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≤0.3</w:t>
            </w:r>
          </w:p>
        </w:tc>
        <w:tc>
          <w:tcPr>
            <w:tcW w:w="1727" w:type="pct"/>
            <w:vMerge w:val="continue"/>
            <w:tcBorders>
              <w:tl2br w:val="nil"/>
              <w:tr2bl w:val="nil"/>
            </w:tcBorders>
            <w:vAlign w:val="center"/>
          </w:tcPr>
          <w:p w14:paraId="7716B31C">
            <w:pPr>
              <w:pStyle w:val="132"/>
              <w:bidi w:val="0"/>
              <w:rPr>
                <w:rFonts w:hint="default"/>
                <w:b w:val="0"/>
                <w:bCs w:val="0"/>
                <w:color w:val="auto"/>
                <w:highlight w:val="none"/>
                <w:lang w:val="en-US" w:eastAsia="zh-CN"/>
              </w:rPr>
            </w:pPr>
          </w:p>
        </w:tc>
      </w:tr>
      <w:tr w14:paraId="5BDD44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2A48F059">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17</w:t>
            </w:r>
          </w:p>
        </w:tc>
        <w:tc>
          <w:tcPr>
            <w:tcW w:w="1466" w:type="pct"/>
            <w:tcBorders>
              <w:tl2br w:val="nil"/>
              <w:tr2bl w:val="nil"/>
            </w:tcBorders>
            <w:vAlign w:val="center"/>
          </w:tcPr>
          <w:p w14:paraId="39D70615">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锰</w:t>
            </w:r>
          </w:p>
        </w:tc>
        <w:tc>
          <w:tcPr>
            <w:tcW w:w="653" w:type="pct"/>
            <w:vMerge w:val="continue"/>
            <w:tcBorders>
              <w:tl2br w:val="nil"/>
              <w:tr2bl w:val="nil"/>
            </w:tcBorders>
            <w:vAlign w:val="center"/>
          </w:tcPr>
          <w:p w14:paraId="41169CCD">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621F859A">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≤0.10</w:t>
            </w:r>
          </w:p>
        </w:tc>
        <w:tc>
          <w:tcPr>
            <w:tcW w:w="1727" w:type="pct"/>
            <w:vMerge w:val="continue"/>
            <w:tcBorders>
              <w:tl2br w:val="nil"/>
              <w:tr2bl w:val="nil"/>
            </w:tcBorders>
            <w:vAlign w:val="center"/>
          </w:tcPr>
          <w:p w14:paraId="6B320389">
            <w:pPr>
              <w:pStyle w:val="132"/>
              <w:bidi w:val="0"/>
              <w:rPr>
                <w:rFonts w:hint="default"/>
                <w:b w:val="0"/>
                <w:bCs w:val="0"/>
                <w:color w:val="auto"/>
                <w:highlight w:val="none"/>
                <w:lang w:val="en-US" w:eastAsia="zh-CN"/>
              </w:rPr>
            </w:pPr>
          </w:p>
        </w:tc>
      </w:tr>
      <w:tr w14:paraId="7041D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14555269">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18</w:t>
            </w:r>
          </w:p>
        </w:tc>
        <w:tc>
          <w:tcPr>
            <w:tcW w:w="1466" w:type="pct"/>
            <w:tcBorders>
              <w:tl2br w:val="nil"/>
              <w:tr2bl w:val="nil"/>
            </w:tcBorders>
            <w:vAlign w:val="center"/>
          </w:tcPr>
          <w:p w14:paraId="237F0A9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铜</w:t>
            </w:r>
          </w:p>
        </w:tc>
        <w:tc>
          <w:tcPr>
            <w:tcW w:w="653" w:type="pct"/>
            <w:vMerge w:val="continue"/>
            <w:tcBorders>
              <w:tl2br w:val="nil"/>
              <w:tr2bl w:val="nil"/>
            </w:tcBorders>
            <w:vAlign w:val="center"/>
          </w:tcPr>
          <w:p w14:paraId="7FF701A8">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38BF0DCF">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≤1.00</w:t>
            </w:r>
          </w:p>
        </w:tc>
        <w:tc>
          <w:tcPr>
            <w:tcW w:w="1727" w:type="pct"/>
            <w:vMerge w:val="continue"/>
            <w:tcBorders>
              <w:tl2br w:val="nil"/>
              <w:tr2bl w:val="nil"/>
            </w:tcBorders>
            <w:vAlign w:val="center"/>
          </w:tcPr>
          <w:p w14:paraId="704A30D7">
            <w:pPr>
              <w:pStyle w:val="132"/>
              <w:bidi w:val="0"/>
              <w:rPr>
                <w:rFonts w:hint="default"/>
                <w:b w:val="0"/>
                <w:bCs w:val="0"/>
                <w:color w:val="auto"/>
                <w:highlight w:val="none"/>
                <w:lang w:val="en-US" w:eastAsia="zh-CN"/>
              </w:rPr>
            </w:pPr>
          </w:p>
        </w:tc>
      </w:tr>
      <w:tr w14:paraId="5A00D7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0553570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19</w:t>
            </w:r>
          </w:p>
        </w:tc>
        <w:tc>
          <w:tcPr>
            <w:tcW w:w="1466" w:type="pct"/>
            <w:tcBorders>
              <w:tl2br w:val="nil"/>
              <w:tr2bl w:val="nil"/>
            </w:tcBorders>
            <w:vAlign w:val="center"/>
          </w:tcPr>
          <w:p w14:paraId="301FB46F">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锌</w:t>
            </w:r>
          </w:p>
        </w:tc>
        <w:tc>
          <w:tcPr>
            <w:tcW w:w="653" w:type="pct"/>
            <w:vMerge w:val="continue"/>
            <w:tcBorders>
              <w:tl2br w:val="nil"/>
              <w:tr2bl w:val="nil"/>
            </w:tcBorders>
            <w:vAlign w:val="center"/>
          </w:tcPr>
          <w:p w14:paraId="5DA50CF0">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47FA0461">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≤1.00</w:t>
            </w:r>
          </w:p>
        </w:tc>
        <w:tc>
          <w:tcPr>
            <w:tcW w:w="1727" w:type="pct"/>
            <w:vMerge w:val="continue"/>
            <w:tcBorders>
              <w:tl2br w:val="nil"/>
              <w:tr2bl w:val="nil"/>
            </w:tcBorders>
            <w:vAlign w:val="center"/>
          </w:tcPr>
          <w:p w14:paraId="3E843326">
            <w:pPr>
              <w:pStyle w:val="132"/>
              <w:bidi w:val="0"/>
              <w:rPr>
                <w:rFonts w:hint="default"/>
                <w:b w:val="0"/>
                <w:bCs w:val="0"/>
                <w:color w:val="auto"/>
                <w:highlight w:val="none"/>
                <w:lang w:val="en-US" w:eastAsia="zh-CN"/>
              </w:rPr>
            </w:pPr>
          </w:p>
        </w:tc>
      </w:tr>
      <w:tr w14:paraId="708F49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3C119A00">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20</w:t>
            </w:r>
          </w:p>
        </w:tc>
        <w:tc>
          <w:tcPr>
            <w:tcW w:w="1466" w:type="pct"/>
            <w:tcBorders>
              <w:tl2br w:val="nil"/>
              <w:tr2bl w:val="nil"/>
            </w:tcBorders>
            <w:vAlign w:val="center"/>
          </w:tcPr>
          <w:p w14:paraId="4E058199">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铝</w:t>
            </w:r>
          </w:p>
        </w:tc>
        <w:tc>
          <w:tcPr>
            <w:tcW w:w="653" w:type="pct"/>
            <w:vMerge w:val="continue"/>
            <w:tcBorders>
              <w:tl2br w:val="nil"/>
              <w:tr2bl w:val="nil"/>
            </w:tcBorders>
            <w:vAlign w:val="center"/>
          </w:tcPr>
          <w:p w14:paraId="36B9FBF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27643B4D">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≤0.20</w:t>
            </w:r>
          </w:p>
        </w:tc>
        <w:tc>
          <w:tcPr>
            <w:tcW w:w="1727" w:type="pct"/>
            <w:vMerge w:val="continue"/>
            <w:tcBorders>
              <w:tl2br w:val="nil"/>
              <w:tr2bl w:val="nil"/>
            </w:tcBorders>
            <w:vAlign w:val="center"/>
          </w:tcPr>
          <w:p w14:paraId="253D08AF">
            <w:pPr>
              <w:pStyle w:val="132"/>
              <w:bidi w:val="0"/>
              <w:rPr>
                <w:rFonts w:hint="default"/>
                <w:b w:val="0"/>
                <w:bCs w:val="0"/>
                <w:color w:val="auto"/>
                <w:highlight w:val="none"/>
                <w:lang w:val="en-US" w:eastAsia="zh-CN"/>
              </w:rPr>
            </w:pPr>
          </w:p>
        </w:tc>
      </w:tr>
      <w:tr w14:paraId="425C6C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169B699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21</w:t>
            </w:r>
          </w:p>
        </w:tc>
        <w:tc>
          <w:tcPr>
            <w:tcW w:w="1466" w:type="pct"/>
            <w:tcBorders>
              <w:tl2br w:val="nil"/>
              <w:tr2bl w:val="nil"/>
            </w:tcBorders>
            <w:vAlign w:val="center"/>
          </w:tcPr>
          <w:p w14:paraId="0EEA2F0D">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挥发酚</w:t>
            </w:r>
          </w:p>
        </w:tc>
        <w:tc>
          <w:tcPr>
            <w:tcW w:w="653" w:type="pct"/>
            <w:vMerge w:val="continue"/>
            <w:tcBorders>
              <w:tl2br w:val="nil"/>
              <w:tr2bl w:val="nil"/>
            </w:tcBorders>
            <w:vAlign w:val="center"/>
          </w:tcPr>
          <w:p w14:paraId="2EEA7C5F">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08CA2308">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≤0.002</w:t>
            </w:r>
          </w:p>
        </w:tc>
        <w:tc>
          <w:tcPr>
            <w:tcW w:w="1727" w:type="pct"/>
            <w:vMerge w:val="continue"/>
            <w:tcBorders>
              <w:tl2br w:val="nil"/>
              <w:tr2bl w:val="nil"/>
            </w:tcBorders>
            <w:vAlign w:val="center"/>
          </w:tcPr>
          <w:p w14:paraId="507E47B0">
            <w:pPr>
              <w:pStyle w:val="132"/>
              <w:bidi w:val="0"/>
              <w:rPr>
                <w:rFonts w:hint="default"/>
                <w:b w:val="0"/>
                <w:bCs w:val="0"/>
                <w:color w:val="auto"/>
                <w:highlight w:val="none"/>
                <w:lang w:val="en-US" w:eastAsia="zh-CN"/>
              </w:rPr>
            </w:pPr>
          </w:p>
        </w:tc>
      </w:tr>
      <w:tr w14:paraId="0C7009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1CBAF79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22</w:t>
            </w:r>
          </w:p>
        </w:tc>
        <w:tc>
          <w:tcPr>
            <w:tcW w:w="1466" w:type="pct"/>
            <w:tcBorders>
              <w:tl2br w:val="nil"/>
              <w:tr2bl w:val="nil"/>
            </w:tcBorders>
            <w:vAlign w:val="center"/>
          </w:tcPr>
          <w:p w14:paraId="0D43B0E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阴离子表面活性剂</w:t>
            </w:r>
          </w:p>
        </w:tc>
        <w:tc>
          <w:tcPr>
            <w:tcW w:w="653" w:type="pct"/>
            <w:vMerge w:val="continue"/>
            <w:tcBorders>
              <w:tl2br w:val="nil"/>
              <w:tr2bl w:val="nil"/>
            </w:tcBorders>
            <w:vAlign w:val="center"/>
          </w:tcPr>
          <w:p w14:paraId="343B60A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4F24F4E7">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≤0.3</w:t>
            </w:r>
          </w:p>
        </w:tc>
        <w:tc>
          <w:tcPr>
            <w:tcW w:w="1727" w:type="pct"/>
            <w:vMerge w:val="continue"/>
            <w:tcBorders>
              <w:tl2br w:val="nil"/>
              <w:tr2bl w:val="nil"/>
            </w:tcBorders>
            <w:vAlign w:val="center"/>
          </w:tcPr>
          <w:p w14:paraId="6CC9174D">
            <w:pPr>
              <w:pStyle w:val="132"/>
              <w:bidi w:val="0"/>
              <w:rPr>
                <w:rFonts w:hint="default"/>
                <w:b w:val="0"/>
                <w:bCs w:val="0"/>
                <w:color w:val="auto"/>
                <w:highlight w:val="none"/>
                <w:lang w:val="en-US" w:eastAsia="zh-CN"/>
              </w:rPr>
            </w:pPr>
          </w:p>
        </w:tc>
      </w:tr>
      <w:tr w14:paraId="3D4F96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3A7876CF">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23</w:t>
            </w:r>
          </w:p>
        </w:tc>
        <w:tc>
          <w:tcPr>
            <w:tcW w:w="1466" w:type="pct"/>
            <w:tcBorders>
              <w:tl2br w:val="nil"/>
              <w:tr2bl w:val="nil"/>
            </w:tcBorders>
            <w:vAlign w:val="center"/>
          </w:tcPr>
          <w:p w14:paraId="4F6E5B3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耗氧量</w:t>
            </w:r>
          </w:p>
        </w:tc>
        <w:tc>
          <w:tcPr>
            <w:tcW w:w="653" w:type="pct"/>
            <w:vMerge w:val="continue"/>
            <w:tcBorders>
              <w:tl2br w:val="nil"/>
              <w:tr2bl w:val="nil"/>
            </w:tcBorders>
            <w:vAlign w:val="center"/>
          </w:tcPr>
          <w:p w14:paraId="4FB2010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54DEDAFB">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≤3.0</w:t>
            </w:r>
          </w:p>
        </w:tc>
        <w:tc>
          <w:tcPr>
            <w:tcW w:w="1727" w:type="pct"/>
            <w:vMerge w:val="continue"/>
            <w:tcBorders>
              <w:tl2br w:val="nil"/>
              <w:tr2bl w:val="nil"/>
            </w:tcBorders>
            <w:vAlign w:val="center"/>
          </w:tcPr>
          <w:p w14:paraId="1DE80B46">
            <w:pPr>
              <w:pStyle w:val="132"/>
              <w:bidi w:val="0"/>
              <w:rPr>
                <w:rFonts w:hint="default"/>
                <w:b w:val="0"/>
                <w:bCs w:val="0"/>
                <w:color w:val="auto"/>
                <w:highlight w:val="none"/>
                <w:lang w:val="en-US" w:eastAsia="zh-CN"/>
              </w:rPr>
            </w:pPr>
          </w:p>
        </w:tc>
      </w:tr>
      <w:tr w14:paraId="6C8545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7E28A8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24</w:t>
            </w:r>
          </w:p>
        </w:tc>
        <w:tc>
          <w:tcPr>
            <w:tcW w:w="1466" w:type="pct"/>
            <w:tcBorders>
              <w:tl2br w:val="nil"/>
              <w:tr2bl w:val="nil"/>
            </w:tcBorders>
            <w:vAlign w:val="center"/>
          </w:tcPr>
          <w:p w14:paraId="5E4E85E0">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氨氮</w:t>
            </w:r>
          </w:p>
        </w:tc>
        <w:tc>
          <w:tcPr>
            <w:tcW w:w="653" w:type="pct"/>
            <w:vMerge w:val="continue"/>
            <w:tcBorders>
              <w:tl2br w:val="nil"/>
              <w:tr2bl w:val="nil"/>
            </w:tcBorders>
            <w:vAlign w:val="center"/>
          </w:tcPr>
          <w:p w14:paraId="5852EFF3">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00AF933E">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≤0.50</w:t>
            </w:r>
          </w:p>
        </w:tc>
        <w:tc>
          <w:tcPr>
            <w:tcW w:w="1727" w:type="pct"/>
            <w:vMerge w:val="continue"/>
            <w:tcBorders>
              <w:tl2br w:val="nil"/>
              <w:tr2bl w:val="nil"/>
            </w:tcBorders>
            <w:vAlign w:val="center"/>
          </w:tcPr>
          <w:p w14:paraId="5C562D82">
            <w:pPr>
              <w:pStyle w:val="132"/>
              <w:bidi w:val="0"/>
              <w:rPr>
                <w:rFonts w:hint="default"/>
                <w:b w:val="0"/>
                <w:bCs w:val="0"/>
                <w:color w:val="auto"/>
                <w:highlight w:val="none"/>
                <w:lang w:val="en-US" w:eastAsia="zh-CN"/>
              </w:rPr>
            </w:pPr>
          </w:p>
        </w:tc>
      </w:tr>
      <w:tr w14:paraId="1CFCF4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0B831F0">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25</w:t>
            </w:r>
          </w:p>
        </w:tc>
        <w:tc>
          <w:tcPr>
            <w:tcW w:w="1466" w:type="pct"/>
            <w:tcBorders>
              <w:tl2br w:val="nil"/>
              <w:tr2bl w:val="nil"/>
            </w:tcBorders>
            <w:vAlign w:val="center"/>
          </w:tcPr>
          <w:p w14:paraId="2630640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亚硝酸盐氮</w:t>
            </w:r>
          </w:p>
        </w:tc>
        <w:tc>
          <w:tcPr>
            <w:tcW w:w="653" w:type="pct"/>
            <w:vMerge w:val="continue"/>
            <w:tcBorders>
              <w:tl2br w:val="nil"/>
              <w:tr2bl w:val="nil"/>
            </w:tcBorders>
            <w:vAlign w:val="center"/>
          </w:tcPr>
          <w:p w14:paraId="5D6FE68F">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3ACAA7BF">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≤1.00</w:t>
            </w:r>
          </w:p>
        </w:tc>
        <w:tc>
          <w:tcPr>
            <w:tcW w:w="1727" w:type="pct"/>
            <w:vMerge w:val="continue"/>
            <w:tcBorders>
              <w:tl2br w:val="nil"/>
              <w:tr2bl w:val="nil"/>
            </w:tcBorders>
            <w:vAlign w:val="center"/>
          </w:tcPr>
          <w:p w14:paraId="7304218C">
            <w:pPr>
              <w:pStyle w:val="132"/>
              <w:bidi w:val="0"/>
              <w:rPr>
                <w:rFonts w:hint="default"/>
                <w:b w:val="0"/>
                <w:bCs w:val="0"/>
                <w:color w:val="auto"/>
                <w:highlight w:val="none"/>
                <w:lang w:val="en-US" w:eastAsia="zh-CN"/>
              </w:rPr>
            </w:pPr>
          </w:p>
        </w:tc>
      </w:tr>
      <w:tr w14:paraId="0D4E91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0AFABA8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26</w:t>
            </w:r>
          </w:p>
        </w:tc>
        <w:tc>
          <w:tcPr>
            <w:tcW w:w="1466" w:type="pct"/>
            <w:tcBorders>
              <w:tl2br w:val="nil"/>
              <w:tr2bl w:val="nil"/>
            </w:tcBorders>
            <w:vAlign w:val="center"/>
          </w:tcPr>
          <w:p w14:paraId="2490C84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硝酸盐氮</w:t>
            </w:r>
          </w:p>
        </w:tc>
        <w:tc>
          <w:tcPr>
            <w:tcW w:w="653" w:type="pct"/>
            <w:vMerge w:val="continue"/>
            <w:tcBorders>
              <w:tl2br w:val="nil"/>
              <w:tr2bl w:val="nil"/>
            </w:tcBorders>
            <w:vAlign w:val="center"/>
          </w:tcPr>
          <w:p w14:paraId="4E051753">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61859455">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≤20.0</w:t>
            </w:r>
          </w:p>
        </w:tc>
        <w:tc>
          <w:tcPr>
            <w:tcW w:w="1727" w:type="pct"/>
            <w:vMerge w:val="continue"/>
            <w:tcBorders>
              <w:tl2br w:val="nil"/>
              <w:tr2bl w:val="nil"/>
            </w:tcBorders>
            <w:vAlign w:val="center"/>
          </w:tcPr>
          <w:p w14:paraId="3A5B0FB5">
            <w:pPr>
              <w:pStyle w:val="132"/>
              <w:bidi w:val="0"/>
              <w:rPr>
                <w:rFonts w:hint="default"/>
                <w:b w:val="0"/>
                <w:bCs w:val="0"/>
                <w:color w:val="auto"/>
                <w:highlight w:val="none"/>
                <w:lang w:val="en-US" w:eastAsia="zh-CN"/>
              </w:rPr>
            </w:pPr>
          </w:p>
        </w:tc>
      </w:tr>
      <w:tr w14:paraId="13B63E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316C64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27</w:t>
            </w:r>
          </w:p>
        </w:tc>
        <w:tc>
          <w:tcPr>
            <w:tcW w:w="1466" w:type="pct"/>
            <w:tcBorders>
              <w:tl2br w:val="nil"/>
              <w:tr2bl w:val="nil"/>
            </w:tcBorders>
            <w:vAlign w:val="center"/>
          </w:tcPr>
          <w:p w14:paraId="7F142CA8">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氰化物</w:t>
            </w:r>
          </w:p>
        </w:tc>
        <w:tc>
          <w:tcPr>
            <w:tcW w:w="653" w:type="pct"/>
            <w:vMerge w:val="continue"/>
            <w:tcBorders>
              <w:tl2br w:val="nil"/>
              <w:tr2bl w:val="nil"/>
            </w:tcBorders>
            <w:vAlign w:val="center"/>
          </w:tcPr>
          <w:p w14:paraId="43FBE7B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0446AB6C">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≤0.05</w:t>
            </w:r>
          </w:p>
        </w:tc>
        <w:tc>
          <w:tcPr>
            <w:tcW w:w="1727" w:type="pct"/>
            <w:vMerge w:val="continue"/>
            <w:tcBorders>
              <w:tl2br w:val="nil"/>
              <w:tr2bl w:val="nil"/>
            </w:tcBorders>
            <w:vAlign w:val="center"/>
          </w:tcPr>
          <w:p w14:paraId="44B4983F">
            <w:pPr>
              <w:pStyle w:val="132"/>
              <w:bidi w:val="0"/>
              <w:rPr>
                <w:rFonts w:hint="default"/>
                <w:b w:val="0"/>
                <w:bCs w:val="0"/>
                <w:color w:val="auto"/>
                <w:highlight w:val="none"/>
                <w:lang w:val="en-US" w:eastAsia="zh-CN"/>
              </w:rPr>
            </w:pPr>
          </w:p>
        </w:tc>
      </w:tr>
      <w:tr w14:paraId="3D652C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4B26E3D">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28</w:t>
            </w:r>
          </w:p>
        </w:tc>
        <w:tc>
          <w:tcPr>
            <w:tcW w:w="1466" w:type="pct"/>
            <w:tcBorders>
              <w:tl2br w:val="nil"/>
              <w:tr2bl w:val="nil"/>
            </w:tcBorders>
            <w:vAlign w:val="center"/>
          </w:tcPr>
          <w:p w14:paraId="1B1C216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氟化物</w:t>
            </w:r>
          </w:p>
        </w:tc>
        <w:tc>
          <w:tcPr>
            <w:tcW w:w="653" w:type="pct"/>
            <w:vMerge w:val="continue"/>
            <w:tcBorders>
              <w:tl2br w:val="nil"/>
              <w:tr2bl w:val="nil"/>
            </w:tcBorders>
            <w:vAlign w:val="center"/>
          </w:tcPr>
          <w:p w14:paraId="3603E901">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14BF3AB0">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≤1.0</w:t>
            </w:r>
          </w:p>
        </w:tc>
        <w:tc>
          <w:tcPr>
            <w:tcW w:w="1727" w:type="pct"/>
            <w:vMerge w:val="continue"/>
            <w:tcBorders>
              <w:tl2br w:val="nil"/>
              <w:tr2bl w:val="nil"/>
            </w:tcBorders>
            <w:vAlign w:val="center"/>
          </w:tcPr>
          <w:p w14:paraId="7CC6A628">
            <w:pPr>
              <w:pStyle w:val="132"/>
              <w:bidi w:val="0"/>
              <w:rPr>
                <w:rFonts w:hint="default"/>
                <w:b w:val="0"/>
                <w:bCs w:val="0"/>
                <w:color w:val="auto"/>
                <w:highlight w:val="none"/>
                <w:lang w:val="en-US" w:eastAsia="zh-CN"/>
              </w:rPr>
            </w:pPr>
          </w:p>
        </w:tc>
      </w:tr>
      <w:tr w14:paraId="350047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376FF6A8">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29</w:t>
            </w:r>
          </w:p>
        </w:tc>
        <w:tc>
          <w:tcPr>
            <w:tcW w:w="1466" w:type="pct"/>
            <w:tcBorders>
              <w:tl2br w:val="nil"/>
              <w:tr2bl w:val="nil"/>
            </w:tcBorders>
            <w:vAlign w:val="center"/>
          </w:tcPr>
          <w:p w14:paraId="21F67469">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碘化物</w:t>
            </w:r>
          </w:p>
        </w:tc>
        <w:tc>
          <w:tcPr>
            <w:tcW w:w="653" w:type="pct"/>
            <w:vMerge w:val="continue"/>
            <w:tcBorders>
              <w:tl2br w:val="nil"/>
              <w:tr2bl w:val="nil"/>
            </w:tcBorders>
            <w:vAlign w:val="center"/>
          </w:tcPr>
          <w:p w14:paraId="422E5FC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46B46D75">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≤0.08</w:t>
            </w:r>
          </w:p>
        </w:tc>
        <w:tc>
          <w:tcPr>
            <w:tcW w:w="1727" w:type="pct"/>
            <w:vMerge w:val="continue"/>
            <w:tcBorders>
              <w:tl2br w:val="nil"/>
              <w:tr2bl w:val="nil"/>
            </w:tcBorders>
            <w:vAlign w:val="center"/>
          </w:tcPr>
          <w:p w14:paraId="6B1EDBC6">
            <w:pPr>
              <w:pStyle w:val="132"/>
              <w:bidi w:val="0"/>
              <w:rPr>
                <w:rFonts w:hint="default"/>
                <w:b w:val="0"/>
                <w:bCs w:val="0"/>
                <w:color w:val="auto"/>
                <w:highlight w:val="none"/>
                <w:lang w:val="en-US" w:eastAsia="zh-CN"/>
              </w:rPr>
            </w:pPr>
          </w:p>
        </w:tc>
      </w:tr>
      <w:tr w14:paraId="32D846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2C915133">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30</w:t>
            </w:r>
          </w:p>
        </w:tc>
        <w:tc>
          <w:tcPr>
            <w:tcW w:w="1466" w:type="pct"/>
            <w:tcBorders>
              <w:tl2br w:val="nil"/>
              <w:tr2bl w:val="nil"/>
            </w:tcBorders>
            <w:vAlign w:val="center"/>
          </w:tcPr>
          <w:p w14:paraId="28522C03">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汞</w:t>
            </w:r>
          </w:p>
        </w:tc>
        <w:tc>
          <w:tcPr>
            <w:tcW w:w="653" w:type="pct"/>
            <w:vMerge w:val="continue"/>
            <w:tcBorders>
              <w:tl2br w:val="nil"/>
              <w:tr2bl w:val="nil"/>
            </w:tcBorders>
            <w:vAlign w:val="center"/>
          </w:tcPr>
          <w:p w14:paraId="487BC63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68773F3E">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≤0.001</w:t>
            </w:r>
          </w:p>
        </w:tc>
        <w:tc>
          <w:tcPr>
            <w:tcW w:w="1727" w:type="pct"/>
            <w:vMerge w:val="continue"/>
            <w:tcBorders>
              <w:tl2br w:val="nil"/>
              <w:tr2bl w:val="nil"/>
            </w:tcBorders>
            <w:vAlign w:val="center"/>
          </w:tcPr>
          <w:p w14:paraId="2510EB2C">
            <w:pPr>
              <w:pStyle w:val="132"/>
              <w:bidi w:val="0"/>
              <w:rPr>
                <w:rFonts w:hint="default"/>
                <w:b w:val="0"/>
                <w:bCs w:val="0"/>
                <w:color w:val="auto"/>
                <w:highlight w:val="none"/>
                <w:lang w:val="en-US" w:eastAsia="zh-CN"/>
              </w:rPr>
            </w:pPr>
          </w:p>
        </w:tc>
      </w:tr>
      <w:tr w14:paraId="4D2C57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330D1A2">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31</w:t>
            </w:r>
          </w:p>
        </w:tc>
        <w:tc>
          <w:tcPr>
            <w:tcW w:w="1466" w:type="pct"/>
            <w:tcBorders>
              <w:tl2br w:val="nil"/>
              <w:tr2bl w:val="nil"/>
            </w:tcBorders>
            <w:vAlign w:val="center"/>
          </w:tcPr>
          <w:p w14:paraId="7B484A59">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砷</w:t>
            </w:r>
          </w:p>
        </w:tc>
        <w:tc>
          <w:tcPr>
            <w:tcW w:w="653" w:type="pct"/>
            <w:vMerge w:val="continue"/>
            <w:tcBorders>
              <w:tl2br w:val="nil"/>
              <w:tr2bl w:val="nil"/>
            </w:tcBorders>
            <w:vAlign w:val="center"/>
          </w:tcPr>
          <w:p w14:paraId="04954B86">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191A2812">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≤0.01</w:t>
            </w:r>
          </w:p>
        </w:tc>
        <w:tc>
          <w:tcPr>
            <w:tcW w:w="1727" w:type="pct"/>
            <w:vMerge w:val="continue"/>
            <w:tcBorders>
              <w:tl2br w:val="nil"/>
              <w:tr2bl w:val="nil"/>
            </w:tcBorders>
            <w:vAlign w:val="center"/>
          </w:tcPr>
          <w:p w14:paraId="0ED76512">
            <w:pPr>
              <w:pStyle w:val="132"/>
              <w:bidi w:val="0"/>
              <w:rPr>
                <w:rFonts w:hint="default"/>
                <w:b w:val="0"/>
                <w:bCs w:val="0"/>
                <w:color w:val="auto"/>
                <w:highlight w:val="none"/>
                <w:lang w:val="en-US" w:eastAsia="zh-CN"/>
              </w:rPr>
            </w:pPr>
          </w:p>
        </w:tc>
      </w:tr>
      <w:tr w14:paraId="7D5215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4698784B">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32</w:t>
            </w:r>
          </w:p>
        </w:tc>
        <w:tc>
          <w:tcPr>
            <w:tcW w:w="1466" w:type="pct"/>
            <w:tcBorders>
              <w:tl2br w:val="nil"/>
              <w:tr2bl w:val="nil"/>
            </w:tcBorders>
            <w:vAlign w:val="center"/>
          </w:tcPr>
          <w:p w14:paraId="504B495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硒</w:t>
            </w:r>
          </w:p>
        </w:tc>
        <w:tc>
          <w:tcPr>
            <w:tcW w:w="653" w:type="pct"/>
            <w:vMerge w:val="continue"/>
            <w:tcBorders>
              <w:tl2br w:val="nil"/>
              <w:tr2bl w:val="nil"/>
            </w:tcBorders>
            <w:vAlign w:val="center"/>
          </w:tcPr>
          <w:p w14:paraId="7136DC99">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18FFF117">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≤0.01</w:t>
            </w:r>
          </w:p>
        </w:tc>
        <w:tc>
          <w:tcPr>
            <w:tcW w:w="1727" w:type="pct"/>
            <w:vMerge w:val="continue"/>
            <w:tcBorders>
              <w:tl2br w:val="nil"/>
              <w:tr2bl w:val="nil"/>
            </w:tcBorders>
            <w:vAlign w:val="center"/>
          </w:tcPr>
          <w:p w14:paraId="219A9C01">
            <w:pPr>
              <w:pStyle w:val="132"/>
              <w:bidi w:val="0"/>
              <w:rPr>
                <w:rFonts w:hint="default"/>
                <w:b w:val="0"/>
                <w:bCs w:val="0"/>
                <w:color w:val="auto"/>
                <w:highlight w:val="none"/>
                <w:lang w:val="en-US" w:eastAsia="zh-CN"/>
              </w:rPr>
            </w:pPr>
          </w:p>
        </w:tc>
      </w:tr>
      <w:tr w14:paraId="5B0855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219C6D1">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33</w:t>
            </w:r>
          </w:p>
        </w:tc>
        <w:tc>
          <w:tcPr>
            <w:tcW w:w="1466" w:type="pct"/>
            <w:tcBorders>
              <w:tl2br w:val="nil"/>
              <w:tr2bl w:val="nil"/>
            </w:tcBorders>
            <w:vAlign w:val="center"/>
          </w:tcPr>
          <w:p w14:paraId="58450F2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镉</w:t>
            </w:r>
          </w:p>
        </w:tc>
        <w:tc>
          <w:tcPr>
            <w:tcW w:w="653" w:type="pct"/>
            <w:vMerge w:val="continue"/>
            <w:tcBorders>
              <w:tl2br w:val="nil"/>
              <w:tr2bl w:val="nil"/>
            </w:tcBorders>
            <w:vAlign w:val="center"/>
          </w:tcPr>
          <w:p w14:paraId="4975D8B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2938CFE4">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≤0.005</w:t>
            </w:r>
          </w:p>
        </w:tc>
        <w:tc>
          <w:tcPr>
            <w:tcW w:w="1727" w:type="pct"/>
            <w:vMerge w:val="continue"/>
            <w:tcBorders>
              <w:tl2br w:val="nil"/>
              <w:tr2bl w:val="nil"/>
            </w:tcBorders>
            <w:vAlign w:val="center"/>
          </w:tcPr>
          <w:p w14:paraId="0FBD2642">
            <w:pPr>
              <w:pStyle w:val="132"/>
              <w:bidi w:val="0"/>
              <w:rPr>
                <w:rFonts w:hint="default"/>
                <w:b w:val="0"/>
                <w:bCs w:val="0"/>
                <w:color w:val="auto"/>
                <w:highlight w:val="none"/>
                <w:lang w:val="en-US" w:eastAsia="zh-CN"/>
              </w:rPr>
            </w:pPr>
          </w:p>
        </w:tc>
      </w:tr>
      <w:tr w14:paraId="29C539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508104F6">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34</w:t>
            </w:r>
          </w:p>
        </w:tc>
        <w:tc>
          <w:tcPr>
            <w:tcW w:w="1466" w:type="pct"/>
            <w:tcBorders>
              <w:tl2br w:val="nil"/>
              <w:tr2bl w:val="nil"/>
            </w:tcBorders>
            <w:vAlign w:val="center"/>
          </w:tcPr>
          <w:p w14:paraId="22692A4F">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六价铬</w:t>
            </w:r>
          </w:p>
        </w:tc>
        <w:tc>
          <w:tcPr>
            <w:tcW w:w="653" w:type="pct"/>
            <w:vMerge w:val="continue"/>
            <w:tcBorders>
              <w:tl2br w:val="nil"/>
              <w:tr2bl w:val="nil"/>
            </w:tcBorders>
            <w:vAlign w:val="center"/>
          </w:tcPr>
          <w:p w14:paraId="79114527">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732315FD">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≤0.05</w:t>
            </w:r>
          </w:p>
        </w:tc>
        <w:tc>
          <w:tcPr>
            <w:tcW w:w="1727" w:type="pct"/>
            <w:vMerge w:val="continue"/>
            <w:tcBorders>
              <w:tl2br w:val="nil"/>
              <w:tr2bl w:val="nil"/>
            </w:tcBorders>
            <w:vAlign w:val="center"/>
          </w:tcPr>
          <w:p w14:paraId="73F63C32">
            <w:pPr>
              <w:pStyle w:val="132"/>
              <w:bidi w:val="0"/>
              <w:rPr>
                <w:rFonts w:hint="default"/>
                <w:b w:val="0"/>
                <w:bCs w:val="0"/>
                <w:color w:val="auto"/>
                <w:highlight w:val="none"/>
                <w:lang w:val="en-US" w:eastAsia="zh-CN"/>
              </w:rPr>
            </w:pPr>
          </w:p>
        </w:tc>
      </w:tr>
      <w:tr w14:paraId="10806C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0A7FD91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35</w:t>
            </w:r>
          </w:p>
        </w:tc>
        <w:tc>
          <w:tcPr>
            <w:tcW w:w="1466" w:type="pct"/>
            <w:tcBorders>
              <w:tl2br w:val="nil"/>
              <w:tr2bl w:val="nil"/>
            </w:tcBorders>
            <w:vAlign w:val="center"/>
          </w:tcPr>
          <w:p w14:paraId="14575C9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铅</w:t>
            </w:r>
          </w:p>
        </w:tc>
        <w:tc>
          <w:tcPr>
            <w:tcW w:w="653" w:type="pct"/>
            <w:vMerge w:val="continue"/>
            <w:tcBorders>
              <w:tl2br w:val="nil"/>
              <w:tr2bl w:val="nil"/>
            </w:tcBorders>
            <w:vAlign w:val="center"/>
          </w:tcPr>
          <w:p w14:paraId="54D9286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0E09E5CB">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≤0.01</w:t>
            </w:r>
          </w:p>
        </w:tc>
        <w:tc>
          <w:tcPr>
            <w:tcW w:w="1727" w:type="pct"/>
            <w:vMerge w:val="continue"/>
            <w:tcBorders>
              <w:tl2br w:val="nil"/>
              <w:tr2bl w:val="nil"/>
            </w:tcBorders>
            <w:vAlign w:val="center"/>
          </w:tcPr>
          <w:p w14:paraId="364E79B4">
            <w:pPr>
              <w:pStyle w:val="132"/>
              <w:bidi w:val="0"/>
              <w:rPr>
                <w:rFonts w:hint="default"/>
                <w:b w:val="0"/>
                <w:bCs w:val="0"/>
                <w:color w:val="auto"/>
                <w:highlight w:val="none"/>
                <w:lang w:val="en-US" w:eastAsia="zh-CN"/>
              </w:rPr>
            </w:pPr>
          </w:p>
        </w:tc>
      </w:tr>
      <w:tr w14:paraId="3BB30A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7875F47A">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36</w:t>
            </w:r>
          </w:p>
        </w:tc>
        <w:tc>
          <w:tcPr>
            <w:tcW w:w="1466" w:type="pct"/>
            <w:tcBorders>
              <w:tl2br w:val="nil"/>
              <w:tr2bl w:val="nil"/>
            </w:tcBorders>
            <w:vAlign w:val="center"/>
          </w:tcPr>
          <w:p w14:paraId="4FA8F65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镍</w:t>
            </w:r>
          </w:p>
        </w:tc>
        <w:tc>
          <w:tcPr>
            <w:tcW w:w="653" w:type="pct"/>
            <w:vMerge w:val="continue"/>
            <w:tcBorders>
              <w:tl2br w:val="nil"/>
              <w:tr2bl w:val="nil"/>
            </w:tcBorders>
            <w:vAlign w:val="center"/>
          </w:tcPr>
          <w:p w14:paraId="4B161A6E">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13AAD85E">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≤0.02</w:t>
            </w:r>
          </w:p>
        </w:tc>
        <w:tc>
          <w:tcPr>
            <w:tcW w:w="1727" w:type="pct"/>
            <w:vMerge w:val="continue"/>
            <w:tcBorders>
              <w:tl2br w:val="nil"/>
              <w:tr2bl w:val="nil"/>
            </w:tcBorders>
            <w:vAlign w:val="center"/>
          </w:tcPr>
          <w:p w14:paraId="558F41CC">
            <w:pPr>
              <w:pStyle w:val="132"/>
              <w:bidi w:val="0"/>
              <w:rPr>
                <w:rFonts w:hint="default"/>
                <w:b w:val="0"/>
                <w:bCs w:val="0"/>
                <w:color w:val="auto"/>
                <w:highlight w:val="none"/>
                <w:lang w:val="en-US" w:eastAsia="zh-CN"/>
              </w:rPr>
            </w:pPr>
          </w:p>
        </w:tc>
      </w:tr>
      <w:tr w14:paraId="052C83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47F4F680">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37</w:t>
            </w:r>
          </w:p>
        </w:tc>
        <w:tc>
          <w:tcPr>
            <w:tcW w:w="1466" w:type="pct"/>
            <w:tcBorders>
              <w:tl2br w:val="nil"/>
              <w:tr2bl w:val="nil"/>
            </w:tcBorders>
            <w:vAlign w:val="center"/>
          </w:tcPr>
          <w:p w14:paraId="5956013D">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石油类</w:t>
            </w:r>
          </w:p>
        </w:tc>
        <w:tc>
          <w:tcPr>
            <w:tcW w:w="653" w:type="pct"/>
            <w:vMerge w:val="continue"/>
            <w:tcBorders>
              <w:tl2br w:val="nil"/>
              <w:tr2bl w:val="nil"/>
            </w:tcBorders>
            <w:vAlign w:val="center"/>
          </w:tcPr>
          <w:p w14:paraId="7A17E1A8">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3AB8CC0C">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c>
          <w:tcPr>
            <w:tcW w:w="1727" w:type="pct"/>
            <w:vMerge w:val="continue"/>
            <w:tcBorders>
              <w:tl2br w:val="nil"/>
              <w:tr2bl w:val="nil"/>
            </w:tcBorders>
            <w:vAlign w:val="center"/>
          </w:tcPr>
          <w:p w14:paraId="2CABD9D6">
            <w:pPr>
              <w:pStyle w:val="132"/>
              <w:bidi w:val="0"/>
              <w:rPr>
                <w:rFonts w:hint="default"/>
                <w:b w:val="0"/>
                <w:bCs w:val="0"/>
                <w:color w:val="auto"/>
                <w:highlight w:val="none"/>
                <w:lang w:val="en-US" w:eastAsia="zh-CN"/>
              </w:rPr>
            </w:pPr>
          </w:p>
        </w:tc>
      </w:tr>
      <w:tr w14:paraId="403393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92" w:type="pct"/>
            <w:tcBorders>
              <w:tl2br w:val="nil"/>
              <w:tr2bl w:val="nil"/>
            </w:tcBorders>
            <w:vAlign w:val="center"/>
          </w:tcPr>
          <w:p w14:paraId="3D6855C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default"/>
                <w:b w:val="0"/>
                <w:bCs w:val="0"/>
                <w:color w:val="auto"/>
                <w:highlight w:val="none"/>
                <w:lang w:val="en-US" w:eastAsia="zh-CN"/>
              </w:rPr>
              <w:t>38</w:t>
            </w:r>
          </w:p>
        </w:tc>
        <w:tc>
          <w:tcPr>
            <w:tcW w:w="1466" w:type="pct"/>
            <w:tcBorders>
              <w:tl2br w:val="nil"/>
              <w:tr2bl w:val="nil"/>
            </w:tcBorders>
            <w:vAlign w:val="center"/>
          </w:tcPr>
          <w:p w14:paraId="36F50264">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b w:val="0"/>
                <w:bCs w:val="0"/>
                <w:color w:val="auto"/>
                <w:highlight w:val="none"/>
              </w:rPr>
              <w:t>总磷</w:t>
            </w:r>
          </w:p>
        </w:tc>
        <w:tc>
          <w:tcPr>
            <w:tcW w:w="653" w:type="pct"/>
            <w:vMerge w:val="continue"/>
            <w:tcBorders>
              <w:tl2br w:val="nil"/>
              <w:tr2bl w:val="nil"/>
            </w:tcBorders>
            <w:vAlign w:val="center"/>
          </w:tcPr>
          <w:p w14:paraId="0306A8EC">
            <w:pPr>
              <w:pStyle w:val="132"/>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p>
        </w:tc>
        <w:tc>
          <w:tcPr>
            <w:tcW w:w="660" w:type="pct"/>
            <w:tcBorders>
              <w:tl2br w:val="nil"/>
              <w:tr2bl w:val="nil"/>
            </w:tcBorders>
            <w:vAlign w:val="center"/>
          </w:tcPr>
          <w:p w14:paraId="381C5BE8">
            <w:pPr>
              <w:pStyle w:val="132"/>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c>
          <w:tcPr>
            <w:tcW w:w="1727" w:type="pct"/>
            <w:vMerge w:val="continue"/>
            <w:tcBorders>
              <w:tl2br w:val="nil"/>
              <w:tr2bl w:val="nil"/>
            </w:tcBorders>
            <w:vAlign w:val="center"/>
          </w:tcPr>
          <w:p w14:paraId="20CA3647">
            <w:pPr>
              <w:pStyle w:val="132"/>
              <w:bidi w:val="0"/>
              <w:rPr>
                <w:rFonts w:hint="default"/>
                <w:b w:val="0"/>
                <w:bCs w:val="0"/>
                <w:color w:val="auto"/>
                <w:highlight w:val="none"/>
                <w:lang w:val="en-US" w:eastAsia="zh-CN"/>
              </w:rPr>
            </w:pPr>
          </w:p>
        </w:tc>
      </w:tr>
    </w:tbl>
    <w:p w14:paraId="74F793B7">
      <w:pPr>
        <w:rPr>
          <w:rFonts w:hint="default"/>
          <w:color w:val="auto"/>
          <w:highlight w:val="none"/>
          <w:lang w:val="zh-CN"/>
        </w:rPr>
      </w:pPr>
    </w:p>
    <w:p w14:paraId="26CB904D">
      <w:pPr>
        <w:pStyle w:val="53"/>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w:t>
      </w:r>
      <w:r>
        <w:rPr>
          <w:rFonts w:hint="default" w:ascii="Times New Roman" w:hAnsi="Times New Roman" w:cs="Times New Roman"/>
          <w:color w:val="auto"/>
          <w:spacing w:val="-1"/>
          <w:highlight w:val="none"/>
          <w:lang w:val="en-US" w:eastAsia="zh-CN"/>
        </w:rPr>
        <w:t>3</w:t>
      </w:r>
      <w:r>
        <w:rPr>
          <w:rFonts w:hint="default" w:ascii="Times New Roman" w:hAnsi="Times New Roman" w:cs="Times New Roman"/>
          <w:color w:val="auto"/>
          <w:spacing w:val="-1"/>
          <w:highlight w:val="none"/>
        </w:rPr>
        <w:t>）声环境</w:t>
      </w:r>
    </w:p>
    <w:p w14:paraId="60ED5BF9">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项目声环境执行《声环境质量标准》（GB3096-2008）2类标准，评价标准限值见表2.5-</w:t>
      </w:r>
      <w:r>
        <w:rPr>
          <w:rFonts w:hint="default" w:ascii="Times New Roman" w:hAnsi="Times New Roman" w:cs="Times New Roman"/>
          <w:color w:val="auto"/>
          <w:spacing w:val="-1"/>
          <w:highlight w:val="none"/>
          <w:lang w:val="en-US" w:eastAsia="zh-CN"/>
        </w:rPr>
        <w:t>3</w:t>
      </w:r>
      <w:r>
        <w:rPr>
          <w:rFonts w:hint="default" w:ascii="Times New Roman" w:hAnsi="Times New Roman" w:cs="Times New Roman"/>
          <w:color w:val="auto"/>
          <w:spacing w:val="-1"/>
          <w:highlight w:val="none"/>
        </w:rPr>
        <w:t>。</w:t>
      </w:r>
    </w:p>
    <w:p w14:paraId="6C7B67CC">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表2.5-</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 xml:space="preserve">    声环境质量标准    单位：dB（A）</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78"/>
        <w:gridCol w:w="2345"/>
        <w:gridCol w:w="3097"/>
      </w:tblGrid>
      <w:tr w14:paraId="1A29F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078" w:type="dxa"/>
            <w:vAlign w:val="center"/>
          </w:tcPr>
          <w:p w14:paraId="470F617A">
            <w:pPr>
              <w:pStyle w:val="50"/>
              <w:spacing w:line="360" w:lineRule="exact"/>
              <w:rPr>
                <w:rFonts w:hint="default" w:ascii="Times New Roman" w:hAnsi="Times New Roman" w:cs="Times New Roman"/>
                <w:b/>
                <w:bCs/>
                <w:color w:val="auto"/>
                <w:spacing w:val="-1"/>
                <w:highlight w:val="none"/>
              </w:rPr>
            </w:pPr>
            <w:r>
              <w:rPr>
                <w:rFonts w:hint="default" w:ascii="Times New Roman" w:hAnsi="Times New Roman" w:cs="Times New Roman"/>
                <w:b/>
                <w:bCs/>
                <w:color w:val="auto"/>
                <w:spacing w:val="-1"/>
                <w:highlight w:val="none"/>
              </w:rPr>
              <w:t>类  别</w:t>
            </w:r>
          </w:p>
        </w:tc>
        <w:tc>
          <w:tcPr>
            <w:tcW w:w="2345" w:type="dxa"/>
            <w:vAlign w:val="center"/>
          </w:tcPr>
          <w:p w14:paraId="3DEC832E">
            <w:pPr>
              <w:pStyle w:val="50"/>
              <w:spacing w:line="360" w:lineRule="exact"/>
              <w:rPr>
                <w:rFonts w:hint="default" w:ascii="Times New Roman" w:hAnsi="Times New Roman" w:cs="Times New Roman"/>
                <w:b/>
                <w:bCs/>
                <w:color w:val="auto"/>
                <w:spacing w:val="-1"/>
                <w:highlight w:val="none"/>
              </w:rPr>
            </w:pPr>
            <w:r>
              <w:rPr>
                <w:rFonts w:hint="default" w:ascii="Times New Roman" w:hAnsi="Times New Roman" w:cs="Times New Roman"/>
                <w:b/>
                <w:bCs/>
                <w:color w:val="auto"/>
                <w:spacing w:val="-1"/>
                <w:highlight w:val="none"/>
              </w:rPr>
              <w:t>昼  间</w:t>
            </w:r>
          </w:p>
        </w:tc>
        <w:tc>
          <w:tcPr>
            <w:tcW w:w="3097" w:type="dxa"/>
            <w:vAlign w:val="center"/>
          </w:tcPr>
          <w:p w14:paraId="5CEC9CFC">
            <w:pPr>
              <w:pStyle w:val="50"/>
              <w:spacing w:line="360" w:lineRule="exact"/>
              <w:rPr>
                <w:rFonts w:hint="default" w:ascii="Times New Roman" w:hAnsi="Times New Roman" w:cs="Times New Roman"/>
                <w:b/>
                <w:bCs/>
                <w:color w:val="auto"/>
                <w:spacing w:val="-1"/>
                <w:highlight w:val="none"/>
              </w:rPr>
            </w:pPr>
            <w:r>
              <w:rPr>
                <w:rFonts w:hint="default" w:ascii="Times New Roman" w:hAnsi="Times New Roman" w:cs="Times New Roman"/>
                <w:b/>
                <w:bCs/>
                <w:color w:val="auto"/>
                <w:spacing w:val="-1"/>
                <w:highlight w:val="none"/>
              </w:rPr>
              <w:t>夜  间</w:t>
            </w:r>
          </w:p>
        </w:tc>
      </w:tr>
      <w:tr w14:paraId="0EA6F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078" w:type="dxa"/>
            <w:vAlign w:val="center"/>
          </w:tcPr>
          <w:p w14:paraId="6877FDEB">
            <w:pPr>
              <w:pStyle w:val="50"/>
              <w:spacing w:line="360" w:lineRule="exact"/>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环境噪声</w:t>
            </w:r>
          </w:p>
        </w:tc>
        <w:tc>
          <w:tcPr>
            <w:tcW w:w="2345" w:type="dxa"/>
            <w:vAlign w:val="center"/>
          </w:tcPr>
          <w:p w14:paraId="4D8916AD">
            <w:pPr>
              <w:pStyle w:val="50"/>
              <w:spacing w:line="360" w:lineRule="exact"/>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60</w:t>
            </w:r>
          </w:p>
        </w:tc>
        <w:tc>
          <w:tcPr>
            <w:tcW w:w="3097" w:type="dxa"/>
            <w:vAlign w:val="center"/>
          </w:tcPr>
          <w:p w14:paraId="2F39442F">
            <w:pPr>
              <w:pStyle w:val="50"/>
              <w:spacing w:line="360" w:lineRule="exact"/>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50</w:t>
            </w:r>
          </w:p>
        </w:tc>
      </w:tr>
    </w:tbl>
    <w:p w14:paraId="0073EC92">
      <w:pPr>
        <w:overflowPunct w:val="0"/>
        <w:topLinePunct/>
        <w:ind w:firstLine="476"/>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w:t>
      </w:r>
      <w:r>
        <w:rPr>
          <w:rFonts w:hint="default" w:ascii="Times New Roman" w:hAnsi="Times New Roman" w:cs="Times New Roman"/>
          <w:color w:val="auto"/>
          <w:spacing w:val="-1"/>
          <w:highlight w:val="none"/>
          <w:lang w:val="en-US" w:eastAsia="zh-CN"/>
        </w:rPr>
        <w:t>4</w:t>
      </w:r>
      <w:r>
        <w:rPr>
          <w:rFonts w:hint="default" w:ascii="Times New Roman" w:hAnsi="Times New Roman" w:cs="Times New Roman"/>
          <w:color w:val="auto"/>
          <w:spacing w:val="-1"/>
          <w:highlight w:val="none"/>
        </w:rPr>
        <w:t>）土壤环境</w:t>
      </w:r>
    </w:p>
    <w:p w14:paraId="73E1564B">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本工程属于《城市用地分类与规划建设用地标准》（GB50137-2011）中规定的二类工业用地（M2），因此土壤环境质量执行《土壤环境质量 建设用地土壤污染风险管控标准（试行）》（GB36600-2018）中的第二类筛选值标准；项目区占地范围外为草地，土壤环境质量执行《土壤环境质量 农用地土壤污染风险管控标准（试行）》（GB15618-2018）中的筛选值标准；评价标准限值见表2.5-</w:t>
      </w:r>
      <w:r>
        <w:rPr>
          <w:rFonts w:hint="default" w:ascii="Times New Roman" w:hAnsi="Times New Roman" w:cs="Times New Roman"/>
          <w:color w:val="auto"/>
          <w:spacing w:val="-1"/>
          <w:highlight w:val="none"/>
          <w:lang w:val="en-US" w:eastAsia="zh-CN"/>
        </w:rPr>
        <w:t>4</w:t>
      </w:r>
      <w:r>
        <w:rPr>
          <w:rFonts w:hint="default" w:ascii="Times New Roman" w:hAnsi="Times New Roman" w:cs="Times New Roman"/>
          <w:color w:val="auto"/>
          <w:spacing w:val="-1"/>
          <w:highlight w:val="none"/>
        </w:rPr>
        <w:t>。</w:t>
      </w:r>
    </w:p>
    <w:p w14:paraId="04B0B41F">
      <w:pPr>
        <w:pStyle w:val="47"/>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表2.5-</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zh-CN"/>
        </w:rPr>
        <w:t>建设用地、</w:t>
      </w:r>
      <w:r>
        <w:rPr>
          <w:rFonts w:hint="default" w:ascii="Times New Roman" w:hAnsi="Times New Roman" w:cs="Times New Roman"/>
          <w:color w:val="auto"/>
          <w:highlight w:val="none"/>
        </w:rPr>
        <w:t>农用地</w:t>
      </w:r>
      <w:r>
        <w:rPr>
          <w:rFonts w:hint="default" w:ascii="Times New Roman" w:hAnsi="Times New Roman" w:cs="Times New Roman"/>
          <w:color w:val="auto"/>
          <w:highlight w:val="none"/>
          <w:lang w:val="zh-CN"/>
        </w:rPr>
        <w:t>土壤污染风险管控标准</w:t>
      </w:r>
      <w:r>
        <w:rPr>
          <w:rFonts w:hint="default" w:ascii="Times New Roman" w:hAnsi="Times New Roman" w:cs="Times New Roman"/>
          <w:color w:val="auto"/>
          <w:highlight w:val="none"/>
        </w:rPr>
        <w:t xml:space="preserve">    单位：mg/kg</w:t>
      </w:r>
    </w:p>
    <w:tbl>
      <w:tblPr>
        <w:tblStyle w:val="33"/>
        <w:tblW w:w="83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58"/>
        <w:gridCol w:w="669"/>
        <w:gridCol w:w="2311"/>
        <w:gridCol w:w="2066"/>
        <w:gridCol w:w="2258"/>
      </w:tblGrid>
      <w:tr w14:paraId="42262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058" w:type="dxa"/>
            <w:tcBorders>
              <w:tl2br w:val="nil"/>
              <w:tr2bl w:val="nil"/>
            </w:tcBorders>
            <w:vAlign w:val="center"/>
          </w:tcPr>
          <w:p w14:paraId="229D1ED3">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669" w:type="dxa"/>
            <w:tcBorders>
              <w:tl2br w:val="nil"/>
              <w:tr2bl w:val="nil"/>
            </w:tcBorders>
            <w:vAlign w:val="center"/>
          </w:tcPr>
          <w:p w14:paraId="3BA5DF11">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2311" w:type="dxa"/>
            <w:tcBorders>
              <w:tl2br w:val="nil"/>
              <w:tr2bl w:val="nil"/>
            </w:tcBorders>
            <w:vAlign w:val="center"/>
          </w:tcPr>
          <w:p w14:paraId="5D991906">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污染物项目</w:t>
            </w:r>
          </w:p>
        </w:tc>
        <w:tc>
          <w:tcPr>
            <w:tcW w:w="2066" w:type="dxa"/>
            <w:tcBorders>
              <w:tl2br w:val="nil"/>
              <w:tr2bl w:val="nil"/>
            </w:tcBorders>
            <w:vAlign w:val="center"/>
          </w:tcPr>
          <w:p w14:paraId="3828261B">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w:t>
            </w:r>
          </w:p>
        </w:tc>
        <w:tc>
          <w:tcPr>
            <w:tcW w:w="2258" w:type="dxa"/>
            <w:tcBorders>
              <w:tl2br w:val="nil"/>
              <w:tr2bl w:val="nil"/>
            </w:tcBorders>
            <w:vAlign w:val="center"/>
          </w:tcPr>
          <w:p w14:paraId="3CFD0B09">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执行标准</w:t>
            </w:r>
          </w:p>
        </w:tc>
      </w:tr>
      <w:tr w14:paraId="3C5E0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6578022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重金属和无机物</w:t>
            </w:r>
          </w:p>
        </w:tc>
      </w:tr>
      <w:tr w14:paraId="773FB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2C0B899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第二类用地筛选值</w:t>
            </w:r>
          </w:p>
        </w:tc>
        <w:tc>
          <w:tcPr>
            <w:tcW w:w="669" w:type="dxa"/>
            <w:tcBorders>
              <w:tl2br w:val="nil"/>
              <w:tr2bl w:val="nil"/>
            </w:tcBorders>
            <w:vAlign w:val="center"/>
          </w:tcPr>
          <w:p w14:paraId="3668D96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2311" w:type="dxa"/>
            <w:tcBorders>
              <w:tl2br w:val="nil"/>
              <w:tr2bl w:val="nil"/>
            </w:tcBorders>
            <w:vAlign w:val="center"/>
          </w:tcPr>
          <w:p w14:paraId="29EFA6B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砷</w:t>
            </w:r>
          </w:p>
        </w:tc>
        <w:tc>
          <w:tcPr>
            <w:tcW w:w="2066" w:type="dxa"/>
            <w:tcBorders>
              <w:tl2br w:val="nil"/>
              <w:tr2bl w:val="nil"/>
            </w:tcBorders>
            <w:vAlign w:val="center"/>
          </w:tcPr>
          <w:p w14:paraId="32AB276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w:t>
            </w:r>
          </w:p>
        </w:tc>
        <w:tc>
          <w:tcPr>
            <w:tcW w:w="2258" w:type="dxa"/>
            <w:vMerge w:val="restart"/>
            <w:tcBorders>
              <w:tl2br w:val="nil"/>
              <w:tr2bl w:val="nil"/>
            </w:tcBorders>
            <w:vAlign w:val="center"/>
          </w:tcPr>
          <w:p w14:paraId="1BCC30C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《土壤环境质量 建设用地土壤污染风险管控标准</w:t>
            </w:r>
            <w:r>
              <w:rPr>
                <w:rFonts w:hint="default" w:cs="Times New Roman"/>
                <w:bCs/>
                <w:color w:val="auto"/>
                <w:sz w:val="21"/>
                <w:szCs w:val="21"/>
                <w:highlight w:val="none"/>
                <w:lang w:eastAsia="zh-CN"/>
              </w:rPr>
              <w:t>（</w:t>
            </w:r>
            <w:r>
              <w:rPr>
                <w:rFonts w:hint="default" w:cs="Times New Roman"/>
                <w:bCs/>
                <w:color w:val="auto"/>
                <w:sz w:val="21"/>
                <w:szCs w:val="21"/>
                <w:highlight w:val="none"/>
                <w:lang w:val="en-US" w:eastAsia="zh-CN"/>
              </w:rPr>
              <w:t>试行</w:t>
            </w:r>
            <w:r>
              <w:rPr>
                <w:rFonts w:hint="default"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》（GB36600-2018）</w:t>
            </w:r>
          </w:p>
        </w:tc>
      </w:tr>
      <w:tr w14:paraId="543CE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77595CB">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9257F4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2311" w:type="dxa"/>
            <w:tcBorders>
              <w:tl2br w:val="nil"/>
              <w:tr2bl w:val="nil"/>
            </w:tcBorders>
            <w:vAlign w:val="center"/>
          </w:tcPr>
          <w:p w14:paraId="61AC903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镉</w:t>
            </w:r>
          </w:p>
        </w:tc>
        <w:tc>
          <w:tcPr>
            <w:tcW w:w="2066" w:type="dxa"/>
            <w:tcBorders>
              <w:tl2br w:val="nil"/>
              <w:tr2bl w:val="nil"/>
            </w:tcBorders>
            <w:vAlign w:val="center"/>
          </w:tcPr>
          <w:p w14:paraId="21EFA54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w:t>
            </w:r>
          </w:p>
        </w:tc>
        <w:tc>
          <w:tcPr>
            <w:tcW w:w="2258" w:type="dxa"/>
            <w:vMerge w:val="continue"/>
            <w:tcBorders>
              <w:tl2br w:val="nil"/>
              <w:tr2bl w:val="nil"/>
            </w:tcBorders>
            <w:vAlign w:val="center"/>
          </w:tcPr>
          <w:p w14:paraId="05B7E5F4">
            <w:pPr>
              <w:spacing w:line="360" w:lineRule="atLeast"/>
              <w:ind w:firstLine="0" w:firstLineChars="0"/>
              <w:jc w:val="center"/>
              <w:rPr>
                <w:rFonts w:hint="default" w:ascii="Times New Roman" w:hAnsi="Times New Roman" w:cs="Times New Roman"/>
                <w:bCs/>
                <w:color w:val="auto"/>
                <w:sz w:val="21"/>
                <w:szCs w:val="21"/>
                <w:highlight w:val="none"/>
              </w:rPr>
            </w:pPr>
          </w:p>
        </w:tc>
      </w:tr>
      <w:tr w14:paraId="29F2A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349EB1A">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6FC758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2311" w:type="dxa"/>
            <w:tcBorders>
              <w:tl2br w:val="nil"/>
              <w:tr2bl w:val="nil"/>
            </w:tcBorders>
            <w:vAlign w:val="center"/>
          </w:tcPr>
          <w:p w14:paraId="657B78C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铬（六价）</w:t>
            </w:r>
          </w:p>
        </w:tc>
        <w:tc>
          <w:tcPr>
            <w:tcW w:w="2066" w:type="dxa"/>
            <w:tcBorders>
              <w:tl2br w:val="nil"/>
              <w:tr2bl w:val="nil"/>
            </w:tcBorders>
            <w:vAlign w:val="center"/>
          </w:tcPr>
          <w:p w14:paraId="0A5A534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w:t>
            </w:r>
          </w:p>
        </w:tc>
        <w:tc>
          <w:tcPr>
            <w:tcW w:w="2258" w:type="dxa"/>
            <w:vMerge w:val="continue"/>
            <w:tcBorders>
              <w:tl2br w:val="nil"/>
              <w:tr2bl w:val="nil"/>
            </w:tcBorders>
            <w:vAlign w:val="center"/>
          </w:tcPr>
          <w:p w14:paraId="00E1CBBF">
            <w:pPr>
              <w:spacing w:line="360" w:lineRule="atLeast"/>
              <w:ind w:firstLine="0" w:firstLineChars="0"/>
              <w:jc w:val="center"/>
              <w:rPr>
                <w:rFonts w:hint="default" w:ascii="Times New Roman" w:hAnsi="Times New Roman" w:cs="Times New Roman"/>
                <w:bCs/>
                <w:color w:val="auto"/>
                <w:sz w:val="21"/>
                <w:szCs w:val="21"/>
                <w:highlight w:val="none"/>
              </w:rPr>
            </w:pPr>
          </w:p>
        </w:tc>
      </w:tr>
      <w:tr w14:paraId="71170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B19FE26">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C4926D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2311" w:type="dxa"/>
            <w:tcBorders>
              <w:tl2br w:val="nil"/>
              <w:tr2bl w:val="nil"/>
            </w:tcBorders>
            <w:vAlign w:val="center"/>
          </w:tcPr>
          <w:p w14:paraId="193A9A5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铜</w:t>
            </w:r>
          </w:p>
        </w:tc>
        <w:tc>
          <w:tcPr>
            <w:tcW w:w="2066" w:type="dxa"/>
            <w:tcBorders>
              <w:tl2br w:val="nil"/>
              <w:tr2bl w:val="nil"/>
            </w:tcBorders>
            <w:vAlign w:val="center"/>
          </w:tcPr>
          <w:p w14:paraId="36730B1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18000</w:t>
            </w:r>
          </w:p>
        </w:tc>
        <w:tc>
          <w:tcPr>
            <w:tcW w:w="2258" w:type="dxa"/>
            <w:vMerge w:val="continue"/>
            <w:tcBorders>
              <w:tl2br w:val="nil"/>
              <w:tr2bl w:val="nil"/>
            </w:tcBorders>
            <w:vAlign w:val="center"/>
          </w:tcPr>
          <w:p w14:paraId="701B2112">
            <w:pPr>
              <w:spacing w:line="360" w:lineRule="atLeast"/>
              <w:ind w:firstLine="0" w:firstLineChars="0"/>
              <w:jc w:val="center"/>
              <w:rPr>
                <w:rFonts w:hint="default" w:ascii="Times New Roman" w:hAnsi="Times New Roman" w:cs="Times New Roman"/>
                <w:bCs/>
                <w:color w:val="auto"/>
                <w:sz w:val="21"/>
                <w:szCs w:val="21"/>
                <w:highlight w:val="none"/>
              </w:rPr>
            </w:pPr>
          </w:p>
        </w:tc>
      </w:tr>
      <w:tr w14:paraId="08A55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AE8EF3B">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F5A4C9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2311" w:type="dxa"/>
            <w:tcBorders>
              <w:tl2br w:val="nil"/>
              <w:tr2bl w:val="nil"/>
            </w:tcBorders>
            <w:vAlign w:val="center"/>
          </w:tcPr>
          <w:p w14:paraId="7FD7213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铅</w:t>
            </w:r>
          </w:p>
        </w:tc>
        <w:tc>
          <w:tcPr>
            <w:tcW w:w="2066" w:type="dxa"/>
            <w:tcBorders>
              <w:tl2br w:val="nil"/>
              <w:tr2bl w:val="nil"/>
            </w:tcBorders>
            <w:vAlign w:val="center"/>
          </w:tcPr>
          <w:p w14:paraId="0D79A85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2258" w:type="dxa"/>
            <w:vMerge w:val="continue"/>
            <w:tcBorders>
              <w:tl2br w:val="nil"/>
              <w:tr2bl w:val="nil"/>
            </w:tcBorders>
            <w:vAlign w:val="center"/>
          </w:tcPr>
          <w:p w14:paraId="4628D5C3">
            <w:pPr>
              <w:spacing w:line="360" w:lineRule="atLeast"/>
              <w:ind w:firstLine="0" w:firstLineChars="0"/>
              <w:jc w:val="center"/>
              <w:rPr>
                <w:rFonts w:hint="default" w:ascii="Times New Roman" w:hAnsi="Times New Roman" w:cs="Times New Roman"/>
                <w:bCs/>
                <w:color w:val="auto"/>
                <w:sz w:val="21"/>
                <w:szCs w:val="21"/>
                <w:highlight w:val="none"/>
              </w:rPr>
            </w:pPr>
          </w:p>
        </w:tc>
      </w:tr>
      <w:tr w14:paraId="407FE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EB5C82B">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1ED331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2311" w:type="dxa"/>
            <w:tcBorders>
              <w:tl2br w:val="nil"/>
              <w:tr2bl w:val="nil"/>
            </w:tcBorders>
            <w:vAlign w:val="center"/>
          </w:tcPr>
          <w:p w14:paraId="397998E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汞</w:t>
            </w:r>
          </w:p>
        </w:tc>
        <w:tc>
          <w:tcPr>
            <w:tcW w:w="2066" w:type="dxa"/>
            <w:tcBorders>
              <w:tl2br w:val="nil"/>
              <w:tr2bl w:val="nil"/>
            </w:tcBorders>
            <w:vAlign w:val="center"/>
          </w:tcPr>
          <w:p w14:paraId="50505CB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w:t>
            </w:r>
          </w:p>
        </w:tc>
        <w:tc>
          <w:tcPr>
            <w:tcW w:w="2258" w:type="dxa"/>
            <w:vMerge w:val="continue"/>
            <w:tcBorders>
              <w:tl2br w:val="nil"/>
              <w:tr2bl w:val="nil"/>
            </w:tcBorders>
            <w:vAlign w:val="center"/>
          </w:tcPr>
          <w:p w14:paraId="3FF6A7BB">
            <w:pPr>
              <w:spacing w:line="360" w:lineRule="atLeast"/>
              <w:ind w:firstLine="0" w:firstLineChars="0"/>
              <w:jc w:val="center"/>
              <w:rPr>
                <w:rFonts w:hint="default" w:ascii="Times New Roman" w:hAnsi="Times New Roman" w:cs="Times New Roman"/>
                <w:bCs/>
                <w:color w:val="auto"/>
                <w:sz w:val="21"/>
                <w:szCs w:val="21"/>
                <w:highlight w:val="none"/>
              </w:rPr>
            </w:pPr>
          </w:p>
        </w:tc>
      </w:tr>
      <w:tr w14:paraId="3DB60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CBF5965">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97C9B3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2311" w:type="dxa"/>
            <w:tcBorders>
              <w:tl2br w:val="nil"/>
              <w:tr2bl w:val="nil"/>
            </w:tcBorders>
            <w:vAlign w:val="center"/>
          </w:tcPr>
          <w:p w14:paraId="34CD3B4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镍</w:t>
            </w:r>
          </w:p>
        </w:tc>
        <w:tc>
          <w:tcPr>
            <w:tcW w:w="2066" w:type="dxa"/>
            <w:tcBorders>
              <w:tl2br w:val="nil"/>
              <w:tr2bl w:val="nil"/>
            </w:tcBorders>
            <w:vAlign w:val="center"/>
          </w:tcPr>
          <w:p w14:paraId="2318639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900</w:t>
            </w:r>
          </w:p>
        </w:tc>
        <w:tc>
          <w:tcPr>
            <w:tcW w:w="2258" w:type="dxa"/>
            <w:vMerge w:val="continue"/>
            <w:tcBorders>
              <w:tl2br w:val="nil"/>
              <w:tr2bl w:val="nil"/>
            </w:tcBorders>
            <w:vAlign w:val="center"/>
          </w:tcPr>
          <w:p w14:paraId="4FA2AE51">
            <w:pPr>
              <w:spacing w:line="360" w:lineRule="atLeast"/>
              <w:ind w:firstLine="0" w:firstLineChars="0"/>
              <w:jc w:val="center"/>
              <w:rPr>
                <w:rFonts w:hint="default" w:ascii="Times New Roman" w:hAnsi="Times New Roman" w:cs="Times New Roman"/>
                <w:bCs/>
                <w:color w:val="auto"/>
                <w:sz w:val="21"/>
                <w:szCs w:val="21"/>
                <w:highlight w:val="none"/>
              </w:rPr>
            </w:pPr>
          </w:p>
        </w:tc>
      </w:tr>
      <w:tr w14:paraId="0CC36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20F1A4B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挥发性有机物</w:t>
            </w:r>
          </w:p>
        </w:tc>
      </w:tr>
      <w:tr w14:paraId="63FB6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0669270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第二类用地筛选值</w:t>
            </w:r>
          </w:p>
        </w:tc>
        <w:tc>
          <w:tcPr>
            <w:tcW w:w="669" w:type="dxa"/>
            <w:tcBorders>
              <w:tl2br w:val="nil"/>
              <w:tr2bl w:val="nil"/>
            </w:tcBorders>
            <w:vAlign w:val="center"/>
          </w:tcPr>
          <w:p w14:paraId="5ABDF30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2311" w:type="dxa"/>
            <w:tcBorders>
              <w:tl2br w:val="nil"/>
              <w:tr2bl w:val="nil"/>
            </w:tcBorders>
            <w:vAlign w:val="center"/>
          </w:tcPr>
          <w:p w14:paraId="25024F4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四氯化碳</w:t>
            </w:r>
          </w:p>
        </w:tc>
        <w:tc>
          <w:tcPr>
            <w:tcW w:w="2066" w:type="dxa"/>
            <w:tcBorders>
              <w:tl2br w:val="nil"/>
              <w:tr2bl w:val="nil"/>
            </w:tcBorders>
            <w:vAlign w:val="center"/>
          </w:tcPr>
          <w:p w14:paraId="4A0CCD8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restart"/>
            <w:tcBorders>
              <w:tl2br w:val="nil"/>
              <w:tr2bl w:val="nil"/>
            </w:tcBorders>
            <w:vAlign w:val="center"/>
          </w:tcPr>
          <w:p w14:paraId="6E3BC82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《土壤环境质量 建设用地土壤污染风险管控标准</w:t>
            </w:r>
            <w:r>
              <w:rPr>
                <w:rFonts w:hint="default" w:cs="Times New Roman"/>
                <w:bCs/>
                <w:color w:val="auto"/>
                <w:sz w:val="21"/>
                <w:szCs w:val="21"/>
                <w:highlight w:val="none"/>
                <w:lang w:eastAsia="zh-CN"/>
              </w:rPr>
              <w:t>（</w:t>
            </w:r>
            <w:r>
              <w:rPr>
                <w:rFonts w:hint="default" w:cs="Times New Roman"/>
                <w:bCs/>
                <w:color w:val="auto"/>
                <w:sz w:val="21"/>
                <w:szCs w:val="21"/>
                <w:highlight w:val="none"/>
                <w:lang w:val="en-US" w:eastAsia="zh-CN"/>
              </w:rPr>
              <w:t>试行</w:t>
            </w:r>
            <w:r>
              <w:rPr>
                <w:rFonts w:hint="default"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》（GB36600-2018）</w:t>
            </w:r>
          </w:p>
        </w:tc>
      </w:tr>
      <w:tr w14:paraId="03CDA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05343C3">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AD4EDF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2311" w:type="dxa"/>
            <w:tcBorders>
              <w:tl2br w:val="nil"/>
              <w:tr2bl w:val="nil"/>
            </w:tcBorders>
            <w:vAlign w:val="center"/>
          </w:tcPr>
          <w:p w14:paraId="2853D41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氯仿</w:t>
            </w:r>
          </w:p>
        </w:tc>
        <w:tc>
          <w:tcPr>
            <w:tcW w:w="2066" w:type="dxa"/>
            <w:tcBorders>
              <w:tl2br w:val="nil"/>
              <w:tr2bl w:val="nil"/>
            </w:tcBorders>
            <w:vAlign w:val="center"/>
          </w:tcPr>
          <w:p w14:paraId="14E2ECD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w:t>
            </w:r>
          </w:p>
        </w:tc>
        <w:tc>
          <w:tcPr>
            <w:tcW w:w="2258" w:type="dxa"/>
            <w:vMerge w:val="continue"/>
            <w:tcBorders>
              <w:tl2br w:val="nil"/>
              <w:tr2bl w:val="nil"/>
            </w:tcBorders>
            <w:vAlign w:val="center"/>
          </w:tcPr>
          <w:p w14:paraId="0AD2DD01">
            <w:pPr>
              <w:spacing w:line="360" w:lineRule="atLeast"/>
              <w:ind w:firstLine="0" w:firstLineChars="0"/>
              <w:jc w:val="center"/>
              <w:rPr>
                <w:rFonts w:hint="default" w:ascii="Times New Roman" w:hAnsi="Times New Roman" w:cs="Times New Roman"/>
                <w:bCs/>
                <w:color w:val="auto"/>
                <w:sz w:val="21"/>
                <w:szCs w:val="21"/>
                <w:highlight w:val="none"/>
              </w:rPr>
            </w:pPr>
          </w:p>
        </w:tc>
      </w:tr>
      <w:tr w14:paraId="35F04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1646D5F">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79879C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2311" w:type="dxa"/>
            <w:tcBorders>
              <w:tl2br w:val="nil"/>
              <w:tr2bl w:val="nil"/>
            </w:tcBorders>
            <w:vAlign w:val="center"/>
          </w:tcPr>
          <w:p w14:paraId="06B304F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氯甲烷</w:t>
            </w:r>
          </w:p>
        </w:tc>
        <w:tc>
          <w:tcPr>
            <w:tcW w:w="2066" w:type="dxa"/>
            <w:tcBorders>
              <w:tl2br w:val="nil"/>
              <w:tr2bl w:val="nil"/>
            </w:tcBorders>
            <w:vAlign w:val="center"/>
          </w:tcPr>
          <w:p w14:paraId="09706C8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c>
          <w:tcPr>
            <w:tcW w:w="2258" w:type="dxa"/>
            <w:vMerge w:val="continue"/>
            <w:tcBorders>
              <w:tl2br w:val="nil"/>
              <w:tr2bl w:val="nil"/>
            </w:tcBorders>
            <w:vAlign w:val="center"/>
          </w:tcPr>
          <w:p w14:paraId="6090ED6C">
            <w:pPr>
              <w:spacing w:line="360" w:lineRule="atLeast"/>
              <w:ind w:firstLine="0" w:firstLineChars="0"/>
              <w:jc w:val="center"/>
              <w:rPr>
                <w:rFonts w:hint="default" w:ascii="Times New Roman" w:hAnsi="Times New Roman" w:cs="Times New Roman"/>
                <w:bCs/>
                <w:color w:val="auto"/>
                <w:sz w:val="21"/>
                <w:szCs w:val="21"/>
                <w:highlight w:val="none"/>
              </w:rPr>
            </w:pPr>
          </w:p>
        </w:tc>
      </w:tr>
      <w:tr w14:paraId="495DC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1EC7F66">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A6E77D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2311" w:type="dxa"/>
            <w:tcBorders>
              <w:tl2br w:val="nil"/>
              <w:tr2bl w:val="nil"/>
            </w:tcBorders>
            <w:vAlign w:val="center"/>
          </w:tcPr>
          <w:p w14:paraId="4968835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1，1-二氯乙烷</w:t>
            </w:r>
          </w:p>
        </w:tc>
        <w:tc>
          <w:tcPr>
            <w:tcW w:w="2066" w:type="dxa"/>
            <w:tcBorders>
              <w:tl2br w:val="nil"/>
              <w:tr2bl w:val="nil"/>
            </w:tcBorders>
            <w:vAlign w:val="center"/>
          </w:tcPr>
          <w:p w14:paraId="6A7AD41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2258" w:type="dxa"/>
            <w:vMerge w:val="continue"/>
            <w:tcBorders>
              <w:tl2br w:val="nil"/>
              <w:tr2bl w:val="nil"/>
            </w:tcBorders>
            <w:vAlign w:val="center"/>
          </w:tcPr>
          <w:p w14:paraId="0696E11E">
            <w:pPr>
              <w:spacing w:line="360" w:lineRule="atLeast"/>
              <w:ind w:firstLine="0" w:firstLineChars="0"/>
              <w:jc w:val="center"/>
              <w:rPr>
                <w:rFonts w:hint="default" w:ascii="Times New Roman" w:hAnsi="Times New Roman" w:cs="Times New Roman"/>
                <w:bCs/>
                <w:color w:val="auto"/>
                <w:sz w:val="21"/>
                <w:szCs w:val="21"/>
                <w:highlight w:val="none"/>
              </w:rPr>
            </w:pPr>
          </w:p>
        </w:tc>
      </w:tr>
      <w:tr w14:paraId="5176D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E69BDDF">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C6707B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2311" w:type="dxa"/>
            <w:tcBorders>
              <w:tl2br w:val="nil"/>
              <w:tr2bl w:val="nil"/>
            </w:tcBorders>
            <w:vAlign w:val="center"/>
          </w:tcPr>
          <w:p w14:paraId="53143A9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1.2-二氯乙烷</w:t>
            </w:r>
          </w:p>
        </w:tc>
        <w:tc>
          <w:tcPr>
            <w:tcW w:w="2066" w:type="dxa"/>
            <w:tcBorders>
              <w:tl2br w:val="nil"/>
              <w:tr2bl w:val="nil"/>
            </w:tcBorders>
            <w:vAlign w:val="center"/>
          </w:tcPr>
          <w:p w14:paraId="3651E03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2258" w:type="dxa"/>
            <w:vMerge w:val="continue"/>
            <w:tcBorders>
              <w:tl2br w:val="nil"/>
              <w:tr2bl w:val="nil"/>
            </w:tcBorders>
            <w:vAlign w:val="center"/>
          </w:tcPr>
          <w:p w14:paraId="668EBA1A">
            <w:pPr>
              <w:spacing w:line="360" w:lineRule="atLeast"/>
              <w:ind w:firstLine="0" w:firstLineChars="0"/>
              <w:jc w:val="center"/>
              <w:rPr>
                <w:rFonts w:hint="default" w:ascii="Times New Roman" w:hAnsi="Times New Roman" w:cs="Times New Roman"/>
                <w:bCs/>
                <w:color w:val="auto"/>
                <w:sz w:val="21"/>
                <w:szCs w:val="21"/>
                <w:highlight w:val="none"/>
              </w:rPr>
            </w:pPr>
          </w:p>
        </w:tc>
      </w:tr>
      <w:tr w14:paraId="22534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B6FCC18">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6B7FC1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2311" w:type="dxa"/>
            <w:tcBorders>
              <w:tl2br w:val="nil"/>
              <w:tr2bl w:val="nil"/>
            </w:tcBorders>
            <w:vAlign w:val="center"/>
          </w:tcPr>
          <w:p w14:paraId="0E42CAA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1，1-二氯乙烯</w:t>
            </w:r>
          </w:p>
        </w:tc>
        <w:tc>
          <w:tcPr>
            <w:tcW w:w="2066" w:type="dxa"/>
            <w:tcBorders>
              <w:tl2br w:val="nil"/>
              <w:tr2bl w:val="nil"/>
            </w:tcBorders>
            <w:vAlign w:val="center"/>
          </w:tcPr>
          <w:p w14:paraId="3FB1725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66</w:t>
            </w:r>
          </w:p>
        </w:tc>
        <w:tc>
          <w:tcPr>
            <w:tcW w:w="2258" w:type="dxa"/>
            <w:vMerge w:val="continue"/>
            <w:tcBorders>
              <w:tl2br w:val="nil"/>
              <w:tr2bl w:val="nil"/>
            </w:tcBorders>
            <w:vAlign w:val="center"/>
          </w:tcPr>
          <w:p w14:paraId="56EB37D4">
            <w:pPr>
              <w:spacing w:line="360" w:lineRule="atLeast"/>
              <w:ind w:firstLine="0" w:firstLineChars="0"/>
              <w:jc w:val="center"/>
              <w:rPr>
                <w:rFonts w:hint="default" w:ascii="Times New Roman" w:hAnsi="Times New Roman" w:cs="Times New Roman"/>
                <w:bCs/>
                <w:color w:val="auto"/>
                <w:sz w:val="21"/>
                <w:szCs w:val="21"/>
                <w:highlight w:val="none"/>
              </w:rPr>
            </w:pPr>
          </w:p>
        </w:tc>
      </w:tr>
      <w:tr w14:paraId="3A2D1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0427E4C">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86E71A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2311" w:type="dxa"/>
            <w:tcBorders>
              <w:tl2br w:val="nil"/>
              <w:tr2bl w:val="nil"/>
            </w:tcBorders>
            <w:vAlign w:val="center"/>
          </w:tcPr>
          <w:p w14:paraId="22C5904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顺-1，2-二氯乙烯</w:t>
            </w:r>
          </w:p>
        </w:tc>
        <w:tc>
          <w:tcPr>
            <w:tcW w:w="2066" w:type="dxa"/>
            <w:tcBorders>
              <w:tl2br w:val="nil"/>
              <w:tr2bl w:val="nil"/>
            </w:tcBorders>
            <w:vAlign w:val="center"/>
          </w:tcPr>
          <w:p w14:paraId="70FBE21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w:t>
            </w:r>
          </w:p>
        </w:tc>
        <w:tc>
          <w:tcPr>
            <w:tcW w:w="2258" w:type="dxa"/>
            <w:vMerge w:val="continue"/>
            <w:tcBorders>
              <w:tl2br w:val="nil"/>
              <w:tr2bl w:val="nil"/>
            </w:tcBorders>
            <w:vAlign w:val="center"/>
          </w:tcPr>
          <w:p w14:paraId="77D95E32">
            <w:pPr>
              <w:spacing w:line="360" w:lineRule="atLeast"/>
              <w:ind w:firstLine="0" w:firstLineChars="0"/>
              <w:jc w:val="center"/>
              <w:rPr>
                <w:rFonts w:hint="default" w:ascii="Times New Roman" w:hAnsi="Times New Roman" w:cs="Times New Roman"/>
                <w:bCs/>
                <w:color w:val="auto"/>
                <w:sz w:val="21"/>
                <w:szCs w:val="21"/>
                <w:highlight w:val="none"/>
              </w:rPr>
            </w:pPr>
          </w:p>
        </w:tc>
      </w:tr>
      <w:tr w14:paraId="793C4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874B789">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9F5F8C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311" w:type="dxa"/>
            <w:tcBorders>
              <w:tl2br w:val="nil"/>
              <w:tr2bl w:val="nil"/>
            </w:tcBorders>
            <w:vAlign w:val="center"/>
          </w:tcPr>
          <w:p w14:paraId="3317B2B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反-1.2-二氯乙烯</w:t>
            </w:r>
          </w:p>
        </w:tc>
        <w:tc>
          <w:tcPr>
            <w:tcW w:w="2066" w:type="dxa"/>
            <w:tcBorders>
              <w:tl2br w:val="nil"/>
              <w:tr2bl w:val="nil"/>
            </w:tcBorders>
            <w:vAlign w:val="center"/>
          </w:tcPr>
          <w:p w14:paraId="360529B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w:t>
            </w:r>
          </w:p>
        </w:tc>
        <w:tc>
          <w:tcPr>
            <w:tcW w:w="2258" w:type="dxa"/>
            <w:vMerge w:val="continue"/>
            <w:tcBorders>
              <w:tl2br w:val="nil"/>
              <w:tr2bl w:val="nil"/>
            </w:tcBorders>
            <w:vAlign w:val="center"/>
          </w:tcPr>
          <w:p w14:paraId="3C3501F5">
            <w:pPr>
              <w:spacing w:line="360" w:lineRule="atLeast"/>
              <w:ind w:firstLine="0" w:firstLineChars="0"/>
              <w:jc w:val="center"/>
              <w:rPr>
                <w:rFonts w:hint="default" w:ascii="Times New Roman" w:hAnsi="Times New Roman" w:cs="Times New Roman"/>
                <w:bCs/>
                <w:color w:val="auto"/>
                <w:sz w:val="21"/>
                <w:szCs w:val="21"/>
                <w:highlight w:val="none"/>
              </w:rPr>
            </w:pPr>
          </w:p>
        </w:tc>
      </w:tr>
      <w:tr w14:paraId="32E5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3AEB7CD">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40BF2E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2311" w:type="dxa"/>
            <w:tcBorders>
              <w:tl2br w:val="nil"/>
              <w:tr2bl w:val="nil"/>
            </w:tcBorders>
            <w:vAlign w:val="center"/>
          </w:tcPr>
          <w:p w14:paraId="3C85505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二氯甲烷</w:t>
            </w:r>
          </w:p>
        </w:tc>
        <w:tc>
          <w:tcPr>
            <w:tcW w:w="2066" w:type="dxa"/>
            <w:tcBorders>
              <w:tl2br w:val="nil"/>
              <w:tr2bl w:val="nil"/>
            </w:tcBorders>
            <w:vAlign w:val="center"/>
          </w:tcPr>
          <w:p w14:paraId="6C7A166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616</w:t>
            </w:r>
          </w:p>
        </w:tc>
        <w:tc>
          <w:tcPr>
            <w:tcW w:w="2258" w:type="dxa"/>
            <w:vMerge w:val="continue"/>
            <w:tcBorders>
              <w:tl2br w:val="nil"/>
              <w:tr2bl w:val="nil"/>
            </w:tcBorders>
            <w:vAlign w:val="center"/>
          </w:tcPr>
          <w:p w14:paraId="73636A32">
            <w:pPr>
              <w:spacing w:line="360" w:lineRule="atLeast"/>
              <w:ind w:firstLine="0" w:firstLineChars="0"/>
              <w:jc w:val="center"/>
              <w:rPr>
                <w:rFonts w:hint="default" w:ascii="Times New Roman" w:hAnsi="Times New Roman" w:cs="Times New Roman"/>
                <w:bCs/>
                <w:color w:val="auto"/>
                <w:sz w:val="21"/>
                <w:szCs w:val="21"/>
                <w:highlight w:val="none"/>
              </w:rPr>
            </w:pPr>
          </w:p>
        </w:tc>
      </w:tr>
      <w:tr w14:paraId="13662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87FA6ED">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A176ED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2311" w:type="dxa"/>
            <w:tcBorders>
              <w:tl2br w:val="nil"/>
              <w:tr2bl w:val="nil"/>
            </w:tcBorders>
            <w:vAlign w:val="center"/>
          </w:tcPr>
          <w:p w14:paraId="589B57D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1，2-二氯丙烷</w:t>
            </w:r>
          </w:p>
        </w:tc>
        <w:tc>
          <w:tcPr>
            <w:tcW w:w="2066" w:type="dxa"/>
            <w:tcBorders>
              <w:tl2br w:val="nil"/>
              <w:tr2bl w:val="nil"/>
            </w:tcBorders>
            <w:vAlign w:val="center"/>
          </w:tcPr>
          <w:p w14:paraId="09A8540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2258" w:type="dxa"/>
            <w:vMerge w:val="continue"/>
            <w:tcBorders>
              <w:tl2br w:val="nil"/>
              <w:tr2bl w:val="nil"/>
            </w:tcBorders>
            <w:vAlign w:val="center"/>
          </w:tcPr>
          <w:p w14:paraId="40933B62">
            <w:pPr>
              <w:spacing w:line="360" w:lineRule="atLeast"/>
              <w:ind w:firstLine="0" w:firstLineChars="0"/>
              <w:jc w:val="center"/>
              <w:rPr>
                <w:rFonts w:hint="default" w:ascii="Times New Roman" w:hAnsi="Times New Roman" w:cs="Times New Roman"/>
                <w:bCs/>
                <w:color w:val="auto"/>
                <w:sz w:val="21"/>
                <w:szCs w:val="21"/>
                <w:highlight w:val="none"/>
              </w:rPr>
            </w:pPr>
          </w:p>
        </w:tc>
      </w:tr>
      <w:tr w14:paraId="0692E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C569745">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9F7EF3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2311" w:type="dxa"/>
            <w:tcBorders>
              <w:tl2br w:val="nil"/>
              <w:tr2bl w:val="nil"/>
            </w:tcBorders>
            <w:vAlign w:val="center"/>
          </w:tcPr>
          <w:p w14:paraId="6095737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1，1，1，2-四氯乙烷</w:t>
            </w:r>
          </w:p>
        </w:tc>
        <w:tc>
          <w:tcPr>
            <w:tcW w:w="2066" w:type="dxa"/>
            <w:tcBorders>
              <w:tl2br w:val="nil"/>
              <w:tr2bl w:val="nil"/>
            </w:tcBorders>
            <w:vAlign w:val="center"/>
          </w:tcPr>
          <w:p w14:paraId="79FB6D7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2258" w:type="dxa"/>
            <w:vMerge w:val="continue"/>
            <w:tcBorders>
              <w:tl2br w:val="nil"/>
              <w:tr2bl w:val="nil"/>
            </w:tcBorders>
            <w:vAlign w:val="center"/>
          </w:tcPr>
          <w:p w14:paraId="10EC4723">
            <w:pPr>
              <w:spacing w:line="360" w:lineRule="atLeast"/>
              <w:ind w:firstLine="0" w:firstLineChars="0"/>
              <w:jc w:val="center"/>
              <w:rPr>
                <w:rFonts w:hint="default" w:ascii="Times New Roman" w:hAnsi="Times New Roman" w:cs="Times New Roman"/>
                <w:bCs/>
                <w:color w:val="auto"/>
                <w:sz w:val="21"/>
                <w:szCs w:val="21"/>
                <w:highlight w:val="none"/>
              </w:rPr>
            </w:pPr>
          </w:p>
        </w:tc>
      </w:tr>
      <w:tr w14:paraId="2F134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B0AE533">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48604A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2311" w:type="dxa"/>
            <w:tcBorders>
              <w:tl2br w:val="nil"/>
              <w:tr2bl w:val="nil"/>
            </w:tcBorders>
            <w:vAlign w:val="center"/>
          </w:tcPr>
          <w:p w14:paraId="5BBCA79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1，1，2，2-四氯乙烷</w:t>
            </w:r>
          </w:p>
        </w:tc>
        <w:tc>
          <w:tcPr>
            <w:tcW w:w="2066" w:type="dxa"/>
            <w:tcBorders>
              <w:tl2br w:val="nil"/>
              <w:tr2bl w:val="nil"/>
            </w:tcBorders>
            <w:vAlign w:val="center"/>
          </w:tcPr>
          <w:p w14:paraId="414847E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w:t>
            </w:r>
          </w:p>
        </w:tc>
        <w:tc>
          <w:tcPr>
            <w:tcW w:w="2258" w:type="dxa"/>
            <w:vMerge w:val="continue"/>
            <w:tcBorders>
              <w:tl2br w:val="nil"/>
              <w:tr2bl w:val="nil"/>
            </w:tcBorders>
            <w:vAlign w:val="center"/>
          </w:tcPr>
          <w:p w14:paraId="5A6FF922">
            <w:pPr>
              <w:spacing w:line="360" w:lineRule="atLeast"/>
              <w:ind w:firstLine="0" w:firstLineChars="0"/>
              <w:jc w:val="center"/>
              <w:rPr>
                <w:rFonts w:hint="default" w:ascii="Times New Roman" w:hAnsi="Times New Roman" w:cs="Times New Roman"/>
                <w:bCs/>
                <w:color w:val="auto"/>
                <w:sz w:val="21"/>
                <w:szCs w:val="21"/>
                <w:highlight w:val="none"/>
              </w:rPr>
            </w:pPr>
          </w:p>
        </w:tc>
      </w:tr>
      <w:tr w14:paraId="32EF9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BE34BF1">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3BCC5B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2311" w:type="dxa"/>
            <w:tcBorders>
              <w:tl2br w:val="nil"/>
              <w:tr2bl w:val="nil"/>
            </w:tcBorders>
            <w:vAlign w:val="center"/>
          </w:tcPr>
          <w:p w14:paraId="7C86312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四氯乙烯</w:t>
            </w:r>
          </w:p>
        </w:tc>
        <w:tc>
          <w:tcPr>
            <w:tcW w:w="2066" w:type="dxa"/>
            <w:tcBorders>
              <w:tl2br w:val="nil"/>
              <w:tr2bl w:val="nil"/>
            </w:tcBorders>
            <w:vAlign w:val="center"/>
          </w:tcPr>
          <w:p w14:paraId="67D23AD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w:t>
            </w:r>
          </w:p>
        </w:tc>
        <w:tc>
          <w:tcPr>
            <w:tcW w:w="2258" w:type="dxa"/>
            <w:vMerge w:val="continue"/>
            <w:tcBorders>
              <w:tl2br w:val="nil"/>
              <w:tr2bl w:val="nil"/>
            </w:tcBorders>
            <w:vAlign w:val="center"/>
          </w:tcPr>
          <w:p w14:paraId="2B602049">
            <w:pPr>
              <w:spacing w:line="360" w:lineRule="atLeast"/>
              <w:ind w:firstLine="0" w:firstLineChars="0"/>
              <w:jc w:val="center"/>
              <w:rPr>
                <w:rFonts w:hint="default" w:ascii="Times New Roman" w:hAnsi="Times New Roman" w:cs="Times New Roman"/>
                <w:bCs/>
                <w:color w:val="auto"/>
                <w:sz w:val="21"/>
                <w:szCs w:val="21"/>
                <w:highlight w:val="none"/>
              </w:rPr>
            </w:pPr>
          </w:p>
        </w:tc>
      </w:tr>
      <w:tr w14:paraId="45F40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6C57BD9">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4DF52C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2311" w:type="dxa"/>
            <w:tcBorders>
              <w:tl2br w:val="nil"/>
              <w:tr2bl w:val="nil"/>
            </w:tcBorders>
            <w:vAlign w:val="center"/>
          </w:tcPr>
          <w:p w14:paraId="48001EC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1，1，1-三氯乙烷</w:t>
            </w:r>
          </w:p>
        </w:tc>
        <w:tc>
          <w:tcPr>
            <w:tcW w:w="2066" w:type="dxa"/>
            <w:tcBorders>
              <w:tl2br w:val="nil"/>
              <w:tr2bl w:val="nil"/>
            </w:tcBorders>
            <w:vAlign w:val="center"/>
          </w:tcPr>
          <w:p w14:paraId="0B332FD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840</w:t>
            </w:r>
          </w:p>
        </w:tc>
        <w:tc>
          <w:tcPr>
            <w:tcW w:w="2258" w:type="dxa"/>
            <w:vMerge w:val="continue"/>
            <w:tcBorders>
              <w:tl2br w:val="nil"/>
              <w:tr2bl w:val="nil"/>
            </w:tcBorders>
            <w:vAlign w:val="center"/>
          </w:tcPr>
          <w:p w14:paraId="06572CE3">
            <w:pPr>
              <w:spacing w:line="360" w:lineRule="atLeast"/>
              <w:ind w:firstLine="0" w:firstLineChars="0"/>
              <w:jc w:val="center"/>
              <w:rPr>
                <w:rFonts w:hint="default" w:ascii="Times New Roman" w:hAnsi="Times New Roman" w:cs="Times New Roman"/>
                <w:bCs/>
                <w:color w:val="auto"/>
                <w:sz w:val="21"/>
                <w:szCs w:val="21"/>
                <w:highlight w:val="none"/>
              </w:rPr>
            </w:pPr>
          </w:p>
        </w:tc>
      </w:tr>
      <w:tr w14:paraId="4CEB3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89EC414">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5F0C6E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2311" w:type="dxa"/>
            <w:tcBorders>
              <w:tl2br w:val="nil"/>
              <w:tr2bl w:val="nil"/>
            </w:tcBorders>
            <w:vAlign w:val="center"/>
          </w:tcPr>
          <w:p w14:paraId="77D32C7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1，1，2-三氯乙烷</w:t>
            </w:r>
          </w:p>
        </w:tc>
        <w:tc>
          <w:tcPr>
            <w:tcW w:w="2066" w:type="dxa"/>
            <w:tcBorders>
              <w:tl2br w:val="nil"/>
              <w:tr2bl w:val="nil"/>
            </w:tcBorders>
            <w:vAlign w:val="center"/>
          </w:tcPr>
          <w:p w14:paraId="0524C5A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continue"/>
            <w:tcBorders>
              <w:tl2br w:val="nil"/>
              <w:tr2bl w:val="nil"/>
            </w:tcBorders>
            <w:vAlign w:val="center"/>
          </w:tcPr>
          <w:p w14:paraId="62F45754">
            <w:pPr>
              <w:spacing w:line="360" w:lineRule="atLeast"/>
              <w:ind w:firstLine="0" w:firstLineChars="0"/>
              <w:jc w:val="center"/>
              <w:rPr>
                <w:rFonts w:hint="default" w:ascii="Times New Roman" w:hAnsi="Times New Roman" w:cs="Times New Roman"/>
                <w:bCs/>
                <w:color w:val="auto"/>
                <w:sz w:val="21"/>
                <w:szCs w:val="21"/>
                <w:highlight w:val="none"/>
              </w:rPr>
            </w:pPr>
          </w:p>
        </w:tc>
      </w:tr>
      <w:tr w14:paraId="39191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79FAF68">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801A6E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2311" w:type="dxa"/>
            <w:tcBorders>
              <w:tl2br w:val="nil"/>
              <w:tr2bl w:val="nil"/>
            </w:tcBorders>
            <w:vAlign w:val="center"/>
          </w:tcPr>
          <w:p w14:paraId="51D4B9B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三氯乙烯</w:t>
            </w:r>
          </w:p>
        </w:tc>
        <w:tc>
          <w:tcPr>
            <w:tcW w:w="2066" w:type="dxa"/>
            <w:tcBorders>
              <w:tl2br w:val="nil"/>
              <w:tr2bl w:val="nil"/>
            </w:tcBorders>
            <w:vAlign w:val="center"/>
          </w:tcPr>
          <w:p w14:paraId="44559F1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continue"/>
            <w:tcBorders>
              <w:tl2br w:val="nil"/>
              <w:tr2bl w:val="nil"/>
            </w:tcBorders>
            <w:vAlign w:val="center"/>
          </w:tcPr>
          <w:p w14:paraId="13672FFA">
            <w:pPr>
              <w:spacing w:line="360" w:lineRule="atLeast"/>
              <w:ind w:firstLine="0" w:firstLineChars="0"/>
              <w:jc w:val="center"/>
              <w:rPr>
                <w:rFonts w:hint="default" w:ascii="Times New Roman" w:hAnsi="Times New Roman" w:cs="Times New Roman"/>
                <w:bCs/>
                <w:color w:val="auto"/>
                <w:sz w:val="21"/>
                <w:szCs w:val="21"/>
                <w:highlight w:val="none"/>
              </w:rPr>
            </w:pPr>
          </w:p>
        </w:tc>
      </w:tr>
      <w:tr w14:paraId="4731F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F8B9697">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AF2508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2311" w:type="dxa"/>
            <w:tcBorders>
              <w:tl2br w:val="nil"/>
              <w:tr2bl w:val="nil"/>
            </w:tcBorders>
            <w:vAlign w:val="center"/>
          </w:tcPr>
          <w:p w14:paraId="24F972E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1，2，3-三氯丙烷</w:t>
            </w:r>
          </w:p>
        </w:tc>
        <w:tc>
          <w:tcPr>
            <w:tcW w:w="2066" w:type="dxa"/>
            <w:tcBorders>
              <w:tl2br w:val="nil"/>
              <w:tr2bl w:val="nil"/>
            </w:tcBorders>
            <w:vAlign w:val="center"/>
          </w:tcPr>
          <w:p w14:paraId="2775A75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c>
          <w:tcPr>
            <w:tcW w:w="2258" w:type="dxa"/>
            <w:vMerge w:val="continue"/>
            <w:tcBorders>
              <w:tl2br w:val="nil"/>
              <w:tr2bl w:val="nil"/>
            </w:tcBorders>
            <w:vAlign w:val="center"/>
          </w:tcPr>
          <w:p w14:paraId="75806788">
            <w:pPr>
              <w:spacing w:line="360" w:lineRule="atLeast"/>
              <w:ind w:firstLine="0" w:firstLineChars="0"/>
              <w:jc w:val="center"/>
              <w:rPr>
                <w:rFonts w:hint="default" w:ascii="Times New Roman" w:hAnsi="Times New Roman" w:cs="Times New Roman"/>
                <w:bCs/>
                <w:color w:val="auto"/>
                <w:sz w:val="21"/>
                <w:szCs w:val="21"/>
                <w:highlight w:val="none"/>
              </w:rPr>
            </w:pPr>
          </w:p>
        </w:tc>
      </w:tr>
      <w:tr w14:paraId="6D680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15A69D4">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7DE24F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2311" w:type="dxa"/>
            <w:tcBorders>
              <w:tl2br w:val="nil"/>
              <w:tr2bl w:val="nil"/>
            </w:tcBorders>
            <w:vAlign w:val="center"/>
          </w:tcPr>
          <w:p w14:paraId="1F62C0E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氯乙烯</w:t>
            </w:r>
          </w:p>
        </w:tc>
        <w:tc>
          <w:tcPr>
            <w:tcW w:w="2066" w:type="dxa"/>
            <w:tcBorders>
              <w:tl2br w:val="nil"/>
              <w:tr2bl w:val="nil"/>
            </w:tcBorders>
            <w:vAlign w:val="center"/>
          </w:tcPr>
          <w:p w14:paraId="0F7E099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0.43</w:t>
            </w:r>
          </w:p>
        </w:tc>
        <w:tc>
          <w:tcPr>
            <w:tcW w:w="2258" w:type="dxa"/>
            <w:vMerge w:val="continue"/>
            <w:tcBorders>
              <w:tl2br w:val="nil"/>
              <w:tr2bl w:val="nil"/>
            </w:tcBorders>
            <w:vAlign w:val="center"/>
          </w:tcPr>
          <w:p w14:paraId="0D835610">
            <w:pPr>
              <w:spacing w:line="360" w:lineRule="atLeast"/>
              <w:ind w:firstLine="0" w:firstLineChars="0"/>
              <w:jc w:val="center"/>
              <w:rPr>
                <w:rFonts w:hint="default" w:ascii="Times New Roman" w:hAnsi="Times New Roman" w:cs="Times New Roman"/>
                <w:bCs/>
                <w:color w:val="auto"/>
                <w:sz w:val="21"/>
                <w:szCs w:val="21"/>
                <w:highlight w:val="none"/>
              </w:rPr>
            </w:pPr>
          </w:p>
        </w:tc>
      </w:tr>
      <w:tr w14:paraId="5FF36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66D5ACD">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BCB58D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2311" w:type="dxa"/>
            <w:tcBorders>
              <w:tl2br w:val="nil"/>
              <w:tr2bl w:val="nil"/>
            </w:tcBorders>
            <w:vAlign w:val="center"/>
          </w:tcPr>
          <w:p w14:paraId="4C352FB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w:t>
            </w:r>
          </w:p>
        </w:tc>
        <w:tc>
          <w:tcPr>
            <w:tcW w:w="2066" w:type="dxa"/>
            <w:tcBorders>
              <w:tl2br w:val="nil"/>
              <w:tr2bl w:val="nil"/>
            </w:tcBorders>
            <w:vAlign w:val="center"/>
          </w:tcPr>
          <w:p w14:paraId="239B2FE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2258" w:type="dxa"/>
            <w:vMerge w:val="continue"/>
            <w:tcBorders>
              <w:tl2br w:val="nil"/>
              <w:tr2bl w:val="nil"/>
            </w:tcBorders>
            <w:vAlign w:val="center"/>
          </w:tcPr>
          <w:p w14:paraId="7B54F41E">
            <w:pPr>
              <w:spacing w:line="360" w:lineRule="atLeast"/>
              <w:ind w:firstLine="0" w:firstLineChars="0"/>
              <w:jc w:val="center"/>
              <w:rPr>
                <w:rFonts w:hint="default" w:ascii="Times New Roman" w:hAnsi="Times New Roman" w:cs="Times New Roman"/>
                <w:bCs/>
                <w:color w:val="auto"/>
                <w:sz w:val="21"/>
                <w:szCs w:val="21"/>
                <w:highlight w:val="none"/>
              </w:rPr>
            </w:pPr>
          </w:p>
        </w:tc>
      </w:tr>
      <w:tr w14:paraId="52368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A36E176">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0FBE42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2311" w:type="dxa"/>
            <w:tcBorders>
              <w:tl2br w:val="nil"/>
              <w:tr2bl w:val="nil"/>
            </w:tcBorders>
            <w:vAlign w:val="center"/>
          </w:tcPr>
          <w:p w14:paraId="23030C8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氯苯</w:t>
            </w:r>
          </w:p>
        </w:tc>
        <w:tc>
          <w:tcPr>
            <w:tcW w:w="2066" w:type="dxa"/>
            <w:tcBorders>
              <w:tl2br w:val="nil"/>
              <w:tr2bl w:val="nil"/>
            </w:tcBorders>
            <w:vAlign w:val="center"/>
          </w:tcPr>
          <w:p w14:paraId="2C43298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270</w:t>
            </w:r>
          </w:p>
        </w:tc>
        <w:tc>
          <w:tcPr>
            <w:tcW w:w="2258" w:type="dxa"/>
            <w:vMerge w:val="continue"/>
            <w:tcBorders>
              <w:tl2br w:val="nil"/>
              <w:tr2bl w:val="nil"/>
            </w:tcBorders>
            <w:vAlign w:val="center"/>
          </w:tcPr>
          <w:p w14:paraId="3463C16F">
            <w:pPr>
              <w:spacing w:line="360" w:lineRule="atLeast"/>
              <w:ind w:firstLine="0" w:firstLineChars="0"/>
              <w:jc w:val="center"/>
              <w:rPr>
                <w:rFonts w:hint="default" w:ascii="Times New Roman" w:hAnsi="Times New Roman" w:cs="Times New Roman"/>
                <w:bCs/>
                <w:color w:val="auto"/>
                <w:sz w:val="21"/>
                <w:szCs w:val="21"/>
                <w:highlight w:val="none"/>
              </w:rPr>
            </w:pPr>
          </w:p>
        </w:tc>
      </w:tr>
      <w:tr w14:paraId="443D5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9AFE2FF">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80208F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311" w:type="dxa"/>
            <w:tcBorders>
              <w:tl2br w:val="nil"/>
              <w:tr2bl w:val="nil"/>
            </w:tcBorders>
            <w:vAlign w:val="center"/>
          </w:tcPr>
          <w:p w14:paraId="22A2EBD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1，2-二氯苯</w:t>
            </w:r>
          </w:p>
        </w:tc>
        <w:tc>
          <w:tcPr>
            <w:tcW w:w="2066" w:type="dxa"/>
            <w:tcBorders>
              <w:tl2br w:val="nil"/>
              <w:tr2bl w:val="nil"/>
            </w:tcBorders>
            <w:vAlign w:val="center"/>
          </w:tcPr>
          <w:p w14:paraId="6507205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560</w:t>
            </w:r>
          </w:p>
        </w:tc>
        <w:tc>
          <w:tcPr>
            <w:tcW w:w="2258" w:type="dxa"/>
            <w:vMerge w:val="continue"/>
            <w:tcBorders>
              <w:tl2br w:val="nil"/>
              <w:tr2bl w:val="nil"/>
            </w:tcBorders>
            <w:vAlign w:val="center"/>
          </w:tcPr>
          <w:p w14:paraId="1D9A12B0">
            <w:pPr>
              <w:spacing w:line="360" w:lineRule="atLeast"/>
              <w:ind w:firstLine="0" w:firstLineChars="0"/>
              <w:jc w:val="center"/>
              <w:rPr>
                <w:rFonts w:hint="default" w:ascii="Times New Roman" w:hAnsi="Times New Roman" w:cs="Times New Roman"/>
                <w:bCs/>
                <w:color w:val="auto"/>
                <w:sz w:val="21"/>
                <w:szCs w:val="21"/>
                <w:highlight w:val="none"/>
              </w:rPr>
            </w:pPr>
          </w:p>
        </w:tc>
      </w:tr>
      <w:tr w14:paraId="402A9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4BE8992">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428439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2311" w:type="dxa"/>
            <w:tcBorders>
              <w:tl2br w:val="nil"/>
              <w:tr2bl w:val="nil"/>
            </w:tcBorders>
            <w:vAlign w:val="center"/>
          </w:tcPr>
          <w:p w14:paraId="293E084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1，4-二氯苯</w:t>
            </w:r>
          </w:p>
        </w:tc>
        <w:tc>
          <w:tcPr>
            <w:tcW w:w="2066" w:type="dxa"/>
            <w:tcBorders>
              <w:tl2br w:val="nil"/>
              <w:tr2bl w:val="nil"/>
            </w:tcBorders>
            <w:vAlign w:val="center"/>
          </w:tcPr>
          <w:p w14:paraId="435C618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2258" w:type="dxa"/>
            <w:vMerge w:val="continue"/>
            <w:tcBorders>
              <w:tl2br w:val="nil"/>
              <w:tr2bl w:val="nil"/>
            </w:tcBorders>
            <w:vAlign w:val="center"/>
          </w:tcPr>
          <w:p w14:paraId="27A58A5F">
            <w:pPr>
              <w:spacing w:line="360" w:lineRule="atLeast"/>
              <w:ind w:firstLine="0" w:firstLineChars="0"/>
              <w:jc w:val="center"/>
              <w:rPr>
                <w:rFonts w:hint="default" w:ascii="Times New Roman" w:hAnsi="Times New Roman" w:cs="Times New Roman"/>
                <w:bCs/>
                <w:color w:val="auto"/>
                <w:sz w:val="21"/>
                <w:szCs w:val="21"/>
                <w:highlight w:val="none"/>
              </w:rPr>
            </w:pPr>
          </w:p>
        </w:tc>
      </w:tr>
      <w:tr w14:paraId="32831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581D857">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388E13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2311" w:type="dxa"/>
            <w:tcBorders>
              <w:tl2br w:val="nil"/>
              <w:tr2bl w:val="nil"/>
            </w:tcBorders>
            <w:vAlign w:val="center"/>
          </w:tcPr>
          <w:p w14:paraId="383AA1F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乙苯</w:t>
            </w:r>
          </w:p>
        </w:tc>
        <w:tc>
          <w:tcPr>
            <w:tcW w:w="2066" w:type="dxa"/>
            <w:tcBorders>
              <w:tl2br w:val="nil"/>
              <w:tr2bl w:val="nil"/>
            </w:tcBorders>
            <w:vAlign w:val="center"/>
          </w:tcPr>
          <w:p w14:paraId="48E419D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continue"/>
            <w:tcBorders>
              <w:tl2br w:val="nil"/>
              <w:tr2bl w:val="nil"/>
            </w:tcBorders>
            <w:vAlign w:val="center"/>
          </w:tcPr>
          <w:p w14:paraId="2E0178D7">
            <w:pPr>
              <w:spacing w:line="360" w:lineRule="atLeast"/>
              <w:ind w:firstLine="0" w:firstLineChars="0"/>
              <w:jc w:val="center"/>
              <w:rPr>
                <w:rFonts w:hint="default" w:ascii="Times New Roman" w:hAnsi="Times New Roman" w:cs="Times New Roman"/>
                <w:bCs/>
                <w:color w:val="auto"/>
                <w:sz w:val="21"/>
                <w:szCs w:val="21"/>
                <w:highlight w:val="none"/>
              </w:rPr>
            </w:pPr>
          </w:p>
        </w:tc>
      </w:tr>
      <w:tr w14:paraId="5CFF5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05B1095">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EA268E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2311" w:type="dxa"/>
            <w:tcBorders>
              <w:tl2br w:val="nil"/>
              <w:tr2bl w:val="nil"/>
            </w:tcBorders>
            <w:vAlign w:val="center"/>
          </w:tcPr>
          <w:p w14:paraId="7437454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苯乙烯</w:t>
            </w:r>
          </w:p>
        </w:tc>
        <w:tc>
          <w:tcPr>
            <w:tcW w:w="2066" w:type="dxa"/>
            <w:tcBorders>
              <w:tl2br w:val="nil"/>
              <w:tr2bl w:val="nil"/>
            </w:tcBorders>
            <w:vAlign w:val="center"/>
          </w:tcPr>
          <w:p w14:paraId="7E2B5C6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1290</w:t>
            </w:r>
          </w:p>
        </w:tc>
        <w:tc>
          <w:tcPr>
            <w:tcW w:w="2258" w:type="dxa"/>
            <w:vMerge w:val="continue"/>
            <w:tcBorders>
              <w:tl2br w:val="nil"/>
              <w:tr2bl w:val="nil"/>
            </w:tcBorders>
            <w:vAlign w:val="center"/>
          </w:tcPr>
          <w:p w14:paraId="6C34CB17">
            <w:pPr>
              <w:spacing w:line="360" w:lineRule="atLeast"/>
              <w:ind w:firstLine="0" w:firstLineChars="0"/>
              <w:jc w:val="center"/>
              <w:rPr>
                <w:rFonts w:hint="default" w:ascii="Times New Roman" w:hAnsi="Times New Roman" w:cs="Times New Roman"/>
                <w:bCs/>
                <w:color w:val="auto"/>
                <w:sz w:val="21"/>
                <w:szCs w:val="21"/>
                <w:highlight w:val="none"/>
              </w:rPr>
            </w:pPr>
          </w:p>
        </w:tc>
      </w:tr>
      <w:tr w14:paraId="4390B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A72FFBC">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1CE78D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w:t>
            </w:r>
          </w:p>
        </w:tc>
        <w:tc>
          <w:tcPr>
            <w:tcW w:w="2311" w:type="dxa"/>
            <w:tcBorders>
              <w:tl2br w:val="nil"/>
              <w:tr2bl w:val="nil"/>
            </w:tcBorders>
            <w:vAlign w:val="center"/>
          </w:tcPr>
          <w:p w14:paraId="7A093F7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甲苯</w:t>
            </w:r>
          </w:p>
        </w:tc>
        <w:tc>
          <w:tcPr>
            <w:tcW w:w="2066" w:type="dxa"/>
            <w:tcBorders>
              <w:tl2br w:val="nil"/>
              <w:tr2bl w:val="nil"/>
            </w:tcBorders>
            <w:vAlign w:val="center"/>
          </w:tcPr>
          <w:p w14:paraId="7A987C5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1200</w:t>
            </w:r>
          </w:p>
        </w:tc>
        <w:tc>
          <w:tcPr>
            <w:tcW w:w="2258" w:type="dxa"/>
            <w:vMerge w:val="continue"/>
            <w:tcBorders>
              <w:tl2br w:val="nil"/>
              <w:tr2bl w:val="nil"/>
            </w:tcBorders>
            <w:vAlign w:val="center"/>
          </w:tcPr>
          <w:p w14:paraId="08EFF9D3">
            <w:pPr>
              <w:spacing w:line="360" w:lineRule="atLeast"/>
              <w:ind w:firstLine="0" w:firstLineChars="0"/>
              <w:jc w:val="center"/>
              <w:rPr>
                <w:rFonts w:hint="default" w:ascii="Times New Roman" w:hAnsi="Times New Roman" w:cs="Times New Roman"/>
                <w:bCs/>
                <w:color w:val="auto"/>
                <w:sz w:val="21"/>
                <w:szCs w:val="21"/>
                <w:highlight w:val="none"/>
              </w:rPr>
            </w:pPr>
          </w:p>
        </w:tc>
      </w:tr>
      <w:tr w14:paraId="4E9A0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00280EE">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24E920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w:t>
            </w:r>
          </w:p>
        </w:tc>
        <w:tc>
          <w:tcPr>
            <w:tcW w:w="2311" w:type="dxa"/>
            <w:tcBorders>
              <w:tl2br w:val="nil"/>
              <w:tr2bl w:val="nil"/>
            </w:tcBorders>
            <w:vAlign w:val="center"/>
          </w:tcPr>
          <w:p w14:paraId="03A96B1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间二甲苯+对二甲苯</w:t>
            </w:r>
          </w:p>
        </w:tc>
        <w:tc>
          <w:tcPr>
            <w:tcW w:w="2066" w:type="dxa"/>
            <w:tcBorders>
              <w:tl2br w:val="nil"/>
              <w:tr2bl w:val="nil"/>
            </w:tcBorders>
            <w:vAlign w:val="center"/>
          </w:tcPr>
          <w:p w14:paraId="47D2B59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570</w:t>
            </w:r>
          </w:p>
        </w:tc>
        <w:tc>
          <w:tcPr>
            <w:tcW w:w="2258" w:type="dxa"/>
            <w:vMerge w:val="continue"/>
            <w:tcBorders>
              <w:tl2br w:val="nil"/>
              <w:tr2bl w:val="nil"/>
            </w:tcBorders>
            <w:vAlign w:val="center"/>
          </w:tcPr>
          <w:p w14:paraId="54134F90">
            <w:pPr>
              <w:spacing w:line="360" w:lineRule="atLeast"/>
              <w:ind w:firstLine="0" w:firstLineChars="0"/>
              <w:jc w:val="center"/>
              <w:rPr>
                <w:rFonts w:hint="default" w:ascii="Times New Roman" w:hAnsi="Times New Roman" w:cs="Times New Roman"/>
                <w:bCs/>
                <w:color w:val="auto"/>
                <w:sz w:val="21"/>
                <w:szCs w:val="21"/>
                <w:highlight w:val="none"/>
              </w:rPr>
            </w:pPr>
          </w:p>
        </w:tc>
      </w:tr>
      <w:tr w14:paraId="394A1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A2F1F2F">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308BBB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2311" w:type="dxa"/>
            <w:tcBorders>
              <w:tl2br w:val="nil"/>
              <w:tr2bl w:val="nil"/>
            </w:tcBorders>
            <w:vAlign w:val="center"/>
          </w:tcPr>
          <w:p w14:paraId="4685ED2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邻二甲苯</w:t>
            </w:r>
          </w:p>
        </w:tc>
        <w:tc>
          <w:tcPr>
            <w:tcW w:w="2066" w:type="dxa"/>
            <w:tcBorders>
              <w:tl2br w:val="nil"/>
              <w:tr2bl w:val="nil"/>
            </w:tcBorders>
            <w:vAlign w:val="center"/>
          </w:tcPr>
          <w:p w14:paraId="4D65A10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640</w:t>
            </w:r>
          </w:p>
        </w:tc>
        <w:tc>
          <w:tcPr>
            <w:tcW w:w="2258" w:type="dxa"/>
            <w:vMerge w:val="continue"/>
            <w:tcBorders>
              <w:tl2br w:val="nil"/>
              <w:tr2bl w:val="nil"/>
            </w:tcBorders>
            <w:vAlign w:val="center"/>
          </w:tcPr>
          <w:p w14:paraId="52733648">
            <w:pPr>
              <w:spacing w:line="360" w:lineRule="atLeast"/>
              <w:ind w:firstLine="0" w:firstLineChars="0"/>
              <w:jc w:val="center"/>
              <w:rPr>
                <w:rFonts w:hint="default" w:ascii="Times New Roman" w:hAnsi="Times New Roman" w:cs="Times New Roman"/>
                <w:bCs/>
                <w:color w:val="auto"/>
                <w:sz w:val="21"/>
                <w:szCs w:val="21"/>
                <w:highlight w:val="none"/>
              </w:rPr>
            </w:pPr>
          </w:p>
        </w:tc>
      </w:tr>
      <w:tr w14:paraId="7D80E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4444241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半挥发性有机物</w:t>
            </w:r>
          </w:p>
        </w:tc>
      </w:tr>
      <w:tr w14:paraId="7B62A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373C7FD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第二类用地筛选值</w:t>
            </w:r>
          </w:p>
        </w:tc>
        <w:tc>
          <w:tcPr>
            <w:tcW w:w="669" w:type="dxa"/>
            <w:tcBorders>
              <w:tl2br w:val="nil"/>
              <w:tr2bl w:val="nil"/>
            </w:tcBorders>
            <w:vAlign w:val="center"/>
          </w:tcPr>
          <w:p w14:paraId="4C547F7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2311" w:type="dxa"/>
            <w:tcBorders>
              <w:tl2br w:val="nil"/>
              <w:tr2bl w:val="nil"/>
            </w:tcBorders>
            <w:vAlign w:val="center"/>
          </w:tcPr>
          <w:p w14:paraId="5ACE225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硝基苯</w:t>
            </w:r>
          </w:p>
        </w:tc>
        <w:tc>
          <w:tcPr>
            <w:tcW w:w="2066" w:type="dxa"/>
            <w:tcBorders>
              <w:tl2br w:val="nil"/>
              <w:tr2bl w:val="nil"/>
            </w:tcBorders>
            <w:vAlign w:val="center"/>
          </w:tcPr>
          <w:p w14:paraId="465CF93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76</w:t>
            </w:r>
          </w:p>
        </w:tc>
        <w:tc>
          <w:tcPr>
            <w:tcW w:w="2258" w:type="dxa"/>
            <w:vMerge w:val="restart"/>
            <w:tcBorders>
              <w:tl2br w:val="nil"/>
              <w:tr2bl w:val="nil"/>
            </w:tcBorders>
            <w:vAlign w:val="center"/>
          </w:tcPr>
          <w:p w14:paraId="4D740E9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r>
              <w:rPr>
                <w:rFonts w:hint="default" w:cs="Times New Roman"/>
                <w:bCs/>
                <w:color w:val="auto"/>
                <w:sz w:val="21"/>
                <w:szCs w:val="21"/>
                <w:highlight w:val="none"/>
                <w:lang w:eastAsia="zh-CN"/>
              </w:rPr>
              <w:t>土壤环境质量 建设用地土壤污染风险管控标准（试行）</w:t>
            </w:r>
            <w:r>
              <w:rPr>
                <w:rFonts w:hint="default" w:ascii="Times New Roman" w:hAnsi="Times New Roman" w:cs="Times New Roman"/>
                <w:bCs/>
                <w:color w:val="auto"/>
                <w:sz w:val="21"/>
                <w:szCs w:val="21"/>
                <w:highlight w:val="none"/>
              </w:rPr>
              <w:t>》（GB36600-2018）</w:t>
            </w:r>
          </w:p>
        </w:tc>
      </w:tr>
      <w:tr w14:paraId="477B2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2861F23">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1D3DC3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2311" w:type="dxa"/>
            <w:tcBorders>
              <w:tl2br w:val="nil"/>
              <w:tr2bl w:val="nil"/>
            </w:tcBorders>
            <w:vAlign w:val="center"/>
          </w:tcPr>
          <w:p w14:paraId="0883B9F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苯胺</w:t>
            </w:r>
          </w:p>
        </w:tc>
        <w:tc>
          <w:tcPr>
            <w:tcW w:w="2066" w:type="dxa"/>
            <w:tcBorders>
              <w:tl2br w:val="nil"/>
              <w:tr2bl w:val="nil"/>
            </w:tcBorders>
            <w:vAlign w:val="center"/>
          </w:tcPr>
          <w:p w14:paraId="1DC9251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260</w:t>
            </w:r>
          </w:p>
        </w:tc>
        <w:tc>
          <w:tcPr>
            <w:tcW w:w="2258" w:type="dxa"/>
            <w:vMerge w:val="continue"/>
            <w:tcBorders>
              <w:tl2br w:val="nil"/>
              <w:tr2bl w:val="nil"/>
            </w:tcBorders>
            <w:vAlign w:val="center"/>
          </w:tcPr>
          <w:p w14:paraId="443BDAFC">
            <w:pPr>
              <w:spacing w:line="360" w:lineRule="atLeast"/>
              <w:ind w:firstLine="0" w:firstLineChars="0"/>
              <w:jc w:val="center"/>
              <w:rPr>
                <w:rFonts w:hint="default" w:ascii="Times New Roman" w:hAnsi="Times New Roman" w:cs="Times New Roman"/>
                <w:bCs/>
                <w:color w:val="auto"/>
                <w:sz w:val="21"/>
                <w:szCs w:val="21"/>
                <w:highlight w:val="none"/>
              </w:rPr>
            </w:pPr>
          </w:p>
        </w:tc>
      </w:tr>
      <w:tr w14:paraId="2EE7F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CF1D1A1">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E40700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c>
          <w:tcPr>
            <w:tcW w:w="2311" w:type="dxa"/>
            <w:tcBorders>
              <w:tl2br w:val="nil"/>
              <w:tr2bl w:val="nil"/>
            </w:tcBorders>
            <w:vAlign w:val="center"/>
          </w:tcPr>
          <w:p w14:paraId="1D63890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2-氯酚</w:t>
            </w:r>
          </w:p>
        </w:tc>
        <w:tc>
          <w:tcPr>
            <w:tcW w:w="2066" w:type="dxa"/>
            <w:tcBorders>
              <w:tl2br w:val="nil"/>
              <w:tr2bl w:val="nil"/>
            </w:tcBorders>
            <w:vAlign w:val="center"/>
          </w:tcPr>
          <w:p w14:paraId="70C06CE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2256</w:t>
            </w:r>
          </w:p>
        </w:tc>
        <w:tc>
          <w:tcPr>
            <w:tcW w:w="2258" w:type="dxa"/>
            <w:vMerge w:val="continue"/>
            <w:tcBorders>
              <w:tl2br w:val="nil"/>
              <w:tr2bl w:val="nil"/>
            </w:tcBorders>
            <w:vAlign w:val="center"/>
          </w:tcPr>
          <w:p w14:paraId="61B9734D">
            <w:pPr>
              <w:spacing w:line="360" w:lineRule="atLeast"/>
              <w:ind w:firstLine="0" w:firstLineChars="0"/>
              <w:jc w:val="center"/>
              <w:rPr>
                <w:rFonts w:hint="default" w:ascii="Times New Roman" w:hAnsi="Times New Roman" w:cs="Times New Roman"/>
                <w:bCs/>
                <w:color w:val="auto"/>
                <w:sz w:val="21"/>
                <w:szCs w:val="21"/>
                <w:highlight w:val="none"/>
              </w:rPr>
            </w:pPr>
          </w:p>
        </w:tc>
      </w:tr>
      <w:tr w14:paraId="0457B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F94BEA3">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B26CF3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w:t>
            </w:r>
          </w:p>
        </w:tc>
        <w:tc>
          <w:tcPr>
            <w:tcW w:w="2311" w:type="dxa"/>
            <w:tcBorders>
              <w:tl2br w:val="nil"/>
              <w:tr2bl w:val="nil"/>
            </w:tcBorders>
            <w:vAlign w:val="center"/>
          </w:tcPr>
          <w:p w14:paraId="611CB69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苯并[a]蒽</w:t>
            </w:r>
          </w:p>
        </w:tc>
        <w:tc>
          <w:tcPr>
            <w:tcW w:w="2066" w:type="dxa"/>
            <w:tcBorders>
              <w:tl2br w:val="nil"/>
              <w:tr2bl w:val="nil"/>
            </w:tcBorders>
            <w:vAlign w:val="center"/>
          </w:tcPr>
          <w:p w14:paraId="43A4BC2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2055F02C">
            <w:pPr>
              <w:spacing w:line="360" w:lineRule="atLeast"/>
              <w:ind w:firstLine="0" w:firstLineChars="0"/>
              <w:jc w:val="center"/>
              <w:rPr>
                <w:rFonts w:hint="default" w:ascii="Times New Roman" w:hAnsi="Times New Roman" w:cs="Times New Roman"/>
                <w:bCs/>
                <w:color w:val="auto"/>
                <w:sz w:val="21"/>
                <w:szCs w:val="21"/>
                <w:highlight w:val="none"/>
              </w:rPr>
            </w:pPr>
          </w:p>
        </w:tc>
      </w:tr>
      <w:tr w14:paraId="5E344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E457152">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3A0A2C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2311" w:type="dxa"/>
            <w:tcBorders>
              <w:tl2br w:val="nil"/>
              <w:tr2bl w:val="nil"/>
            </w:tcBorders>
            <w:vAlign w:val="center"/>
          </w:tcPr>
          <w:p w14:paraId="1AB2157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苯并[a]芘</w:t>
            </w:r>
          </w:p>
        </w:tc>
        <w:tc>
          <w:tcPr>
            <w:tcW w:w="2066" w:type="dxa"/>
            <w:tcBorders>
              <w:tl2br w:val="nil"/>
              <w:tr2bl w:val="nil"/>
            </w:tcBorders>
            <w:vAlign w:val="center"/>
          </w:tcPr>
          <w:p w14:paraId="10323BA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5CE454D0">
            <w:pPr>
              <w:spacing w:line="360" w:lineRule="atLeast"/>
              <w:ind w:firstLine="0" w:firstLineChars="0"/>
              <w:jc w:val="center"/>
              <w:rPr>
                <w:rFonts w:hint="default" w:ascii="Times New Roman" w:hAnsi="Times New Roman" w:cs="Times New Roman"/>
                <w:bCs/>
                <w:color w:val="auto"/>
                <w:sz w:val="21"/>
                <w:szCs w:val="21"/>
                <w:highlight w:val="none"/>
              </w:rPr>
            </w:pPr>
          </w:p>
        </w:tc>
      </w:tr>
      <w:tr w14:paraId="4F279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A6C6457">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B9A13A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p>
        </w:tc>
        <w:tc>
          <w:tcPr>
            <w:tcW w:w="2311" w:type="dxa"/>
            <w:tcBorders>
              <w:tl2br w:val="nil"/>
              <w:tr2bl w:val="nil"/>
            </w:tcBorders>
            <w:vAlign w:val="center"/>
          </w:tcPr>
          <w:p w14:paraId="6DFE2C2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苯并[b]荧蒽</w:t>
            </w:r>
          </w:p>
        </w:tc>
        <w:tc>
          <w:tcPr>
            <w:tcW w:w="2066" w:type="dxa"/>
            <w:tcBorders>
              <w:tl2br w:val="nil"/>
              <w:tr2bl w:val="nil"/>
            </w:tcBorders>
            <w:vAlign w:val="center"/>
          </w:tcPr>
          <w:p w14:paraId="0090D7B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0A7C6685">
            <w:pPr>
              <w:spacing w:line="360" w:lineRule="atLeast"/>
              <w:ind w:firstLine="0" w:firstLineChars="0"/>
              <w:jc w:val="center"/>
              <w:rPr>
                <w:rFonts w:hint="default" w:ascii="Times New Roman" w:hAnsi="Times New Roman" w:cs="Times New Roman"/>
                <w:bCs/>
                <w:color w:val="auto"/>
                <w:sz w:val="21"/>
                <w:szCs w:val="21"/>
                <w:highlight w:val="none"/>
              </w:rPr>
            </w:pPr>
          </w:p>
        </w:tc>
      </w:tr>
      <w:tr w14:paraId="7F18C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59DEE7D">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38F324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w:t>
            </w:r>
          </w:p>
        </w:tc>
        <w:tc>
          <w:tcPr>
            <w:tcW w:w="2311" w:type="dxa"/>
            <w:tcBorders>
              <w:tl2br w:val="nil"/>
              <w:tr2bl w:val="nil"/>
            </w:tcBorders>
            <w:vAlign w:val="center"/>
          </w:tcPr>
          <w:p w14:paraId="62A25B7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苯并[k]荧蒽</w:t>
            </w:r>
          </w:p>
        </w:tc>
        <w:tc>
          <w:tcPr>
            <w:tcW w:w="2066" w:type="dxa"/>
            <w:tcBorders>
              <w:tl2br w:val="nil"/>
              <w:tr2bl w:val="nil"/>
            </w:tcBorders>
            <w:vAlign w:val="center"/>
          </w:tcPr>
          <w:p w14:paraId="4786A7C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151</w:t>
            </w:r>
          </w:p>
        </w:tc>
        <w:tc>
          <w:tcPr>
            <w:tcW w:w="2258" w:type="dxa"/>
            <w:vMerge w:val="continue"/>
            <w:tcBorders>
              <w:tl2br w:val="nil"/>
              <w:tr2bl w:val="nil"/>
            </w:tcBorders>
            <w:vAlign w:val="center"/>
          </w:tcPr>
          <w:p w14:paraId="68FC7AC8">
            <w:pPr>
              <w:spacing w:line="360" w:lineRule="atLeast"/>
              <w:ind w:firstLine="0" w:firstLineChars="0"/>
              <w:jc w:val="center"/>
              <w:rPr>
                <w:rFonts w:hint="default" w:ascii="Times New Roman" w:hAnsi="Times New Roman" w:cs="Times New Roman"/>
                <w:bCs/>
                <w:color w:val="auto"/>
                <w:sz w:val="21"/>
                <w:szCs w:val="21"/>
                <w:highlight w:val="none"/>
              </w:rPr>
            </w:pPr>
          </w:p>
        </w:tc>
      </w:tr>
      <w:tr w14:paraId="4DC1D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FA1316D">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BA5405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w:t>
            </w:r>
          </w:p>
        </w:tc>
        <w:tc>
          <w:tcPr>
            <w:tcW w:w="2311" w:type="dxa"/>
            <w:tcBorders>
              <w:tl2br w:val="nil"/>
              <w:tr2bl w:val="nil"/>
            </w:tcBorders>
            <w:vAlign w:val="center"/>
          </w:tcPr>
          <w:p w14:paraId="63ACBC6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䓛</w:t>
            </w:r>
          </w:p>
        </w:tc>
        <w:tc>
          <w:tcPr>
            <w:tcW w:w="2066" w:type="dxa"/>
            <w:tcBorders>
              <w:tl2br w:val="nil"/>
              <w:tr2bl w:val="nil"/>
            </w:tcBorders>
            <w:vAlign w:val="center"/>
          </w:tcPr>
          <w:p w14:paraId="6614005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1293</w:t>
            </w:r>
          </w:p>
        </w:tc>
        <w:tc>
          <w:tcPr>
            <w:tcW w:w="2258" w:type="dxa"/>
            <w:vMerge w:val="continue"/>
            <w:tcBorders>
              <w:tl2br w:val="nil"/>
              <w:tr2bl w:val="nil"/>
            </w:tcBorders>
            <w:vAlign w:val="center"/>
          </w:tcPr>
          <w:p w14:paraId="47CD7151">
            <w:pPr>
              <w:spacing w:line="360" w:lineRule="atLeast"/>
              <w:ind w:firstLine="0" w:firstLineChars="0"/>
              <w:jc w:val="center"/>
              <w:rPr>
                <w:rFonts w:hint="default" w:ascii="Times New Roman" w:hAnsi="Times New Roman" w:cs="Times New Roman"/>
                <w:bCs/>
                <w:color w:val="auto"/>
                <w:sz w:val="21"/>
                <w:szCs w:val="21"/>
                <w:highlight w:val="none"/>
              </w:rPr>
            </w:pPr>
          </w:p>
        </w:tc>
      </w:tr>
      <w:tr w14:paraId="47562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D5F7F60">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0F7700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2311" w:type="dxa"/>
            <w:tcBorders>
              <w:tl2br w:val="nil"/>
              <w:tr2bl w:val="nil"/>
            </w:tcBorders>
            <w:vAlign w:val="center"/>
          </w:tcPr>
          <w:p w14:paraId="57970AD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二苯并[a，h]蒽</w:t>
            </w:r>
          </w:p>
        </w:tc>
        <w:tc>
          <w:tcPr>
            <w:tcW w:w="2066" w:type="dxa"/>
            <w:tcBorders>
              <w:tl2br w:val="nil"/>
              <w:tr2bl w:val="nil"/>
            </w:tcBorders>
            <w:vAlign w:val="center"/>
          </w:tcPr>
          <w:p w14:paraId="0957DFA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5C365D12">
            <w:pPr>
              <w:spacing w:line="360" w:lineRule="atLeast"/>
              <w:ind w:firstLine="0" w:firstLineChars="0"/>
              <w:jc w:val="center"/>
              <w:rPr>
                <w:rFonts w:hint="default" w:ascii="Times New Roman" w:hAnsi="Times New Roman" w:cs="Times New Roman"/>
                <w:bCs/>
                <w:color w:val="auto"/>
                <w:sz w:val="21"/>
                <w:szCs w:val="21"/>
                <w:highlight w:val="none"/>
              </w:rPr>
            </w:pPr>
          </w:p>
        </w:tc>
      </w:tr>
      <w:tr w14:paraId="54E31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020701E">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0DCD50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2311" w:type="dxa"/>
            <w:tcBorders>
              <w:tl2br w:val="nil"/>
              <w:tr2bl w:val="nil"/>
            </w:tcBorders>
            <w:vAlign w:val="center"/>
          </w:tcPr>
          <w:p w14:paraId="070BC4A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茚并[1，2，3-cd]芘</w:t>
            </w:r>
          </w:p>
        </w:tc>
        <w:tc>
          <w:tcPr>
            <w:tcW w:w="2066" w:type="dxa"/>
            <w:tcBorders>
              <w:tl2br w:val="nil"/>
              <w:tr2bl w:val="nil"/>
            </w:tcBorders>
            <w:vAlign w:val="center"/>
          </w:tcPr>
          <w:p w14:paraId="5D2EB69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43FF1649">
            <w:pPr>
              <w:spacing w:line="360" w:lineRule="atLeast"/>
              <w:ind w:firstLine="0" w:firstLineChars="0"/>
              <w:jc w:val="center"/>
              <w:rPr>
                <w:rFonts w:hint="default" w:ascii="Times New Roman" w:hAnsi="Times New Roman" w:cs="Times New Roman"/>
                <w:bCs/>
                <w:color w:val="auto"/>
                <w:sz w:val="21"/>
                <w:szCs w:val="21"/>
                <w:highlight w:val="none"/>
              </w:rPr>
            </w:pPr>
          </w:p>
        </w:tc>
      </w:tr>
      <w:tr w14:paraId="3884A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67BCB21">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60F4BE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w:t>
            </w:r>
          </w:p>
        </w:tc>
        <w:tc>
          <w:tcPr>
            <w:tcW w:w="2311" w:type="dxa"/>
            <w:tcBorders>
              <w:tl2br w:val="nil"/>
              <w:tr2bl w:val="nil"/>
            </w:tcBorders>
            <w:vAlign w:val="center"/>
          </w:tcPr>
          <w:p w14:paraId="1A39A6D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萘</w:t>
            </w:r>
          </w:p>
        </w:tc>
        <w:tc>
          <w:tcPr>
            <w:tcW w:w="2066" w:type="dxa"/>
            <w:tcBorders>
              <w:tl2br w:val="nil"/>
              <w:tr2bl w:val="nil"/>
            </w:tcBorders>
            <w:vAlign w:val="center"/>
          </w:tcPr>
          <w:p w14:paraId="5059B75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w:t>
            </w:r>
          </w:p>
        </w:tc>
        <w:tc>
          <w:tcPr>
            <w:tcW w:w="2258" w:type="dxa"/>
            <w:vMerge w:val="continue"/>
            <w:tcBorders>
              <w:tl2br w:val="nil"/>
              <w:tr2bl w:val="nil"/>
            </w:tcBorders>
            <w:vAlign w:val="center"/>
          </w:tcPr>
          <w:p w14:paraId="08767E6F">
            <w:pPr>
              <w:spacing w:line="360" w:lineRule="atLeast"/>
              <w:ind w:firstLine="0" w:firstLineChars="0"/>
              <w:jc w:val="center"/>
              <w:rPr>
                <w:rFonts w:hint="default" w:ascii="Times New Roman" w:hAnsi="Times New Roman" w:cs="Times New Roman"/>
                <w:bCs/>
                <w:color w:val="auto"/>
                <w:sz w:val="21"/>
                <w:szCs w:val="21"/>
                <w:highlight w:val="none"/>
              </w:rPr>
            </w:pPr>
          </w:p>
        </w:tc>
      </w:tr>
      <w:tr w14:paraId="25E8F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7127FC0">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F62B47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46</w:t>
            </w:r>
          </w:p>
        </w:tc>
        <w:tc>
          <w:tcPr>
            <w:tcW w:w="2311" w:type="dxa"/>
            <w:tcBorders>
              <w:tl2br w:val="nil"/>
              <w:tr2bl w:val="nil"/>
            </w:tcBorders>
            <w:vAlign w:val="center"/>
          </w:tcPr>
          <w:p w14:paraId="00B39B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2066" w:type="dxa"/>
            <w:tcBorders>
              <w:tl2br w:val="nil"/>
              <w:tr2bl w:val="nil"/>
            </w:tcBorders>
            <w:vAlign w:val="center"/>
          </w:tcPr>
          <w:p w14:paraId="3031C0F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4500</w:t>
            </w:r>
          </w:p>
        </w:tc>
        <w:tc>
          <w:tcPr>
            <w:tcW w:w="2258" w:type="dxa"/>
            <w:vMerge w:val="continue"/>
            <w:tcBorders>
              <w:tl2br w:val="nil"/>
              <w:tr2bl w:val="nil"/>
            </w:tcBorders>
            <w:vAlign w:val="center"/>
          </w:tcPr>
          <w:p w14:paraId="24F6A94E">
            <w:pPr>
              <w:spacing w:line="360" w:lineRule="atLeast"/>
              <w:ind w:firstLine="0" w:firstLineChars="0"/>
              <w:jc w:val="center"/>
              <w:rPr>
                <w:rFonts w:hint="default" w:ascii="Times New Roman" w:hAnsi="Times New Roman" w:cs="Times New Roman"/>
                <w:bCs/>
                <w:color w:val="auto"/>
                <w:sz w:val="21"/>
                <w:szCs w:val="21"/>
                <w:highlight w:val="none"/>
              </w:rPr>
            </w:pPr>
          </w:p>
        </w:tc>
      </w:tr>
      <w:tr w14:paraId="42367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4AFFBB2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农用地</w:t>
            </w:r>
          </w:p>
        </w:tc>
        <w:tc>
          <w:tcPr>
            <w:tcW w:w="669" w:type="dxa"/>
            <w:tcBorders>
              <w:tl2br w:val="nil"/>
              <w:tr2bl w:val="nil"/>
            </w:tcBorders>
            <w:vAlign w:val="center"/>
          </w:tcPr>
          <w:p w14:paraId="4ABFB15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311" w:type="dxa"/>
            <w:tcBorders>
              <w:tl2br w:val="nil"/>
              <w:tr2bl w:val="nil"/>
            </w:tcBorders>
            <w:vAlign w:val="center"/>
          </w:tcPr>
          <w:p w14:paraId="4376D72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2066" w:type="dxa"/>
            <w:tcBorders>
              <w:tl2br w:val="nil"/>
              <w:tr2bl w:val="nil"/>
            </w:tcBorders>
            <w:vAlign w:val="center"/>
          </w:tcPr>
          <w:p w14:paraId="0FE352C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w:t>
            </w:r>
          </w:p>
        </w:tc>
        <w:tc>
          <w:tcPr>
            <w:tcW w:w="2258" w:type="dxa"/>
            <w:vMerge w:val="restart"/>
            <w:tcBorders>
              <w:tl2br w:val="nil"/>
              <w:tr2bl w:val="nil"/>
            </w:tcBorders>
            <w:vAlign w:val="center"/>
          </w:tcPr>
          <w:p w14:paraId="283E1BB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《土壤环境质量 农用地土壤污染风险管控标准（试行）》（GB15618-2018）</w:t>
            </w:r>
          </w:p>
        </w:tc>
      </w:tr>
      <w:tr w14:paraId="3EC74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EDBC2A3">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B8F0EF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311" w:type="dxa"/>
            <w:tcBorders>
              <w:tl2br w:val="nil"/>
              <w:tr2bl w:val="nil"/>
            </w:tcBorders>
            <w:vAlign w:val="center"/>
          </w:tcPr>
          <w:p w14:paraId="29E7491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2066" w:type="dxa"/>
            <w:tcBorders>
              <w:tl2br w:val="nil"/>
              <w:tr2bl w:val="nil"/>
            </w:tcBorders>
            <w:vAlign w:val="center"/>
          </w:tcPr>
          <w:p w14:paraId="76413E1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2258" w:type="dxa"/>
            <w:vMerge w:val="continue"/>
            <w:tcBorders>
              <w:tl2br w:val="nil"/>
              <w:tr2bl w:val="nil"/>
            </w:tcBorders>
            <w:vAlign w:val="center"/>
          </w:tcPr>
          <w:p w14:paraId="5A7DCC0A">
            <w:pPr>
              <w:spacing w:line="360" w:lineRule="atLeast"/>
              <w:ind w:firstLine="0" w:firstLineChars="0"/>
              <w:jc w:val="center"/>
              <w:rPr>
                <w:rFonts w:hint="default" w:ascii="Times New Roman" w:hAnsi="Times New Roman" w:cs="Times New Roman"/>
                <w:bCs/>
                <w:color w:val="auto"/>
                <w:sz w:val="21"/>
                <w:szCs w:val="21"/>
                <w:highlight w:val="none"/>
              </w:rPr>
            </w:pPr>
          </w:p>
        </w:tc>
      </w:tr>
      <w:tr w14:paraId="33BC3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E2E5A4B">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A7F305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311" w:type="dxa"/>
            <w:tcBorders>
              <w:tl2br w:val="nil"/>
              <w:tr2bl w:val="nil"/>
            </w:tcBorders>
            <w:vAlign w:val="center"/>
          </w:tcPr>
          <w:p w14:paraId="62B5E5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2066" w:type="dxa"/>
            <w:tcBorders>
              <w:tl2br w:val="nil"/>
              <w:tr2bl w:val="nil"/>
            </w:tcBorders>
            <w:vAlign w:val="center"/>
          </w:tcPr>
          <w:p w14:paraId="0C11931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2258" w:type="dxa"/>
            <w:vMerge w:val="continue"/>
            <w:tcBorders>
              <w:tl2br w:val="nil"/>
              <w:tr2bl w:val="nil"/>
            </w:tcBorders>
            <w:vAlign w:val="center"/>
          </w:tcPr>
          <w:p w14:paraId="20EB1FB6">
            <w:pPr>
              <w:spacing w:line="360" w:lineRule="atLeast"/>
              <w:ind w:firstLine="0" w:firstLineChars="0"/>
              <w:jc w:val="center"/>
              <w:rPr>
                <w:rFonts w:hint="default" w:ascii="Times New Roman" w:hAnsi="Times New Roman" w:cs="Times New Roman"/>
                <w:bCs/>
                <w:color w:val="auto"/>
                <w:sz w:val="21"/>
                <w:szCs w:val="21"/>
                <w:highlight w:val="none"/>
              </w:rPr>
            </w:pPr>
          </w:p>
        </w:tc>
      </w:tr>
      <w:tr w14:paraId="3FDD7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5D1C334">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1CCAF6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311" w:type="dxa"/>
            <w:tcBorders>
              <w:tl2br w:val="nil"/>
              <w:tr2bl w:val="nil"/>
            </w:tcBorders>
            <w:vAlign w:val="center"/>
          </w:tcPr>
          <w:p w14:paraId="1CF2918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2066" w:type="dxa"/>
            <w:tcBorders>
              <w:tl2br w:val="nil"/>
              <w:tr2bl w:val="nil"/>
            </w:tcBorders>
            <w:vAlign w:val="center"/>
          </w:tcPr>
          <w:p w14:paraId="73A0AE8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170</w:t>
            </w:r>
          </w:p>
        </w:tc>
        <w:tc>
          <w:tcPr>
            <w:tcW w:w="2258" w:type="dxa"/>
            <w:vMerge w:val="continue"/>
            <w:tcBorders>
              <w:tl2br w:val="nil"/>
              <w:tr2bl w:val="nil"/>
            </w:tcBorders>
            <w:vAlign w:val="center"/>
          </w:tcPr>
          <w:p w14:paraId="454C7D83">
            <w:pPr>
              <w:spacing w:line="360" w:lineRule="atLeast"/>
              <w:ind w:firstLine="0" w:firstLineChars="0"/>
              <w:jc w:val="center"/>
              <w:rPr>
                <w:rFonts w:hint="default" w:ascii="Times New Roman" w:hAnsi="Times New Roman" w:cs="Times New Roman"/>
                <w:bCs/>
                <w:color w:val="auto"/>
                <w:sz w:val="21"/>
                <w:szCs w:val="21"/>
                <w:highlight w:val="none"/>
              </w:rPr>
            </w:pPr>
          </w:p>
        </w:tc>
      </w:tr>
      <w:tr w14:paraId="41451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D9CFE9D">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A2C22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311" w:type="dxa"/>
            <w:tcBorders>
              <w:tl2br w:val="nil"/>
              <w:tr2bl w:val="nil"/>
            </w:tcBorders>
            <w:vAlign w:val="center"/>
          </w:tcPr>
          <w:p w14:paraId="45E906C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w:t>
            </w:r>
          </w:p>
        </w:tc>
        <w:tc>
          <w:tcPr>
            <w:tcW w:w="2066" w:type="dxa"/>
            <w:tcBorders>
              <w:tl2br w:val="nil"/>
              <w:tr2bl w:val="nil"/>
            </w:tcBorders>
            <w:vAlign w:val="center"/>
          </w:tcPr>
          <w:p w14:paraId="6B83A15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258" w:type="dxa"/>
            <w:vMerge w:val="continue"/>
            <w:tcBorders>
              <w:tl2br w:val="nil"/>
              <w:tr2bl w:val="nil"/>
            </w:tcBorders>
            <w:vAlign w:val="center"/>
          </w:tcPr>
          <w:p w14:paraId="74E495EC">
            <w:pPr>
              <w:spacing w:line="360" w:lineRule="atLeast"/>
              <w:ind w:firstLine="0" w:firstLineChars="0"/>
              <w:jc w:val="center"/>
              <w:rPr>
                <w:rFonts w:hint="default" w:ascii="Times New Roman" w:hAnsi="Times New Roman" w:cs="Times New Roman"/>
                <w:bCs/>
                <w:color w:val="auto"/>
                <w:sz w:val="21"/>
                <w:szCs w:val="21"/>
                <w:highlight w:val="none"/>
              </w:rPr>
            </w:pPr>
          </w:p>
        </w:tc>
      </w:tr>
      <w:tr w14:paraId="48DE3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54BA45E">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D676DE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311" w:type="dxa"/>
            <w:tcBorders>
              <w:tl2br w:val="nil"/>
              <w:tr2bl w:val="nil"/>
            </w:tcBorders>
            <w:vAlign w:val="center"/>
          </w:tcPr>
          <w:p w14:paraId="06A0B6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2066" w:type="dxa"/>
            <w:tcBorders>
              <w:tl2br w:val="nil"/>
              <w:tr2bl w:val="nil"/>
            </w:tcBorders>
            <w:vAlign w:val="center"/>
          </w:tcPr>
          <w:p w14:paraId="7D3634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2258" w:type="dxa"/>
            <w:vMerge w:val="continue"/>
            <w:tcBorders>
              <w:tl2br w:val="nil"/>
              <w:tr2bl w:val="nil"/>
            </w:tcBorders>
            <w:vAlign w:val="center"/>
          </w:tcPr>
          <w:p w14:paraId="20028B90">
            <w:pPr>
              <w:spacing w:line="360" w:lineRule="atLeast"/>
              <w:ind w:firstLine="0" w:firstLineChars="0"/>
              <w:jc w:val="center"/>
              <w:rPr>
                <w:rFonts w:hint="default" w:ascii="Times New Roman" w:hAnsi="Times New Roman" w:cs="Times New Roman"/>
                <w:bCs/>
                <w:color w:val="auto"/>
                <w:sz w:val="21"/>
                <w:szCs w:val="21"/>
                <w:highlight w:val="none"/>
              </w:rPr>
            </w:pPr>
          </w:p>
        </w:tc>
      </w:tr>
      <w:tr w14:paraId="4F119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E27B0D2">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8D597A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311" w:type="dxa"/>
            <w:tcBorders>
              <w:tl2br w:val="nil"/>
              <w:tr2bl w:val="nil"/>
            </w:tcBorders>
            <w:vAlign w:val="center"/>
          </w:tcPr>
          <w:p w14:paraId="402FDA8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2066" w:type="dxa"/>
            <w:tcBorders>
              <w:tl2br w:val="nil"/>
              <w:tr2bl w:val="nil"/>
            </w:tcBorders>
            <w:vAlign w:val="center"/>
          </w:tcPr>
          <w:p w14:paraId="0CFDC73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190</w:t>
            </w:r>
          </w:p>
        </w:tc>
        <w:tc>
          <w:tcPr>
            <w:tcW w:w="2258" w:type="dxa"/>
            <w:vMerge w:val="continue"/>
            <w:tcBorders>
              <w:tl2br w:val="nil"/>
              <w:tr2bl w:val="nil"/>
            </w:tcBorders>
            <w:vAlign w:val="center"/>
          </w:tcPr>
          <w:p w14:paraId="6247A881">
            <w:pPr>
              <w:spacing w:line="360" w:lineRule="atLeast"/>
              <w:ind w:firstLine="0" w:firstLineChars="0"/>
              <w:jc w:val="center"/>
              <w:rPr>
                <w:rFonts w:hint="default" w:ascii="Times New Roman" w:hAnsi="Times New Roman" w:cs="Times New Roman"/>
                <w:bCs/>
                <w:color w:val="auto"/>
                <w:sz w:val="21"/>
                <w:szCs w:val="21"/>
                <w:highlight w:val="none"/>
              </w:rPr>
            </w:pPr>
          </w:p>
        </w:tc>
      </w:tr>
      <w:tr w14:paraId="271F4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13A4CC1">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9B386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311" w:type="dxa"/>
            <w:tcBorders>
              <w:tl2br w:val="nil"/>
              <w:tr2bl w:val="nil"/>
            </w:tcBorders>
            <w:vAlign w:val="center"/>
          </w:tcPr>
          <w:p w14:paraId="1EC0965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w:t>
            </w:r>
          </w:p>
        </w:tc>
        <w:tc>
          <w:tcPr>
            <w:tcW w:w="2066" w:type="dxa"/>
            <w:tcBorders>
              <w:tl2br w:val="nil"/>
              <w:tr2bl w:val="nil"/>
            </w:tcBorders>
            <w:vAlign w:val="center"/>
          </w:tcPr>
          <w:p w14:paraId="07F210F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2258" w:type="dxa"/>
            <w:vMerge w:val="continue"/>
            <w:tcBorders>
              <w:tl2br w:val="nil"/>
              <w:tr2bl w:val="nil"/>
            </w:tcBorders>
            <w:vAlign w:val="center"/>
          </w:tcPr>
          <w:p w14:paraId="482276BE">
            <w:pPr>
              <w:spacing w:line="360" w:lineRule="atLeast"/>
              <w:ind w:firstLine="0" w:firstLineChars="0"/>
              <w:jc w:val="center"/>
              <w:rPr>
                <w:rFonts w:hint="default" w:ascii="Times New Roman" w:hAnsi="Times New Roman" w:cs="Times New Roman"/>
                <w:bCs/>
                <w:color w:val="auto"/>
                <w:sz w:val="21"/>
                <w:szCs w:val="21"/>
                <w:highlight w:val="none"/>
              </w:rPr>
            </w:pPr>
          </w:p>
        </w:tc>
      </w:tr>
    </w:tbl>
    <w:p w14:paraId="059D212D">
      <w:pPr>
        <w:pStyle w:val="5"/>
        <w:tabs>
          <w:tab w:val="left" w:pos="2041"/>
          <w:tab w:val="left" w:pos="3402"/>
        </w:tabs>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2.5.2.2污染物排放标准</w:t>
      </w:r>
    </w:p>
    <w:p w14:paraId="1761C5A4">
      <w:pPr>
        <w:pStyle w:val="53"/>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（1）废气</w:t>
      </w:r>
    </w:p>
    <w:p w14:paraId="7D13DE31">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施工期产生的无组织粉尘有关标准限值见表2.5-</w:t>
      </w:r>
      <w:r>
        <w:rPr>
          <w:rFonts w:hint="default" w:ascii="Times New Roman" w:hAnsi="Times New Roman" w:cs="Times New Roman"/>
          <w:color w:val="auto"/>
          <w:spacing w:val="-1"/>
          <w:highlight w:val="none"/>
          <w:lang w:val="en-US" w:eastAsia="zh-CN"/>
        </w:rPr>
        <w:t>5</w:t>
      </w:r>
      <w:r>
        <w:rPr>
          <w:rFonts w:hint="default" w:ascii="Times New Roman" w:hAnsi="Times New Roman" w:cs="Times New Roman"/>
          <w:color w:val="auto"/>
          <w:spacing w:val="-1"/>
          <w:highlight w:val="none"/>
        </w:rPr>
        <w:t>。</w:t>
      </w:r>
    </w:p>
    <w:p w14:paraId="757FFAB6">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kern w:val="0"/>
          <w:highlight w:val="none"/>
        </w:rPr>
        <w:t>表2.5-</w:t>
      </w:r>
      <w:r>
        <w:rPr>
          <w:rFonts w:hint="default" w:ascii="Times New Roman" w:hAnsi="Times New Roman" w:cs="Times New Roman"/>
          <w:b/>
          <w:bCs/>
          <w:color w:val="auto"/>
          <w:kern w:val="0"/>
          <w:highlight w:val="none"/>
          <w:lang w:val="en-US" w:eastAsia="zh-CN"/>
        </w:rPr>
        <w:t>5</w:t>
      </w:r>
      <w:r>
        <w:rPr>
          <w:rFonts w:hint="default" w:ascii="Times New Roman" w:hAnsi="Times New Roman" w:cs="Times New Roman"/>
          <w:b/>
          <w:bCs/>
          <w:color w:val="auto"/>
          <w:kern w:val="0"/>
          <w:highlight w:val="none"/>
        </w:rPr>
        <w:t xml:space="preserve">    大气污染物综合排放标准</w:t>
      </w:r>
      <w:r>
        <w:rPr>
          <w:rFonts w:hint="default" w:ascii="Times New Roman" w:hAnsi="Times New Roman" w:cs="Times New Roman"/>
          <w:b/>
          <w:color w:val="auto"/>
          <w:kern w:val="0"/>
          <w:highlight w:val="none"/>
        </w:rPr>
        <w:t xml:space="preserve">    单位：</w:t>
      </w:r>
      <w:r>
        <w:rPr>
          <w:rFonts w:hint="default" w:ascii="Times New Roman" w:hAnsi="Times New Roman" w:cs="Times New Roman"/>
          <w:color w:val="auto"/>
          <w:kern w:val="0"/>
          <w:highlight w:val="none"/>
          <w:lang w:val="zh-CN"/>
        </w:rPr>
        <w:t>mg/m</w:t>
      </w:r>
      <w:r>
        <w:rPr>
          <w:rFonts w:hint="default" w:ascii="Times New Roman" w:hAnsi="Times New Roman" w:cs="Times New Roman"/>
          <w:color w:val="auto"/>
          <w:kern w:val="0"/>
          <w:highlight w:val="none"/>
          <w:vertAlign w:val="superscript"/>
          <w:lang w:val="zh-CN"/>
        </w:rPr>
        <w:t>3</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80"/>
        <w:gridCol w:w="2161"/>
        <w:gridCol w:w="4162"/>
      </w:tblGrid>
      <w:tr w14:paraId="05119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16" w:type="dxa"/>
            <w:tcBorders>
              <w:tl2br w:val="nil"/>
              <w:tr2bl w:val="nil"/>
            </w:tcBorders>
            <w:vAlign w:val="center"/>
          </w:tcPr>
          <w:p w14:paraId="0837F648">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kern w:val="0"/>
                <w:sz w:val="21"/>
                <w:szCs w:val="21"/>
                <w:highlight w:val="none"/>
                <w:lang w:val="zh-CN"/>
              </w:rPr>
              <w:t>污染源</w:t>
            </w:r>
          </w:p>
        </w:tc>
        <w:tc>
          <w:tcPr>
            <w:tcW w:w="1280" w:type="dxa"/>
            <w:tcBorders>
              <w:tl2br w:val="nil"/>
              <w:tr2bl w:val="nil"/>
            </w:tcBorders>
            <w:vAlign w:val="center"/>
          </w:tcPr>
          <w:p w14:paraId="0C7393B0">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kern w:val="0"/>
                <w:sz w:val="21"/>
                <w:szCs w:val="21"/>
                <w:highlight w:val="none"/>
                <w:lang w:val="zh-CN"/>
              </w:rPr>
              <w:t>污染物类型</w:t>
            </w:r>
          </w:p>
        </w:tc>
        <w:tc>
          <w:tcPr>
            <w:tcW w:w="2161" w:type="dxa"/>
            <w:tcBorders>
              <w:tl2br w:val="nil"/>
              <w:tr2bl w:val="nil"/>
            </w:tcBorders>
            <w:vAlign w:val="center"/>
          </w:tcPr>
          <w:p w14:paraId="0FA01EE9">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sz w:val="21"/>
                <w:szCs w:val="21"/>
                <w:highlight w:val="none"/>
              </w:rPr>
              <w:t>污染物排放浓度限值</w:t>
            </w:r>
          </w:p>
        </w:tc>
        <w:tc>
          <w:tcPr>
            <w:tcW w:w="4162" w:type="dxa"/>
            <w:tcBorders>
              <w:tl2br w:val="nil"/>
              <w:tr2bl w:val="nil"/>
            </w:tcBorders>
            <w:vAlign w:val="center"/>
          </w:tcPr>
          <w:p w14:paraId="0055C8F6">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sz w:val="21"/>
                <w:szCs w:val="21"/>
                <w:highlight w:val="none"/>
              </w:rPr>
              <w:t>标准来源</w:t>
            </w:r>
          </w:p>
        </w:tc>
      </w:tr>
      <w:tr w14:paraId="3A8E7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16" w:type="dxa"/>
            <w:tcBorders>
              <w:tl2br w:val="nil"/>
              <w:tr2bl w:val="nil"/>
            </w:tcBorders>
            <w:vAlign w:val="center"/>
          </w:tcPr>
          <w:p w14:paraId="074AFF1F">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280" w:type="dxa"/>
            <w:tcBorders>
              <w:tl2br w:val="nil"/>
              <w:tr2bl w:val="nil"/>
            </w:tcBorders>
            <w:vAlign w:val="center"/>
          </w:tcPr>
          <w:p w14:paraId="749266AD">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161" w:type="dxa"/>
            <w:tcBorders>
              <w:tl2br w:val="nil"/>
              <w:tr2bl w:val="nil"/>
            </w:tcBorders>
            <w:vAlign w:val="center"/>
          </w:tcPr>
          <w:p w14:paraId="279149B6">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zh-CN"/>
              </w:rPr>
              <w:t>mg/m</w:t>
            </w:r>
            <w:r>
              <w:rPr>
                <w:rFonts w:hint="default" w:ascii="Times New Roman" w:hAnsi="Times New Roman" w:eastAsia="宋体" w:cs="Times New Roman"/>
                <w:color w:val="auto"/>
                <w:sz w:val="21"/>
                <w:szCs w:val="21"/>
                <w:highlight w:val="none"/>
                <w:vertAlign w:val="superscript"/>
                <w:lang w:val="zh-CN"/>
              </w:rPr>
              <w:t>3</w:t>
            </w:r>
          </w:p>
        </w:tc>
        <w:tc>
          <w:tcPr>
            <w:tcW w:w="4162" w:type="dxa"/>
            <w:tcBorders>
              <w:tl2br w:val="nil"/>
              <w:tr2bl w:val="nil"/>
            </w:tcBorders>
            <w:vAlign w:val="center"/>
          </w:tcPr>
          <w:p w14:paraId="0749680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r>
    </w:tbl>
    <w:p w14:paraId="1B3B7613">
      <w:pPr>
        <w:pStyle w:val="53"/>
        <w:overflowPunct w:val="0"/>
        <w:topLinePunct/>
        <w:adjustRightInd/>
        <w:ind w:firstLine="480" w:firstLineChars="200"/>
        <w:rPr>
          <w:rFonts w:hint="default" w:ascii="Times New Roman" w:hAnsi="Times New Roman" w:cs="Times New Roman"/>
          <w:color w:val="auto"/>
          <w:spacing w:val="-1"/>
          <w:highlight w:val="none"/>
        </w:rPr>
      </w:pPr>
      <w:r>
        <w:rPr>
          <w:rFonts w:hint="default" w:ascii="Times New Roman" w:hAnsi="Times New Roman" w:cs="Times New Roman"/>
          <w:color w:val="auto"/>
          <w:highlight w:val="none"/>
        </w:rPr>
        <w:t>本项目供暖采用电热水锅炉，无锅炉烟气排放。主要大气污染源为选矿厂</w:t>
      </w:r>
      <w:r>
        <w:rPr>
          <w:rFonts w:hint="default" w:ascii="Times New Roman" w:hAnsi="Times New Roman" w:cs="Times New Roman"/>
          <w:color w:val="auto"/>
          <w:highlight w:val="none"/>
          <w:lang w:eastAsia="zh-CN"/>
        </w:rPr>
        <w:t>内破碎筛分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原矿仓扬尘</w:t>
      </w:r>
      <w:r>
        <w:rPr>
          <w:rFonts w:hint="default" w:cs="Times New Roman"/>
          <w:color w:val="auto"/>
          <w:highlight w:val="none"/>
          <w:lang w:val="en-US" w:eastAsia="zh-CN"/>
        </w:rPr>
        <w:t>及</w:t>
      </w:r>
      <w:r>
        <w:rPr>
          <w:rFonts w:hint="default" w:ascii="Times New Roman" w:hAnsi="Times New Roman" w:cs="Times New Roman"/>
          <w:color w:val="auto"/>
          <w:highlight w:val="none"/>
        </w:rPr>
        <w:t>尾矿库</w:t>
      </w:r>
      <w:r>
        <w:rPr>
          <w:rFonts w:hint="default" w:cs="Times New Roman"/>
          <w:color w:val="auto"/>
          <w:highlight w:val="none"/>
          <w:lang w:val="en-US" w:eastAsia="zh-CN"/>
        </w:rPr>
        <w:t>干滩</w:t>
      </w:r>
      <w:r>
        <w:rPr>
          <w:rFonts w:hint="default" w:ascii="Times New Roman" w:hAnsi="Times New Roman" w:cs="Times New Roman"/>
          <w:color w:val="auto"/>
          <w:highlight w:val="none"/>
          <w:lang w:eastAsia="zh-CN"/>
        </w:rPr>
        <w:t>扬尘</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选矿厂</w:t>
      </w:r>
      <w:r>
        <w:rPr>
          <w:rFonts w:hint="default" w:ascii="Times New Roman" w:hAnsi="Times New Roman" w:cs="Times New Roman"/>
          <w:color w:val="auto"/>
          <w:highlight w:val="none"/>
          <w:lang w:eastAsia="zh-CN"/>
        </w:rPr>
        <w:t>内破碎筛分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原矿仓扬尘、</w:t>
      </w:r>
      <w:r>
        <w:rPr>
          <w:rFonts w:hint="default" w:ascii="Times New Roman" w:hAnsi="Times New Roman" w:cs="Times New Roman"/>
          <w:color w:val="auto"/>
          <w:highlight w:val="none"/>
        </w:rPr>
        <w:t>尾矿库</w:t>
      </w:r>
      <w:r>
        <w:rPr>
          <w:rFonts w:hint="default" w:ascii="Times New Roman" w:hAnsi="Times New Roman" w:cs="Times New Roman"/>
          <w:color w:val="auto"/>
          <w:highlight w:val="none"/>
          <w:lang w:eastAsia="zh-CN"/>
        </w:rPr>
        <w:t>扬尘</w:t>
      </w:r>
      <w:r>
        <w:rPr>
          <w:rFonts w:hint="eastAsia" w:cs="Times New Roman"/>
          <w:color w:val="auto"/>
          <w:highlight w:val="none"/>
          <w:lang w:val="en-US" w:eastAsia="zh-CN"/>
        </w:rPr>
        <w:t>均</w:t>
      </w:r>
      <w:r>
        <w:rPr>
          <w:rFonts w:hint="default" w:ascii="Times New Roman" w:hAnsi="Times New Roman" w:cs="Times New Roman"/>
          <w:color w:val="auto"/>
          <w:highlight w:val="none"/>
        </w:rPr>
        <w:t>执行</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大气污染物综合</w:t>
      </w:r>
      <w:r>
        <w:rPr>
          <w:rFonts w:hint="default" w:ascii="Times New Roman" w:hAnsi="Times New Roman" w:cs="Times New Roman"/>
          <w:color w:val="auto"/>
          <w:highlight w:val="none"/>
          <w:lang w:val="zh-CN"/>
        </w:rPr>
        <w:t>排放标准》（GB</w:t>
      </w:r>
      <w:r>
        <w:rPr>
          <w:rFonts w:hint="default" w:ascii="Times New Roman" w:hAnsi="Times New Roman" w:cs="Times New Roman"/>
          <w:color w:val="auto"/>
          <w:highlight w:val="none"/>
        </w:rPr>
        <w:t>16297-1996</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中排放浓度限值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1"/>
          <w:highlight w:val="none"/>
        </w:rPr>
        <w:t>有关标准限值见表2.5-</w:t>
      </w:r>
      <w:r>
        <w:rPr>
          <w:rFonts w:hint="default" w:ascii="Times New Roman" w:hAnsi="Times New Roman" w:cs="Times New Roman"/>
          <w:color w:val="auto"/>
          <w:spacing w:val="-1"/>
          <w:highlight w:val="none"/>
          <w:lang w:val="en-US" w:eastAsia="zh-CN"/>
        </w:rPr>
        <w:t>6</w:t>
      </w:r>
      <w:r>
        <w:rPr>
          <w:rFonts w:hint="default" w:ascii="Times New Roman" w:hAnsi="Times New Roman" w:cs="Times New Roman"/>
          <w:color w:val="auto"/>
          <w:spacing w:val="-1"/>
          <w:highlight w:val="none"/>
        </w:rPr>
        <w:t>。</w:t>
      </w:r>
    </w:p>
    <w:p w14:paraId="2BE5149E">
      <w:pPr>
        <w:ind w:firstLine="482"/>
        <w:jc w:val="center"/>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lang w:bidi="ar"/>
        </w:rPr>
        <w:t>表2.</w:t>
      </w:r>
      <w:r>
        <w:rPr>
          <w:rFonts w:hint="default" w:ascii="Times New Roman" w:hAnsi="Times New Roman" w:cs="Times New Roman"/>
          <w:b/>
          <w:color w:val="auto"/>
          <w:szCs w:val="24"/>
          <w:highlight w:val="none"/>
          <w:lang w:val="en-US" w:eastAsia="zh-CN" w:bidi="ar"/>
        </w:rPr>
        <w:t>5-6</w:t>
      </w:r>
      <w:r>
        <w:rPr>
          <w:rFonts w:hint="default" w:ascii="Times New Roman" w:hAnsi="Times New Roman" w:cs="Times New Roman"/>
          <w:b/>
          <w:color w:val="auto"/>
          <w:szCs w:val="24"/>
          <w:highlight w:val="none"/>
          <w:lang w:bidi="ar"/>
        </w:rPr>
        <w:t xml:space="preserve">    大气污染物排放标准    单位：</w:t>
      </w:r>
      <w:r>
        <w:rPr>
          <w:rFonts w:hint="default" w:ascii="Times New Roman" w:hAnsi="Times New Roman" w:cs="Times New Roman"/>
          <w:b/>
          <w:color w:val="auto"/>
          <w:highlight w:val="none"/>
          <w:lang w:bidi="ar"/>
        </w:rPr>
        <w:t>mg/m</w:t>
      </w:r>
      <w:r>
        <w:rPr>
          <w:rFonts w:hint="default" w:ascii="Times New Roman" w:hAnsi="Times New Roman" w:cs="Times New Roman"/>
          <w:b/>
          <w:color w:val="auto"/>
          <w:highlight w:val="none"/>
          <w:vertAlign w:val="superscript"/>
          <w:lang w:bidi="ar"/>
        </w:rPr>
        <w:t>3</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6"/>
        <w:gridCol w:w="864"/>
        <w:gridCol w:w="2289"/>
        <w:gridCol w:w="956"/>
        <w:gridCol w:w="1026"/>
        <w:gridCol w:w="2668"/>
      </w:tblGrid>
      <w:tr w14:paraId="00106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20" w:type="pct"/>
            <w:tcBorders>
              <w:bottom w:val="single" w:color="auto" w:sz="6" w:space="0"/>
              <w:right w:val="single" w:color="auto" w:sz="6" w:space="0"/>
            </w:tcBorders>
            <w:noWrap w:val="0"/>
            <w:vAlign w:val="center"/>
          </w:tcPr>
          <w:p w14:paraId="1F926AD3">
            <w:pPr>
              <w:adjustRightInd w:val="0"/>
              <w:spacing w:line="360" w:lineRule="exact"/>
              <w:ind w:firstLine="0" w:firstLineChars="0"/>
              <w:jc w:val="center"/>
              <w:rPr>
                <w:rFonts w:hint="default" w:ascii="Times New Roman" w:hAnsi="Times New Roman" w:cs="Times New Roman"/>
                <w:b/>
                <w:bCs/>
                <w:color w:val="auto"/>
                <w:sz w:val="21"/>
                <w:highlight w:val="none"/>
                <w:lang w:bidi="ar"/>
              </w:rPr>
            </w:pPr>
            <w:r>
              <w:rPr>
                <w:rFonts w:hint="default" w:ascii="Times New Roman" w:hAnsi="Times New Roman" w:cs="Times New Roman"/>
                <w:b/>
                <w:bCs/>
                <w:color w:val="auto"/>
                <w:sz w:val="21"/>
                <w:highlight w:val="none"/>
                <w:lang w:bidi="ar"/>
              </w:rPr>
              <w:t>序号</w:t>
            </w:r>
          </w:p>
        </w:tc>
        <w:tc>
          <w:tcPr>
            <w:tcW w:w="1850" w:type="pct"/>
            <w:gridSpan w:val="2"/>
            <w:tcBorders>
              <w:left w:val="single" w:color="auto" w:sz="6" w:space="0"/>
              <w:bottom w:val="single" w:color="auto" w:sz="6" w:space="0"/>
              <w:right w:val="single" w:color="auto" w:sz="6" w:space="0"/>
            </w:tcBorders>
            <w:noWrap w:val="0"/>
            <w:vAlign w:val="top"/>
          </w:tcPr>
          <w:p w14:paraId="1EA164A5">
            <w:pPr>
              <w:adjustRightInd w:val="0"/>
              <w:spacing w:line="360" w:lineRule="exact"/>
              <w:ind w:firstLine="0" w:firstLineChars="0"/>
              <w:jc w:val="center"/>
              <w:rPr>
                <w:rFonts w:hint="default" w:ascii="Times New Roman" w:hAnsi="Times New Roman" w:cs="Times New Roman"/>
                <w:b/>
                <w:bCs/>
                <w:color w:val="auto"/>
                <w:sz w:val="21"/>
                <w:highlight w:val="none"/>
                <w:lang w:bidi="ar"/>
              </w:rPr>
            </w:pPr>
            <w:r>
              <w:rPr>
                <w:rFonts w:hint="default" w:ascii="Times New Roman" w:hAnsi="Times New Roman" w:cs="Times New Roman"/>
                <w:b/>
                <w:bCs/>
                <w:color w:val="auto"/>
                <w:sz w:val="21"/>
                <w:highlight w:val="none"/>
                <w:lang w:bidi="ar"/>
              </w:rPr>
              <w:t>项目</w:t>
            </w:r>
          </w:p>
        </w:tc>
        <w:tc>
          <w:tcPr>
            <w:tcW w:w="561" w:type="pct"/>
            <w:tcBorders>
              <w:left w:val="single" w:color="auto" w:sz="6" w:space="0"/>
              <w:bottom w:val="single" w:color="auto" w:sz="6" w:space="0"/>
              <w:right w:val="single" w:color="auto" w:sz="6" w:space="0"/>
            </w:tcBorders>
            <w:noWrap w:val="0"/>
            <w:vAlign w:val="center"/>
          </w:tcPr>
          <w:p w14:paraId="3D758190">
            <w:pPr>
              <w:adjustRightInd w:val="0"/>
              <w:spacing w:line="360" w:lineRule="exact"/>
              <w:ind w:firstLine="0" w:firstLineChars="0"/>
              <w:jc w:val="center"/>
              <w:rPr>
                <w:rFonts w:hint="default" w:ascii="Times New Roman" w:hAnsi="Times New Roman" w:cs="Times New Roman"/>
                <w:b/>
                <w:bCs/>
                <w:color w:val="auto"/>
                <w:sz w:val="21"/>
                <w:highlight w:val="none"/>
                <w:lang w:bidi="ar"/>
              </w:rPr>
            </w:pPr>
            <w:r>
              <w:rPr>
                <w:rFonts w:hint="default" w:ascii="Times New Roman" w:hAnsi="Times New Roman" w:cs="Times New Roman"/>
                <w:b/>
                <w:bCs/>
                <w:color w:val="auto"/>
                <w:sz w:val="21"/>
                <w:highlight w:val="none"/>
                <w:lang w:bidi="ar"/>
              </w:rPr>
              <w:t>单位</w:t>
            </w:r>
          </w:p>
        </w:tc>
        <w:tc>
          <w:tcPr>
            <w:tcW w:w="602" w:type="pct"/>
            <w:tcBorders>
              <w:left w:val="single" w:color="auto" w:sz="6" w:space="0"/>
              <w:bottom w:val="single" w:color="auto" w:sz="6" w:space="0"/>
              <w:right w:val="single" w:color="auto" w:sz="6" w:space="0"/>
            </w:tcBorders>
            <w:noWrap w:val="0"/>
            <w:vAlign w:val="center"/>
          </w:tcPr>
          <w:p w14:paraId="0689D5E0">
            <w:pPr>
              <w:adjustRightInd w:val="0"/>
              <w:spacing w:line="360" w:lineRule="exact"/>
              <w:ind w:firstLine="0" w:firstLineChars="0"/>
              <w:jc w:val="center"/>
              <w:rPr>
                <w:rFonts w:hint="default" w:ascii="Times New Roman" w:hAnsi="Times New Roman" w:cs="Times New Roman"/>
                <w:b/>
                <w:bCs/>
                <w:color w:val="auto"/>
                <w:sz w:val="21"/>
                <w:highlight w:val="none"/>
                <w:lang w:bidi="ar"/>
              </w:rPr>
            </w:pPr>
            <w:r>
              <w:rPr>
                <w:rFonts w:hint="default" w:ascii="Times New Roman" w:hAnsi="Times New Roman" w:cs="Times New Roman"/>
                <w:b/>
                <w:bCs/>
                <w:color w:val="auto"/>
                <w:sz w:val="21"/>
                <w:highlight w:val="none"/>
                <w:lang w:bidi="ar"/>
              </w:rPr>
              <w:t>限值</w:t>
            </w:r>
          </w:p>
        </w:tc>
        <w:tc>
          <w:tcPr>
            <w:tcW w:w="1565" w:type="pct"/>
            <w:tcBorders>
              <w:left w:val="single" w:color="auto" w:sz="6" w:space="0"/>
              <w:bottom w:val="single" w:color="auto" w:sz="6" w:space="0"/>
            </w:tcBorders>
            <w:noWrap w:val="0"/>
            <w:vAlign w:val="center"/>
          </w:tcPr>
          <w:p w14:paraId="2173A00C">
            <w:pPr>
              <w:adjustRightInd w:val="0"/>
              <w:spacing w:line="360" w:lineRule="exact"/>
              <w:ind w:firstLine="0" w:firstLineChars="0"/>
              <w:jc w:val="center"/>
              <w:rPr>
                <w:rFonts w:hint="default" w:ascii="Times New Roman" w:hAnsi="Times New Roman" w:cs="Times New Roman"/>
                <w:b/>
                <w:bCs/>
                <w:color w:val="auto"/>
                <w:sz w:val="21"/>
                <w:highlight w:val="none"/>
                <w:lang w:bidi="ar"/>
              </w:rPr>
            </w:pPr>
            <w:r>
              <w:rPr>
                <w:rFonts w:hint="default" w:ascii="Times New Roman" w:hAnsi="Times New Roman" w:cs="Times New Roman"/>
                <w:b/>
                <w:bCs/>
                <w:color w:val="auto"/>
                <w:sz w:val="21"/>
                <w:highlight w:val="none"/>
                <w:lang w:bidi="ar"/>
              </w:rPr>
              <w:t>标准来源</w:t>
            </w:r>
          </w:p>
        </w:tc>
      </w:tr>
      <w:tr w14:paraId="69AA4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tcBorders>
              <w:top w:val="single" w:color="auto" w:sz="6" w:space="0"/>
              <w:bottom w:val="single" w:color="auto" w:sz="6" w:space="0"/>
              <w:right w:val="single" w:color="auto" w:sz="6" w:space="0"/>
            </w:tcBorders>
            <w:noWrap w:val="0"/>
            <w:vAlign w:val="center"/>
          </w:tcPr>
          <w:p w14:paraId="1A83A158">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7" w:type="pct"/>
            <w:tcBorders>
              <w:top w:val="single" w:color="auto" w:sz="6" w:space="0"/>
              <w:left w:val="single" w:color="auto" w:sz="6" w:space="0"/>
              <w:bottom w:val="single" w:color="auto" w:sz="6" w:space="0"/>
              <w:right w:val="single" w:color="auto" w:sz="6" w:space="0"/>
            </w:tcBorders>
            <w:noWrap w:val="0"/>
            <w:vAlign w:val="center"/>
          </w:tcPr>
          <w:p w14:paraId="7D6B203D">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343" w:type="pct"/>
            <w:tcBorders>
              <w:top w:val="single" w:color="auto" w:sz="6" w:space="0"/>
              <w:left w:val="single" w:color="auto" w:sz="6" w:space="0"/>
              <w:bottom w:val="single" w:color="auto" w:sz="6" w:space="0"/>
              <w:right w:val="single" w:color="auto" w:sz="6" w:space="0"/>
            </w:tcBorders>
            <w:noWrap w:val="0"/>
            <w:vAlign w:val="center"/>
          </w:tcPr>
          <w:p w14:paraId="1EF5B9E2">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61" w:type="pct"/>
            <w:tcBorders>
              <w:top w:val="single" w:color="auto" w:sz="6" w:space="0"/>
              <w:left w:val="single" w:color="auto" w:sz="6" w:space="0"/>
              <w:bottom w:val="single" w:color="auto" w:sz="6" w:space="0"/>
              <w:right w:val="single" w:color="auto" w:sz="6" w:space="0"/>
            </w:tcBorders>
            <w:noWrap w:val="0"/>
            <w:vAlign w:val="center"/>
          </w:tcPr>
          <w:p w14:paraId="680178A2">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602" w:type="pct"/>
            <w:tcBorders>
              <w:top w:val="single" w:color="auto" w:sz="6" w:space="0"/>
              <w:left w:val="single" w:color="auto" w:sz="6" w:space="0"/>
              <w:bottom w:val="single" w:color="auto" w:sz="6" w:space="0"/>
              <w:right w:val="single" w:color="auto" w:sz="6" w:space="0"/>
            </w:tcBorders>
            <w:noWrap w:val="0"/>
            <w:vAlign w:val="center"/>
          </w:tcPr>
          <w:p w14:paraId="7ADCF709">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565" w:type="pct"/>
            <w:vMerge w:val="restart"/>
            <w:tcBorders>
              <w:top w:val="single" w:color="auto" w:sz="6" w:space="0"/>
              <w:left w:val="single" w:color="auto" w:sz="6" w:space="0"/>
            </w:tcBorders>
            <w:noWrap w:val="0"/>
            <w:vAlign w:val="center"/>
          </w:tcPr>
          <w:p w14:paraId="405C5EAA">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r>
      <w:tr w14:paraId="21132B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vMerge w:val="restart"/>
            <w:tcBorders>
              <w:top w:val="single" w:color="auto" w:sz="6" w:space="0"/>
              <w:right w:val="single" w:color="auto" w:sz="6" w:space="0"/>
            </w:tcBorders>
            <w:noWrap w:val="0"/>
            <w:vAlign w:val="center"/>
          </w:tcPr>
          <w:p w14:paraId="553CC962">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07" w:type="pct"/>
            <w:vMerge w:val="restart"/>
            <w:tcBorders>
              <w:top w:val="single" w:color="auto" w:sz="6" w:space="0"/>
              <w:left w:val="single" w:color="auto" w:sz="6" w:space="0"/>
              <w:right w:val="single" w:color="auto" w:sz="6" w:space="0"/>
            </w:tcBorders>
            <w:noWrap w:val="0"/>
            <w:vAlign w:val="center"/>
          </w:tcPr>
          <w:p w14:paraId="710FF6C8">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343" w:type="pct"/>
            <w:tcBorders>
              <w:top w:val="single" w:color="auto" w:sz="6" w:space="0"/>
              <w:left w:val="single" w:color="auto" w:sz="6" w:space="0"/>
              <w:bottom w:val="single" w:color="auto" w:sz="6" w:space="0"/>
              <w:right w:val="single" w:color="auto" w:sz="6" w:space="0"/>
            </w:tcBorders>
            <w:noWrap w:val="0"/>
            <w:vAlign w:val="center"/>
          </w:tcPr>
          <w:p w14:paraId="136E793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z w:val="21"/>
                <w:szCs w:val="21"/>
                <w:highlight w:val="none"/>
                <w:lang w:eastAsia="zh-CN"/>
              </w:rPr>
              <w:t>（浓度）</w:t>
            </w:r>
          </w:p>
        </w:tc>
        <w:tc>
          <w:tcPr>
            <w:tcW w:w="561" w:type="pct"/>
            <w:tcBorders>
              <w:top w:val="single" w:color="auto" w:sz="6" w:space="0"/>
              <w:left w:val="single" w:color="auto" w:sz="6" w:space="0"/>
              <w:bottom w:val="single" w:color="auto" w:sz="6" w:space="0"/>
              <w:right w:val="single" w:color="auto" w:sz="6" w:space="0"/>
            </w:tcBorders>
            <w:noWrap w:val="0"/>
            <w:vAlign w:val="center"/>
          </w:tcPr>
          <w:p w14:paraId="3900D389">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602" w:type="pct"/>
            <w:tcBorders>
              <w:top w:val="single" w:color="auto" w:sz="6" w:space="0"/>
              <w:left w:val="single" w:color="auto" w:sz="6" w:space="0"/>
              <w:bottom w:val="single" w:color="auto" w:sz="6" w:space="0"/>
              <w:right w:val="single" w:color="auto" w:sz="6" w:space="0"/>
            </w:tcBorders>
            <w:noWrap w:val="0"/>
            <w:vAlign w:val="center"/>
          </w:tcPr>
          <w:p w14:paraId="27B1AC4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1565" w:type="pct"/>
            <w:vMerge w:val="continue"/>
            <w:tcBorders>
              <w:left w:val="single" w:color="auto" w:sz="6" w:space="0"/>
            </w:tcBorders>
            <w:noWrap w:val="0"/>
            <w:vAlign w:val="center"/>
          </w:tcPr>
          <w:p w14:paraId="6C968522">
            <w:pPr>
              <w:spacing w:line="360" w:lineRule="exact"/>
              <w:ind w:firstLine="0" w:firstLineChars="0"/>
              <w:jc w:val="center"/>
              <w:rPr>
                <w:rFonts w:hint="default" w:ascii="Times New Roman" w:hAnsi="Times New Roman" w:eastAsia="宋体" w:cs="Times New Roman"/>
                <w:color w:val="auto"/>
                <w:sz w:val="21"/>
                <w:szCs w:val="21"/>
                <w:highlight w:val="none"/>
              </w:rPr>
            </w:pPr>
          </w:p>
        </w:tc>
      </w:tr>
      <w:tr w14:paraId="597A5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vMerge w:val="continue"/>
            <w:tcBorders>
              <w:right w:val="single" w:color="auto" w:sz="6" w:space="0"/>
            </w:tcBorders>
            <w:noWrap w:val="0"/>
            <w:vAlign w:val="center"/>
          </w:tcPr>
          <w:p w14:paraId="367FBDD1">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507" w:type="pct"/>
            <w:vMerge w:val="continue"/>
            <w:tcBorders>
              <w:left w:val="single" w:color="auto" w:sz="6" w:space="0"/>
              <w:right w:val="single" w:color="auto" w:sz="6" w:space="0"/>
            </w:tcBorders>
            <w:noWrap w:val="0"/>
            <w:vAlign w:val="center"/>
          </w:tcPr>
          <w:p w14:paraId="7A861524">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343" w:type="pct"/>
            <w:tcBorders>
              <w:top w:val="single" w:color="auto" w:sz="6" w:space="0"/>
              <w:left w:val="single" w:color="auto" w:sz="6" w:space="0"/>
              <w:bottom w:val="single" w:color="auto" w:sz="6" w:space="0"/>
              <w:right w:val="single" w:color="auto" w:sz="6" w:space="0"/>
            </w:tcBorders>
            <w:noWrap w:val="0"/>
            <w:vAlign w:val="center"/>
          </w:tcPr>
          <w:p w14:paraId="129E181F">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z w:val="21"/>
                <w:szCs w:val="21"/>
                <w:highlight w:val="none"/>
                <w:lang w:eastAsia="zh-CN"/>
              </w:rPr>
              <w:t>（排放速率）</w:t>
            </w:r>
          </w:p>
        </w:tc>
        <w:tc>
          <w:tcPr>
            <w:tcW w:w="561" w:type="pct"/>
            <w:tcBorders>
              <w:top w:val="single" w:color="auto" w:sz="6" w:space="0"/>
              <w:left w:val="single" w:color="auto" w:sz="6" w:space="0"/>
              <w:bottom w:val="single" w:color="auto" w:sz="6" w:space="0"/>
              <w:right w:val="single" w:color="auto" w:sz="6" w:space="0"/>
            </w:tcBorders>
            <w:noWrap w:val="0"/>
            <w:vAlign w:val="center"/>
          </w:tcPr>
          <w:p w14:paraId="0D2CC58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kg/h</w:t>
            </w:r>
          </w:p>
        </w:tc>
        <w:tc>
          <w:tcPr>
            <w:tcW w:w="602" w:type="pct"/>
            <w:tcBorders>
              <w:top w:val="single" w:color="auto" w:sz="6" w:space="0"/>
              <w:left w:val="single" w:color="auto" w:sz="6" w:space="0"/>
              <w:bottom w:val="single" w:color="auto" w:sz="6" w:space="0"/>
              <w:right w:val="single" w:color="auto" w:sz="6" w:space="0"/>
            </w:tcBorders>
            <w:noWrap w:val="0"/>
            <w:vAlign w:val="center"/>
          </w:tcPr>
          <w:p w14:paraId="3368FE09">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1565" w:type="pct"/>
            <w:vMerge w:val="continue"/>
            <w:tcBorders>
              <w:left w:val="single" w:color="auto" w:sz="6" w:space="0"/>
            </w:tcBorders>
            <w:noWrap w:val="0"/>
            <w:vAlign w:val="center"/>
          </w:tcPr>
          <w:p w14:paraId="500DACB3">
            <w:pPr>
              <w:spacing w:line="360" w:lineRule="exact"/>
              <w:ind w:firstLine="0" w:firstLineChars="0"/>
              <w:jc w:val="center"/>
              <w:rPr>
                <w:rFonts w:hint="default" w:ascii="Times New Roman" w:hAnsi="Times New Roman" w:eastAsia="宋体" w:cs="Times New Roman"/>
                <w:color w:val="auto"/>
                <w:sz w:val="21"/>
                <w:szCs w:val="21"/>
                <w:highlight w:val="none"/>
              </w:rPr>
            </w:pPr>
          </w:p>
        </w:tc>
      </w:tr>
      <w:tr w14:paraId="09A1D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0" w:type="pct"/>
            <w:vMerge w:val="continue"/>
            <w:tcBorders>
              <w:right w:val="single" w:color="auto" w:sz="6" w:space="0"/>
            </w:tcBorders>
            <w:noWrap w:val="0"/>
            <w:vAlign w:val="center"/>
          </w:tcPr>
          <w:p w14:paraId="104C2975">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507" w:type="pct"/>
            <w:vMerge w:val="continue"/>
            <w:tcBorders>
              <w:left w:val="single" w:color="auto" w:sz="6" w:space="0"/>
              <w:right w:val="single" w:color="auto" w:sz="6" w:space="0"/>
            </w:tcBorders>
            <w:noWrap w:val="0"/>
            <w:vAlign w:val="center"/>
          </w:tcPr>
          <w:p w14:paraId="0CB810F6">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343" w:type="pct"/>
            <w:tcBorders>
              <w:top w:val="single" w:color="auto" w:sz="6" w:space="0"/>
              <w:left w:val="single" w:color="auto" w:sz="6" w:space="0"/>
              <w:right w:val="single" w:color="auto" w:sz="6" w:space="0"/>
            </w:tcBorders>
            <w:noWrap w:val="0"/>
            <w:vAlign w:val="center"/>
          </w:tcPr>
          <w:p w14:paraId="304FAAF8">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z w:val="21"/>
                <w:szCs w:val="21"/>
                <w:highlight w:val="none"/>
                <w:lang w:eastAsia="zh-CN"/>
              </w:rPr>
              <w:t>（排气筒高度）</w:t>
            </w:r>
          </w:p>
        </w:tc>
        <w:tc>
          <w:tcPr>
            <w:tcW w:w="561" w:type="pct"/>
            <w:tcBorders>
              <w:top w:val="single" w:color="auto" w:sz="6" w:space="0"/>
              <w:left w:val="single" w:color="auto" w:sz="6" w:space="0"/>
              <w:right w:val="single" w:color="auto" w:sz="6" w:space="0"/>
            </w:tcBorders>
            <w:noWrap w:val="0"/>
            <w:vAlign w:val="center"/>
          </w:tcPr>
          <w:p w14:paraId="407E2A06">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p>
        </w:tc>
        <w:tc>
          <w:tcPr>
            <w:tcW w:w="602" w:type="pct"/>
            <w:tcBorders>
              <w:top w:val="single" w:color="auto" w:sz="6" w:space="0"/>
              <w:left w:val="single" w:color="auto" w:sz="6" w:space="0"/>
              <w:right w:val="single" w:color="auto" w:sz="6" w:space="0"/>
            </w:tcBorders>
            <w:noWrap w:val="0"/>
            <w:vAlign w:val="center"/>
          </w:tcPr>
          <w:p w14:paraId="4045E648">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565" w:type="pct"/>
            <w:vMerge w:val="continue"/>
            <w:tcBorders>
              <w:left w:val="single" w:color="auto" w:sz="6" w:space="0"/>
            </w:tcBorders>
            <w:noWrap w:val="0"/>
            <w:vAlign w:val="center"/>
          </w:tcPr>
          <w:p w14:paraId="25622BE8">
            <w:pPr>
              <w:spacing w:line="360" w:lineRule="exact"/>
              <w:ind w:firstLine="0" w:firstLineChars="0"/>
              <w:jc w:val="center"/>
              <w:rPr>
                <w:rFonts w:hint="default" w:ascii="Times New Roman" w:hAnsi="Times New Roman" w:eastAsia="宋体" w:cs="Times New Roman"/>
                <w:color w:val="auto"/>
                <w:sz w:val="21"/>
                <w:szCs w:val="21"/>
                <w:highlight w:val="none"/>
              </w:rPr>
            </w:pPr>
          </w:p>
        </w:tc>
      </w:tr>
    </w:tbl>
    <w:p w14:paraId="51B429A8">
      <w:pPr>
        <w:overflowPunct w:val="0"/>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（2）废水</w:t>
      </w:r>
    </w:p>
    <w:p w14:paraId="05E4150A">
      <w:pPr>
        <w:pStyle w:val="11"/>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选矿废水</w:t>
      </w:r>
      <w:r>
        <w:rPr>
          <w:rFonts w:hint="default" w:ascii="Times New Roman" w:hAnsi="Times New Roman" w:cs="Times New Roman"/>
          <w:color w:val="auto"/>
          <w:highlight w:val="none"/>
          <w:lang w:eastAsia="zh-CN"/>
        </w:rPr>
        <w:t>及尾矿回水</w:t>
      </w:r>
      <w:r>
        <w:rPr>
          <w:rFonts w:hint="default" w:ascii="Times New Roman" w:hAnsi="Times New Roman" w:cs="Times New Roman"/>
          <w:color w:val="auto"/>
          <w:highlight w:val="none"/>
        </w:rPr>
        <w:t>返回选矿工艺重复利用，</w:t>
      </w:r>
      <w:r>
        <w:rPr>
          <w:rFonts w:hint="default" w:ascii="Times New Roman" w:hAnsi="Times New Roman" w:cs="Times New Roman"/>
          <w:color w:val="auto"/>
          <w:highlight w:val="none"/>
          <w:lang w:val="en-US" w:eastAsia="zh-CN"/>
        </w:rPr>
        <w:t>经</w:t>
      </w:r>
      <w:r>
        <w:rPr>
          <w:rFonts w:hint="default" w:ascii="Times New Roman" w:hAnsi="Times New Roman" w:cs="Times New Roman"/>
          <w:color w:val="auto"/>
          <w:sz w:val="24"/>
          <w:szCs w:val="24"/>
          <w:highlight w:val="none"/>
          <w:lang w:val="en-US" w:eastAsia="zh-CN"/>
        </w:rPr>
        <w:t>沉淀处理后满足《污水综合排放标准》（GB8978-1996）表1第一类污染物最高允许排放浓度限值</w:t>
      </w:r>
      <w:r>
        <w:rPr>
          <w:rFonts w:hint="default" w:ascii="Times New Roman" w:hAnsi="Times New Roman" w:cs="Times New Roman"/>
          <w:color w:val="auto"/>
          <w:highlight w:val="none"/>
        </w:rPr>
        <w:t>；非正常工况下，选矿水溢出，立即停止生产，溢出水排入车间排水沟，最终由车间回水泵排入防渗循环水池，保证不外排；环评要求生活污水采用地埋式一体化污水处理设备处理，经处理满足《农村生活污水处理排放标准》（DB65 4275-2019）表2规定的A级排放限值以及《城市污水再生利用 城市杂用水水质》（GB/T18920-2020）中的城市绿化、道路清扫、消防、建筑施工限值后，用于选矿生产工序循环利用及绿化，不外排。主要污染物标准浓度限值见表2.5-</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，2.5-</w:t>
      </w:r>
      <w:r>
        <w:rPr>
          <w:rFonts w:hint="default" w:ascii="Times New Roman" w:hAnsi="Times New Roman" w:cs="Times New Roman"/>
          <w:color w:val="auto"/>
          <w:highlight w:val="none"/>
          <w:lang w:val="en-US" w:eastAsia="zh-CN"/>
        </w:rPr>
        <w:t>8及2.5-9</w:t>
      </w:r>
      <w:r>
        <w:rPr>
          <w:rFonts w:hint="default" w:ascii="Times New Roman" w:hAnsi="Times New Roman" w:cs="Times New Roman"/>
          <w:color w:val="auto"/>
          <w:highlight w:val="none"/>
        </w:rPr>
        <w:t>。</w:t>
      </w:r>
    </w:p>
    <w:p w14:paraId="5AB5D211">
      <w:pPr>
        <w:pStyle w:val="11"/>
        <w:spacing w:after="0"/>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表2.5-</w:t>
      </w: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val="en-US" w:eastAsia="zh-CN"/>
        </w:rPr>
        <w:t>选矿工艺水</w:t>
      </w:r>
      <w:r>
        <w:rPr>
          <w:rFonts w:hint="default" w:ascii="Times New Roman" w:hAnsi="Times New Roman" w:cs="Times New Roman"/>
          <w:b/>
          <w:color w:val="auto"/>
          <w:highlight w:val="none"/>
        </w:rPr>
        <w:t>污染物排放标准</w:t>
      </w:r>
      <w:r>
        <w:rPr>
          <w:rFonts w:hint="default" w:ascii="Times New Roman" w:hAnsi="Times New Roman" w:cs="Times New Roman"/>
          <w:b/>
          <w:bCs/>
          <w:color w:val="auto"/>
          <w:highlight w:val="none"/>
        </w:rPr>
        <w:t xml:space="preserve">  </w:t>
      </w:r>
      <w:r>
        <w:rPr>
          <w:rFonts w:hint="default" w:ascii="Times New Roman" w:hAnsi="Times New Roman" w:cs="Times New Roman"/>
          <w:b/>
          <w:color w:val="auto"/>
          <w:highlight w:val="none"/>
        </w:rPr>
        <w:t xml:space="preserve">  单位mg/L（pH除外）</w:t>
      </w:r>
    </w:p>
    <w:tbl>
      <w:tblPr>
        <w:tblStyle w:val="33"/>
        <w:tblW w:w="505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65"/>
        <w:gridCol w:w="1458"/>
        <w:gridCol w:w="1616"/>
        <w:gridCol w:w="4082"/>
        <w:gridCol w:w="902"/>
      </w:tblGrid>
      <w:tr w14:paraId="4AB5C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216" w:type="pct"/>
            <w:noWrap w:val="0"/>
            <w:vAlign w:val="center"/>
          </w:tcPr>
          <w:p w14:paraId="5077CE73">
            <w:pPr>
              <w:overflowPunct w:val="0"/>
              <w:spacing w:line="360" w:lineRule="exact"/>
              <w:ind w:firstLine="0" w:firstLineChars="0"/>
              <w:jc w:val="center"/>
              <w:rPr>
                <w:rFonts w:hint="default" w:ascii="Times New Roman" w:hAnsi="Times New Roman" w:cs="Times New Roman"/>
                <w:b/>
                <w:bCs/>
                <w:color w:val="auto"/>
                <w:kern w:val="18"/>
                <w:sz w:val="21"/>
                <w:highlight w:val="none"/>
              </w:rPr>
            </w:pPr>
            <w:r>
              <w:rPr>
                <w:rFonts w:hint="default" w:ascii="Times New Roman" w:hAnsi="Times New Roman" w:cs="Times New Roman"/>
                <w:b/>
                <w:bCs/>
                <w:color w:val="auto"/>
                <w:kern w:val="18"/>
                <w:sz w:val="21"/>
                <w:highlight w:val="none"/>
              </w:rPr>
              <w:t>序号</w:t>
            </w:r>
          </w:p>
        </w:tc>
        <w:tc>
          <w:tcPr>
            <w:tcW w:w="865" w:type="pct"/>
            <w:noWrap w:val="0"/>
            <w:vAlign w:val="center"/>
          </w:tcPr>
          <w:p w14:paraId="0E987904">
            <w:pPr>
              <w:overflowPunct w:val="0"/>
              <w:spacing w:line="360" w:lineRule="exact"/>
              <w:ind w:firstLine="0" w:firstLineChars="0"/>
              <w:jc w:val="center"/>
              <w:rPr>
                <w:rFonts w:hint="default" w:ascii="Times New Roman" w:hAnsi="Times New Roman" w:cs="Times New Roman"/>
                <w:b/>
                <w:bCs/>
                <w:color w:val="auto"/>
                <w:kern w:val="18"/>
                <w:sz w:val="21"/>
                <w:highlight w:val="none"/>
              </w:rPr>
            </w:pPr>
            <w:r>
              <w:rPr>
                <w:rFonts w:hint="default" w:ascii="Times New Roman" w:hAnsi="Times New Roman" w:cs="Times New Roman"/>
                <w:b/>
                <w:bCs/>
                <w:color w:val="auto"/>
                <w:kern w:val="18"/>
                <w:sz w:val="21"/>
                <w:highlight w:val="none"/>
              </w:rPr>
              <w:t>项目</w:t>
            </w:r>
          </w:p>
        </w:tc>
        <w:tc>
          <w:tcPr>
            <w:tcW w:w="959" w:type="pct"/>
            <w:noWrap w:val="0"/>
            <w:vAlign w:val="center"/>
          </w:tcPr>
          <w:p w14:paraId="0F5763B4">
            <w:pPr>
              <w:overflowPunct w:val="0"/>
              <w:spacing w:line="360" w:lineRule="exact"/>
              <w:ind w:firstLine="0" w:firstLineChars="0"/>
              <w:jc w:val="center"/>
              <w:rPr>
                <w:rFonts w:hint="default" w:ascii="Times New Roman" w:hAnsi="Times New Roman" w:eastAsia="宋体" w:cs="Times New Roman"/>
                <w:b/>
                <w:bCs/>
                <w:color w:val="auto"/>
                <w:kern w:val="18"/>
                <w:sz w:val="21"/>
                <w:highlight w:val="none"/>
                <w:lang w:eastAsia="zh-CN"/>
              </w:rPr>
            </w:pPr>
            <w:r>
              <w:rPr>
                <w:rFonts w:hint="default" w:ascii="Times New Roman" w:hAnsi="Times New Roman" w:cs="Times New Roman"/>
                <w:b/>
                <w:bCs/>
                <w:color w:val="auto"/>
                <w:kern w:val="18"/>
                <w:sz w:val="21"/>
                <w:highlight w:val="none"/>
                <w:lang w:eastAsia="zh-CN"/>
              </w:rPr>
              <w:t>标准限值</w:t>
            </w:r>
          </w:p>
        </w:tc>
        <w:tc>
          <w:tcPr>
            <w:tcW w:w="2422" w:type="pct"/>
            <w:noWrap w:val="0"/>
            <w:vAlign w:val="center"/>
          </w:tcPr>
          <w:p w14:paraId="3785D6AC">
            <w:pPr>
              <w:overflowPunct w:val="0"/>
              <w:spacing w:line="360" w:lineRule="exact"/>
              <w:ind w:firstLine="0" w:firstLineChars="0"/>
              <w:jc w:val="center"/>
              <w:rPr>
                <w:rFonts w:hint="default" w:ascii="Times New Roman" w:hAnsi="Times New Roman" w:eastAsia="宋体" w:cs="Times New Roman"/>
                <w:b/>
                <w:bCs/>
                <w:color w:val="auto"/>
                <w:kern w:val="18"/>
                <w:sz w:val="21"/>
                <w:highlight w:val="none"/>
                <w:lang w:eastAsia="zh-CN"/>
              </w:rPr>
            </w:pPr>
            <w:r>
              <w:rPr>
                <w:rFonts w:hint="default" w:ascii="Times New Roman" w:hAnsi="Times New Roman" w:cs="Times New Roman"/>
                <w:b/>
                <w:bCs/>
                <w:color w:val="auto"/>
                <w:kern w:val="18"/>
                <w:sz w:val="21"/>
                <w:highlight w:val="none"/>
                <w:lang w:eastAsia="zh-CN"/>
              </w:rPr>
              <w:t>标准</w:t>
            </w:r>
          </w:p>
        </w:tc>
        <w:tc>
          <w:tcPr>
            <w:tcW w:w="535" w:type="pct"/>
            <w:noWrap w:val="0"/>
            <w:vAlign w:val="center"/>
          </w:tcPr>
          <w:p w14:paraId="039F4CE7">
            <w:pPr>
              <w:overflowPunct w:val="0"/>
              <w:spacing w:line="360" w:lineRule="exact"/>
              <w:ind w:firstLine="0" w:firstLineChars="0"/>
              <w:jc w:val="center"/>
              <w:rPr>
                <w:rFonts w:hint="default" w:ascii="Times New Roman" w:hAnsi="Times New Roman" w:cs="Times New Roman"/>
                <w:b/>
                <w:bCs/>
                <w:color w:val="auto"/>
                <w:kern w:val="18"/>
                <w:sz w:val="21"/>
                <w:highlight w:val="none"/>
                <w:lang w:eastAsia="zh-CN"/>
              </w:rPr>
            </w:pPr>
            <w:r>
              <w:rPr>
                <w:rFonts w:hint="default" w:ascii="Times New Roman" w:hAnsi="Times New Roman" w:cs="Times New Roman"/>
                <w:b/>
                <w:bCs/>
                <w:color w:val="auto"/>
                <w:kern w:val="18"/>
                <w:sz w:val="21"/>
                <w:highlight w:val="none"/>
                <w:lang w:eastAsia="zh-CN"/>
              </w:rPr>
              <w:t>污染源</w:t>
            </w:r>
          </w:p>
        </w:tc>
      </w:tr>
      <w:tr w14:paraId="6E263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7D3FBB18">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1</w:t>
            </w:r>
          </w:p>
        </w:tc>
        <w:tc>
          <w:tcPr>
            <w:tcW w:w="865" w:type="pct"/>
            <w:noWrap w:val="0"/>
            <w:vAlign w:val="center"/>
          </w:tcPr>
          <w:p w14:paraId="68A996F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总汞</w:t>
            </w:r>
          </w:p>
        </w:tc>
        <w:tc>
          <w:tcPr>
            <w:tcW w:w="959" w:type="pct"/>
            <w:noWrap w:val="0"/>
            <w:vAlign w:val="center"/>
          </w:tcPr>
          <w:p w14:paraId="2B83BEE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0.05</w:t>
            </w:r>
          </w:p>
        </w:tc>
        <w:tc>
          <w:tcPr>
            <w:tcW w:w="2422" w:type="pct"/>
            <w:vMerge w:val="restart"/>
            <w:noWrap w:val="0"/>
            <w:vAlign w:val="center"/>
          </w:tcPr>
          <w:p w14:paraId="47E65A7E">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eastAsia="宋体" w:cs="Times New Roman"/>
                <w:b w:val="0"/>
                <w:bCs/>
                <w:color w:val="auto"/>
                <w:sz w:val="21"/>
                <w:szCs w:val="21"/>
                <w:highlight w:val="none"/>
                <w:lang w:val="en-US" w:eastAsia="zh-CN"/>
              </w:rPr>
              <w:t>《污水综合排放标准》（GB8978-1996）表1第一类污染物最高允许排放浓度限值</w:t>
            </w:r>
          </w:p>
        </w:tc>
        <w:tc>
          <w:tcPr>
            <w:tcW w:w="535" w:type="pct"/>
            <w:vMerge w:val="restart"/>
            <w:noWrap w:val="0"/>
            <w:vAlign w:val="center"/>
          </w:tcPr>
          <w:p w14:paraId="7EC6E33E">
            <w:pPr>
              <w:overflowPunct w:val="0"/>
              <w:spacing w:line="360" w:lineRule="exact"/>
              <w:ind w:firstLine="0" w:firstLineChars="0"/>
              <w:jc w:val="center"/>
              <w:rPr>
                <w:rFonts w:hint="default" w:ascii="Times New Roman" w:hAnsi="Times New Roman" w:eastAsia="宋体" w:cs="Times New Roman"/>
                <w:color w:val="auto"/>
                <w:kern w:val="18"/>
                <w:sz w:val="21"/>
                <w:highlight w:val="none"/>
                <w:lang w:eastAsia="zh-CN"/>
              </w:rPr>
            </w:pPr>
            <w:r>
              <w:rPr>
                <w:rFonts w:hint="default" w:ascii="Times New Roman" w:hAnsi="Times New Roman" w:cs="Times New Roman"/>
                <w:color w:val="auto"/>
                <w:kern w:val="18"/>
                <w:sz w:val="21"/>
                <w:highlight w:val="none"/>
                <w:lang w:eastAsia="zh-CN"/>
              </w:rPr>
              <w:t>选矿生产废水</w:t>
            </w:r>
          </w:p>
        </w:tc>
      </w:tr>
      <w:tr w14:paraId="087562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2C1DB455">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2</w:t>
            </w:r>
          </w:p>
        </w:tc>
        <w:tc>
          <w:tcPr>
            <w:tcW w:w="865" w:type="pct"/>
            <w:noWrap w:val="0"/>
            <w:vAlign w:val="center"/>
          </w:tcPr>
          <w:p w14:paraId="647FF14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烷基汞</w:t>
            </w:r>
          </w:p>
        </w:tc>
        <w:tc>
          <w:tcPr>
            <w:tcW w:w="959" w:type="pct"/>
            <w:noWrap w:val="0"/>
            <w:vAlign w:val="center"/>
          </w:tcPr>
          <w:p w14:paraId="104B2E5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不得检出</w:t>
            </w:r>
          </w:p>
        </w:tc>
        <w:tc>
          <w:tcPr>
            <w:tcW w:w="2422" w:type="pct"/>
            <w:vMerge w:val="continue"/>
            <w:noWrap w:val="0"/>
            <w:vAlign w:val="center"/>
          </w:tcPr>
          <w:p w14:paraId="34F08AA8">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3CC5168A">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59ECC9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5BCB56CE">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3</w:t>
            </w:r>
          </w:p>
        </w:tc>
        <w:tc>
          <w:tcPr>
            <w:tcW w:w="865" w:type="pct"/>
            <w:noWrap w:val="0"/>
            <w:vAlign w:val="center"/>
          </w:tcPr>
          <w:p w14:paraId="2FC990C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总镉</w:t>
            </w:r>
          </w:p>
        </w:tc>
        <w:tc>
          <w:tcPr>
            <w:tcW w:w="959" w:type="pct"/>
            <w:noWrap w:val="0"/>
            <w:vAlign w:val="center"/>
          </w:tcPr>
          <w:p w14:paraId="6657E73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0.1</w:t>
            </w:r>
          </w:p>
        </w:tc>
        <w:tc>
          <w:tcPr>
            <w:tcW w:w="2422" w:type="pct"/>
            <w:vMerge w:val="continue"/>
            <w:noWrap w:val="0"/>
            <w:vAlign w:val="center"/>
          </w:tcPr>
          <w:p w14:paraId="7A944C59">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3E3BA1FA">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7F4017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53EA109F">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4</w:t>
            </w:r>
          </w:p>
        </w:tc>
        <w:tc>
          <w:tcPr>
            <w:tcW w:w="865" w:type="pct"/>
            <w:noWrap w:val="0"/>
            <w:vAlign w:val="center"/>
          </w:tcPr>
          <w:p w14:paraId="7C2DEAA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总铬</w:t>
            </w:r>
          </w:p>
        </w:tc>
        <w:tc>
          <w:tcPr>
            <w:tcW w:w="959" w:type="pct"/>
            <w:noWrap w:val="0"/>
            <w:vAlign w:val="center"/>
          </w:tcPr>
          <w:p w14:paraId="66838E6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1.5</w:t>
            </w:r>
          </w:p>
        </w:tc>
        <w:tc>
          <w:tcPr>
            <w:tcW w:w="2422" w:type="pct"/>
            <w:vMerge w:val="continue"/>
            <w:noWrap w:val="0"/>
            <w:vAlign w:val="center"/>
          </w:tcPr>
          <w:p w14:paraId="11E2F802">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0C214139">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0CAE1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1532891F">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5</w:t>
            </w:r>
          </w:p>
        </w:tc>
        <w:tc>
          <w:tcPr>
            <w:tcW w:w="865" w:type="pct"/>
            <w:noWrap w:val="0"/>
            <w:vAlign w:val="center"/>
          </w:tcPr>
          <w:p w14:paraId="78CB99F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六价铬</w:t>
            </w:r>
          </w:p>
        </w:tc>
        <w:tc>
          <w:tcPr>
            <w:tcW w:w="959" w:type="pct"/>
            <w:noWrap w:val="0"/>
            <w:vAlign w:val="center"/>
          </w:tcPr>
          <w:p w14:paraId="1781C07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0.5</w:t>
            </w:r>
          </w:p>
        </w:tc>
        <w:tc>
          <w:tcPr>
            <w:tcW w:w="2422" w:type="pct"/>
            <w:vMerge w:val="continue"/>
            <w:noWrap w:val="0"/>
            <w:vAlign w:val="center"/>
          </w:tcPr>
          <w:p w14:paraId="5C2FB738">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1400D9B3">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2E59E1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4EF6794A">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6</w:t>
            </w:r>
          </w:p>
        </w:tc>
        <w:tc>
          <w:tcPr>
            <w:tcW w:w="865" w:type="pct"/>
            <w:noWrap w:val="0"/>
            <w:vAlign w:val="center"/>
          </w:tcPr>
          <w:p w14:paraId="3B1229E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总砷</w:t>
            </w:r>
          </w:p>
        </w:tc>
        <w:tc>
          <w:tcPr>
            <w:tcW w:w="959" w:type="pct"/>
            <w:noWrap w:val="0"/>
            <w:vAlign w:val="center"/>
          </w:tcPr>
          <w:p w14:paraId="21D9A96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0.5</w:t>
            </w:r>
          </w:p>
        </w:tc>
        <w:tc>
          <w:tcPr>
            <w:tcW w:w="2422" w:type="pct"/>
            <w:vMerge w:val="continue"/>
            <w:noWrap w:val="0"/>
            <w:vAlign w:val="center"/>
          </w:tcPr>
          <w:p w14:paraId="2137908F">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42BCDED4">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6575B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613F1C18">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7</w:t>
            </w:r>
          </w:p>
        </w:tc>
        <w:tc>
          <w:tcPr>
            <w:tcW w:w="865" w:type="pct"/>
            <w:noWrap w:val="0"/>
            <w:vAlign w:val="center"/>
          </w:tcPr>
          <w:p w14:paraId="587DA69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总铅</w:t>
            </w:r>
          </w:p>
        </w:tc>
        <w:tc>
          <w:tcPr>
            <w:tcW w:w="959" w:type="pct"/>
            <w:noWrap w:val="0"/>
            <w:vAlign w:val="center"/>
          </w:tcPr>
          <w:p w14:paraId="058BE62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1.0</w:t>
            </w:r>
          </w:p>
        </w:tc>
        <w:tc>
          <w:tcPr>
            <w:tcW w:w="2422" w:type="pct"/>
            <w:vMerge w:val="continue"/>
            <w:noWrap w:val="0"/>
            <w:vAlign w:val="center"/>
          </w:tcPr>
          <w:p w14:paraId="09976F22">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09C2A0AE">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3D22BE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6FA57B3C">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8</w:t>
            </w:r>
          </w:p>
        </w:tc>
        <w:tc>
          <w:tcPr>
            <w:tcW w:w="865" w:type="pct"/>
            <w:noWrap w:val="0"/>
            <w:vAlign w:val="center"/>
          </w:tcPr>
          <w:p w14:paraId="065C442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总镍</w:t>
            </w:r>
          </w:p>
        </w:tc>
        <w:tc>
          <w:tcPr>
            <w:tcW w:w="959" w:type="pct"/>
            <w:noWrap w:val="0"/>
            <w:vAlign w:val="center"/>
          </w:tcPr>
          <w:p w14:paraId="334C985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1.0</w:t>
            </w:r>
          </w:p>
        </w:tc>
        <w:tc>
          <w:tcPr>
            <w:tcW w:w="2422" w:type="pct"/>
            <w:vMerge w:val="continue"/>
            <w:noWrap w:val="0"/>
            <w:vAlign w:val="center"/>
          </w:tcPr>
          <w:p w14:paraId="6208239A">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239E3F2A">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1B240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28653BD4">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9</w:t>
            </w:r>
          </w:p>
        </w:tc>
        <w:tc>
          <w:tcPr>
            <w:tcW w:w="865" w:type="pct"/>
            <w:noWrap w:val="0"/>
            <w:vAlign w:val="center"/>
          </w:tcPr>
          <w:p w14:paraId="3F1FE12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苯并（α）芘</w:t>
            </w:r>
          </w:p>
        </w:tc>
        <w:tc>
          <w:tcPr>
            <w:tcW w:w="959" w:type="pct"/>
            <w:noWrap w:val="0"/>
            <w:vAlign w:val="center"/>
          </w:tcPr>
          <w:p w14:paraId="60B5ADA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0.00003</w:t>
            </w:r>
          </w:p>
        </w:tc>
        <w:tc>
          <w:tcPr>
            <w:tcW w:w="2422" w:type="pct"/>
            <w:vMerge w:val="continue"/>
            <w:noWrap w:val="0"/>
            <w:vAlign w:val="center"/>
          </w:tcPr>
          <w:p w14:paraId="4F92A57A">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7D2A0664">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3CBA1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33E40F65">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10</w:t>
            </w:r>
          </w:p>
        </w:tc>
        <w:tc>
          <w:tcPr>
            <w:tcW w:w="865" w:type="pct"/>
            <w:noWrap w:val="0"/>
            <w:vAlign w:val="center"/>
          </w:tcPr>
          <w:p w14:paraId="2E787EE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总铍</w:t>
            </w:r>
          </w:p>
        </w:tc>
        <w:tc>
          <w:tcPr>
            <w:tcW w:w="959" w:type="pct"/>
            <w:noWrap w:val="0"/>
            <w:vAlign w:val="center"/>
          </w:tcPr>
          <w:p w14:paraId="60C9794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0.005</w:t>
            </w:r>
          </w:p>
        </w:tc>
        <w:tc>
          <w:tcPr>
            <w:tcW w:w="2422" w:type="pct"/>
            <w:vMerge w:val="continue"/>
            <w:noWrap w:val="0"/>
            <w:vAlign w:val="center"/>
          </w:tcPr>
          <w:p w14:paraId="2925072F">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463ACB1F">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r w14:paraId="08A6D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16" w:type="pct"/>
            <w:noWrap w:val="0"/>
            <w:vAlign w:val="center"/>
          </w:tcPr>
          <w:p w14:paraId="30454C39">
            <w:pPr>
              <w:overflowPunct w:val="0"/>
              <w:spacing w:line="360" w:lineRule="exact"/>
              <w:ind w:firstLine="0" w:firstLineChars="0"/>
              <w:jc w:val="center"/>
              <w:rPr>
                <w:rFonts w:hint="default" w:ascii="Times New Roman" w:hAnsi="Times New Roman" w:cs="Times New Roman"/>
                <w:color w:val="auto"/>
                <w:kern w:val="18"/>
                <w:sz w:val="21"/>
                <w:highlight w:val="none"/>
              </w:rPr>
            </w:pPr>
            <w:r>
              <w:rPr>
                <w:rFonts w:hint="default" w:ascii="Times New Roman" w:hAnsi="Times New Roman" w:cs="Times New Roman"/>
                <w:color w:val="auto"/>
                <w:kern w:val="18"/>
                <w:sz w:val="21"/>
                <w:highlight w:val="none"/>
              </w:rPr>
              <w:t>11</w:t>
            </w:r>
          </w:p>
        </w:tc>
        <w:tc>
          <w:tcPr>
            <w:tcW w:w="865" w:type="pct"/>
            <w:noWrap w:val="0"/>
            <w:vAlign w:val="center"/>
          </w:tcPr>
          <w:p w14:paraId="7C67384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总银</w:t>
            </w:r>
          </w:p>
        </w:tc>
        <w:tc>
          <w:tcPr>
            <w:tcW w:w="959" w:type="pct"/>
            <w:noWrap w:val="0"/>
            <w:vAlign w:val="center"/>
          </w:tcPr>
          <w:p w14:paraId="2780509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0.5</w:t>
            </w:r>
          </w:p>
        </w:tc>
        <w:tc>
          <w:tcPr>
            <w:tcW w:w="2422" w:type="pct"/>
            <w:vMerge w:val="continue"/>
            <w:noWrap w:val="0"/>
            <w:vAlign w:val="center"/>
          </w:tcPr>
          <w:p w14:paraId="4DFF5E64">
            <w:pPr>
              <w:overflowPunct w:val="0"/>
              <w:spacing w:line="360" w:lineRule="exact"/>
              <w:ind w:firstLine="0" w:firstLineChars="0"/>
              <w:jc w:val="center"/>
              <w:rPr>
                <w:rFonts w:hint="default" w:ascii="Times New Roman" w:hAnsi="Times New Roman" w:cs="Times New Roman"/>
                <w:color w:val="auto"/>
                <w:kern w:val="18"/>
                <w:sz w:val="21"/>
                <w:highlight w:val="none"/>
              </w:rPr>
            </w:pPr>
          </w:p>
        </w:tc>
        <w:tc>
          <w:tcPr>
            <w:tcW w:w="535" w:type="pct"/>
            <w:vMerge w:val="continue"/>
            <w:noWrap w:val="0"/>
            <w:vAlign w:val="center"/>
          </w:tcPr>
          <w:p w14:paraId="6AFEDECC">
            <w:pPr>
              <w:overflowPunct w:val="0"/>
              <w:spacing w:line="360" w:lineRule="exact"/>
              <w:ind w:firstLine="0" w:firstLineChars="0"/>
              <w:jc w:val="center"/>
              <w:rPr>
                <w:rFonts w:hint="default" w:ascii="Times New Roman" w:hAnsi="Times New Roman" w:cs="Times New Roman"/>
                <w:color w:val="auto"/>
                <w:kern w:val="18"/>
                <w:sz w:val="21"/>
                <w:highlight w:val="none"/>
              </w:rPr>
            </w:pPr>
          </w:p>
        </w:tc>
      </w:tr>
    </w:tbl>
    <w:p w14:paraId="64A04101">
      <w:pPr>
        <w:pStyle w:val="11"/>
        <w:spacing w:after="0"/>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表2.5-</w:t>
      </w:r>
      <w:r>
        <w:rPr>
          <w:rFonts w:hint="default" w:ascii="Times New Roman" w:hAnsi="Times New Roman" w:cs="Times New Roman"/>
          <w:b/>
          <w:color w:val="auto"/>
          <w:highlight w:val="none"/>
          <w:lang w:val="en-US" w:eastAsia="zh-CN"/>
        </w:rPr>
        <w:t>8</w:t>
      </w:r>
      <w:r>
        <w:rPr>
          <w:rFonts w:hint="default" w:ascii="Times New Roman" w:hAnsi="Times New Roman" w:cs="Times New Roman"/>
          <w:b/>
          <w:color w:val="auto"/>
          <w:highlight w:val="none"/>
        </w:rPr>
        <w:t xml:space="preserve">    《农村生活污水处理排放标准》</w:t>
      </w:r>
      <w:r>
        <w:rPr>
          <w:rFonts w:hint="default" w:ascii="Times New Roman" w:hAnsi="Times New Roman" w:cs="Times New Roman"/>
          <w:b/>
          <w:bCs/>
          <w:color w:val="auto"/>
          <w:highlight w:val="none"/>
        </w:rPr>
        <w:t xml:space="preserve">  </w:t>
      </w:r>
      <w:r>
        <w:rPr>
          <w:rFonts w:hint="default" w:ascii="Times New Roman" w:hAnsi="Times New Roman" w:cs="Times New Roman"/>
          <w:b/>
          <w:color w:val="auto"/>
          <w:highlight w:val="none"/>
        </w:rPr>
        <w:t xml:space="preserve">  单位mg/L（pH除外）</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045"/>
        <w:gridCol w:w="858"/>
        <w:gridCol w:w="855"/>
        <w:gridCol w:w="5203"/>
      </w:tblGrid>
      <w:tr w14:paraId="1106E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29" w:type="pct"/>
            <w:vAlign w:val="center"/>
          </w:tcPr>
          <w:p w14:paraId="0248FD66">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kern w:val="0"/>
                <w:sz w:val="21"/>
                <w:szCs w:val="21"/>
                <w:highlight w:val="none"/>
                <w:lang w:val="zh-CN"/>
              </w:rPr>
              <w:t>序号</w:t>
            </w:r>
          </w:p>
        </w:tc>
        <w:tc>
          <w:tcPr>
            <w:tcW w:w="613" w:type="pct"/>
            <w:vAlign w:val="center"/>
          </w:tcPr>
          <w:p w14:paraId="2EBD8264">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kern w:val="0"/>
                <w:sz w:val="21"/>
                <w:szCs w:val="21"/>
                <w:highlight w:val="none"/>
                <w:lang w:val="zh-CN"/>
              </w:rPr>
              <w:t>出水水质</w:t>
            </w:r>
          </w:p>
        </w:tc>
        <w:tc>
          <w:tcPr>
            <w:tcW w:w="503" w:type="pct"/>
            <w:vAlign w:val="center"/>
          </w:tcPr>
          <w:p w14:paraId="5C50E81D">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kern w:val="0"/>
                <w:sz w:val="21"/>
                <w:szCs w:val="21"/>
                <w:highlight w:val="none"/>
                <w:lang w:val="zh-CN"/>
              </w:rPr>
              <w:t>单位</w:t>
            </w:r>
          </w:p>
        </w:tc>
        <w:tc>
          <w:tcPr>
            <w:tcW w:w="501" w:type="pct"/>
            <w:vAlign w:val="center"/>
          </w:tcPr>
          <w:p w14:paraId="6B3ADE59">
            <w:pPr>
              <w:spacing w:line="360" w:lineRule="atLeas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限值</w:t>
            </w:r>
          </w:p>
        </w:tc>
        <w:tc>
          <w:tcPr>
            <w:tcW w:w="3051" w:type="pct"/>
            <w:vAlign w:val="center"/>
          </w:tcPr>
          <w:p w14:paraId="62E8A3AD">
            <w:pPr>
              <w:spacing w:line="360" w:lineRule="atLeas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标准来源</w:t>
            </w:r>
          </w:p>
        </w:tc>
      </w:tr>
      <w:tr w14:paraId="71BCC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 w:type="pct"/>
            <w:vAlign w:val="center"/>
          </w:tcPr>
          <w:p w14:paraId="7B57F898">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13" w:type="pct"/>
            <w:vAlign w:val="center"/>
          </w:tcPr>
          <w:p w14:paraId="14939698">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503" w:type="pct"/>
            <w:vAlign w:val="center"/>
          </w:tcPr>
          <w:p w14:paraId="5CC563EE">
            <w:pPr>
              <w:spacing w:line="360" w:lineRule="atLeast"/>
              <w:ind w:firstLine="0" w:firstLineChars="0"/>
              <w:jc w:val="center"/>
              <w:rPr>
                <w:rFonts w:hint="default" w:ascii="Times New Roman" w:hAnsi="Times New Roman" w:cs="Times New Roman"/>
                <w:color w:val="auto"/>
                <w:kern w:val="0"/>
                <w:sz w:val="21"/>
                <w:szCs w:val="21"/>
                <w:highlight w:val="none"/>
                <w:lang w:val="zh-CN"/>
              </w:rPr>
            </w:pPr>
            <w:r>
              <w:rPr>
                <w:rFonts w:hint="default" w:ascii="Times New Roman" w:hAnsi="Times New Roman" w:cs="Times New Roman"/>
                <w:color w:val="auto"/>
                <w:kern w:val="0"/>
                <w:sz w:val="21"/>
                <w:szCs w:val="21"/>
                <w:highlight w:val="none"/>
                <w:lang w:val="zh-CN"/>
              </w:rPr>
              <w:t>/</w:t>
            </w:r>
          </w:p>
        </w:tc>
        <w:tc>
          <w:tcPr>
            <w:tcW w:w="501" w:type="pct"/>
            <w:vAlign w:val="center"/>
          </w:tcPr>
          <w:p w14:paraId="146729E0">
            <w:pPr>
              <w:spacing w:line="360" w:lineRule="atLeast"/>
              <w:ind w:firstLine="0" w:firstLineChars="0"/>
              <w:jc w:val="center"/>
              <w:rPr>
                <w:rFonts w:hint="default" w:ascii="Times New Roman" w:hAnsi="Times New Roman" w:cs="Times New Roman"/>
                <w:color w:val="auto"/>
                <w:kern w:val="0"/>
                <w:sz w:val="21"/>
                <w:szCs w:val="21"/>
                <w:highlight w:val="none"/>
                <w:lang w:val="zh-CN"/>
              </w:rPr>
            </w:pPr>
            <w:r>
              <w:rPr>
                <w:rFonts w:hint="default" w:ascii="Times New Roman" w:hAnsi="Times New Roman" w:cs="Times New Roman"/>
                <w:color w:val="auto"/>
                <w:kern w:val="0"/>
                <w:sz w:val="21"/>
                <w:szCs w:val="21"/>
                <w:highlight w:val="none"/>
                <w:lang w:val="zh-CN"/>
              </w:rPr>
              <w:t>6.0~9.0</w:t>
            </w:r>
          </w:p>
        </w:tc>
        <w:tc>
          <w:tcPr>
            <w:tcW w:w="3051" w:type="pct"/>
            <w:vMerge w:val="restart"/>
            <w:vAlign w:val="center"/>
          </w:tcPr>
          <w:p w14:paraId="5A52CD70">
            <w:pPr>
              <w:spacing w:line="360" w:lineRule="atLeast"/>
              <w:ind w:firstLine="0" w:firstLineChars="0"/>
              <w:jc w:val="center"/>
              <w:rPr>
                <w:rFonts w:hint="default" w:ascii="Times New Roman" w:hAnsi="Times New Roman" w:cs="Times New Roman"/>
                <w:color w:val="auto"/>
                <w:kern w:val="0"/>
                <w:sz w:val="21"/>
                <w:szCs w:val="21"/>
                <w:highlight w:val="none"/>
                <w:lang w:val="zh-CN"/>
              </w:rPr>
            </w:pPr>
            <w:r>
              <w:rPr>
                <w:rFonts w:hint="default" w:ascii="Times New Roman" w:hAnsi="Times New Roman" w:cs="Times New Roman"/>
                <w:color w:val="auto"/>
                <w:kern w:val="0"/>
                <w:sz w:val="21"/>
                <w:szCs w:val="21"/>
                <w:highlight w:val="none"/>
                <w:lang w:val="zh-CN"/>
              </w:rPr>
              <w:t>《农村生活污水处理排放标准》（DB65 4275-2019）表2规定的A级排放限值</w:t>
            </w:r>
          </w:p>
        </w:tc>
      </w:tr>
      <w:tr w14:paraId="12EFE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 w:type="pct"/>
            <w:vAlign w:val="center"/>
          </w:tcPr>
          <w:p w14:paraId="2974410E">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613" w:type="pct"/>
            <w:vAlign w:val="center"/>
          </w:tcPr>
          <w:p w14:paraId="391CFF4E">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503" w:type="pct"/>
            <w:vAlign w:val="center"/>
          </w:tcPr>
          <w:p w14:paraId="6A762F28">
            <w:pPr>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t>mg/L</w:t>
            </w:r>
          </w:p>
        </w:tc>
        <w:tc>
          <w:tcPr>
            <w:tcW w:w="501" w:type="pct"/>
            <w:vAlign w:val="center"/>
          </w:tcPr>
          <w:p w14:paraId="6B93CFCD">
            <w:pPr>
              <w:spacing w:line="36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zh-CN"/>
              </w:rPr>
              <w:t>≤60</w:t>
            </w:r>
          </w:p>
        </w:tc>
        <w:tc>
          <w:tcPr>
            <w:tcW w:w="3051" w:type="pct"/>
            <w:vMerge w:val="continue"/>
            <w:vAlign w:val="center"/>
          </w:tcPr>
          <w:p w14:paraId="6EB65999">
            <w:pPr>
              <w:spacing w:line="360" w:lineRule="atLeast"/>
              <w:ind w:firstLine="0" w:firstLineChars="0"/>
              <w:jc w:val="center"/>
              <w:rPr>
                <w:rFonts w:hint="default" w:ascii="Times New Roman" w:hAnsi="Times New Roman" w:cs="Times New Roman"/>
                <w:color w:val="auto"/>
                <w:kern w:val="0"/>
                <w:sz w:val="21"/>
                <w:szCs w:val="21"/>
                <w:highlight w:val="none"/>
                <w:lang w:val="zh-CN"/>
              </w:rPr>
            </w:pPr>
          </w:p>
        </w:tc>
      </w:tr>
      <w:tr w14:paraId="67E0B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 w:type="pct"/>
            <w:vAlign w:val="center"/>
          </w:tcPr>
          <w:p w14:paraId="2334616D">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613" w:type="pct"/>
            <w:vAlign w:val="center"/>
          </w:tcPr>
          <w:p w14:paraId="4E5FEC78">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503" w:type="pct"/>
            <w:vAlign w:val="center"/>
          </w:tcPr>
          <w:p w14:paraId="2065D7A4">
            <w:pPr>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t>mg/L</w:t>
            </w:r>
          </w:p>
        </w:tc>
        <w:tc>
          <w:tcPr>
            <w:tcW w:w="501" w:type="pct"/>
            <w:vAlign w:val="center"/>
          </w:tcPr>
          <w:p w14:paraId="4447815E">
            <w:pPr>
              <w:spacing w:line="36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zh-CN"/>
              </w:rPr>
              <w:t>≤30</w:t>
            </w:r>
          </w:p>
        </w:tc>
        <w:tc>
          <w:tcPr>
            <w:tcW w:w="3051" w:type="pct"/>
            <w:vMerge w:val="continue"/>
            <w:vAlign w:val="center"/>
          </w:tcPr>
          <w:p w14:paraId="37EFC254">
            <w:pPr>
              <w:spacing w:line="360" w:lineRule="atLeast"/>
              <w:ind w:firstLine="0" w:firstLineChars="0"/>
              <w:jc w:val="center"/>
              <w:rPr>
                <w:rFonts w:hint="default" w:ascii="Times New Roman" w:hAnsi="Times New Roman" w:cs="Times New Roman"/>
                <w:color w:val="auto"/>
                <w:kern w:val="0"/>
                <w:sz w:val="21"/>
                <w:szCs w:val="21"/>
                <w:highlight w:val="none"/>
                <w:lang w:val="zh-CN"/>
              </w:rPr>
            </w:pPr>
          </w:p>
        </w:tc>
      </w:tr>
      <w:tr w14:paraId="65D0F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 w:type="pct"/>
            <w:vAlign w:val="center"/>
          </w:tcPr>
          <w:p w14:paraId="0EF5D0B5">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613" w:type="pct"/>
            <w:vAlign w:val="center"/>
          </w:tcPr>
          <w:p w14:paraId="1790CE69">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粪大肠菌群</w:t>
            </w:r>
          </w:p>
        </w:tc>
        <w:tc>
          <w:tcPr>
            <w:tcW w:w="503" w:type="pct"/>
            <w:vAlign w:val="center"/>
          </w:tcPr>
          <w:p w14:paraId="4BE65912">
            <w:pPr>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t>MPN/L</w:t>
            </w:r>
          </w:p>
        </w:tc>
        <w:tc>
          <w:tcPr>
            <w:tcW w:w="501" w:type="pct"/>
            <w:vAlign w:val="center"/>
          </w:tcPr>
          <w:p w14:paraId="55DB38D3">
            <w:pPr>
              <w:spacing w:line="36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zh-CN"/>
              </w:rPr>
              <w:t>10000</w:t>
            </w:r>
          </w:p>
        </w:tc>
        <w:tc>
          <w:tcPr>
            <w:tcW w:w="3051" w:type="pct"/>
            <w:vMerge w:val="continue"/>
            <w:vAlign w:val="center"/>
          </w:tcPr>
          <w:p w14:paraId="7AC1F3DE">
            <w:pPr>
              <w:spacing w:line="360" w:lineRule="atLeast"/>
              <w:ind w:firstLine="0" w:firstLineChars="0"/>
              <w:jc w:val="center"/>
              <w:rPr>
                <w:rFonts w:hint="default" w:ascii="Times New Roman" w:hAnsi="Times New Roman" w:cs="Times New Roman"/>
                <w:color w:val="auto"/>
                <w:kern w:val="0"/>
                <w:sz w:val="21"/>
                <w:szCs w:val="21"/>
                <w:highlight w:val="none"/>
                <w:lang w:val="zh-CN"/>
              </w:rPr>
            </w:pPr>
          </w:p>
        </w:tc>
      </w:tr>
      <w:tr w14:paraId="47107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 w:type="pct"/>
            <w:vAlign w:val="center"/>
          </w:tcPr>
          <w:p w14:paraId="403627AA">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613" w:type="pct"/>
            <w:vAlign w:val="center"/>
          </w:tcPr>
          <w:p w14:paraId="7030C79C">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蛔虫卵个数</w:t>
            </w:r>
          </w:p>
        </w:tc>
        <w:tc>
          <w:tcPr>
            <w:tcW w:w="503" w:type="pct"/>
            <w:vAlign w:val="center"/>
          </w:tcPr>
          <w:p w14:paraId="7E2FD930">
            <w:pPr>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t>个/L</w:t>
            </w:r>
          </w:p>
        </w:tc>
        <w:tc>
          <w:tcPr>
            <w:tcW w:w="501" w:type="pct"/>
            <w:vAlign w:val="center"/>
          </w:tcPr>
          <w:p w14:paraId="65448E6D">
            <w:pPr>
              <w:spacing w:line="36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zh-CN"/>
              </w:rPr>
              <w:t>2</w:t>
            </w:r>
          </w:p>
        </w:tc>
        <w:tc>
          <w:tcPr>
            <w:tcW w:w="3051" w:type="pct"/>
            <w:vMerge w:val="continue"/>
            <w:vAlign w:val="center"/>
          </w:tcPr>
          <w:p w14:paraId="44544AAB">
            <w:pPr>
              <w:spacing w:line="360" w:lineRule="atLeast"/>
              <w:ind w:firstLine="0" w:firstLineChars="0"/>
              <w:jc w:val="center"/>
              <w:rPr>
                <w:rFonts w:hint="default" w:ascii="Times New Roman" w:hAnsi="Times New Roman" w:cs="Times New Roman"/>
                <w:color w:val="auto"/>
                <w:kern w:val="0"/>
                <w:sz w:val="21"/>
                <w:szCs w:val="21"/>
                <w:highlight w:val="none"/>
                <w:lang w:val="zh-CN"/>
              </w:rPr>
            </w:pPr>
          </w:p>
        </w:tc>
      </w:tr>
    </w:tbl>
    <w:p w14:paraId="2C111B8A">
      <w:pPr>
        <w:pStyle w:val="11"/>
        <w:spacing w:after="0"/>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表2.5-</w:t>
      </w:r>
      <w:r>
        <w:rPr>
          <w:rFonts w:hint="default" w:ascii="Times New Roman" w:hAnsi="Times New Roman" w:cs="Times New Roman"/>
          <w:b/>
          <w:color w:val="auto"/>
          <w:highlight w:val="none"/>
          <w:lang w:val="en-US" w:eastAsia="zh-CN"/>
        </w:rPr>
        <w:t>9</w:t>
      </w:r>
      <w:r>
        <w:rPr>
          <w:rFonts w:hint="default" w:ascii="Times New Roman" w:hAnsi="Times New Roman" w:cs="Times New Roman"/>
          <w:b/>
          <w:color w:val="auto"/>
          <w:highlight w:val="none"/>
        </w:rPr>
        <w:t xml:space="preserve">    《城市污水再生利用 城市杂用水水质》</w:t>
      </w:r>
      <w:r>
        <w:rPr>
          <w:rFonts w:hint="default" w:ascii="Times New Roman" w:hAnsi="Times New Roman" w:cs="Times New Roman"/>
          <w:b/>
          <w:bCs/>
          <w:color w:val="auto"/>
          <w:highlight w:val="none"/>
        </w:rPr>
        <w:t xml:space="preserve">  </w:t>
      </w:r>
      <w:r>
        <w:rPr>
          <w:rFonts w:hint="default" w:ascii="Times New Roman" w:hAnsi="Times New Roman" w:cs="Times New Roman"/>
          <w:b/>
          <w:color w:val="auto"/>
          <w:highlight w:val="none"/>
        </w:rPr>
        <w:t xml:space="preserve">  单位mg/L</w:t>
      </w:r>
    </w:p>
    <w:tbl>
      <w:tblPr>
        <w:tblStyle w:val="33"/>
        <w:tblW w:w="85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687"/>
        <w:gridCol w:w="2997"/>
        <w:gridCol w:w="2130"/>
      </w:tblGrid>
      <w:tr w14:paraId="0F8DF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2C417A12">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b/>
                <w:color w:val="auto"/>
                <w:szCs w:val="21"/>
                <w:highlight w:val="none"/>
              </w:rPr>
              <w:t>序号</w:t>
            </w:r>
          </w:p>
        </w:tc>
        <w:tc>
          <w:tcPr>
            <w:tcW w:w="2687" w:type="dxa"/>
            <w:vAlign w:val="center"/>
          </w:tcPr>
          <w:p w14:paraId="01C933D9">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b/>
                <w:color w:val="auto"/>
                <w:szCs w:val="21"/>
                <w:highlight w:val="none"/>
              </w:rPr>
              <w:t>项目</w:t>
            </w:r>
          </w:p>
        </w:tc>
        <w:tc>
          <w:tcPr>
            <w:tcW w:w="2997" w:type="dxa"/>
            <w:vAlign w:val="center"/>
          </w:tcPr>
          <w:p w14:paraId="7E7B948B">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b/>
                <w:color w:val="auto"/>
                <w:szCs w:val="21"/>
                <w:highlight w:val="none"/>
              </w:rPr>
              <w:t>标准值</w:t>
            </w:r>
          </w:p>
        </w:tc>
        <w:tc>
          <w:tcPr>
            <w:tcW w:w="2130" w:type="dxa"/>
            <w:vAlign w:val="center"/>
          </w:tcPr>
          <w:p w14:paraId="6D3D7C59">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
                <w:color w:val="auto"/>
                <w:szCs w:val="21"/>
                <w:highlight w:val="none"/>
              </w:rPr>
              <w:t>标准来源</w:t>
            </w:r>
          </w:p>
        </w:tc>
      </w:tr>
      <w:tr w14:paraId="0FCB5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04066EFA">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687" w:type="dxa"/>
            <w:vAlign w:val="center"/>
          </w:tcPr>
          <w:p w14:paraId="4A492396">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溶解性总固体</w:t>
            </w:r>
          </w:p>
        </w:tc>
        <w:tc>
          <w:tcPr>
            <w:tcW w:w="2997" w:type="dxa"/>
            <w:vAlign w:val="center"/>
          </w:tcPr>
          <w:p w14:paraId="0EDC88F4">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≤1000</w:t>
            </w:r>
          </w:p>
        </w:tc>
        <w:tc>
          <w:tcPr>
            <w:tcW w:w="2130" w:type="dxa"/>
            <w:vMerge w:val="restart"/>
            <w:vAlign w:val="center"/>
          </w:tcPr>
          <w:p w14:paraId="46AE9976">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《城市污水再生利用 城市杂用水水质》（GB/T18920-2020）中的城市绿化、道路清扫、消防、建筑施工限值</w:t>
            </w:r>
          </w:p>
        </w:tc>
      </w:tr>
      <w:tr w14:paraId="5EBDD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04D74BBA">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687" w:type="dxa"/>
            <w:vAlign w:val="center"/>
          </w:tcPr>
          <w:p w14:paraId="4153A29B">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五日生化需氧量</w:t>
            </w:r>
          </w:p>
        </w:tc>
        <w:tc>
          <w:tcPr>
            <w:tcW w:w="2997" w:type="dxa"/>
            <w:vAlign w:val="center"/>
          </w:tcPr>
          <w:p w14:paraId="3431FC62">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130" w:type="dxa"/>
            <w:vMerge w:val="continue"/>
            <w:vAlign w:val="center"/>
          </w:tcPr>
          <w:p w14:paraId="1FD75EC7">
            <w:pPr>
              <w:spacing w:line="360" w:lineRule="exact"/>
              <w:ind w:firstLine="480"/>
              <w:jc w:val="center"/>
              <w:rPr>
                <w:rFonts w:hint="default" w:ascii="Times New Roman" w:hAnsi="Times New Roman" w:cs="Times New Roman"/>
                <w:bCs/>
                <w:color w:val="auto"/>
                <w:szCs w:val="21"/>
                <w:highlight w:val="none"/>
              </w:rPr>
            </w:pPr>
          </w:p>
        </w:tc>
      </w:tr>
      <w:tr w14:paraId="02D60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1B10D8E6">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687" w:type="dxa"/>
            <w:vAlign w:val="center"/>
          </w:tcPr>
          <w:p w14:paraId="4417ED1E">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2997" w:type="dxa"/>
            <w:vAlign w:val="center"/>
          </w:tcPr>
          <w:p w14:paraId="14DA0FE0">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2130" w:type="dxa"/>
            <w:vMerge w:val="continue"/>
            <w:vAlign w:val="center"/>
          </w:tcPr>
          <w:p w14:paraId="741A049D">
            <w:pPr>
              <w:spacing w:line="360" w:lineRule="exact"/>
              <w:ind w:firstLine="480"/>
              <w:jc w:val="center"/>
              <w:rPr>
                <w:rFonts w:hint="default" w:ascii="Times New Roman" w:hAnsi="Times New Roman" w:cs="Times New Roman"/>
                <w:bCs/>
                <w:color w:val="auto"/>
                <w:szCs w:val="21"/>
                <w:highlight w:val="none"/>
              </w:rPr>
            </w:pPr>
          </w:p>
        </w:tc>
      </w:tr>
      <w:tr w14:paraId="56D04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7A335F27">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687" w:type="dxa"/>
            <w:vAlign w:val="center"/>
          </w:tcPr>
          <w:p w14:paraId="25DD514E">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阴离子表面活性剂</w:t>
            </w:r>
          </w:p>
        </w:tc>
        <w:tc>
          <w:tcPr>
            <w:tcW w:w="2997" w:type="dxa"/>
            <w:vAlign w:val="center"/>
          </w:tcPr>
          <w:p w14:paraId="62B6BBE5">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2130" w:type="dxa"/>
            <w:vMerge w:val="continue"/>
            <w:vAlign w:val="center"/>
          </w:tcPr>
          <w:p w14:paraId="45744D25">
            <w:pPr>
              <w:spacing w:line="360" w:lineRule="exact"/>
              <w:ind w:firstLine="480"/>
              <w:jc w:val="center"/>
              <w:rPr>
                <w:rFonts w:hint="default" w:ascii="Times New Roman" w:hAnsi="Times New Roman" w:cs="Times New Roman"/>
                <w:bCs/>
                <w:color w:val="auto"/>
                <w:szCs w:val="21"/>
                <w:highlight w:val="none"/>
              </w:rPr>
            </w:pPr>
          </w:p>
        </w:tc>
      </w:tr>
      <w:tr w14:paraId="3592D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297C18AE">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687" w:type="dxa"/>
            <w:vAlign w:val="center"/>
          </w:tcPr>
          <w:p w14:paraId="5C9B52D7">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溶解氧</w:t>
            </w:r>
          </w:p>
        </w:tc>
        <w:tc>
          <w:tcPr>
            <w:tcW w:w="2997" w:type="dxa"/>
            <w:vAlign w:val="center"/>
          </w:tcPr>
          <w:p w14:paraId="43AC075F">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2130" w:type="dxa"/>
            <w:vMerge w:val="continue"/>
            <w:vAlign w:val="center"/>
          </w:tcPr>
          <w:p w14:paraId="2EE97FF3">
            <w:pPr>
              <w:spacing w:line="360" w:lineRule="exact"/>
              <w:ind w:firstLine="480"/>
              <w:jc w:val="center"/>
              <w:rPr>
                <w:rFonts w:hint="default" w:ascii="Times New Roman" w:hAnsi="Times New Roman" w:cs="Times New Roman"/>
                <w:bCs/>
                <w:color w:val="auto"/>
                <w:szCs w:val="21"/>
                <w:highlight w:val="none"/>
              </w:rPr>
            </w:pPr>
          </w:p>
        </w:tc>
      </w:tr>
      <w:tr w14:paraId="0FB65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0927B49D">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687" w:type="dxa"/>
            <w:vAlign w:val="center"/>
          </w:tcPr>
          <w:p w14:paraId="307C1F88">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总氯</w:t>
            </w:r>
          </w:p>
        </w:tc>
        <w:tc>
          <w:tcPr>
            <w:tcW w:w="2997" w:type="dxa"/>
            <w:vAlign w:val="center"/>
          </w:tcPr>
          <w:p w14:paraId="1EFBD1B2">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出厂≥1.0，管网末端≥0.2</w:t>
            </w:r>
          </w:p>
        </w:tc>
        <w:tc>
          <w:tcPr>
            <w:tcW w:w="2130" w:type="dxa"/>
            <w:vMerge w:val="continue"/>
            <w:vAlign w:val="center"/>
          </w:tcPr>
          <w:p w14:paraId="6284B8D0">
            <w:pPr>
              <w:spacing w:line="360" w:lineRule="exact"/>
              <w:ind w:firstLine="480"/>
              <w:jc w:val="center"/>
              <w:rPr>
                <w:rFonts w:hint="default" w:ascii="Times New Roman" w:hAnsi="Times New Roman" w:cs="Times New Roman"/>
                <w:bCs/>
                <w:color w:val="auto"/>
                <w:szCs w:val="21"/>
                <w:highlight w:val="none"/>
              </w:rPr>
            </w:pPr>
          </w:p>
        </w:tc>
      </w:tr>
      <w:tr w14:paraId="1A3B7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1D7C50E7">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2687" w:type="dxa"/>
            <w:vAlign w:val="center"/>
          </w:tcPr>
          <w:p w14:paraId="267279E9">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大肠埃希氏菌MPN/100mL</w:t>
            </w:r>
          </w:p>
        </w:tc>
        <w:tc>
          <w:tcPr>
            <w:tcW w:w="2997" w:type="dxa"/>
            <w:vAlign w:val="center"/>
          </w:tcPr>
          <w:p w14:paraId="26319717">
            <w:pPr>
              <w:pStyle w:val="32"/>
              <w:autoSpaceDE w:val="0"/>
              <w:autoSpaceDN w:val="0"/>
              <w:adjustRightInd w:val="0"/>
              <w:spacing w:after="0" w:line="360" w:lineRule="exact"/>
              <w:ind w:left="0" w:leftChars="0" w:firstLine="0" w:firstLineChars="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无</w:t>
            </w:r>
          </w:p>
        </w:tc>
        <w:tc>
          <w:tcPr>
            <w:tcW w:w="2130" w:type="dxa"/>
            <w:vMerge w:val="continue"/>
            <w:vAlign w:val="center"/>
          </w:tcPr>
          <w:p w14:paraId="2240D27C">
            <w:pPr>
              <w:spacing w:line="360" w:lineRule="exact"/>
              <w:ind w:firstLine="480"/>
              <w:jc w:val="center"/>
              <w:rPr>
                <w:rFonts w:hint="default" w:ascii="Times New Roman" w:hAnsi="Times New Roman" w:cs="Times New Roman"/>
                <w:bCs/>
                <w:color w:val="auto"/>
                <w:szCs w:val="21"/>
                <w:highlight w:val="none"/>
              </w:rPr>
            </w:pPr>
          </w:p>
        </w:tc>
      </w:tr>
    </w:tbl>
    <w:p w14:paraId="6A5C6A18">
      <w:pPr>
        <w:overflowPunct w:val="0"/>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（3）噪声</w:t>
      </w:r>
    </w:p>
    <w:p w14:paraId="5307EB3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项目施工期厂界噪声执行《建筑施工噪声排放标准》（GB12523-2</w:t>
      </w:r>
      <w:r>
        <w:rPr>
          <w:rFonts w:hint="default" w:ascii="Times New Roman" w:hAnsi="Times New Roman" w:cs="Times New Roman"/>
          <w:color w:val="auto"/>
          <w:highlight w:val="none"/>
          <w:lang w:val="en-US" w:eastAsia="zh-CN"/>
        </w:rPr>
        <w:t>025</w:t>
      </w:r>
      <w:r>
        <w:rPr>
          <w:rFonts w:hint="default" w:ascii="Times New Roman" w:hAnsi="Times New Roman" w:cs="Times New Roman"/>
          <w:color w:val="auto"/>
          <w:highlight w:val="none"/>
        </w:rPr>
        <w:t>）的有关规定。具体见表2.5-1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p>
    <w:p w14:paraId="3BC43125">
      <w:pPr>
        <w:pStyle w:val="47"/>
        <w:widowControl w:val="0"/>
        <w:rPr>
          <w:rFonts w:hint="default" w:ascii="Times New Roman" w:hAnsi="Times New Roman" w:cs="Times New Roman"/>
          <w:color w:val="auto"/>
          <w:szCs w:val="32"/>
          <w:highlight w:val="none"/>
          <w:lang w:val="zh-CN"/>
        </w:rPr>
      </w:pPr>
      <w:r>
        <w:rPr>
          <w:rFonts w:hint="default" w:ascii="Times New Roman" w:hAnsi="Times New Roman" w:cs="Times New Roman"/>
          <w:color w:val="auto"/>
          <w:szCs w:val="32"/>
          <w:highlight w:val="none"/>
          <w:lang w:val="zh-CN"/>
        </w:rPr>
        <w:t>表2.5-</w:t>
      </w:r>
      <w:r>
        <w:rPr>
          <w:rFonts w:hint="default" w:ascii="Times New Roman" w:hAnsi="Times New Roman" w:cs="Times New Roman"/>
          <w:color w:val="auto"/>
          <w:szCs w:val="32"/>
          <w:highlight w:val="none"/>
        </w:rPr>
        <w:t>1</w:t>
      </w:r>
      <w:r>
        <w:rPr>
          <w:rFonts w:hint="default" w:ascii="Times New Roman" w:hAnsi="Times New Roman" w:cs="Times New Roman"/>
          <w:color w:val="auto"/>
          <w:szCs w:val="32"/>
          <w:highlight w:val="none"/>
          <w:lang w:val="en-US" w:eastAsia="zh-CN"/>
        </w:rPr>
        <w:t>0</w:t>
      </w:r>
      <w:r>
        <w:rPr>
          <w:rFonts w:hint="default" w:ascii="Times New Roman" w:hAnsi="Times New Roman" w:cs="Times New Roman"/>
          <w:color w:val="auto"/>
          <w:szCs w:val="32"/>
          <w:highlight w:val="none"/>
          <w:lang w:val="zh-CN"/>
        </w:rPr>
        <w:t xml:space="preserve">    建筑施工</w:t>
      </w:r>
      <w:r>
        <w:rPr>
          <w:rFonts w:hint="default" w:ascii="Times New Roman" w:hAnsi="Times New Roman" w:cs="Times New Roman"/>
          <w:color w:val="auto"/>
          <w:szCs w:val="32"/>
          <w:highlight w:val="none"/>
          <w:lang w:val="en-US" w:eastAsia="zh-CN"/>
        </w:rPr>
        <w:t>场界</w:t>
      </w:r>
      <w:r>
        <w:rPr>
          <w:rFonts w:hint="default" w:ascii="Times New Roman" w:hAnsi="Times New Roman" w:cs="Times New Roman"/>
          <w:color w:val="auto"/>
          <w:szCs w:val="32"/>
          <w:highlight w:val="none"/>
          <w:lang w:val="zh-CN"/>
        </w:rPr>
        <w:t>噪声排放标准    单位：dB（A）</w:t>
      </w:r>
    </w:p>
    <w:tbl>
      <w:tblPr>
        <w:tblStyle w:val="33"/>
        <w:tblW w:w="83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22"/>
        <w:gridCol w:w="2633"/>
        <w:gridCol w:w="2679"/>
      </w:tblGrid>
      <w:tr w14:paraId="34B20D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vMerge w:val="restart"/>
            <w:tcBorders>
              <w:tl2br w:val="nil"/>
              <w:tr2bl w:val="nil"/>
            </w:tcBorders>
            <w:vAlign w:val="center"/>
          </w:tcPr>
          <w:p w14:paraId="21312624">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79" w:name="_Toc22126168"/>
            <w:bookmarkStart w:id="180" w:name="_Toc22408"/>
            <w:r>
              <w:rPr>
                <w:rFonts w:hint="default" w:ascii="Times New Roman" w:hAnsi="Times New Roman" w:cs="Times New Roman"/>
                <w:b/>
                <w:bCs/>
                <w:color w:val="auto"/>
                <w:sz w:val="21"/>
                <w:szCs w:val="21"/>
                <w:highlight w:val="none"/>
                <w:lang w:val="zh-CN"/>
              </w:rPr>
              <w:t>实施阶段</w:t>
            </w:r>
            <w:bookmarkEnd w:id="179"/>
            <w:bookmarkEnd w:id="180"/>
          </w:p>
        </w:tc>
        <w:tc>
          <w:tcPr>
            <w:tcW w:w="5312" w:type="dxa"/>
            <w:gridSpan w:val="2"/>
            <w:tcBorders>
              <w:tl2br w:val="nil"/>
              <w:tr2bl w:val="nil"/>
            </w:tcBorders>
            <w:vAlign w:val="center"/>
          </w:tcPr>
          <w:p w14:paraId="11C12D6C">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81" w:name="_Toc11178"/>
            <w:bookmarkStart w:id="182" w:name="_Toc22126169"/>
            <w:r>
              <w:rPr>
                <w:rFonts w:hint="default" w:ascii="Times New Roman" w:hAnsi="Times New Roman" w:cs="Times New Roman"/>
                <w:b/>
                <w:bCs/>
                <w:color w:val="auto"/>
                <w:sz w:val="21"/>
                <w:szCs w:val="21"/>
                <w:highlight w:val="none"/>
                <w:lang w:val="zh-CN"/>
              </w:rPr>
              <w:t>噪声排放限值dB（A）</w:t>
            </w:r>
            <w:bookmarkEnd w:id="181"/>
            <w:bookmarkEnd w:id="182"/>
          </w:p>
        </w:tc>
      </w:tr>
      <w:tr w14:paraId="1EB7A9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vMerge w:val="continue"/>
            <w:tcBorders>
              <w:tl2br w:val="nil"/>
              <w:tr2bl w:val="nil"/>
            </w:tcBorders>
            <w:vAlign w:val="center"/>
          </w:tcPr>
          <w:p w14:paraId="2B4E4CBC">
            <w:pPr>
              <w:spacing w:line="360" w:lineRule="exact"/>
              <w:ind w:firstLine="0" w:firstLineChars="0"/>
              <w:jc w:val="center"/>
              <w:rPr>
                <w:rFonts w:hint="default" w:ascii="Times New Roman" w:hAnsi="Times New Roman" w:cs="Times New Roman"/>
                <w:b/>
                <w:bCs/>
                <w:color w:val="auto"/>
                <w:sz w:val="21"/>
                <w:szCs w:val="21"/>
                <w:highlight w:val="none"/>
                <w:lang w:val="zh-CN"/>
              </w:rPr>
            </w:pPr>
          </w:p>
        </w:tc>
        <w:tc>
          <w:tcPr>
            <w:tcW w:w="2633" w:type="dxa"/>
            <w:tcBorders>
              <w:tl2br w:val="nil"/>
              <w:tr2bl w:val="nil"/>
            </w:tcBorders>
            <w:vAlign w:val="center"/>
          </w:tcPr>
          <w:p w14:paraId="3F74C019">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83" w:name="_Toc22126170"/>
            <w:bookmarkStart w:id="184" w:name="_Toc32038"/>
            <w:r>
              <w:rPr>
                <w:rFonts w:hint="default" w:ascii="Times New Roman" w:hAnsi="Times New Roman" w:cs="Times New Roman"/>
                <w:b/>
                <w:bCs/>
                <w:color w:val="auto"/>
                <w:sz w:val="21"/>
                <w:szCs w:val="21"/>
                <w:highlight w:val="none"/>
                <w:lang w:val="zh-CN"/>
              </w:rPr>
              <w:t>昼间</w:t>
            </w:r>
            <w:bookmarkEnd w:id="183"/>
            <w:bookmarkEnd w:id="184"/>
          </w:p>
        </w:tc>
        <w:tc>
          <w:tcPr>
            <w:tcW w:w="2679" w:type="dxa"/>
            <w:tcBorders>
              <w:tl2br w:val="nil"/>
              <w:tr2bl w:val="nil"/>
            </w:tcBorders>
            <w:vAlign w:val="center"/>
          </w:tcPr>
          <w:p w14:paraId="2F10FDC4">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85" w:name="_Toc10682"/>
            <w:bookmarkStart w:id="186" w:name="_Toc22126171"/>
            <w:r>
              <w:rPr>
                <w:rFonts w:hint="default" w:ascii="Times New Roman" w:hAnsi="Times New Roman" w:cs="Times New Roman"/>
                <w:b/>
                <w:bCs/>
                <w:color w:val="auto"/>
                <w:sz w:val="21"/>
                <w:szCs w:val="21"/>
                <w:highlight w:val="none"/>
                <w:lang w:val="zh-CN"/>
              </w:rPr>
              <w:t>夜间</w:t>
            </w:r>
            <w:bookmarkEnd w:id="185"/>
            <w:bookmarkEnd w:id="186"/>
          </w:p>
        </w:tc>
      </w:tr>
      <w:tr w14:paraId="1D8650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tcBorders>
              <w:tl2br w:val="nil"/>
              <w:tr2bl w:val="nil"/>
            </w:tcBorders>
            <w:vAlign w:val="center"/>
          </w:tcPr>
          <w:p w14:paraId="1D62AD59">
            <w:pPr>
              <w:spacing w:line="360" w:lineRule="exact"/>
              <w:ind w:firstLine="0" w:firstLineChars="0"/>
              <w:jc w:val="center"/>
              <w:rPr>
                <w:rFonts w:hint="default" w:ascii="Times New Roman" w:hAnsi="Times New Roman" w:cs="Times New Roman"/>
                <w:color w:val="auto"/>
                <w:sz w:val="21"/>
                <w:szCs w:val="21"/>
                <w:highlight w:val="none"/>
                <w:lang w:val="zh-CN"/>
              </w:rPr>
            </w:pPr>
            <w:bookmarkStart w:id="187" w:name="_Toc24792"/>
            <w:bookmarkStart w:id="188" w:name="_Toc22126172"/>
            <w:r>
              <w:rPr>
                <w:rFonts w:hint="default" w:ascii="Times New Roman" w:hAnsi="Times New Roman" w:cs="Times New Roman"/>
                <w:color w:val="auto"/>
                <w:sz w:val="21"/>
                <w:szCs w:val="21"/>
                <w:highlight w:val="none"/>
                <w:lang w:val="zh-CN"/>
              </w:rPr>
              <w:t>建筑施工</w:t>
            </w:r>
            <w:bookmarkEnd w:id="187"/>
            <w:bookmarkEnd w:id="188"/>
          </w:p>
        </w:tc>
        <w:tc>
          <w:tcPr>
            <w:tcW w:w="2633" w:type="dxa"/>
            <w:tcBorders>
              <w:tl2br w:val="nil"/>
              <w:tr2bl w:val="nil"/>
            </w:tcBorders>
            <w:vAlign w:val="center"/>
          </w:tcPr>
          <w:p w14:paraId="560B8C21">
            <w:pPr>
              <w:spacing w:line="360" w:lineRule="exact"/>
              <w:ind w:firstLine="0" w:firstLineChars="0"/>
              <w:jc w:val="center"/>
              <w:rPr>
                <w:rFonts w:hint="default" w:ascii="Times New Roman" w:hAnsi="Times New Roman" w:cs="Times New Roman"/>
                <w:color w:val="auto"/>
                <w:sz w:val="21"/>
                <w:szCs w:val="21"/>
                <w:highlight w:val="none"/>
                <w:lang w:val="zh-CN"/>
              </w:rPr>
            </w:pPr>
            <w:bookmarkStart w:id="189" w:name="_Toc25886"/>
            <w:bookmarkStart w:id="190" w:name="_Toc22126173"/>
            <w:r>
              <w:rPr>
                <w:rFonts w:hint="default" w:ascii="Times New Roman" w:hAnsi="Times New Roman" w:cs="Times New Roman"/>
                <w:color w:val="auto"/>
                <w:sz w:val="21"/>
                <w:szCs w:val="21"/>
                <w:highlight w:val="none"/>
                <w:lang w:val="zh-CN"/>
              </w:rPr>
              <w:t>70</w:t>
            </w:r>
            <w:bookmarkEnd w:id="189"/>
            <w:bookmarkEnd w:id="190"/>
          </w:p>
        </w:tc>
        <w:tc>
          <w:tcPr>
            <w:tcW w:w="2679" w:type="dxa"/>
            <w:tcBorders>
              <w:tl2br w:val="nil"/>
              <w:tr2bl w:val="nil"/>
            </w:tcBorders>
            <w:vAlign w:val="center"/>
          </w:tcPr>
          <w:p w14:paraId="318E8F74">
            <w:pPr>
              <w:spacing w:line="360" w:lineRule="exact"/>
              <w:ind w:firstLine="0" w:firstLineChars="0"/>
              <w:jc w:val="center"/>
              <w:rPr>
                <w:rFonts w:hint="default" w:ascii="Times New Roman" w:hAnsi="Times New Roman" w:cs="Times New Roman"/>
                <w:color w:val="auto"/>
                <w:sz w:val="21"/>
                <w:szCs w:val="21"/>
                <w:highlight w:val="none"/>
                <w:lang w:val="zh-CN"/>
              </w:rPr>
            </w:pPr>
            <w:bookmarkStart w:id="191" w:name="_Toc31449"/>
            <w:bookmarkStart w:id="192" w:name="_Toc22126174"/>
            <w:r>
              <w:rPr>
                <w:rFonts w:hint="default" w:ascii="Times New Roman" w:hAnsi="Times New Roman" w:cs="Times New Roman"/>
                <w:color w:val="auto"/>
                <w:sz w:val="21"/>
                <w:szCs w:val="21"/>
                <w:highlight w:val="none"/>
                <w:lang w:val="zh-CN"/>
              </w:rPr>
              <w:t>55</w:t>
            </w:r>
            <w:bookmarkEnd w:id="191"/>
            <w:bookmarkEnd w:id="192"/>
          </w:p>
        </w:tc>
      </w:tr>
    </w:tbl>
    <w:p w14:paraId="1378B6D3">
      <w:pPr>
        <w:overflowPunct w:val="0"/>
        <w:topLinePunct/>
        <w:ind w:firstLine="476"/>
        <w:rPr>
          <w:rFonts w:hint="default" w:ascii="Times New Roman" w:hAnsi="Times New Roman" w:cs="Times New Roman"/>
          <w:color w:val="auto"/>
          <w:spacing w:val="-1"/>
          <w:szCs w:val="32"/>
          <w:highlight w:val="none"/>
        </w:rPr>
      </w:pPr>
      <w:r>
        <w:rPr>
          <w:rFonts w:hint="default" w:ascii="Times New Roman" w:hAnsi="Times New Roman" w:cs="Times New Roman"/>
          <w:color w:val="auto"/>
          <w:spacing w:val="-1"/>
          <w:szCs w:val="32"/>
          <w:highlight w:val="none"/>
        </w:rPr>
        <w:t>运营期噪声执行《工业企业厂界环境噪声排放标准》（GB12348-2008）中2类标准。详见表2.5-1</w:t>
      </w:r>
      <w:r>
        <w:rPr>
          <w:rFonts w:hint="default" w:ascii="Times New Roman" w:hAnsi="Times New Roman" w:cs="Times New Roman"/>
          <w:color w:val="auto"/>
          <w:spacing w:val="-1"/>
          <w:szCs w:val="32"/>
          <w:highlight w:val="none"/>
          <w:lang w:val="en-US" w:eastAsia="zh-CN"/>
        </w:rPr>
        <w:t>1</w:t>
      </w:r>
      <w:r>
        <w:rPr>
          <w:rFonts w:hint="default" w:ascii="Times New Roman" w:hAnsi="Times New Roman" w:cs="Times New Roman"/>
          <w:color w:val="auto"/>
          <w:spacing w:val="-1"/>
          <w:szCs w:val="32"/>
          <w:highlight w:val="none"/>
        </w:rPr>
        <w:t>。</w:t>
      </w:r>
    </w:p>
    <w:p w14:paraId="5344DD55">
      <w:pPr>
        <w:pStyle w:val="47"/>
        <w:widowControl w:val="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表2.5-1</w:t>
      </w:r>
      <w:r>
        <w:rPr>
          <w:rFonts w:hint="default" w:ascii="Times New Roman" w:hAnsi="Times New Roman" w:cs="Times New Roman"/>
          <w:color w:val="auto"/>
          <w:szCs w:val="32"/>
          <w:highlight w:val="none"/>
          <w:lang w:val="en-US" w:eastAsia="zh-CN"/>
        </w:rPr>
        <w:t>1</w:t>
      </w:r>
      <w:r>
        <w:rPr>
          <w:rFonts w:hint="default" w:ascii="Times New Roman" w:hAnsi="Times New Roman" w:cs="Times New Roman"/>
          <w:color w:val="auto"/>
          <w:szCs w:val="32"/>
          <w:highlight w:val="none"/>
        </w:rPr>
        <w:t xml:space="preserve">    工业企业厂界环境噪声排放标准    单位：dB(A)</w:t>
      </w:r>
    </w:p>
    <w:tbl>
      <w:tblPr>
        <w:tblStyle w:val="33"/>
        <w:tblW w:w="8334" w:type="dxa"/>
        <w:jc w:val="center"/>
        <w:tblLayout w:type="fixed"/>
        <w:tblCellMar>
          <w:top w:w="0" w:type="dxa"/>
          <w:left w:w="0" w:type="dxa"/>
          <w:bottom w:w="0" w:type="dxa"/>
          <w:right w:w="0" w:type="dxa"/>
        </w:tblCellMar>
      </w:tblPr>
      <w:tblGrid>
        <w:gridCol w:w="3022"/>
        <w:gridCol w:w="2633"/>
        <w:gridCol w:w="2679"/>
      </w:tblGrid>
      <w:tr w14:paraId="5E6EDAD8">
        <w:tblPrEx>
          <w:tblCellMar>
            <w:top w:w="0" w:type="dxa"/>
            <w:left w:w="0" w:type="dxa"/>
            <w:bottom w:w="0" w:type="dxa"/>
            <w:right w:w="0" w:type="dxa"/>
          </w:tblCellMar>
        </w:tblPrEx>
        <w:trPr>
          <w:trHeight w:val="340" w:hRule="atLeast"/>
          <w:jc w:val="center"/>
        </w:trPr>
        <w:tc>
          <w:tcPr>
            <w:tcW w:w="3022" w:type="dxa"/>
            <w:vMerge w:val="restart"/>
            <w:tcBorders>
              <w:top w:val="single" w:color="000000" w:sz="12" w:space="0"/>
              <w:left w:val="single" w:color="000000" w:sz="12" w:space="0"/>
              <w:bottom w:val="single" w:color="000000" w:sz="4" w:space="0"/>
              <w:right w:val="single" w:color="000000" w:sz="4" w:space="0"/>
            </w:tcBorders>
            <w:vAlign w:val="center"/>
          </w:tcPr>
          <w:p w14:paraId="290D43C8">
            <w:pPr>
              <w:pStyle w:val="51"/>
              <w:spacing w:after="0" w:line="360" w:lineRule="exact"/>
              <w:ind w:firstLine="0" w:firstLineChars="0"/>
              <w:rPr>
                <w:rFonts w:hint="default" w:ascii="Times New Roman" w:hAnsi="Times New Roman" w:eastAsia="宋体" w:cs="Times New Roman"/>
                <w:bCs/>
                <w:color w:val="auto"/>
                <w:sz w:val="21"/>
                <w:highlight w:val="none"/>
              </w:rPr>
            </w:pPr>
            <w:bookmarkStart w:id="193" w:name="_Toc3399"/>
            <w:bookmarkStart w:id="194" w:name="_Toc10644"/>
            <w:bookmarkStart w:id="195" w:name="_Toc15161"/>
            <w:r>
              <w:rPr>
                <w:rFonts w:hint="default" w:ascii="Times New Roman" w:hAnsi="Times New Roman" w:eastAsia="宋体" w:cs="Times New Roman"/>
                <w:bCs/>
                <w:color w:val="auto"/>
                <w:sz w:val="21"/>
                <w:highlight w:val="none"/>
              </w:rPr>
              <w:t>声环境功能区类别</w:t>
            </w:r>
            <w:bookmarkEnd w:id="193"/>
            <w:bookmarkEnd w:id="194"/>
            <w:bookmarkEnd w:id="195"/>
          </w:p>
        </w:tc>
        <w:tc>
          <w:tcPr>
            <w:tcW w:w="5312" w:type="dxa"/>
            <w:gridSpan w:val="2"/>
            <w:tcBorders>
              <w:top w:val="single" w:color="000000" w:sz="12" w:space="0"/>
              <w:left w:val="single" w:color="000000" w:sz="4" w:space="0"/>
              <w:bottom w:val="single" w:color="000000" w:sz="4" w:space="0"/>
              <w:right w:val="single" w:color="000000" w:sz="12" w:space="0"/>
            </w:tcBorders>
            <w:vAlign w:val="center"/>
          </w:tcPr>
          <w:p w14:paraId="3597CAA4">
            <w:pPr>
              <w:pStyle w:val="51"/>
              <w:spacing w:after="0" w:line="360" w:lineRule="exact"/>
              <w:ind w:firstLine="0" w:firstLineChars="0"/>
              <w:rPr>
                <w:rFonts w:hint="default" w:ascii="Times New Roman" w:hAnsi="Times New Roman" w:eastAsia="宋体" w:cs="Times New Roman"/>
                <w:bCs/>
                <w:color w:val="auto"/>
                <w:sz w:val="21"/>
                <w:highlight w:val="none"/>
              </w:rPr>
            </w:pPr>
            <w:bookmarkStart w:id="196" w:name="_Toc9852"/>
            <w:bookmarkStart w:id="197" w:name="_Toc23131"/>
            <w:bookmarkStart w:id="198" w:name="_Toc17925"/>
            <w:r>
              <w:rPr>
                <w:rFonts w:hint="default" w:ascii="Times New Roman" w:hAnsi="Times New Roman" w:eastAsia="宋体" w:cs="Times New Roman"/>
                <w:bCs/>
                <w:color w:val="auto"/>
                <w:sz w:val="21"/>
                <w:highlight w:val="none"/>
              </w:rPr>
              <w:t>时段</w:t>
            </w:r>
            <w:bookmarkEnd w:id="196"/>
            <w:bookmarkEnd w:id="197"/>
            <w:bookmarkEnd w:id="198"/>
          </w:p>
        </w:tc>
      </w:tr>
      <w:tr w14:paraId="425B0E9F">
        <w:tblPrEx>
          <w:tblCellMar>
            <w:top w:w="0" w:type="dxa"/>
            <w:left w:w="0" w:type="dxa"/>
            <w:bottom w:w="0" w:type="dxa"/>
            <w:right w:w="0" w:type="dxa"/>
          </w:tblCellMar>
        </w:tblPrEx>
        <w:trPr>
          <w:trHeight w:val="340" w:hRule="atLeast"/>
          <w:jc w:val="center"/>
        </w:trPr>
        <w:tc>
          <w:tcPr>
            <w:tcW w:w="3022" w:type="dxa"/>
            <w:vMerge w:val="continue"/>
            <w:tcBorders>
              <w:top w:val="single" w:color="000000" w:sz="4" w:space="0"/>
              <w:left w:val="single" w:color="000000" w:sz="12" w:space="0"/>
              <w:bottom w:val="single" w:color="000000" w:sz="4" w:space="0"/>
              <w:right w:val="single" w:color="000000" w:sz="4" w:space="0"/>
            </w:tcBorders>
            <w:vAlign w:val="center"/>
          </w:tcPr>
          <w:p w14:paraId="37248035">
            <w:pPr>
              <w:pStyle w:val="51"/>
              <w:spacing w:after="0" w:line="360" w:lineRule="exact"/>
              <w:ind w:firstLine="0" w:firstLineChars="0"/>
              <w:rPr>
                <w:rFonts w:hint="default" w:ascii="Times New Roman" w:hAnsi="Times New Roman" w:eastAsia="宋体" w:cs="Times New Roman"/>
                <w:bCs/>
                <w:color w:val="auto"/>
                <w:sz w:val="21"/>
                <w:highlight w:val="none"/>
              </w:rPr>
            </w:pPr>
          </w:p>
        </w:tc>
        <w:tc>
          <w:tcPr>
            <w:tcW w:w="2633" w:type="dxa"/>
            <w:tcBorders>
              <w:top w:val="single" w:color="000000" w:sz="4" w:space="0"/>
              <w:left w:val="single" w:color="000000" w:sz="4" w:space="0"/>
              <w:bottom w:val="single" w:color="000000" w:sz="4" w:space="0"/>
              <w:right w:val="single" w:color="000000" w:sz="4" w:space="0"/>
            </w:tcBorders>
            <w:vAlign w:val="center"/>
          </w:tcPr>
          <w:p w14:paraId="5FCE3DBD">
            <w:pPr>
              <w:pStyle w:val="51"/>
              <w:spacing w:after="0" w:line="360" w:lineRule="exact"/>
              <w:ind w:firstLine="0" w:firstLineChars="0"/>
              <w:rPr>
                <w:rFonts w:hint="default" w:ascii="Times New Roman" w:hAnsi="Times New Roman" w:eastAsia="宋体" w:cs="Times New Roman"/>
                <w:bCs/>
                <w:color w:val="auto"/>
                <w:sz w:val="21"/>
                <w:highlight w:val="none"/>
              </w:rPr>
            </w:pPr>
            <w:bookmarkStart w:id="199" w:name="_Toc32714"/>
            <w:bookmarkStart w:id="200" w:name="_Toc12601"/>
            <w:bookmarkStart w:id="201" w:name="_Toc4263"/>
            <w:r>
              <w:rPr>
                <w:rFonts w:hint="default" w:ascii="Times New Roman" w:hAnsi="Times New Roman" w:eastAsia="宋体" w:cs="Times New Roman"/>
                <w:bCs/>
                <w:color w:val="auto"/>
                <w:sz w:val="21"/>
                <w:highlight w:val="none"/>
              </w:rPr>
              <w:t>昼间</w:t>
            </w:r>
            <w:bookmarkEnd w:id="199"/>
            <w:bookmarkEnd w:id="200"/>
            <w:bookmarkEnd w:id="201"/>
          </w:p>
        </w:tc>
        <w:tc>
          <w:tcPr>
            <w:tcW w:w="2679" w:type="dxa"/>
            <w:tcBorders>
              <w:top w:val="single" w:color="000000" w:sz="4" w:space="0"/>
              <w:left w:val="single" w:color="000000" w:sz="4" w:space="0"/>
              <w:bottom w:val="single" w:color="000000" w:sz="4" w:space="0"/>
              <w:right w:val="single" w:color="000000" w:sz="12" w:space="0"/>
            </w:tcBorders>
            <w:vAlign w:val="center"/>
          </w:tcPr>
          <w:p w14:paraId="1AE9ACAB">
            <w:pPr>
              <w:pStyle w:val="51"/>
              <w:spacing w:after="0" w:line="360" w:lineRule="exact"/>
              <w:ind w:firstLine="0" w:firstLineChars="0"/>
              <w:rPr>
                <w:rFonts w:hint="default" w:ascii="Times New Roman" w:hAnsi="Times New Roman" w:eastAsia="宋体" w:cs="Times New Roman"/>
                <w:bCs/>
                <w:color w:val="auto"/>
                <w:sz w:val="21"/>
                <w:highlight w:val="none"/>
              </w:rPr>
            </w:pPr>
            <w:bookmarkStart w:id="202" w:name="_Toc31272"/>
            <w:bookmarkStart w:id="203" w:name="_Toc11999"/>
            <w:bookmarkStart w:id="204" w:name="_Toc31120"/>
            <w:r>
              <w:rPr>
                <w:rFonts w:hint="default" w:ascii="Times New Roman" w:hAnsi="Times New Roman" w:eastAsia="宋体" w:cs="Times New Roman"/>
                <w:bCs/>
                <w:color w:val="auto"/>
                <w:sz w:val="21"/>
                <w:highlight w:val="none"/>
              </w:rPr>
              <w:t>夜间</w:t>
            </w:r>
            <w:bookmarkEnd w:id="202"/>
            <w:bookmarkEnd w:id="203"/>
            <w:bookmarkEnd w:id="204"/>
          </w:p>
        </w:tc>
      </w:tr>
      <w:tr w14:paraId="006DF489">
        <w:tblPrEx>
          <w:tblCellMar>
            <w:top w:w="0" w:type="dxa"/>
            <w:left w:w="0" w:type="dxa"/>
            <w:bottom w:w="0" w:type="dxa"/>
            <w:right w:w="0" w:type="dxa"/>
          </w:tblCellMar>
        </w:tblPrEx>
        <w:trPr>
          <w:trHeight w:val="340" w:hRule="atLeast"/>
          <w:jc w:val="center"/>
        </w:trPr>
        <w:tc>
          <w:tcPr>
            <w:tcW w:w="3022" w:type="dxa"/>
            <w:tcBorders>
              <w:top w:val="single" w:color="000000" w:sz="4" w:space="0"/>
              <w:left w:val="single" w:color="000000" w:sz="12" w:space="0"/>
              <w:bottom w:val="single" w:color="000000" w:sz="12" w:space="0"/>
              <w:right w:val="single" w:color="000000" w:sz="4" w:space="0"/>
            </w:tcBorders>
            <w:vAlign w:val="center"/>
          </w:tcPr>
          <w:p w14:paraId="69ADDE7E">
            <w:pPr>
              <w:pStyle w:val="51"/>
              <w:spacing w:after="0" w:line="360" w:lineRule="exact"/>
              <w:ind w:firstLine="0" w:firstLineChars="0"/>
              <w:rPr>
                <w:rFonts w:hint="default" w:ascii="Times New Roman" w:hAnsi="Times New Roman" w:eastAsia="宋体" w:cs="Times New Roman"/>
                <w:b w:val="0"/>
                <w:color w:val="auto"/>
                <w:sz w:val="21"/>
                <w:highlight w:val="none"/>
              </w:rPr>
            </w:pPr>
            <w:bookmarkStart w:id="205" w:name="_Toc22781"/>
            <w:bookmarkStart w:id="206" w:name="_Toc24599"/>
            <w:bookmarkStart w:id="207" w:name="_Toc23629"/>
            <w:r>
              <w:rPr>
                <w:rFonts w:hint="default" w:ascii="Times New Roman" w:hAnsi="Times New Roman" w:eastAsia="宋体" w:cs="Times New Roman"/>
                <w:b w:val="0"/>
                <w:color w:val="auto"/>
                <w:sz w:val="21"/>
                <w:highlight w:val="none"/>
              </w:rPr>
              <w:t>2类</w:t>
            </w:r>
            <w:bookmarkEnd w:id="205"/>
            <w:bookmarkEnd w:id="206"/>
            <w:bookmarkEnd w:id="207"/>
          </w:p>
        </w:tc>
        <w:tc>
          <w:tcPr>
            <w:tcW w:w="2633" w:type="dxa"/>
            <w:tcBorders>
              <w:top w:val="single" w:color="000000" w:sz="4" w:space="0"/>
              <w:left w:val="single" w:color="000000" w:sz="4" w:space="0"/>
              <w:bottom w:val="single" w:color="000000" w:sz="12" w:space="0"/>
              <w:right w:val="single" w:color="000000" w:sz="4" w:space="0"/>
            </w:tcBorders>
            <w:vAlign w:val="center"/>
          </w:tcPr>
          <w:p w14:paraId="032E975A">
            <w:pPr>
              <w:pStyle w:val="51"/>
              <w:spacing w:after="0" w:line="360" w:lineRule="exact"/>
              <w:ind w:firstLine="0" w:firstLineChars="0"/>
              <w:rPr>
                <w:rFonts w:hint="default" w:ascii="Times New Roman" w:hAnsi="Times New Roman" w:eastAsia="宋体" w:cs="Times New Roman"/>
                <w:b w:val="0"/>
                <w:color w:val="auto"/>
                <w:sz w:val="21"/>
                <w:highlight w:val="none"/>
              </w:rPr>
            </w:pPr>
            <w:bookmarkStart w:id="208" w:name="_Toc29809"/>
            <w:bookmarkStart w:id="209" w:name="_Toc7392"/>
            <w:bookmarkStart w:id="210" w:name="_Toc26847"/>
            <w:r>
              <w:rPr>
                <w:rFonts w:hint="default" w:ascii="Times New Roman" w:hAnsi="Times New Roman" w:eastAsia="宋体" w:cs="Times New Roman"/>
                <w:b w:val="0"/>
                <w:color w:val="auto"/>
                <w:sz w:val="21"/>
                <w:highlight w:val="none"/>
              </w:rPr>
              <w:t>6</w:t>
            </w:r>
            <w:bookmarkEnd w:id="208"/>
            <w:bookmarkEnd w:id="209"/>
            <w:bookmarkEnd w:id="210"/>
            <w:r>
              <w:rPr>
                <w:rFonts w:hint="default" w:ascii="Times New Roman" w:hAnsi="Times New Roman" w:eastAsia="宋体" w:cs="Times New Roman"/>
                <w:b w:val="0"/>
                <w:color w:val="auto"/>
                <w:sz w:val="21"/>
                <w:highlight w:val="none"/>
              </w:rPr>
              <w:t>0</w:t>
            </w:r>
          </w:p>
        </w:tc>
        <w:tc>
          <w:tcPr>
            <w:tcW w:w="2679" w:type="dxa"/>
            <w:tcBorders>
              <w:top w:val="single" w:color="000000" w:sz="4" w:space="0"/>
              <w:left w:val="single" w:color="000000" w:sz="4" w:space="0"/>
              <w:bottom w:val="single" w:color="000000" w:sz="12" w:space="0"/>
              <w:right w:val="single" w:color="000000" w:sz="12" w:space="0"/>
            </w:tcBorders>
            <w:vAlign w:val="center"/>
          </w:tcPr>
          <w:p w14:paraId="4933680B">
            <w:pPr>
              <w:pStyle w:val="51"/>
              <w:spacing w:after="0" w:line="360" w:lineRule="exact"/>
              <w:ind w:firstLine="0" w:firstLineChars="0"/>
              <w:rPr>
                <w:rFonts w:hint="default" w:ascii="Times New Roman" w:hAnsi="Times New Roman" w:eastAsia="宋体" w:cs="Times New Roman"/>
                <w:b w:val="0"/>
                <w:color w:val="auto"/>
                <w:sz w:val="21"/>
                <w:highlight w:val="none"/>
              </w:rPr>
            </w:pPr>
            <w:bookmarkStart w:id="211" w:name="_Toc13905"/>
            <w:bookmarkStart w:id="212" w:name="_Toc24749"/>
            <w:bookmarkStart w:id="213" w:name="_Toc365"/>
            <w:r>
              <w:rPr>
                <w:rFonts w:hint="default" w:ascii="Times New Roman" w:hAnsi="Times New Roman" w:eastAsia="宋体" w:cs="Times New Roman"/>
                <w:b w:val="0"/>
                <w:color w:val="auto"/>
                <w:sz w:val="21"/>
                <w:highlight w:val="none"/>
              </w:rPr>
              <w:t>5</w:t>
            </w:r>
            <w:bookmarkEnd w:id="211"/>
            <w:bookmarkEnd w:id="212"/>
            <w:bookmarkEnd w:id="213"/>
            <w:r>
              <w:rPr>
                <w:rFonts w:hint="default" w:ascii="Times New Roman" w:hAnsi="Times New Roman" w:eastAsia="宋体" w:cs="Times New Roman"/>
                <w:b w:val="0"/>
                <w:color w:val="auto"/>
                <w:sz w:val="21"/>
                <w:highlight w:val="none"/>
              </w:rPr>
              <w:t>0</w:t>
            </w:r>
          </w:p>
        </w:tc>
      </w:tr>
    </w:tbl>
    <w:p w14:paraId="462FD216">
      <w:pPr>
        <w:overflowPunct w:val="0"/>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（4）固体废物</w:t>
      </w:r>
    </w:p>
    <w:p w14:paraId="22EAFD2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一般固体废物执行《一般工业固体废物贮存和填埋污染控制标准》（GB18599-2020）中的固体废物执行标准，尾矿鉴别执行《危险废物鉴别标准</w:t>
      </w:r>
      <w:r>
        <w:rPr>
          <w:rFonts w:hint="default" w:cs="Times New Roman"/>
          <w:color w:val="auto"/>
          <w:kern w:val="0"/>
          <w:highlight w:val="none"/>
          <w:lang w:val="en-US" w:eastAsia="zh-CN"/>
        </w:rPr>
        <w:t xml:space="preserve"> </w:t>
      </w:r>
      <w:r>
        <w:rPr>
          <w:rFonts w:hint="default" w:ascii="Times New Roman" w:hAnsi="Times New Roman" w:cs="Times New Roman"/>
          <w:color w:val="auto"/>
          <w:kern w:val="0"/>
          <w:highlight w:val="none"/>
        </w:rPr>
        <w:t>腐蚀性鉴别》（GB5085.1-2007）和《危险废物鉴别标准</w:t>
      </w:r>
      <w:r>
        <w:rPr>
          <w:rFonts w:hint="default" w:cs="Times New Roman"/>
          <w:color w:val="auto"/>
          <w:kern w:val="0"/>
          <w:highlight w:val="none"/>
          <w:lang w:val="en-US" w:eastAsia="zh-CN"/>
        </w:rPr>
        <w:t xml:space="preserve"> </w:t>
      </w:r>
      <w:r>
        <w:rPr>
          <w:rFonts w:hint="default" w:ascii="Times New Roman" w:hAnsi="Times New Roman" w:cs="Times New Roman"/>
          <w:color w:val="auto"/>
          <w:kern w:val="0"/>
          <w:highlight w:val="none"/>
        </w:rPr>
        <w:t>浸出毒性鉴别》（GB5085.3-2007）（浸出液最高允许浓度）标准</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有关标准限值见表2.5-1</w:t>
      </w:r>
      <w:r>
        <w:rPr>
          <w:rFonts w:hint="default"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w:t>
      </w:r>
    </w:p>
    <w:p w14:paraId="38AB041F">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kern w:val="0"/>
          <w:highlight w:val="none"/>
        </w:rPr>
        <w:t>表2.5-1</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项目危险固体废物鉴别标准    单位：mg/L</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377"/>
        <w:gridCol w:w="2937"/>
        <w:gridCol w:w="1827"/>
      </w:tblGrid>
      <w:tr w14:paraId="68641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79" w:type="dxa"/>
            <w:vAlign w:val="center"/>
          </w:tcPr>
          <w:p w14:paraId="2DB4DCB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GB5085.1-2007</w:t>
            </w:r>
          </w:p>
          <w:p w14:paraId="772A607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腐蚀性鉴别</w:t>
            </w:r>
          </w:p>
        </w:tc>
        <w:tc>
          <w:tcPr>
            <w:tcW w:w="6141" w:type="dxa"/>
            <w:gridSpan w:val="3"/>
            <w:vAlign w:val="center"/>
          </w:tcPr>
          <w:p w14:paraId="1574BA3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按照GB/T15555.12-1995制备的浸出液，pH≥12.5或pH≤2.0时，该废物是具有腐蚀性的危险物</w:t>
            </w:r>
          </w:p>
        </w:tc>
      </w:tr>
      <w:tr w14:paraId="5E89A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restart"/>
            <w:vAlign w:val="center"/>
          </w:tcPr>
          <w:p w14:paraId="1C100B13">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GB5085.3-2007浸出毒性鉴别标准</w:t>
            </w:r>
          </w:p>
        </w:tc>
        <w:tc>
          <w:tcPr>
            <w:tcW w:w="6141" w:type="dxa"/>
            <w:gridSpan w:val="3"/>
            <w:vAlign w:val="center"/>
          </w:tcPr>
          <w:p w14:paraId="09F0EAD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浸出液中任何一种危险成分的浓度超过下列浓度值，则该废物是具有浸出毒性的危险废物。</w:t>
            </w:r>
          </w:p>
        </w:tc>
      </w:tr>
      <w:tr w14:paraId="30A70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27FE92E5">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0EA9809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937" w:type="dxa"/>
            <w:vAlign w:val="center"/>
          </w:tcPr>
          <w:p w14:paraId="2D9450B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汞及其化合物（以总汞计）</w:t>
            </w:r>
          </w:p>
        </w:tc>
        <w:tc>
          <w:tcPr>
            <w:tcW w:w="1827" w:type="dxa"/>
            <w:vAlign w:val="center"/>
          </w:tcPr>
          <w:p w14:paraId="14295C6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14:paraId="4D78B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718EB0F0">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4625EC4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937" w:type="dxa"/>
            <w:vAlign w:val="center"/>
          </w:tcPr>
          <w:p w14:paraId="1A17433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铅（以总铅计）</w:t>
            </w:r>
          </w:p>
        </w:tc>
        <w:tc>
          <w:tcPr>
            <w:tcW w:w="1827" w:type="dxa"/>
            <w:vAlign w:val="center"/>
          </w:tcPr>
          <w:p w14:paraId="3329B4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07DD8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9D84CE9">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16B0218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937" w:type="dxa"/>
            <w:vAlign w:val="center"/>
          </w:tcPr>
          <w:p w14:paraId="459F85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镉（以总</w:t>
            </w:r>
            <w:r>
              <w:rPr>
                <w:rFonts w:hint="eastAsia" w:cs="Times New Roman"/>
                <w:color w:val="auto"/>
                <w:sz w:val="21"/>
                <w:szCs w:val="21"/>
                <w:highlight w:val="none"/>
                <w:lang w:eastAsia="zh-CN"/>
              </w:rPr>
              <w:t>镉</w:t>
            </w:r>
            <w:r>
              <w:rPr>
                <w:rFonts w:hint="default" w:ascii="Times New Roman" w:hAnsi="Times New Roman" w:cs="Times New Roman"/>
                <w:color w:val="auto"/>
                <w:sz w:val="21"/>
                <w:szCs w:val="21"/>
                <w:highlight w:val="none"/>
              </w:rPr>
              <w:t>计）</w:t>
            </w:r>
          </w:p>
        </w:tc>
        <w:tc>
          <w:tcPr>
            <w:tcW w:w="1827" w:type="dxa"/>
            <w:vAlign w:val="center"/>
          </w:tcPr>
          <w:p w14:paraId="2E78B3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r w14:paraId="55AE2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3617E9FE">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73540F4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937" w:type="dxa"/>
            <w:vAlign w:val="center"/>
          </w:tcPr>
          <w:p w14:paraId="07F9EB75">
            <w:pPr>
              <w:tabs>
                <w:tab w:val="center" w:pos="1413"/>
              </w:tabs>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总铬</w:t>
            </w:r>
          </w:p>
        </w:tc>
        <w:tc>
          <w:tcPr>
            <w:tcW w:w="1827" w:type="dxa"/>
            <w:vAlign w:val="center"/>
          </w:tcPr>
          <w:p w14:paraId="34104EA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r>
      <w:tr w14:paraId="6D7D3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FFA040B">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38B071A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937" w:type="dxa"/>
            <w:vAlign w:val="center"/>
          </w:tcPr>
          <w:p w14:paraId="2E6FCF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六价铬</w:t>
            </w:r>
          </w:p>
        </w:tc>
        <w:tc>
          <w:tcPr>
            <w:tcW w:w="1827" w:type="dxa"/>
            <w:vAlign w:val="center"/>
          </w:tcPr>
          <w:p w14:paraId="67218BA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3F329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5E291DD6">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401F283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937" w:type="dxa"/>
            <w:vAlign w:val="center"/>
          </w:tcPr>
          <w:p w14:paraId="2DF0F2A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铜（以总铜计）</w:t>
            </w:r>
          </w:p>
        </w:tc>
        <w:tc>
          <w:tcPr>
            <w:tcW w:w="1827" w:type="dxa"/>
            <w:vAlign w:val="center"/>
          </w:tcPr>
          <w:p w14:paraId="7EC23E2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32EF7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3286E3F">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18BFE39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937" w:type="dxa"/>
            <w:vAlign w:val="center"/>
          </w:tcPr>
          <w:p w14:paraId="025A171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锌（以总锌计）</w:t>
            </w:r>
          </w:p>
        </w:tc>
        <w:tc>
          <w:tcPr>
            <w:tcW w:w="1827" w:type="dxa"/>
            <w:vAlign w:val="center"/>
          </w:tcPr>
          <w:p w14:paraId="23966D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02210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5370089B">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0D7AEF4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937" w:type="dxa"/>
            <w:vAlign w:val="center"/>
          </w:tcPr>
          <w:p w14:paraId="55443FE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镍（以总镍计）</w:t>
            </w:r>
          </w:p>
        </w:tc>
        <w:tc>
          <w:tcPr>
            <w:tcW w:w="1827" w:type="dxa"/>
            <w:vAlign w:val="center"/>
          </w:tcPr>
          <w:p w14:paraId="15235B4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49A82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C4C0B4E">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1ED9E82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937" w:type="dxa"/>
            <w:vAlign w:val="center"/>
          </w:tcPr>
          <w:p w14:paraId="4772C41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砷（以总砷计）</w:t>
            </w:r>
          </w:p>
        </w:tc>
        <w:tc>
          <w:tcPr>
            <w:tcW w:w="1827" w:type="dxa"/>
            <w:vAlign w:val="center"/>
          </w:tcPr>
          <w:p w14:paraId="5B64E07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2373E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463BE7B">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6FD8DAD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937" w:type="dxa"/>
            <w:vAlign w:val="center"/>
          </w:tcPr>
          <w:p w14:paraId="51BAD83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铍（以总铍计）</w:t>
            </w:r>
          </w:p>
        </w:tc>
        <w:tc>
          <w:tcPr>
            <w:tcW w:w="1827" w:type="dxa"/>
            <w:vAlign w:val="center"/>
          </w:tcPr>
          <w:p w14:paraId="0535170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w:t>
            </w:r>
          </w:p>
        </w:tc>
      </w:tr>
      <w:tr w14:paraId="61766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A4E238B">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27E57E0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937" w:type="dxa"/>
            <w:vAlign w:val="center"/>
          </w:tcPr>
          <w:p w14:paraId="31838DF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钡（以总钡计）</w:t>
            </w:r>
          </w:p>
        </w:tc>
        <w:tc>
          <w:tcPr>
            <w:tcW w:w="1827" w:type="dxa"/>
            <w:vAlign w:val="center"/>
          </w:tcPr>
          <w:p w14:paraId="7601D55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305D2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8D0912F">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076593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937" w:type="dxa"/>
            <w:vAlign w:val="center"/>
          </w:tcPr>
          <w:p w14:paraId="2B09F04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总银</w:t>
            </w:r>
          </w:p>
        </w:tc>
        <w:tc>
          <w:tcPr>
            <w:tcW w:w="1827" w:type="dxa"/>
            <w:vAlign w:val="center"/>
          </w:tcPr>
          <w:p w14:paraId="0948376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0C6F3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46676065">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07D83AB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937" w:type="dxa"/>
            <w:vAlign w:val="center"/>
          </w:tcPr>
          <w:p w14:paraId="1632F9C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硒（以总硒计）</w:t>
            </w:r>
          </w:p>
        </w:tc>
        <w:tc>
          <w:tcPr>
            <w:tcW w:w="1827" w:type="dxa"/>
            <w:vAlign w:val="center"/>
          </w:tcPr>
          <w:p w14:paraId="1D69C8B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bl>
    <w:p w14:paraId="34067BD3">
      <w:pPr>
        <w:pStyle w:val="11"/>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体废物类别鉴别方法：按照GB5086规定方法进行浸出实验而获得的浸出液中，任何一种污染物的浓度均未超过《污水综合排放标准》（GB8978-1996）的最高允许排放浓度，且pH值在6～9范围之内的一般工业固体废物。</w:t>
      </w:r>
    </w:p>
    <w:p w14:paraId="1929AD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项目产生</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危险废物执行</w:t>
      </w:r>
      <w:r>
        <w:rPr>
          <w:rFonts w:hint="default" w:ascii="Times New Roman" w:hAnsi="Times New Roman" w:cs="Times New Roman"/>
          <w:bCs/>
          <w:color w:val="auto"/>
          <w:highlight w:val="none"/>
        </w:rPr>
        <w:t>《危险废物贮存污染控制标准》（GB18597-20</w:t>
      </w:r>
      <w:r>
        <w:rPr>
          <w:rFonts w:hint="default" w:ascii="Times New Roman" w:hAnsi="Times New Roman" w:cs="Times New Roman"/>
          <w:bCs/>
          <w:color w:val="auto"/>
          <w:highlight w:val="none"/>
          <w:lang w:val="en-US" w:eastAsia="zh-CN"/>
        </w:rPr>
        <w:t>23</w:t>
      </w:r>
      <w:r>
        <w:rPr>
          <w:rFonts w:hint="default" w:ascii="Times New Roman" w:hAnsi="Times New Roman" w:cs="Times New Roman"/>
          <w:bCs/>
          <w:color w:val="auto"/>
          <w:highlight w:val="none"/>
        </w:rPr>
        <w:t>）。</w:t>
      </w:r>
    </w:p>
    <w:p w14:paraId="0CA70CAA">
      <w:pPr>
        <w:pStyle w:val="3"/>
        <w:rPr>
          <w:rFonts w:hint="default" w:ascii="Times New Roman" w:hAnsi="Times New Roman" w:cs="Times New Roman"/>
          <w:color w:val="auto"/>
          <w:highlight w:val="none"/>
        </w:rPr>
      </w:pPr>
      <w:bookmarkStart w:id="214" w:name="_Toc273373252"/>
      <w:bookmarkStart w:id="215" w:name="_Toc12636"/>
      <w:bookmarkStart w:id="216" w:name="_Toc25028"/>
      <w:bookmarkStart w:id="217" w:name="_Toc276469897"/>
      <w:bookmarkStart w:id="218" w:name="_Toc7705"/>
      <w:bookmarkStart w:id="219" w:name="_Toc29892"/>
      <w:bookmarkStart w:id="220" w:name="_Toc107413882"/>
      <w:bookmarkStart w:id="221" w:name="_Toc312318138"/>
      <w:bookmarkStart w:id="222" w:name="_Toc286827182"/>
      <w:bookmarkStart w:id="223" w:name="_Toc474747835"/>
      <w:bookmarkStart w:id="224" w:name="_Toc20299"/>
      <w:bookmarkStart w:id="225" w:name="_Toc273372167"/>
      <w:bookmarkStart w:id="226" w:name="_Toc218485490"/>
      <w:bookmarkStart w:id="227" w:name="_Toc191903738"/>
      <w:bookmarkStart w:id="228" w:name="_Toc266374523"/>
      <w:bookmarkStart w:id="229" w:name="_Toc3507"/>
      <w:bookmarkStart w:id="230" w:name="_Toc21624"/>
      <w:bookmarkStart w:id="231" w:name="_Toc10208"/>
      <w:bookmarkStart w:id="232" w:name="_Toc28742"/>
      <w:bookmarkStart w:id="233" w:name="_Toc107414649"/>
      <w:bookmarkStart w:id="234" w:name="_Toc13885"/>
      <w:bookmarkStart w:id="235" w:name="_Toc29847"/>
      <w:bookmarkStart w:id="236" w:name="_Toc366104786"/>
      <w:bookmarkStart w:id="237" w:name="_Toc9923"/>
      <w:bookmarkStart w:id="238" w:name="_Toc190909896"/>
      <w:bookmarkStart w:id="239" w:name="_Toc30637"/>
      <w:bookmarkStart w:id="240" w:name="_Toc20103"/>
      <w:bookmarkStart w:id="241" w:name="_Toc20548"/>
      <w:bookmarkStart w:id="242" w:name="_Toc9312"/>
      <w:bookmarkStart w:id="243" w:name="_Toc21779"/>
      <w:bookmarkStart w:id="244" w:name="_Toc22368"/>
      <w:r>
        <w:rPr>
          <w:rFonts w:hint="default" w:ascii="Times New Roman" w:hAnsi="Times New Roman" w:cs="Times New Roman"/>
          <w:color w:val="auto"/>
          <w:highlight w:val="none"/>
        </w:rPr>
        <w:t>2.6评价等级和评价范围</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48A78E3C">
      <w:pPr>
        <w:pStyle w:val="4"/>
        <w:rPr>
          <w:rFonts w:hint="default" w:ascii="Times New Roman" w:hAnsi="Times New Roman" w:cs="Times New Roman"/>
          <w:color w:val="auto"/>
          <w:highlight w:val="none"/>
        </w:rPr>
      </w:pPr>
      <w:bookmarkStart w:id="245" w:name="_Toc17294"/>
      <w:bookmarkStart w:id="246" w:name="_Toc10891"/>
      <w:bookmarkStart w:id="247" w:name="_Toc31271"/>
      <w:bookmarkStart w:id="248" w:name="_Toc4802"/>
      <w:bookmarkStart w:id="249" w:name="_Toc29002"/>
      <w:bookmarkStart w:id="250" w:name="_Toc22807"/>
      <w:bookmarkStart w:id="251" w:name="_Toc27015"/>
      <w:bookmarkStart w:id="252" w:name="_Toc3723"/>
      <w:bookmarkStart w:id="253" w:name="_Toc22686"/>
      <w:r>
        <w:rPr>
          <w:rFonts w:hint="default" w:ascii="Times New Roman" w:hAnsi="Times New Roman" w:cs="Times New Roman"/>
          <w:color w:val="auto"/>
          <w:highlight w:val="none"/>
        </w:rPr>
        <w:t>2.6.1评价等级</w:t>
      </w:r>
      <w:bookmarkEnd w:id="245"/>
      <w:bookmarkEnd w:id="246"/>
      <w:bookmarkEnd w:id="247"/>
      <w:bookmarkEnd w:id="248"/>
      <w:bookmarkEnd w:id="249"/>
      <w:bookmarkEnd w:id="250"/>
      <w:bookmarkEnd w:id="251"/>
      <w:bookmarkEnd w:id="252"/>
      <w:bookmarkEnd w:id="253"/>
    </w:p>
    <w:p w14:paraId="6DA896F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2.6.1.1大气环境影响评价等级</w:t>
      </w:r>
    </w:p>
    <w:p w14:paraId="0EC9245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（1）判定依据</w:t>
      </w:r>
    </w:p>
    <w:p w14:paraId="196411D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大气环境》（HJ2.2-2018）中的推荐模式AERSCREEN，选择粉尘作为主要污染物，计算粉尘的最大地面空气质量浓度占标率</w:t>
      </w:r>
      <w:r>
        <w:rPr>
          <w:rFonts w:hint="default" w:ascii="Times New Roman" w:hAnsi="Times New Roman" w:cs="Times New Roman"/>
          <w:i/>
          <w:color w:val="auto"/>
          <w:highlight w:val="none"/>
        </w:rPr>
        <w:t>P</w:t>
      </w:r>
      <w:r>
        <w:rPr>
          <w:rFonts w:hint="default" w:ascii="Times New Roman" w:hAnsi="Times New Roman" w:cs="Times New Roman"/>
          <w:i/>
          <w:color w:val="auto"/>
          <w:highlight w:val="none"/>
          <w:vertAlign w:val="subscript"/>
        </w:rPr>
        <w:t>i</w:t>
      </w:r>
      <w:r>
        <w:rPr>
          <w:rFonts w:hint="default" w:ascii="Times New Roman" w:hAnsi="Times New Roman" w:cs="Times New Roman"/>
          <w:color w:val="auto"/>
          <w:highlight w:val="none"/>
        </w:rPr>
        <w:t>（第i个污染物），及第i个污染物的地面空气质量浓度达标值10%时所对应的最远距离D</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，其中</w:t>
      </w:r>
      <w:r>
        <w:rPr>
          <w:rFonts w:hint="default" w:ascii="Times New Roman" w:hAnsi="Times New Roman" w:cs="Times New Roman"/>
          <w:i/>
          <w:color w:val="auto"/>
          <w:highlight w:val="none"/>
        </w:rPr>
        <w:t>P</w:t>
      </w:r>
      <w:r>
        <w:rPr>
          <w:rFonts w:hint="default" w:ascii="Times New Roman" w:hAnsi="Times New Roman" w:cs="Times New Roman"/>
          <w:i/>
          <w:color w:val="auto"/>
          <w:highlight w:val="none"/>
          <w:vertAlign w:val="subscript"/>
        </w:rPr>
        <w:t>i</w:t>
      </w:r>
      <w:r>
        <w:rPr>
          <w:rFonts w:hint="default" w:ascii="Times New Roman" w:hAnsi="Times New Roman" w:cs="Times New Roman"/>
          <w:color w:val="auto"/>
          <w:highlight w:val="none"/>
        </w:rPr>
        <w:t>定义为：</w:t>
      </w:r>
    </w:p>
    <w:p w14:paraId="1B420D62">
      <w:pPr>
        <w:overflowPunct w:val="0"/>
        <w:topLinePun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oi</w:t>
      </w:r>
      <w:r>
        <w:rPr>
          <w:rFonts w:hint="default" w:ascii="Times New Roman" w:hAnsi="Times New Roman" w:cs="Times New Roman"/>
          <w:color w:val="auto"/>
          <w:highlight w:val="none"/>
        </w:rPr>
        <w:t>×100%</w:t>
      </w:r>
    </w:p>
    <w:p w14:paraId="1E0A40A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—第i个污染物的最大地面空气质量浓度占标率，%；</w:t>
      </w:r>
    </w:p>
    <w:p w14:paraId="14905B4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C</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—采用估算模式计算出的第i个污染物的最大1h地面空气质量浓度，mg/m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08DCD8C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C</w:t>
      </w:r>
      <w:r>
        <w:rPr>
          <w:rFonts w:hint="default" w:ascii="Times New Roman" w:hAnsi="Times New Roman" w:cs="Times New Roman"/>
          <w:color w:val="auto"/>
          <w:highlight w:val="none"/>
          <w:vertAlign w:val="subscript"/>
        </w:rPr>
        <w:t>oi</w:t>
      </w:r>
      <w:r>
        <w:rPr>
          <w:rFonts w:hint="default" w:ascii="Times New Roman" w:hAnsi="Times New Roman" w:cs="Times New Roman"/>
          <w:color w:val="auto"/>
          <w:highlight w:val="none"/>
        </w:rPr>
        <w:t>—第i个污染物的环境空气质量标准，ug/m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；一般选用GB3095中1小时平均质量浓度的二级浓度限值。</w:t>
      </w:r>
    </w:p>
    <w:p w14:paraId="2F0E8D00">
      <w:pPr>
        <w:overflowPunct w:val="0"/>
        <w:topLinePunct/>
        <w:ind w:firstLine="470" w:firstLineChars="19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大气环境影响评价工作等级判据见表2.6-1。</w:t>
      </w:r>
    </w:p>
    <w:p w14:paraId="3096B5B1">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表2.6-1    大气环境影响评价工作等级</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546"/>
        <w:gridCol w:w="6974"/>
      </w:tblGrid>
      <w:tr w14:paraId="0961C28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709C060B">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评价工作等级</w:t>
            </w:r>
          </w:p>
        </w:tc>
        <w:tc>
          <w:tcPr>
            <w:tcW w:w="6974" w:type="dxa"/>
            <w:vAlign w:val="center"/>
          </w:tcPr>
          <w:p w14:paraId="6D9545E9">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评价工作分级判据</w:t>
            </w:r>
          </w:p>
        </w:tc>
      </w:tr>
      <w:tr w14:paraId="51EC87D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37F5DDF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一级</w:t>
            </w:r>
          </w:p>
        </w:tc>
        <w:tc>
          <w:tcPr>
            <w:tcW w:w="6974" w:type="dxa"/>
            <w:vAlign w:val="center"/>
          </w:tcPr>
          <w:p w14:paraId="5EFDFD59">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w:t>
            </w:r>
            <w:r>
              <w:rPr>
                <w:rFonts w:hint="default" w:ascii="Times New Roman" w:hAnsi="Times New Roman" w:cs="Times New Roman"/>
                <w:color w:val="auto"/>
                <w:kern w:val="0"/>
                <w:sz w:val="21"/>
                <w:szCs w:val="21"/>
                <w:highlight w:val="none"/>
                <w:vertAlign w:val="subscript"/>
              </w:rPr>
              <w:t>max</w:t>
            </w:r>
            <w:r>
              <w:rPr>
                <w:rFonts w:hint="default" w:ascii="Times New Roman" w:hAnsi="Times New Roman" w:cs="Times New Roman"/>
                <w:color w:val="auto"/>
                <w:kern w:val="0"/>
                <w:sz w:val="21"/>
                <w:szCs w:val="21"/>
                <w:highlight w:val="none"/>
              </w:rPr>
              <w:t>≥10%</w:t>
            </w:r>
          </w:p>
        </w:tc>
      </w:tr>
      <w:tr w14:paraId="50C1E1C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5AF621F8">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二级</w:t>
            </w:r>
          </w:p>
        </w:tc>
        <w:tc>
          <w:tcPr>
            <w:tcW w:w="6974" w:type="dxa"/>
            <w:vAlign w:val="center"/>
          </w:tcPr>
          <w:p w14:paraId="3BB3F1DD">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1%≤P</w:t>
            </w:r>
            <w:r>
              <w:rPr>
                <w:rFonts w:hint="default" w:ascii="Times New Roman" w:hAnsi="Times New Roman" w:cs="Times New Roman"/>
                <w:color w:val="auto"/>
                <w:kern w:val="0"/>
                <w:sz w:val="21"/>
                <w:szCs w:val="21"/>
                <w:highlight w:val="none"/>
                <w:vertAlign w:val="subscript"/>
              </w:rPr>
              <w:t>max</w:t>
            </w:r>
            <w:r>
              <w:rPr>
                <w:rFonts w:hint="default" w:ascii="Times New Roman" w:hAnsi="Times New Roman" w:cs="Times New Roman"/>
                <w:color w:val="auto"/>
                <w:kern w:val="0"/>
                <w:sz w:val="21"/>
                <w:szCs w:val="21"/>
                <w:highlight w:val="none"/>
              </w:rPr>
              <w:t>＜10%</w:t>
            </w:r>
          </w:p>
        </w:tc>
      </w:tr>
      <w:tr w14:paraId="37C60A0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48AB7A69">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三级</w:t>
            </w:r>
          </w:p>
        </w:tc>
        <w:tc>
          <w:tcPr>
            <w:tcW w:w="6974" w:type="dxa"/>
            <w:vAlign w:val="center"/>
          </w:tcPr>
          <w:p w14:paraId="6B37275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w:t>
            </w:r>
            <w:r>
              <w:rPr>
                <w:rFonts w:hint="default" w:ascii="Times New Roman" w:hAnsi="Times New Roman" w:cs="Times New Roman"/>
                <w:color w:val="auto"/>
                <w:kern w:val="0"/>
                <w:sz w:val="21"/>
                <w:szCs w:val="21"/>
                <w:highlight w:val="none"/>
                <w:vertAlign w:val="subscript"/>
              </w:rPr>
              <w:t>max</w:t>
            </w:r>
            <w:r>
              <w:rPr>
                <w:rFonts w:hint="default" w:ascii="Times New Roman" w:hAnsi="Times New Roman" w:cs="Times New Roman"/>
                <w:color w:val="auto"/>
                <w:kern w:val="0"/>
                <w:sz w:val="21"/>
                <w:szCs w:val="21"/>
                <w:highlight w:val="none"/>
              </w:rPr>
              <w:t>&lt;1%</w:t>
            </w:r>
          </w:p>
        </w:tc>
      </w:tr>
    </w:tbl>
    <w:p w14:paraId="13664FFD">
      <w:pPr>
        <w:overflowPunct w:val="0"/>
        <w:topLinePunct/>
        <w:ind w:firstLine="480"/>
        <w:rPr>
          <w:rFonts w:hint="default" w:ascii="Times New Roman" w:hAnsi="Times New Roman" w:cs="Times New Roman"/>
          <w:color w:val="auto"/>
          <w:kern w:val="0"/>
          <w:szCs w:val="22"/>
          <w:highlight w:val="none"/>
        </w:rPr>
      </w:pPr>
      <w:r>
        <w:rPr>
          <w:rFonts w:hint="default" w:ascii="Times New Roman" w:hAnsi="Times New Roman" w:cs="Times New Roman"/>
          <w:color w:val="auto"/>
          <w:kern w:val="0"/>
          <w:szCs w:val="22"/>
          <w:highlight w:val="none"/>
        </w:rPr>
        <w:t>（2）采用数据及评价结果</w:t>
      </w:r>
    </w:p>
    <w:p w14:paraId="1BD1EEA1">
      <w:pPr>
        <w:overflowPunct w:val="0"/>
        <w:topLinePunct/>
        <w:ind w:firstLine="480"/>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highlight w:val="none"/>
        </w:rPr>
        <w:t>根据项目初步工</w:t>
      </w:r>
      <w:r>
        <w:rPr>
          <w:rFonts w:hint="default" w:ascii="Times New Roman" w:hAnsi="Times New Roman" w:cs="Times New Roman"/>
          <w:color w:val="auto"/>
          <w:kern w:val="0"/>
          <w:szCs w:val="20"/>
          <w:highlight w:val="none"/>
        </w:rPr>
        <w:t>程分析，选取了选矿厂有组织</w:t>
      </w:r>
      <w:r>
        <w:rPr>
          <w:rFonts w:hint="default" w:cs="Times New Roman"/>
          <w:color w:val="auto"/>
          <w:kern w:val="0"/>
          <w:szCs w:val="20"/>
          <w:highlight w:val="none"/>
          <w:lang w:val="en-US" w:eastAsia="zh-CN"/>
        </w:rPr>
        <w:t>及无组织</w:t>
      </w:r>
      <w:r>
        <w:rPr>
          <w:rFonts w:hint="default" w:ascii="Times New Roman" w:hAnsi="Times New Roman" w:cs="Times New Roman"/>
          <w:color w:val="auto"/>
          <w:kern w:val="0"/>
          <w:szCs w:val="20"/>
          <w:highlight w:val="none"/>
        </w:rPr>
        <w:t>、尾矿库无组织粉尘进行预测，污染因子为颗粒物。本评价根据其排放污染物源强，利用导则推荐的估算模式AERSCREEN，对上述污染源进行预测，计算</w:t>
      </w:r>
      <w:r>
        <w:rPr>
          <w:rFonts w:hint="default" w:ascii="Times New Roman" w:hAnsi="Times New Roman" w:eastAsia="Times New Roman" w:cs="Times New Roman"/>
          <w:color w:val="auto"/>
          <w:kern w:val="0"/>
          <w:szCs w:val="20"/>
          <w:highlight w:val="none"/>
        </w:rPr>
        <w:t>P</w:t>
      </w:r>
      <w:r>
        <w:rPr>
          <w:rFonts w:hint="default" w:ascii="Times New Roman" w:hAnsi="Times New Roman" w:eastAsia="Times New Roman" w:cs="Times New Roman"/>
          <w:color w:val="auto"/>
          <w:kern w:val="0"/>
          <w:szCs w:val="20"/>
          <w:highlight w:val="none"/>
          <w:vertAlign w:val="subscript"/>
        </w:rPr>
        <w:t>max</w:t>
      </w:r>
      <w:r>
        <w:rPr>
          <w:rFonts w:hint="default" w:ascii="Times New Roman" w:hAnsi="Times New Roman" w:cs="Times New Roman"/>
          <w:color w:val="auto"/>
          <w:kern w:val="0"/>
          <w:szCs w:val="20"/>
          <w:highlight w:val="none"/>
        </w:rPr>
        <w:t>（</w:t>
      </w:r>
      <w:r>
        <w:rPr>
          <w:rFonts w:hint="default" w:ascii="Times New Roman" w:hAnsi="Times New Roman" w:eastAsia="Times New Roman" w:cs="Times New Roman"/>
          <w:color w:val="auto"/>
          <w:kern w:val="0"/>
          <w:szCs w:val="20"/>
          <w:highlight w:val="none"/>
        </w:rPr>
        <w:t>P</w:t>
      </w:r>
      <w:r>
        <w:rPr>
          <w:rFonts w:hint="default" w:ascii="Times New Roman" w:hAnsi="Times New Roman" w:eastAsia="Times New Roman" w:cs="Times New Roman"/>
          <w:color w:val="auto"/>
          <w:kern w:val="0"/>
          <w:szCs w:val="20"/>
          <w:highlight w:val="none"/>
          <w:vertAlign w:val="subscript"/>
        </w:rPr>
        <w:t>i</w:t>
      </w:r>
      <w:r>
        <w:rPr>
          <w:rFonts w:hint="default" w:ascii="Times New Roman" w:hAnsi="Times New Roman" w:cs="Times New Roman"/>
          <w:color w:val="auto"/>
          <w:kern w:val="0"/>
          <w:szCs w:val="20"/>
          <w:highlight w:val="none"/>
        </w:rPr>
        <w:t>值中最大者）和</w:t>
      </w:r>
      <w:r>
        <w:rPr>
          <w:rFonts w:hint="default" w:ascii="Times New Roman" w:hAnsi="Times New Roman" w:eastAsia="Times New Roman" w:cs="Times New Roman"/>
          <w:color w:val="auto"/>
          <w:kern w:val="0"/>
          <w:szCs w:val="20"/>
          <w:highlight w:val="none"/>
        </w:rPr>
        <w:t>D</w:t>
      </w:r>
      <w:r>
        <w:rPr>
          <w:rFonts w:hint="default" w:ascii="Times New Roman" w:hAnsi="Times New Roman" w:eastAsia="Times New Roman" w:cs="Times New Roman"/>
          <w:color w:val="auto"/>
          <w:kern w:val="0"/>
          <w:szCs w:val="20"/>
          <w:highlight w:val="none"/>
          <w:vertAlign w:val="subscript"/>
        </w:rPr>
        <w:t>10%</w:t>
      </w:r>
      <w:r>
        <w:rPr>
          <w:rFonts w:hint="default" w:ascii="Times New Roman" w:hAnsi="Times New Roman" w:cs="Times New Roman"/>
          <w:color w:val="auto"/>
          <w:kern w:val="0"/>
          <w:szCs w:val="20"/>
          <w:highlight w:val="none"/>
        </w:rPr>
        <w:t>（占标率为</w:t>
      </w:r>
      <w:r>
        <w:rPr>
          <w:rFonts w:hint="default" w:ascii="Times New Roman" w:hAnsi="Times New Roman" w:eastAsia="Times New Roman" w:cs="Times New Roman"/>
          <w:color w:val="auto"/>
          <w:kern w:val="0"/>
          <w:szCs w:val="20"/>
          <w:highlight w:val="none"/>
        </w:rPr>
        <w:t>10%</w:t>
      </w:r>
      <w:r>
        <w:rPr>
          <w:rFonts w:hint="default" w:ascii="Times New Roman" w:hAnsi="Times New Roman" w:cs="Times New Roman"/>
          <w:color w:val="auto"/>
          <w:kern w:val="0"/>
          <w:szCs w:val="20"/>
          <w:highlight w:val="none"/>
        </w:rPr>
        <w:t>时所对应的最远距离）</w:t>
      </w:r>
    </w:p>
    <w:p w14:paraId="62AE4AA7">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表2.6-2    估算模型参数表</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97"/>
        <w:gridCol w:w="2149"/>
        <w:gridCol w:w="3173"/>
      </w:tblGrid>
      <w:tr w14:paraId="1A60D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6" w:type="dxa"/>
            <w:gridSpan w:val="2"/>
            <w:tcBorders>
              <w:tl2br w:val="nil"/>
              <w:tr2bl w:val="nil"/>
            </w:tcBorders>
            <w:vAlign w:val="center"/>
          </w:tcPr>
          <w:p w14:paraId="4EFA558A">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参数</w:t>
            </w:r>
          </w:p>
        </w:tc>
        <w:tc>
          <w:tcPr>
            <w:tcW w:w="3173" w:type="dxa"/>
            <w:tcBorders>
              <w:tl2br w:val="nil"/>
              <w:tr2bl w:val="nil"/>
            </w:tcBorders>
            <w:vAlign w:val="center"/>
          </w:tcPr>
          <w:p w14:paraId="37E72AAF">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取值</w:t>
            </w:r>
          </w:p>
        </w:tc>
      </w:tr>
      <w:tr w14:paraId="44E17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restart"/>
            <w:tcBorders>
              <w:tl2br w:val="nil"/>
              <w:tr2bl w:val="nil"/>
            </w:tcBorders>
            <w:vAlign w:val="center"/>
          </w:tcPr>
          <w:p w14:paraId="2D58DBED">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城市/农村选项</w:t>
            </w:r>
          </w:p>
        </w:tc>
        <w:tc>
          <w:tcPr>
            <w:tcW w:w="2149" w:type="dxa"/>
            <w:tcBorders>
              <w:tl2br w:val="nil"/>
              <w:tr2bl w:val="nil"/>
            </w:tcBorders>
            <w:vAlign w:val="center"/>
          </w:tcPr>
          <w:p w14:paraId="0B9A7E9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w:t>
            </w:r>
          </w:p>
        </w:tc>
        <w:tc>
          <w:tcPr>
            <w:tcW w:w="3173" w:type="dxa"/>
            <w:tcBorders>
              <w:tl2br w:val="nil"/>
              <w:tr2bl w:val="nil"/>
            </w:tcBorders>
            <w:vAlign w:val="center"/>
          </w:tcPr>
          <w:p w14:paraId="499AB322">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农村</w:t>
            </w:r>
          </w:p>
        </w:tc>
      </w:tr>
      <w:tr w14:paraId="64AF0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1B67965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55E26E2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人口数（城市选项时）</w:t>
            </w:r>
          </w:p>
        </w:tc>
        <w:tc>
          <w:tcPr>
            <w:tcW w:w="3173" w:type="dxa"/>
            <w:tcBorders>
              <w:tl2br w:val="nil"/>
              <w:tr2bl w:val="nil"/>
            </w:tcBorders>
            <w:vAlign w:val="center"/>
          </w:tcPr>
          <w:p w14:paraId="2F2129CA">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4B8DE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2CC3C65C">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最高环境温度/℃</w:t>
            </w:r>
          </w:p>
        </w:tc>
        <w:tc>
          <w:tcPr>
            <w:tcW w:w="3173" w:type="dxa"/>
            <w:tcBorders>
              <w:tl2br w:val="nil"/>
              <w:tr2bl w:val="nil"/>
            </w:tcBorders>
            <w:vAlign w:val="center"/>
          </w:tcPr>
          <w:p w14:paraId="45A5376A">
            <w:pPr>
              <w:pStyle w:val="132"/>
              <w:bidi w:val="0"/>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lang w:val="en-US" w:eastAsia="zh-CN"/>
              </w:rPr>
              <w:t>38.7</w:t>
            </w:r>
          </w:p>
        </w:tc>
      </w:tr>
      <w:tr w14:paraId="38199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6D7DBC06">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最低环境温度/℃</w:t>
            </w:r>
          </w:p>
        </w:tc>
        <w:tc>
          <w:tcPr>
            <w:tcW w:w="3173" w:type="dxa"/>
            <w:tcBorders>
              <w:tl2br w:val="nil"/>
              <w:tr2bl w:val="nil"/>
            </w:tcBorders>
            <w:vAlign w:val="center"/>
          </w:tcPr>
          <w:p w14:paraId="68F48D52">
            <w:pPr>
              <w:pStyle w:val="132"/>
              <w:bidi w:val="0"/>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highlight w:val="none"/>
                <w:lang w:val="en-US" w:eastAsia="zh-CN"/>
              </w:rPr>
              <w:t>-49.8</w:t>
            </w:r>
          </w:p>
        </w:tc>
      </w:tr>
      <w:tr w14:paraId="275C0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6939F342">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土地利用类型</w:t>
            </w:r>
          </w:p>
        </w:tc>
        <w:tc>
          <w:tcPr>
            <w:tcW w:w="3173" w:type="dxa"/>
            <w:tcBorders>
              <w:tl2br w:val="nil"/>
              <w:tr2bl w:val="nil"/>
            </w:tcBorders>
            <w:vAlign w:val="center"/>
          </w:tcPr>
          <w:p w14:paraId="0C0A958E">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草地</w:t>
            </w:r>
          </w:p>
        </w:tc>
      </w:tr>
      <w:tr w14:paraId="7BD00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193AA84E">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区域湿度条件</w:t>
            </w:r>
          </w:p>
        </w:tc>
        <w:tc>
          <w:tcPr>
            <w:tcW w:w="3173" w:type="dxa"/>
            <w:tcBorders>
              <w:tl2br w:val="nil"/>
              <w:tr2bl w:val="nil"/>
            </w:tcBorders>
            <w:vAlign w:val="center"/>
          </w:tcPr>
          <w:p w14:paraId="160B33B0">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干燥气候</w:t>
            </w:r>
          </w:p>
        </w:tc>
      </w:tr>
      <w:tr w14:paraId="75577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restart"/>
            <w:tcBorders>
              <w:tl2br w:val="nil"/>
              <w:tr2bl w:val="nil"/>
            </w:tcBorders>
            <w:vAlign w:val="center"/>
          </w:tcPr>
          <w:p w14:paraId="26CA1065">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是否考虑地形</w:t>
            </w:r>
          </w:p>
        </w:tc>
        <w:tc>
          <w:tcPr>
            <w:tcW w:w="2149" w:type="dxa"/>
            <w:tcBorders>
              <w:tl2br w:val="nil"/>
              <w:tr2bl w:val="nil"/>
            </w:tcBorders>
            <w:vAlign w:val="center"/>
          </w:tcPr>
          <w:p w14:paraId="1B0023C8">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考虑地形</w:t>
            </w:r>
          </w:p>
        </w:tc>
        <w:tc>
          <w:tcPr>
            <w:tcW w:w="3173" w:type="dxa"/>
            <w:tcBorders>
              <w:tl2br w:val="nil"/>
              <w:tr2bl w:val="nil"/>
            </w:tcBorders>
            <w:vAlign w:val="center"/>
          </w:tcPr>
          <w:p w14:paraId="7451BFD9">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w:t>
            </w:r>
          </w:p>
        </w:tc>
      </w:tr>
      <w:tr w14:paraId="3F032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2242EB77">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5CAD52A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地形数据分辨率/m</w:t>
            </w:r>
          </w:p>
        </w:tc>
        <w:tc>
          <w:tcPr>
            <w:tcW w:w="3173" w:type="dxa"/>
            <w:tcBorders>
              <w:tl2br w:val="nil"/>
              <w:tr2bl w:val="nil"/>
            </w:tcBorders>
            <w:vAlign w:val="center"/>
          </w:tcPr>
          <w:p w14:paraId="265609F5">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r>
      <w:tr w14:paraId="55E43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restart"/>
            <w:tcBorders>
              <w:tl2br w:val="nil"/>
              <w:tr2bl w:val="nil"/>
            </w:tcBorders>
            <w:vAlign w:val="center"/>
          </w:tcPr>
          <w:p w14:paraId="08D150A7">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是否考虑岸线熏烟</w:t>
            </w:r>
          </w:p>
        </w:tc>
        <w:tc>
          <w:tcPr>
            <w:tcW w:w="2149" w:type="dxa"/>
            <w:tcBorders>
              <w:tl2br w:val="nil"/>
              <w:tr2bl w:val="nil"/>
            </w:tcBorders>
            <w:vAlign w:val="center"/>
          </w:tcPr>
          <w:p w14:paraId="0A691E5D">
            <w:pPr>
              <w:pStyle w:val="50"/>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考虑岸线熏烟</w:t>
            </w:r>
          </w:p>
        </w:tc>
        <w:tc>
          <w:tcPr>
            <w:tcW w:w="3173" w:type="dxa"/>
            <w:tcBorders>
              <w:tl2br w:val="nil"/>
              <w:tr2bl w:val="nil"/>
            </w:tcBorders>
            <w:vAlign w:val="center"/>
          </w:tcPr>
          <w:p w14:paraId="44A4650B">
            <w:pPr>
              <w:pStyle w:val="50"/>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□是  ☑否</w:t>
            </w:r>
          </w:p>
        </w:tc>
      </w:tr>
      <w:tr w14:paraId="2640F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7AC744F0">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30DD707A">
            <w:pPr>
              <w:pStyle w:val="50"/>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岸线距离/km</w:t>
            </w:r>
          </w:p>
        </w:tc>
        <w:tc>
          <w:tcPr>
            <w:tcW w:w="3173" w:type="dxa"/>
            <w:tcBorders>
              <w:tl2br w:val="nil"/>
              <w:tr2bl w:val="nil"/>
            </w:tcBorders>
            <w:vAlign w:val="center"/>
          </w:tcPr>
          <w:p w14:paraId="2DC966AF">
            <w:pPr>
              <w:pStyle w:val="50"/>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w:t>
            </w:r>
          </w:p>
        </w:tc>
      </w:tr>
      <w:tr w14:paraId="486A7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5D95F30A">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11662A2E">
            <w:pPr>
              <w:pStyle w:val="50"/>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岸线方向/°</w:t>
            </w:r>
          </w:p>
        </w:tc>
        <w:tc>
          <w:tcPr>
            <w:tcW w:w="3173" w:type="dxa"/>
            <w:tcBorders>
              <w:tl2br w:val="nil"/>
              <w:tr2bl w:val="nil"/>
            </w:tcBorders>
            <w:vAlign w:val="center"/>
          </w:tcPr>
          <w:p w14:paraId="00FA8E12">
            <w:pPr>
              <w:pStyle w:val="50"/>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w:t>
            </w:r>
          </w:p>
        </w:tc>
      </w:tr>
    </w:tbl>
    <w:p w14:paraId="39943884">
      <w:pPr>
        <w:ind w:firstLine="0" w:firstLineChars="0"/>
        <w:jc w:val="center"/>
        <w:rPr>
          <w:rFonts w:hint="default" w:ascii="Times New Roman" w:hAnsi="Times New Roman" w:eastAsia="宋体" w:cs="Times New Roman"/>
          <w:b/>
          <w:color w:val="auto"/>
          <w:kern w:val="0"/>
          <w:highlight w:val="none"/>
          <w:lang w:eastAsia="zh-CN"/>
        </w:rPr>
      </w:pPr>
      <w:r>
        <w:rPr>
          <w:rFonts w:hint="default" w:ascii="Times New Roman" w:hAnsi="Times New Roman" w:cs="Times New Roman"/>
          <w:b/>
          <w:color w:val="auto"/>
          <w:kern w:val="0"/>
          <w:highlight w:val="none"/>
        </w:rPr>
        <w:t>表2.6</w:t>
      </w:r>
      <w:r>
        <w:rPr>
          <w:rFonts w:hint="default" w:ascii="Times New Roman" w:hAnsi="Times New Roman" w:cs="Times New Roman"/>
          <w:b/>
          <w:color w:val="auto"/>
          <w:kern w:val="0"/>
          <w:highlight w:val="none"/>
        </w:rPr>
        <w:noBreakHyphen/>
      </w:r>
      <w:r>
        <w:rPr>
          <w:rFonts w:hint="default" w:ascii="Times New Roman" w:hAnsi="Times New Roman" w:cs="Times New Roman"/>
          <w:b/>
          <w:color w:val="auto"/>
          <w:kern w:val="0"/>
          <w:highlight w:val="none"/>
        </w:rPr>
        <w:t>3</w:t>
      </w:r>
      <w:r>
        <w:rPr>
          <w:rFonts w:hint="default" w:ascii="Times New Roman" w:hAnsi="Times New Roman" w:cs="Times New Roman"/>
          <w:color w:val="auto"/>
          <w:highlight w:val="none"/>
        </w:rPr>
        <w:t xml:space="preserve">    </w:t>
      </w:r>
      <w:r>
        <w:rPr>
          <w:rFonts w:hint="default" w:ascii="Times New Roman" w:hAnsi="Times New Roman" w:cs="Times New Roman"/>
          <w:b/>
          <w:color w:val="auto"/>
          <w:kern w:val="0"/>
          <w:highlight w:val="none"/>
        </w:rPr>
        <w:t>估算模式主要计算参数一览表</w:t>
      </w:r>
      <w:r>
        <w:rPr>
          <w:rFonts w:hint="default" w:cs="Times New Roman"/>
          <w:b/>
          <w:color w:val="auto"/>
          <w:kern w:val="0"/>
          <w:highlight w:val="none"/>
          <w:lang w:eastAsia="zh-CN"/>
        </w:rPr>
        <w:t>（</w:t>
      </w:r>
      <w:r>
        <w:rPr>
          <w:rFonts w:hint="default" w:cs="Times New Roman"/>
          <w:b/>
          <w:color w:val="auto"/>
          <w:kern w:val="0"/>
          <w:highlight w:val="none"/>
          <w:lang w:val="en-US" w:eastAsia="zh-CN"/>
        </w:rPr>
        <w:t>有组织</w:t>
      </w:r>
      <w:r>
        <w:rPr>
          <w:rFonts w:hint="default" w:cs="Times New Roman"/>
          <w:b/>
          <w:color w:val="auto"/>
          <w:kern w:val="0"/>
          <w:highlight w:val="none"/>
          <w:lang w:eastAsia="zh-CN"/>
        </w:rPr>
        <w:t>）</w:t>
      </w:r>
    </w:p>
    <w:tbl>
      <w:tblPr>
        <w:tblStyle w:val="33"/>
        <w:tblW w:w="503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01"/>
        <w:gridCol w:w="1199"/>
        <w:gridCol w:w="326"/>
        <w:gridCol w:w="376"/>
        <w:gridCol w:w="742"/>
        <w:gridCol w:w="704"/>
        <w:gridCol w:w="601"/>
        <w:gridCol w:w="925"/>
        <w:gridCol w:w="850"/>
        <w:gridCol w:w="497"/>
        <w:gridCol w:w="594"/>
        <w:gridCol w:w="1173"/>
      </w:tblGrid>
      <w:tr w14:paraId="64CB4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39" w:type="pct"/>
            <w:vMerge w:val="restart"/>
            <w:tcBorders>
              <w:tl2br w:val="nil"/>
              <w:tr2bl w:val="nil"/>
            </w:tcBorders>
            <w:noWrap w:val="0"/>
            <w:tcMar>
              <w:left w:w="0" w:type="dxa"/>
              <w:right w:w="0" w:type="dxa"/>
            </w:tcMar>
            <w:vAlign w:val="center"/>
          </w:tcPr>
          <w:p w14:paraId="7F6516CE">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编号</w:t>
            </w:r>
          </w:p>
        </w:tc>
        <w:tc>
          <w:tcPr>
            <w:tcW w:w="714" w:type="pct"/>
            <w:vMerge w:val="restart"/>
            <w:tcBorders>
              <w:tl2br w:val="nil"/>
              <w:tr2bl w:val="nil"/>
            </w:tcBorders>
            <w:noWrap w:val="0"/>
            <w:tcMar>
              <w:left w:w="0" w:type="dxa"/>
              <w:right w:w="0" w:type="dxa"/>
            </w:tcMar>
            <w:vAlign w:val="center"/>
          </w:tcPr>
          <w:p w14:paraId="7ED95A87">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污染源名称</w:t>
            </w:r>
          </w:p>
        </w:tc>
        <w:tc>
          <w:tcPr>
            <w:tcW w:w="418" w:type="pct"/>
            <w:gridSpan w:val="2"/>
            <w:tcBorders>
              <w:tl2br w:val="nil"/>
              <w:tr2bl w:val="nil"/>
            </w:tcBorders>
            <w:noWrap w:val="0"/>
            <w:tcMar>
              <w:left w:w="0" w:type="dxa"/>
              <w:right w:w="0" w:type="dxa"/>
            </w:tcMar>
            <w:vAlign w:val="center"/>
          </w:tcPr>
          <w:p w14:paraId="04AA4A57">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坐标/m</w:t>
            </w:r>
          </w:p>
        </w:tc>
        <w:tc>
          <w:tcPr>
            <w:tcW w:w="442" w:type="pct"/>
            <w:vMerge w:val="restart"/>
            <w:tcBorders>
              <w:tl2br w:val="nil"/>
              <w:tr2bl w:val="nil"/>
            </w:tcBorders>
            <w:noWrap w:val="0"/>
            <w:tcMar>
              <w:left w:w="0" w:type="dxa"/>
              <w:right w:w="0" w:type="dxa"/>
            </w:tcMar>
            <w:vAlign w:val="center"/>
          </w:tcPr>
          <w:p w14:paraId="75B4AB3B">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排气筒底部</w:t>
            </w:r>
            <w:r>
              <w:rPr>
                <w:rFonts w:hint="default" w:ascii="Times New Roman" w:hAnsi="Times New Roman" w:eastAsia="宋体" w:cs="Times New Roman"/>
                <w:b/>
                <w:bCs/>
                <w:color w:val="auto"/>
                <w:kern w:val="0"/>
                <w:sz w:val="21"/>
                <w:szCs w:val="21"/>
                <w:highlight w:val="none"/>
              </w:rPr>
              <w:t>海拔</w:t>
            </w:r>
            <w:r>
              <w:rPr>
                <w:rFonts w:hint="default" w:ascii="Times New Roman" w:hAnsi="Times New Roman" w:eastAsia="宋体" w:cs="Times New Roman"/>
                <w:b/>
                <w:bCs/>
                <w:color w:val="auto"/>
                <w:kern w:val="0"/>
                <w:sz w:val="21"/>
                <w:szCs w:val="21"/>
                <w:highlight w:val="none"/>
                <w:lang w:val="en-US" w:eastAsia="zh-CN"/>
              </w:rPr>
              <w:t>高度</w:t>
            </w:r>
            <w:r>
              <w:rPr>
                <w:rFonts w:hint="default" w:ascii="Times New Roman" w:hAnsi="Times New Roman" w:eastAsia="宋体" w:cs="Times New Roman"/>
                <w:b/>
                <w:bCs/>
                <w:color w:val="auto"/>
                <w:kern w:val="0"/>
                <w:sz w:val="21"/>
                <w:szCs w:val="21"/>
                <w:highlight w:val="none"/>
              </w:rPr>
              <w:t>/m</w:t>
            </w:r>
          </w:p>
        </w:tc>
        <w:tc>
          <w:tcPr>
            <w:tcW w:w="419" w:type="pct"/>
            <w:vMerge w:val="restart"/>
            <w:tcBorders>
              <w:tl2br w:val="nil"/>
              <w:tr2bl w:val="nil"/>
            </w:tcBorders>
            <w:noWrap w:val="0"/>
            <w:tcMar>
              <w:left w:w="0" w:type="dxa"/>
              <w:right w:w="0" w:type="dxa"/>
            </w:tcMar>
            <w:vAlign w:val="center"/>
          </w:tcPr>
          <w:p w14:paraId="3BC8552B">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排气筒高度/m</w:t>
            </w:r>
          </w:p>
        </w:tc>
        <w:tc>
          <w:tcPr>
            <w:tcW w:w="358" w:type="pct"/>
            <w:vMerge w:val="restart"/>
            <w:tcBorders>
              <w:tl2br w:val="nil"/>
              <w:tr2bl w:val="nil"/>
            </w:tcBorders>
            <w:noWrap w:val="0"/>
            <w:tcMar>
              <w:left w:w="0" w:type="dxa"/>
              <w:right w:w="0" w:type="dxa"/>
            </w:tcMar>
            <w:vAlign w:val="center"/>
          </w:tcPr>
          <w:p w14:paraId="62516380">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排气筒出口内径/m</w:t>
            </w:r>
          </w:p>
        </w:tc>
        <w:tc>
          <w:tcPr>
            <w:tcW w:w="551" w:type="pct"/>
            <w:vMerge w:val="restart"/>
            <w:tcBorders>
              <w:tl2br w:val="nil"/>
              <w:tr2bl w:val="nil"/>
            </w:tcBorders>
            <w:noWrap w:val="0"/>
            <w:vAlign w:val="center"/>
          </w:tcPr>
          <w:p w14:paraId="205099E7">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烟气流速（m/s）</w:t>
            </w:r>
          </w:p>
        </w:tc>
        <w:tc>
          <w:tcPr>
            <w:tcW w:w="506" w:type="pct"/>
            <w:vMerge w:val="restart"/>
            <w:tcBorders>
              <w:tl2br w:val="nil"/>
              <w:tr2bl w:val="nil"/>
            </w:tcBorders>
            <w:noWrap w:val="0"/>
            <w:vAlign w:val="center"/>
          </w:tcPr>
          <w:p w14:paraId="32F4CA0D">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烟气温度/（℃）</w:t>
            </w:r>
          </w:p>
        </w:tc>
        <w:tc>
          <w:tcPr>
            <w:tcW w:w="296" w:type="pct"/>
            <w:vMerge w:val="restart"/>
            <w:tcBorders>
              <w:tl2br w:val="nil"/>
              <w:tr2bl w:val="nil"/>
            </w:tcBorders>
            <w:noWrap w:val="0"/>
            <w:vAlign w:val="center"/>
          </w:tcPr>
          <w:p w14:paraId="02B7BEC5">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年排放小时数/h</w:t>
            </w:r>
          </w:p>
        </w:tc>
        <w:tc>
          <w:tcPr>
            <w:tcW w:w="353" w:type="pct"/>
            <w:vMerge w:val="restart"/>
            <w:tcBorders>
              <w:tl2br w:val="nil"/>
              <w:tr2bl w:val="nil"/>
            </w:tcBorders>
            <w:noWrap w:val="0"/>
            <w:tcMar>
              <w:left w:w="0" w:type="dxa"/>
              <w:right w:w="0" w:type="dxa"/>
            </w:tcMar>
            <w:vAlign w:val="center"/>
          </w:tcPr>
          <w:p w14:paraId="5641814E">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排放工况</w:t>
            </w:r>
          </w:p>
        </w:tc>
        <w:tc>
          <w:tcPr>
            <w:tcW w:w="698" w:type="pct"/>
            <w:tcBorders>
              <w:tl2br w:val="nil"/>
              <w:tr2bl w:val="nil"/>
            </w:tcBorders>
            <w:noWrap w:val="0"/>
            <w:vAlign w:val="center"/>
          </w:tcPr>
          <w:p w14:paraId="233F392A">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污染物排放速率/（kg/h）</w:t>
            </w:r>
          </w:p>
        </w:tc>
      </w:tr>
      <w:tr w14:paraId="7917F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39" w:type="pct"/>
            <w:vMerge w:val="continue"/>
            <w:tcBorders>
              <w:tl2br w:val="nil"/>
              <w:tr2bl w:val="nil"/>
            </w:tcBorders>
            <w:noWrap w:val="0"/>
            <w:tcMar>
              <w:left w:w="0" w:type="dxa"/>
              <w:right w:w="0" w:type="dxa"/>
            </w:tcMar>
            <w:vAlign w:val="center"/>
          </w:tcPr>
          <w:p w14:paraId="41CB450E">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714" w:type="pct"/>
            <w:vMerge w:val="continue"/>
            <w:tcBorders>
              <w:tl2br w:val="nil"/>
              <w:tr2bl w:val="nil"/>
            </w:tcBorders>
            <w:noWrap w:val="0"/>
            <w:tcMar>
              <w:left w:w="0" w:type="dxa"/>
              <w:right w:w="0" w:type="dxa"/>
            </w:tcMar>
            <w:vAlign w:val="center"/>
          </w:tcPr>
          <w:p w14:paraId="609E26BE">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194" w:type="pct"/>
            <w:tcBorders>
              <w:tl2br w:val="nil"/>
              <w:tr2bl w:val="nil"/>
            </w:tcBorders>
            <w:noWrap w:val="0"/>
            <w:tcMar>
              <w:left w:w="0" w:type="dxa"/>
              <w:right w:w="0" w:type="dxa"/>
            </w:tcMar>
            <w:vAlign w:val="center"/>
          </w:tcPr>
          <w:p w14:paraId="3D270634">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X</w:t>
            </w:r>
          </w:p>
        </w:tc>
        <w:tc>
          <w:tcPr>
            <w:tcW w:w="223" w:type="pct"/>
            <w:tcBorders>
              <w:tl2br w:val="nil"/>
              <w:tr2bl w:val="nil"/>
            </w:tcBorders>
            <w:noWrap w:val="0"/>
            <w:tcMar>
              <w:left w:w="0" w:type="dxa"/>
              <w:right w:w="0" w:type="dxa"/>
            </w:tcMar>
            <w:vAlign w:val="center"/>
          </w:tcPr>
          <w:p w14:paraId="3C24A705">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Y</w:t>
            </w:r>
          </w:p>
        </w:tc>
        <w:tc>
          <w:tcPr>
            <w:tcW w:w="442" w:type="pct"/>
            <w:vMerge w:val="continue"/>
            <w:tcBorders>
              <w:tl2br w:val="nil"/>
              <w:tr2bl w:val="nil"/>
            </w:tcBorders>
            <w:noWrap w:val="0"/>
            <w:tcMar>
              <w:left w:w="0" w:type="dxa"/>
              <w:right w:w="0" w:type="dxa"/>
            </w:tcMar>
            <w:vAlign w:val="center"/>
          </w:tcPr>
          <w:p w14:paraId="30B93115">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419" w:type="pct"/>
            <w:vMerge w:val="continue"/>
            <w:tcBorders>
              <w:tl2br w:val="nil"/>
              <w:tr2bl w:val="nil"/>
            </w:tcBorders>
            <w:noWrap w:val="0"/>
            <w:tcMar>
              <w:left w:w="0" w:type="dxa"/>
              <w:right w:w="0" w:type="dxa"/>
            </w:tcMar>
            <w:vAlign w:val="center"/>
          </w:tcPr>
          <w:p w14:paraId="18E587CB">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358" w:type="pct"/>
            <w:vMerge w:val="continue"/>
            <w:tcBorders>
              <w:tl2br w:val="nil"/>
              <w:tr2bl w:val="nil"/>
            </w:tcBorders>
            <w:noWrap w:val="0"/>
            <w:tcMar>
              <w:left w:w="0" w:type="dxa"/>
              <w:right w:w="0" w:type="dxa"/>
            </w:tcMar>
            <w:vAlign w:val="center"/>
          </w:tcPr>
          <w:p w14:paraId="39140B95">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551" w:type="pct"/>
            <w:vMerge w:val="continue"/>
            <w:tcBorders>
              <w:tl2br w:val="nil"/>
              <w:tr2bl w:val="nil"/>
            </w:tcBorders>
            <w:noWrap w:val="0"/>
            <w:vAlign w:val="center"/>
          </w:tcPr>
          <w:p w14:paraId="239FABCA">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506" w:type="pct"/>
            <w:vMerge w:val="continue"/>
            <w:tcBorders>
              <w:tl2br w:val="nil"/>
              <w:tr2bl w:val="nil"/>
            </w:tcBorders>
            <w:noWrap w:val="0"/>
            <w:vAlign w:val="center"/>
          </w:tcPr>
          <w:p w14:paraId="47B1AD93">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296" w:type="pct"/>
            <w:vMerge w:val="continue"/>
            <w:tcBorders>
              <w:tl2br w:val="nil"/>
              <w:tr2bl w:val="nil"/>
            </w:tcBorders>
            <w:noWrap w:val="0"/>
            <w:vAlign w:val="center"/>
          </w:tcPr>
          <w:p w14:paraId="0C3E6BE9">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353" w:type="pct"/>
            <w:vMerge w:val="continue"/>
            <w:tcBorders>
              <w:tl2br w:val="nil"/>
              <w:tr2bl w:val="nil"/>
            </w:tcBorders>
            <w:noWrap w:val="0"/>
            <w:tcMar>
              <w:left w:w="0" w:type="dxa"/>
              <w:right w:w="0" w:type="dxa"/>
            </w:tcMar>
            <w:vAlign w:val="center"/>
          </w:tcPr>
          <w:p w14:paraId="1803E03E">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p>
        </w:tc>
        <w:tc>
          <w:tcPr>
            <w:tcW w:w="698" w:type="pct"/>
            <w:tcBorders>
              <w:tl2br w:val="nil"/>
              <w:tr2bl w:val="nil"/>
            </w:tcBorders>
            <w:noWrap w:val="0"/>
            <w:vAlign w:val="center"/>
          </w:tcPr>
          <w:p w14:paraId="6D310189">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颗粒物（PM</w:t>
            </w:r>
            <w:r>
              <w:rPr>
                <w:rFonts w:hint="default" w:ascii="Times New Roman" w:hAnsi="Times New Roman" w:eastAsia="宋体" w:cs="Times New Roman"/>
                <w:b/>
                <w:bCs/>
                <w:color w:val="auto"/>
                <w:kern w:val="0"/>
                <w:sz w:val="21"/>
                <w:szCs w:val="21"/>
                <w:highlight w:val="none"/>
                <w:vertAlign w:val="subscript"/>
                <w:lang w:val="en-US" w:eastAsia="zh-CN"/>
              </w:rPr>
              <w:t>10</w:t>
            </w:r>
            <w:r>
              <w:rPr>
                <w:rFonts w:hint="default" w:ascii="Times New Roman" w:hAnsi="Times New Roman" w:eastAsia="宋体" w:cs="Times New Roman"/>
                <w:b/>
                <w:bCs/>
                <w:color w:val="auto"/>
                <w:kern w:val="0"/>
                <w:sz w:val="21"/>
                <w:szCs w:val="21"/>
                <w:highlight w:val="none"/>
                <w:lang w:val="en-US" w:eastAsia="zh-CN"/>
              </w:rPr>
              <w:t>）</w:t>
            </w:r>
          </w:p>
        </w:tc>
      </w:tr>
      <w:tr w14:paraId="36F0F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39" w:type="pct"/>
            <w:tcBorders>
              <w:tl2br w:val="nil"/>
              <w:tr2bl w:val="nil"/>
            </w:tcBorders>
            <w:noWrap w:val="0"/>
            <w:tcMar>
              <w:left w:w="0" w:type="dxa"/>
              <w:right w:w="0" w:type="dxa"/>
            </w:tcMar>
            <w:vAlign w:val="center"/>
          </w:tcPr>
          <w:p w14:paraId="0F51070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P1</w:t>
            </w:r>
          </w:p>
        </w:tc>
        <w:tc>
          <w:tcPr>
            <w:tcW w:w="714" w:type="pct"/>
            <w:tcBorders>
              <w:tl2br w:val="nil"/>
              <w:tr2bl w:val="nil"/>
            </w:tcBorders>
            <w:shd w:val="clear" w:color="auto" w:fill="auto"/>
            <w:noWrap w:val="0"/>
            <w:tcMar>
              <w:left w:w="0" w:type="dxa"/>
              <w:right w:w="0" w:type="dxa"/>
            </w:tcMar>
            <w:vAlign w:val="center"/>
          </w:tcPr>
          <w:p w14:paraId="4C0BEC0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en-US" w:bidi="ar-SA"/>
              </w:rPr>
            </w:pPr>
            <w:r>
              <w:rPr>
                <w:rFonts w:hint="default" w:ascii="Times New Roman" w:hAnsi="Times New Roman" w:eastAsia="宋体" w:cs="Times New Roman"/>
                <w:color w:val="auto"/>
                <w:spacing w:val="-2"/>
                <w:sz w:val="21"/>
                <w:szCs w:val="21"/>
                <w:highlight w:val="none"/>
                <w:lang w:val="en-US" w:eastAsia="zh-CN"/>
              </w:rPr>
              <w:t>粗碎厂房排气筒</w:t>
            </w:r>
          </w:p>
        </w:tc>
        <w:tc>
          <w:tcPr>
            <w:tcW w:w="194" w:type="pct"/>
            <w:tcBorders>
              <w:tl2br w:val="nil"/>
              <w:tr2bl w:val="nil"/>
            </w:tcBorders>
            <w:shd w:val="clear" w:color="auto" w:fill="auto"/>
            <w:noWrap w:val="0"/>
            <w:tcMar>
              <w:left w:w="0" w:type="dxa"/>
              <w:right w:w="0" w:type="dxa"/>
            </w:tcMar>
            <w:vAlign w:val="center"/>
          </w:tcPr>
          <w:p w14:paraId="4D21C90D">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152</w:t>
            </w:r>
          </w:p>
        </w:tc>
        <w:tc>
          <w:tcPr>
            <w:tcW w:w="223" w:type="pct"/>
            <w:tcBorders>
              <w:tl2br w:val="nil"/>
              <w:tr2bl w:val="nil"/>
            </w:tcBorders>
            <w:shd w:val="clear" w:color="auto" w:fill="auto"/>
            <w:noWrap w:val="0"/>
            <w:tcMar>
              <w:left w:w="0" w:type="dxa"/>
              <w:right w:w="0" w:type="dxa"/>
            </w:tcMar>
            <w:vAlign w:val="center"/>
          </w:tcPr>
          <w:p w14:paraId="29023AE4">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237</w:t>
            </w:r>
          </w:p>
        </w:tc>
        <w:tc>
          <w:tcPr>
            <w:tcW w:w="442" w:type="pct"/>
            <w:tcBorders>
              <w:tl2br w:val="nil"/>
              <w:tr2bl w:val="nil"/>
            </w:tcBorders>
            <w:shd w:val="clear" w:color="auto" w:fill="auto"/>
            <w:noWrap w:val="0"/>
            <w:tcMar>
              <w:left w:w="0" w:type="dxa"/>
              <w:right w:w="0" w:type="dxa"/>
            </w:tcMar>
            <w:vAlign w:val="center"/>
          </w:tcPr>
          <w:p w14:paraId="46B75954">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1105</w:t>
            </w:r>
          </w:p>
        </w:tc>
        <w:tc>
          <w:tcPr>
            <w:tcW w:w="419" w:type="pct"/>
            <w:tcBorders>
              <w:tl2br w:val="nil"/>
              <w:tr2bl w:val="nil"/>
            </w:tcBorders>
            <w:shd w:val="clear" w:color="auto" w:fill="auto"/>
            <w:noWrap w:val="0"/>
            <w:tcMar>
              <w:left w:w="0" w:type="dxa"/>
              <w:right w:w="0" w:type="dxa"/>
            </w:tcMar>
            <w:vAlign w:val="center"/>
          </w:tcPr>
          <w:p w14:paraId="7703B97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15</w:t>
            </w:r>
          </w:p>
        </w:tc>
        <w:tc>
          <w:tcPr>
            <w:tcW w:w="358" w:type="pct"/>
            <w:tcBorders>
              <w:tl2br w:val="nil"/>
              <w:tr2bl w:val="nil"/>
            </w:tcBorders>
            <w:shd w:val="clear" w:color="auto" w:fill="auto"/>
            <w:noWrap w:val="0"/>
            <w:tcMar>
              <w:left w:w="0" w:type="dxa"/>
              <w:right w:w="0" w:type="dxa"/>
            </w:tcMar>
            <w:vAlign w:val="center"/>
          </w:tcPr>
          <w:p w14:paraId="0C5DC963">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w:t>
            </w:r>
          </w:p>
        </w:tc>
        <w:tc>
          <w:tcPr>
            <w:tcW w:w="551" w:type="pct"/>
            <w:tcBorders>
              <w:tl2br w:val="nil"/>
              <w:tr2bl w:val="nil"/>
            </w:tcBorders>
            <w:shd w:val="clear" w:color="auto" w:fill="auto"/>
            <w:noWrap w:val="0"/>
            <w:vAlign w:val="center"/>
          </w:tcPr>
          <w:p w14:paraId="1289C7C9">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2.76</w:t>
            </w:r>
          </w:p>
        </w:tc>
        <w:tc>
          <w:tcPr>
            <w:tcW w:w="506" w:type="pct"/>
            <w:tcBorders>
              <w:tl2br w:val="nil"/>
              <w:tr2bl w:val="nil"/>
            </w:tcBorders>
            <w:shd w:val="clear" w:color="auto" w:fill="auto"/>
            <w:noWrap w:val="0"/>
            <w:vAlign w:val="center"/>
          </w:tcPr>
          <w:p w14:paraId="76C92231">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296" w:type="pct"/>
            <w:tcBorders>
              <w:tl2br w:val="nil"/>
              <w:tr2bl w:val="nil"/>
            </w:tcBorders>
            <w:shd w:val="clear" w:color="auto" w:fill="auto"/>
            <w:noWrap w:val="0"/>
            <w:vAlign w:val="center"/>
          </w:tcPr>
          <w:p w14:paraId="6A86D5E3">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53" w:type="pct"/>
            <w:tcBorders>
              <w:tl2br w:val="nil"/>
              <w:tr2bl w:val="nil"/>
            </w:tcBorders>
            <w:shd w:val="clear" w:color="auto" w:fill="auto"/>
            <w:noWrap w:val="0"/>
            <w:tcMar>
              <w:left w:w="0" w:type="dxa"/>
              <w:right w:w="0" w:type="dxa"/>
            </w:tcMar>
            <w:vAlign w:val="center"/>
          </w:tcPr>
          <w:p w14:paraId="26750FD6">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698" w:type="pct"/>
            <w:tcBorders>
              <w:tl2br w:val="nil"/>
              <w:tr2bl w:val="nil"/>
            </w:tcBorders>
            <w:shd w:val="clear" w:color="auto" w:fill="auto"/>
            <w:noWrap w:val="0"/>
            <w:vAlign w:val="center"/>
          </w:tcPr>
          <w:p w14:paraId="7D32CDE8">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kern w:val="0"/>
                <w:sz w:val="21"/>
                <w:szCs w:val="21"/>
                <w:highlight w:val="none"/>
                <w:u w:val="none"/>
                <w:lang w:val="en-US" w:eastAsia="zh-CN" w:bidi="ar"/>
              </w:rPr>
              <w:t>0.104</w:t>
            </w:r>
          </w:p>
        </w:tc>
      </w:tr>
      <w:tr w14:paraId="5554C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39" w:type="pct"/>
            <w:tcBorders>
              <w:tl2br w:val="nil"/>
              <w:tr2bl w:val="nil"/>
            </w:tcBorders>
            <w:noWrap w:val="0"/>
            <w:tcMar>
              <w:left w:w="0" w:type="dxa"/>
              <w:right w:w="0" w:type="dxa"/>
            </w:tcMar>
            <w:vAlign w:val="center"/>
          </w:tcPr>
          <w:p w14:paraId="5F4B577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P2</w:t>
            </w:r>
          </w:p>
        </w:tc>
        <w:tc>
          <w:tcPr>
            <w:tcW w:w="714" w:type="pct"/>
            <w:tcBorders>
              <w:tl2br w:val="nil"/>
              <w:tr2bl w:val="nil"/>
            </w:tcBorders>
            <w:shd w:val="clear" w:color="auto" w:fill="auto"/>
            <w:noWrap w:val="0"/>
            <w:tcMar>
              <w:left w:w="0" w:type="dxa"/>
              <w:right w:w="0" w:type="dxa"/>
            </w:tcMar>
            <w:vAlign w:val="center"/>
          </w:tcPr>
          <w:p w14:paraId="7F47D7D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en-US" w:bidi="ar-SA"/>
              </w:rPr>
            </w:pPr>
            <w:r>
              <w:rPr>
                <w:rFonts w:hint="default" w:ascii="Times New Roman" w:hAnsi="Times New Roman" w:eastAsia="宋体" w:cs="Times New Roman"/>
                <w:color w:val="auto"/>
                <w:spacing w:val="-2"/>
                <w:sz w:val="21"/>
                <w:szCs w:val="21"/>
                <w:highlight w:val="none"/>
                <w:lang w:val="en-US" w:eastAsia="zh-CN"/>
              </w:rPr>
              <w:t>中细碎厂房排气筒</w:t>
            </w:r>
          </w:p>
        </w:tc>
        <w:tc>
          <w:tcPr>
            <w:tcW w:w="194" w:type="pct"/>
            <w:tcBorders>
              <w:tl2br w:val="nil"/>
              <w:tr2bl w:val="nil"/>
            </w:tcBorders>
            <w:shd w:val="clear" w:color="auto" w:fill="auto"/>
            <w:noWrap w:val="0"/>
            <w:tcMar>
              <w:left w:w="0" w:type="dxa"/>
              <w:right w:w="0" w:type="dxa"/>
            </w:tcMar>
            <w:vAlign w:val="center"/>
          </w:tcPr>
          <w:p w14:paraId="0153CE26">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107</w:t>
            </w:r>
          </w:p>
        </w:tc>
        <w:tc>
          <w:tcPr>
            <w:tcW w:w="223" w:type="pct"/>
            <w:tcBorders>
              <w:tl2br w:val="nil"/>
              <w:tr2bl w:val="nil"/>
            </w:tcBorders>
            <w:shd w:val="clear" w:color="auto" w:fill="auto"/>
            <w:noWrap w:val="0"/>
            <w:tcMar>
              <w:left w:w="0" w:type="dxa"/>
              <w:right w:w="0" w:type="dxa"/>
            </w:tcMar>
            <w:vAlign w:val="center"/>
          </w:tcPr>
          <w:p w14:paraId="41628934">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237</w:t>
            </w:r>
          </w:p>
        </w:tc>
        <w:tc>
          <w:tcPr>
            <w:tcW w:w="442" w:type="pct"/>
            <w:tcBorders>
              <w:tl2br w:val="nil"/>
              <w:tr2bl w:val="nil"/>
            </w:tcBorders>
            <w:shd w:val="clear" w:color="auto" w:fill="auto"/>
            <w:noWrap w:val="0"/>
            <w:tcMar>
              <w:left w:w="0" w:type="dxa"/>
              <w:right w:w="0" w:type="dxa"/>
            </w:tcMar>
            <w:vAlign w:val="center"/>
          </w:tcPr>
          <w:p w14:paraId="61D807ED">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1104</w:t>
            </w:r>
          </w:p>
        </w:tc>
        <w:tc>
          <w:tcPr>
            <w:tcW w:w="419" w:type="pct"/>
            <w:tcBorders>
              <w:tl2br w:val="nil"/>
              <w:tr2bl w:val="nil"/>
            </w:tcBorders>
            <w:shd w:val="clear" w:color="auto" w:fill="auto"/>
            <w:noWrap w:val="0"/>
            <w:tcMar>
              <w:left w:w="0" w:type="dxa"/>
              <w:right w:w="0" w:type="dxa"/>
            </w:tcMar>
            <w:vAlign w:val="center"/>
          </w:tcPr>
          <w:p w14:paraId="06CACE5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15</w:t>
            </w:r>
          </w:p>
        </w:tc>
        <w:tc>
          <w:tcPr>
            <w:tcW w:w="358" w:type="pct"/>
            <w:tcBorders>
              <w:tl2br w:val="nil"/>
              <w:tr2bl w:val="nil"/>
            </w:tcBorders>
            <w:shd w:val="clear" w:color="auto" w:fill="auto"/>
            <w:noWrap w:val="0"/>
            <w:tcMar>
              <w:left w:w="0" w:type="dxa"/>
              <w:right w:w="0" w:type="dxa"/>
            </w:tcMar>
            <w:vAlign w:val="center"/>
          </w:tcPr>
          <w:p w14:paraId="1E6CE130">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w:t>
            </w:r>
          </w:p>
        </w:tc>
        <w:tc>
          <w:tcPr>
            <w:tcW w:w="551" w:type="pct"/>
            <w:tcBorders>
              <w:tl2br w:val="nil"/>
              <w:tr2bl w:val="nil"/>
            </w:tcBorders>
            <w:shd w:val="clear" w:color="auto" w:fill="auto"/>
            <w:noWrap w:val="0"/>
            <w:vAlign w:val="center"/>
          </w:tcPr>
          <w:p w14:paraId="71248A53">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6.19</w:t>
            </w:r>
          </w:p>
        </w:tc>
        <w:tc>
          <w:tcPr>
            <w:tcW w:w="506" w:type="pct"/>
            <w:tcBorders>
              <w:tl2br w:val="nil"/>
              <w:tr2bl w:val="nil"/>
            </w:tcBorders>
            <w:shd w:val="clear" w:color="auto" w:fill="auto"/>
            <w:noWrap w:val="0"/>
            <w:vAlign w:val="center"/>
          </w:tcPr>
          <w:p w14:paraId="7E420A57">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296" w:type="pct"/>
            <w:tcBorders>
              <w:tl2br w:val="nil"/>
              <w:tr2bl w:val="nil"/>
            </w:tcBorders>
            <w:shd w:val="clear" w:color="auto" w:fill="auto"/>
            <w:noWrap w:val="0"/>
            <w:vAlign w:val="center"/>
          </w:tcPr>
          <w:p w14:paraId="514353C8">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53" w:type="pct"/>
            <w:tcBorders>
              <w:tl2br w:val="nil"/>
              <w:tr2bl w:val="nil"/>
            </w:tcBorders>
            <w:shd w:val="clear" w:color="auto" w:fill="auto"/>
            <w:noWrap w:val="0"/>
            <w:tcMar>
              <w:left w:w="0" w:type="dxa"/>
              <w:right w:w="0" w:type="dxa"/>
            </w:tcMar>
            <w:vAlign w:val="center"/>
          </w:tcPr>
          <w:p w14:paraId="551A8E70">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698" w:type="pct"/>
            <w:tcBorders>
              <w:tl2br w:val="nil"/>
              <w:tr2bl w:val="nil"/>
            </w:tcBorders>
            <w:shd w:val="clear" w:color="auto" w:fill="auto"/>
            <w:noWrap w:val="0"/>
            <w:vAlign w:val="center"/>
          </w:tcPr>
          <w:p w14:paraId="63A907D7">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kern w:val="0"/>
                <w:sz w:val="21"/>
                <w:szCs w:val="21"/>
                <w:highlight w:val="none"/>
                <w:u w:val="none"/>
                <w:lang w:val="en-US" w:eastAsia="zh-CN" w:bidi="ar"/>
              </w:rPr>
              <w:t>0.228</w:t>
            </w:r>
          </w:p>
        </w:tc>
      </w:tr>
      <w:tr w14:paraId="275E5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39" w:type="pct"/>
            <w:tcBorders>
              <w:tl2br w:val="nil"/>
              <w:tr2bl w:val="nil"/>
            </w:tcBorders>
            <w:noWrap w:val="0"/>
            <w:tcMar>
              <w:left w:w="0" w:type="dxa"/>
              <w:right w:w="0" w:type="dxa"/>
            </w:tcMar>
            <w:vAlign w:val="center"/>
          </w:tcPr>
          <w:p w14:paraId="6E5F5E2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P3</w:t>
            </w:r>
          </w:p>
        </w:tc>
        <w:tc>
          <w:tcPr>
            <w:tcW w:w="714" w:type="pct"/>
            <w:tcBorders>
              <w:tl2br w:val="nil"/>
              <w:tr2bl w:val="nil"/>
            </w:tcBorders>
            <w:shd w:val="clear" w:color="auto" w:fill="auto"/>
            <w:noWrap w:val="0"/>
            <w:tcMar>
              <w:left w:w="0" w:type="dxa"/>
              <w:right w:w="0" w:type="dxa"/>
            </w:tcMar>
            <w:vAlign w:val="center"/>
          </w:tcPr>
          <w:p w14:paraId="4E7A495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筛分厂房排气筒</w:t>
            </w:r>
          </w:p>
        </w:tc>
        <w:tc>
          <w:tcPr>
            <w:tcW w:w="194" w:type="pct"/>
            <w:tcBorders>
              <w:tl2br w:val="nil"/>
              <w:tr2bl w:val="nil"/>
            </w:tcBorders>
            <w:shd w:val="clear" w:color="auto" w:fill="auto"/>
            <w:noWrap w:val="0"/>
            <w:tcMar>
              <w:left w:w="0" w:type="dxa"/>
              <w:right w:w="0" w:type="dxa"/>
            </w:tcMar>
            <w:vAlign w:val="center"/>
          </w:tcPr>
          <w:p w14:paraId="47C9D762">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29</w:t>
            </w:r>
          </w:p>
        </w:tc>
        <w:tc>
          <w:tcPr>
            <w:tcW w:w="223" w:type="pct"/>
            <w:tcBorders>
              <w:tl2br w:val="nil"/>
              <w:tr2bl w:val="nil"/>
            </w:tcBorders>
            <w:shd w:val="clear" w:color="auto" w:fill="auto"/>
            <w:noWrap w:val="0"/>
            <w:tcMar>
              <w:left w:w="0" w:type="dxa"/>
              <w:right w:w="0" w:type="dxa"/>
            </w:tcMar>
            <w:vAlign w:val="center"/>
          </w:tcPr>
          <w:p w14:paraId="29A18A7F">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240</w:t>
            </w:r>
          </w:p>
        </w:tc>
        <w:tc>
          <w:tcPr>
            <w:tcW w:w="442" w:type="pct"/>
            <w:tcBorders>
              <w:tl2br w:val="nil"/>
              <w:tr2bl w:val="nil"/>
            </w:tcBorders>
            <w:shd w:val="clear" w:color="auto" w:fill="auto"/>
            <w:noWrap w:val="0"/>
            <w:tcMar>
              <w:left w:w="0" w:type="dxa"/>
              <w:right w:w="0" w:type="dxa"/>
            </w:tcMar>
            <w:vAlign w:val="center"/>
          </w:tcPr>
          <w:p w14:paraId="3558BE1C">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1101</w:t>
            </w:r>
          </w:p>
        </w:tc>
        <w:tc>
          <w:tcPr>
            <w:tcW w:w="419" w:type="pct"/>
            <w:tcBorders>
              <w:tl2br w:val="nil"/>
              <w:tr2bl w:val="nil"/>
            </w:tcBorders>
            <w:shd w:val="clear" w:color="auto" w:fill="auto"/>
            <w:noWrap w:val="0"/>
            <w:tcMar>
              <w:left w:w="0" w:type="dxa"/>
              <w:right w:w="0" w:type="dxa"/>
            </w:tcMar>
            <w:vAlign w:val="center"/>
          </w:tcPr>
          <w:p w14:paraId="1657A53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15</w:t>
            </w:r>
          </w:p>
        </w:tc>
        <w:tc>
          <w:tcPr>
            <w:tcW w:w="358" w:type="pct"/>
            <w:tcBorders>
              <w:tl2br w:val="nil"/>
              <w:tr2bl w:val="nil"/>
            </w:tcBorders>
            <w:shd w:val="clear" w:color="auto" w:fill="auto"/>
            <w:noWrap w:val="0"/>
            <w:tcMar>
              <w:left w:w="0" w:type="dxa"/>
              <w:right w:w="0" w:type="dxa"/>
            </w:tcMar>
            <w:vAlign w:val="center"/>
          </w:tcPr>
          <w:p w14:paraId="0D5BD58A">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w:t>
            </w:r>
          </w:p>
        </w:tc>
        <w:tc>
          <w:tcPr>
            <w:tcW w:w="551" w:type="pct"/>
            <w:tcBorders>
              <w:tl2br w:val="nil"/>
              <w:tr2bl w:val="nil"/>
            </w:tcBorders>
            <w:shd w:val="clear" w:color="auto" w:fill="auto"/>
            <w:noWrap w:val="0"/>
            <w:vAlign w:val="center"/>
          </w:tcPr>
          <w:p w14:paraId="49D0E7CD">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7.42</w:t>
            </w:r>
          </w:p>
        </w:tc>
        <w:tc>
          <w:tcPr>
            <w:tcW w:w="506" w:type="pct"/>
            <w:tcBorders>
              <w:tl2br w:val="nil"/>
              <w:tr2bl w:val="nil"/>
            </w:tcBorders>
            <w:shd w:val="clear" w:color="auto" w:fill="auto"/>
            <w:noWrap w:val="0"/>
            <w:vAlign w:val="center"/>
          </w:tcPr>
          <w:p w14:paraId="5509A574">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296" w:type="pct"/>
            <w:tcBorders>
              <w:tl2br w:val="nil"/>
              <w:tr2bl w:val="nil"/>
            </w:tcBorders>
            <w:shd w:val="clear" w:color="auto" w:fill="auto"/>
            <w:noWrap w:val="0"/>
            <w:vAlign w:val="center"/>
          </w:tcPr>
          <w:p w14:paraId="46102DB8">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53" w:type="pct"/>
            <w:tcBorders>
              <w:tl2br w:val="nil"/>
              <w:tr2bl w:val="nil"/>
            </w:tcBorders>
            <w:shd w:val="clear" w:color="auto" w:fill="auto"/>
            <w:noWrap w:val="0"/>
            <w:tcMar>
              <w:left w:w="0" w:type="dxa"/>
              <w:right w:w="0" w:type="dxa"/>
            </w:tcMar>
            <w:vAlign w:val="center"/>
          </w:tcPr>
          <w:p w14:paraId="66A9A6F3">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698" w:type="pct"/>
            <w:tcBorders>
              <w:tl2br w:val="nil"/>
              <w:tr2bl w:val="nil"/>
            </w:tcBorders>
            <w:shd w:val="clear" w:color="auto" w:fill="auto"/>
            <w:noWrap w:val="0"/>
            <w:vAlign w:val="center"/>
          </w:tcPr>
          <w:p w14:paraId="2DA533B8">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kern w:val="0"/>
                <w:sz w:val="21"/>
                <w:szCs w:val="21"/>
                <w:highlight w:val="none"/>
                <w:u w:val="none"/>
                <w:lang w:val="en-US" w:eastAsia="zh-CN" w:bidi="ar"/>
              </w:rPr>
              <w:t>0.273</w:t>
            </w:r>
          </w:p>
        </w:tc>
      </w:tr>
      <w:tr w14:paraId="12CD7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239" w:type="pct"/>
            <w:tcBorders>
              <w:tl2br w:val="nil"/>
              <w:tr2bl w:val="nil"/>
            </w:tcBorders>
            <w:noWrap w:val="0"/>
            <w:tcMar>
              <w:left w:w="0" w:type="dxa"/>
              <w:right w:w="0" w:type="dxa"/>
            </w:tcMar>
            <w:vAlign w:val="center"/>
          </w:tcPr>
          <w:p w14:paraId="62E7BF3F">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P4</w:t>
            </w:r>
          </w:p>
        </w:tc>
        <w:tc>
          <w:tcPr>
            <w:tcW w:w="714" w:type="pct"/>
            <w:tcBorders>
              <w:tl2br w:val="nil"/>
              <w:tr2bl w:val="nil"/>
            </w:tcBorders>
            <w:shd w:val="clear" w:color="auto" w:fill="auto"/>
            <w:noWrap w:val="0"/>
            <w:tcMar>
              <w:left w:w="0" w:type="dxa"/>
              <w:right w:w="0" w:type="dxa"/>
            </w:tcMar>
            <w:vAlign w:val="center"/>
          </w:tcPr>
          <w:p w14:paraId="1BD255DA">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粉矿仓排气筒</w:t>
            </w:r>
          </w:p>
        </w:tc>
        <w:tc>
          <w:tcPr>
            <w:tcW w:w="194" w:type="pct"/>
            <w:tcBorders>
              <w:tl2br w:val="nil"/>
              <w:tr2bl w:val="nil"/>
            </w:tcBorders>
            <w:shd w:val="clear" w:color="auto" w:fill="auto"/>
            <w:noWrap w:val="0"/>
            <w:tcMar>
              <w:left w:w="0" w:type="dxa"/>
              <w:right w:w="0" w:type="dxa"/>
            </w:tcMar>
            <w:vAlign w:val="center"/>
          </w:tcPr>
          <w:p w14:paraId="4AEC403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29</w:t>
            </w:r>
          </w:p>
        </w:tc>
        <w:tc>
          <w:tcPr>
            <w:tcW w:w="223" w:type="pct"/>
            <w:tcBorders>
              <w:tl2br w:val="nil"/>
              <w:tr2bl w:val="nil"/>
            </w:tcBorders>
            <w:shd w:val="clear" w:color="auto" w:fill="auto"/>
            <w:noWrap w:val="0"/>
            <w:tcMar>
              <w:left w:w="0" w:type="dxa"/>
              <w:right w:w="0" w:type="dxa"/>
            </w:tcMar>
            <w:vAlign w:val="center"/>
          </w:tcPr>
          <w:p w14:paraId="25381F8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188</w:t>
            </w:r>
          </w:p>
        </w:tc>
        <w:tc>
          <w:tcPr>
            <w:tcW w:w="442" w:type="pct"/>
            <w:tcBorders>
              <w:tl2br w:val="nil"/>
              <w:tr2bl w:val="nil"/>
            </w:tcBorders>
            <w:shd w:val="clear" w:color="auto" w:fill="auto"/>
            <w:noWrap w:val="0"/>
            <w:tcMar>
              <w:left w:w="0" w:type="dxa"/>
              <w:right w:w="0" w:type="dxa"/>
            </w:tcMar>
            <w:vAlign w:val="center"/>
          </w:tcPr>
          <w:p w14:paraId="1BB17690">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1102</w:t>
            </w:r>
          </w:p>
        </w:tc>
        <w:tc>
          <w:tcPr>
            <w:tcW w:w="419" w:type="pct"/>
            <w:tcBorders>
              <w:tl2br w:val="nil"/>
              <w:tr2bl w:val="nil"/>
            </w:tcBorders>
            <w:shd w:val="clear" w:color="auto" w:fill="auto"/>
            <w:noWrap w:val="0"/>
            <w:tcMar>
              <w:left w:w="0" w:type="dxa"/>
              <w:right w:w="0" w:type="dxa"/>
            </w:tcMar>
            <w:vAlign w:val="center"/>
          </w:tcPr>
          <w:p w14:paraId="557CF22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15</w:t>
            </w:r>
          </w:p>
        </w:tc>
        <w:tc>
          <w:tcPr>
            <w:tcW w:w="358" w:type="pct"/>
            <w:tcBorders>
              <w:tl2br w:val="nil"/>
              <w:tr2bl w:val="nil"/>
            </w:tcBorders>
            <w:shd w:val="clear" w:color="auto" w:fill="auto"/>
            <w:noWrap w:val="0"/>
            <w:tcMar>
              <w:left w:w="0" w:type="dxa"/>
              <w:right w:w="0" w:type="dxa"/>
            </w:tcMar>
            <w:vAlign w:val="center"/>
          </w:tcPr>
          <w:p w14:paraId="6FCB63A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0.3</w:t>
            </w:r>
          </w:p>
        </w:tc>
        <w:tc>
          <w:tcPr>
            <w:tcW w:w="551" w:type="pct"/>
            <w:tcBorders>
              <w:tl2br w:val="nil"/>
              <w:tr2bl w:val="nil"/>
            </w:tcBorders>
            <w:shd w:val="clear" w:color="auto" w:fill="auto"/>
            <w:noWrap w:val="0"/>
            <w:vAlign w:val="center"/>
          </w:tcPr>
          <w:p w14:paraId="601A8952">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1.19</w:t>
            </w:r>
          </w:p>
        </w:tc>
        <w:tc>
          <w:tcPr>
            <w:tcW w:w="506" w:type="pct"/>
            <w:tcBorders>
              <w:tl2br w:val="nil"/>
              <w:tr2bl w:val="nil"/>
            </w:tcBorders>
            <w:shd w:val="clear" w:color="auto" w:fill="auto"/>
            <w:noWrap w:val="0"/>
            <w:vAlign w:val="center"/>
          </w:tcPr>
          <w:p w14:paraId="66459DA8">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296" w:type="pct"/>
            <w:tcBorders>
              <w:tl2br w:val="nil"/>
              <w:tr2bl w:val="nil"/>
            </w:tcBorders>
            <w:shd w:val="clear" w:color="auto" w:fill="auto"/>
            <w:noWrap w:val="0"/>
            <w:vAlign w:val="center"/>
          </w:tcPr>
          <w:p w14:paraId="339A63D2">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53" w:type="pct"/>
            <w:tcBorders>
              <w:tl2br w:val="nil"/>
              <w:tr2bl w:val="nil"/>
            </w:tcBorders>
            <w:shd w:val="clear" w:color="auto" w:fill="auto"/>
            <w:noWrap w:val="0"/>
            <w:tcMar>
              <w:left w:w="0" w:type="dxa"/>
              <w:right w:w="0" w:type="dxa"/>
            </w:tcMar>
            <w:vAlign w:val="center"/>
          </w:tcPr>
          <w:p w14:paraId="783AB7E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698" w:type="pct"/>
            <w:tcBorders>
              <w:tl2br w:val="nil"/>
              <w:tr2bl w:val="nil"/>
            </w:tcBorders>
            <w:shd w:val="clear" w:color="auto" w:fill="auto"/>
            <w:noWrap w:val="0"/>
            <w:vAlign w:val="center"/>
          </w:tcPr>
          <w:p w14:paraId="2AE7317E">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kern w:val="0"/>
                <w:sz w:val="21"/>
                <w:szCs w:val="21"/>
                <w:highlight w:val="none"/>
                <w:u w:val="none"/>
                <w:lang w:val="en-US" w:eastAsia="zh-CN" w:bidi="ar"/>
              </w:rPr>
              <w:t>0.046</w:t>
            </w:r>
          </w:p>
        </w:tc>
      </w:tr>
    </w:tbl>
    <w:p w14:paraId="27C8669A">
      <w:pPr>
        <w:ind w:firstLine="0" w:firstLineChars="0"/>
        <w:jc w:val="center"/>
        <w:rPr>
          <w:rFonts w:hint="default" w:ascii="Times New Roman" w:hAnsi="Times New Roman" w:eastAsia="宋体" w:cs="Times New Roman"/>
          <w:b/>
          <w:color w:val="auto"/>
          <w:kern w:val="0"/>
          <w:highlight w:val="none"/>
          <w:lang w:eastAsia="zh-CN"/>
        </w:rPr>
      </w:pPr>
      <w:r>
        <w:rPr>
          <w:rFonts w:hint="default" w:ascii="Times New Roman" w:hAnsi="Times New Roman" w:cs="Times New Roman"/>
          <w:b/>
          <w:color w:val="auto"/>
          <w:kern w:val="0"/>
          <w:highlight w:val="none"/>
        </w:rPr>
        <w:t>表2.6</w:t>
      </w:r>
      <w:r>
        <w:rPr>
          <w:rFonts w:hint="default" w:ascii="Times New Roman" w:hAnsi="Times New Roman" w:cs="Times New Roman"/>
          <w:b/>
          <w:color w:val="auto"/>
          <w:kern w:val="0"/>
          <w:highlight w:val="none"/>
        </w:rPr>
        <w:noBreakHyphen/>
      </w:r>
      <w:r>
        <w:rPr>
          <w:rFonts w:hint="default" w:ascii="Times New Roman" w:hAnsi="Times New Roman" w:cs="Times New Roman"/>
          <w:b/>
          <w:color w:val="auto"/>
          <w:kern w:val="0"/>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b/>
          <w:color w:val="auto"/>
          <w:kern w:val="0"/>
          <w:highlight w:val="none"/>
        </w:rPr>
        <w:t>估算模式主要计算参数一览表</w:t>
      </w:r>
      <w:r>
        <w:rPr>
          <w:rFonts w:hint="default" w:cs="Times New Roman"/>
          <w:b/>
          <w:color w:val="auto"/>
          <w:kern w:val="0"/>
          <w:highlight w:val="none"/>
          <w:lang w:eastAsia="zh-CN"/>
        </w:rPr>
        <w:t>（</w:t>
      </w:r>
      <w:r>
        <w:rPr>
          <w:rFonts w:hint="default" w:cs="Times New Roman"/>
          <w:b/>
          <w:color w:val="auto"/>
          <w:kern w:val="0"/>
          <w:highlight w:val="none"/>
          <w:lang w:val="en-US" w:eastAsia="zh-CN"/>
        </w:rPr>
        <w:t>无组织</w:t>
      </w:r>
      <w:r>
        <w:rPr>
          <w:rFonts w:hint="default" w:cs="Times New Roman"/>
          <w:b/>
          <w:color w:val="auto"/>
          <w:kern w:val="0"/>
          <w:highlight w:val="none"/>
          <w:lang w:eastAsia="zh-CN"/>
        </w:rPr>
        <w:t>）</w:t>
      </w:r>
    </w:p>
    <w:tbl>
      <w:tblPr>
        <w:tblStyle w:val="33"/>
        <w:tblW w:w="510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10"/>
        <w:gridCol w:w="981"/>
        <w:gridCol w:w="437"/>
        <w:gridCol w:w="437"/>
        <w:gridCol w:w="774"/>
        <w:gridCol w:w="586"/>
        <w:gridCol w:w="517"/>
        <w:gridCol w:w="670"/>
        <w:gridCol w:w="959"/>
        <w:gridCol w:w="863"/>
        <w:gridCol w:w="585"/>
        <w:gridCol w:w="1389"/>
      </w:tblGrid>
      <w:tr w14:paraId="636E7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182" w:type="pct"/>
            <w:vMerge w:val="restart"/>
            <w:tcBorders>
              <w:tl2br w:val="nil"/>
              <w:tr2bl w:val="nil"/>
            </w:tcBorders>
            <w:noWrap w:val="0"/>
            <w:tcMar>
              <w:left w:w="0" w:type="dxa"/>
              <w:right w:w="0" w:type="dxa"/>
            </w:tcMar>
            <w:vAlign w:val="center"/>
          </w:tcPr>
          <w:p w14:paraId="466FB8B5">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编号</w:t>
            </w:r>
          </w:p>
        </w:tc>
        <w:tc>
          <w:tcPr>
            <w:tcW w:w="576" w:type="pct"/>
            <w:vMerge w:val="restart"/>
            <w:tcBorders>
              <w:tl2br w:val="nil"/>
              <w:tr2bl w:val="nil"/>
            </w:tcBorders>
            <w:noWrap w:val="0"/>
            <w:tcMar>
              <w:left w:w="0" w:type="dxa"/>
              <w:right w:w="0" w:type="dxa"/>
            </w:tcMar>
            <w:vAlign w:val="center"/>
          </w:tcPr>
          <w:p w14:paraId="76AA82EC">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污染源名称</w:t>
            </w:r>
          </w:p>
        </w:tc>
        <w:tc>
          <w:tcPr>
            <w:tcW w:w="513" w:type="pct"/>
            <w:gridSpan w:val="2"/>
            <w:tcBorders>
              <w:tl2br w:val="nil"/>
              <w:tr2bl w:val="nil"/>
            </w:tcBorders>
            <w:noWrap w:val="0"/>
            <w:tcMar>
              <w:left w:w="0" w:type="dxa"/>
              <w:right w:w="0" w:type="dxa"/>
            </w:tcMar>
            <w:vAlign w:val="center"/>
          </w:tcPr>
          <w:p w14:paraId="24B778CA">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中心点坐标/m</w:t>
            </w:r>
          </w:p>
        </w:tc>
        <w:tc>
          <w:tcPr>
            <w:tcW w:w="454" w:type="pct"/>
            <w:vMerge w:val="restart"/>
            <w:tcBorders>
              <w:tl2br w:val="nil"/>
              <w:tr2bl w:val="nil"/>
            </w:tcBorders>
            <w:noWrap w:val="0"/>
            <w:tcMar>
              <w:left w:w="0" w:type="dxa"/>
              <w:right w:w="0" w:type="dxa"/>
            </w:tcMar>
            <w:vAlign w:val="center"/>
          </w:tcPr>
          <w:p w14:paraId="35DB084C">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面源海拔高度</w:t>
            </w:r>
            <w:r>
              <w:rPr>
                <w:rFonts w:hint="default" w:ascii="Times New Roman" w:hAnsi="Times New Roman" w:eastAsia="宋体" w:cs="Times New Roman"/>
                <w:b/>
                <w:bCs/>
                <w:color w:val="auto"/>
                <w:kern w:val="0"/>
                <w:sz w:val="21"/>
                <w:szCs w:val="21"/>
                <w:highlight w:val="none"/>
              </w:rPr>
              <w:t>/m</w:t>
            </w:r>
          </w:p>
        </w:tc>
        <w:tc>
          <w:tcPr>
            <w:tcW w:w="344" w:type="pct"/>
            <w:vMerge w:val="restart"/>
            <w:tcBorders>
              <w:tl2br w:val="nil"/>
              <w:tr2bl w:val="nil"/>
            </w:tcBorders>
            <w:noWrap w:val="0"/>
            <w:tcMar>
              <w:left w:w="0" w:type="dxa"/>
              <w:right w:w="0" w:type="dxa"/>
            </w:tcMar>
            <w:vAlign w:val="center"/>
          </w:tcPr>
          <w:p w14:paraId="0AC9F195">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面源长度/m</w:t>
            </w:r>
          </w:p>
        </w:tc>
        <w:tc>
          <w:tcPr>
            <w:tcW w:w="303" w:type="pct"/>
            <w:vMerge w:val="restart"/>
            <w:tcBorders>
              <w:tl2br w:val="nil"/>
              <w:tr2bl w:val="nil"/>
            </w:tcBorders>
            <w:noWrap w:val="0"/>
            <w:tcMar>
              <w:left w:w="0" w:type="dxa"/>
              <w:right w:w="0" w:type="dxa"/>
            </w:tcMar>
            <w:vAlign w:val="center"/>
          </w:tcPr>
          <w:p w14:paraId="6B88D513">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面源宽度</w:t>
            </w:r>
          </w:p>
          <w:p w14:paraId="3170A843">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w:t>
            </w:r>
          </w:p>
        </w:tc>
        <w:tc>
          <w:tcPr>
            <w:tcW w:w="393" w:type="pct"/>
            <w:vMerge w:val="restart"/>
            <w:tcBorders>
              <w:tl2br w:val="nil"/>
              <w:tr2bl w:val="nil"/>
            </w:tcBorders>
            <w:noWrap w:val="0"/>
            <w:tcMar>
              <w:left w:w="0" w:type="dxa"/>
              <w:right w:w="0" w:type="dxa"/>
            </w:tcMar>
            <w:vAlign w:val="center"/>
          </w:tcPr>
          <w:p w14:paraId="1257E17D">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与正北夹角/°</w:t>
            </w:r>
          </w:p>
        </w:tc>
        <w:tc>
          <w:tcPr>
            <w:tcW w:w="563" w:type="pct"/>
            <w:vMerge w:val="restart"/>
            <w:tcBorders>
              <w:tl2br w:val="nil"/>
              <w:tr2bl w:val="nil"/>
            </w:tcBorders>
            <w:noWrap w:val="0"/>
            <w:vAlign w:val="center"/>
          </w:tcPr>
          <w:p w14:paraId="7CBEC641">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面源有效排放高度/m</w:t>
            </w:r>
          </w:p>
        </w:tc>
        <w:tc>
          <w:tcPr>
            <w:tcW w:w="507" w:type="pct"/>
            <w:vMerge w:val="restart"/>
            <w:tcBorders>
              <w:tl2br w:val="nil"/>
              <w:tr2bl w:val="nil"/>
            </w:tcBorders>
            <w:noWrap w:val="0"/>
            <w:tcMar>
              <w:left w:w="0" w:type="dxa"/>
              <w:right w:w="0" w:type="dxa"/>
            </w:tcMar>
            <w:vAlign w:val="center"/>
          </w:tcPr>
          <w:p w14:paraId="681A5080">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年排放小时数/h</w:t>
            </w:r>
          </w:p>
        </w:tc>
        <w:tc>
          <w:tcPr>
            <w:tcW w:w="343" w:type="pct"/>
            <w:vMerge w:val="restart"/>
            <w:tcBorders>
              <w:tl2br w:val="nil"/>
              <w:tr2bl w:val="nil"/>
            </w:tcBorders>
            <w:noWrap w:val="0"/>
            <w:tcMar>
              <w:left w:w="0" w:type="dxa"/>
              <w:right w:w="0" w:type="dxa"/>
            </w:tcMar>
            <w:vAlign w:val="center"/>
          </w:tcPr>
          <w:p w14:paraId="551D2A91">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排放工况</w:t>
            </w:r>
          </w:p>
        </w:tc>
        <w:tc>
          <w:tcPr>
            <w:tcW w:w="816" w:type="pct"/>
            <w:tcBorders>
              <w:tl2br w:val="nil"/>
              <w:tr2bl w:val="nil"/>
            </w:tcBorders>
            <w:noWrap w:val="0"/>
            <w:tcMar>
              <w:left w:w="0" w:type="dxa"/>
              <w:right w:w="0" w:type="dxa"/>
            </w:tcMar>
            <w:vAlign w:val="center"/>
          </w:tcPr>
          <w:p w14:paraId="7204AFB5">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污染物排放速率/（kg/h）</w:t>
            </w:r>
          </w:p>
        </w:tc>
      </w:tr>
      <w:tr w14:paraId="0E3C6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182" w:type="pct"/>
            <w:vMerge w:val="continue"/>
            <w:tcBorders>
              <w:tl2br w:val="nil"/>
              <w:tr2bl w:val="nil"/>
            </w:tcBorders>
            <w:noWrap w:val="0"/>
            <w:tcMar>
              <w:left w:w="0" w:type="dxa"/>
              <w:right w:w="0" w:type="dxa"/>
            </w:tcMar>
            <w:vAlign w:val="center"/>
          </w:tcPr>
          <w:p w14:paraId="590AC365">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576" w:type="pct"/>
            <w:vMerge w:val="continue"/>
            <w:tcBorders>
              <w:tl2br w:val="nil"/>
              <w:tr2bl w:val="nil"/>
            </w:tcBorders>
            <w:noWrap w:val="0"/>
            <w:tcMar>
              <w:left w:w="0" w:type="dxa"/>
              <w:right w:w="0" w:type="dxa"/>
            </w:tcMar>
            <w:vAlign w:val="center"/>
          </w:tcPr>
          <w:p w14:paraId="378AEA33">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256" w:type="pct"/>
            <w:tcBorders>
              <w:tl2br w:val="nil"/>
              <w:tr2bl w:val="nil"/>
            </w:tcBorders>
            <w:noWrap w:val="0"/>
            <w:tcMar>
              <w:left w:w="0" w:type="dxa"/>
              <w:right w:w="0" w:type="dxa"/>
            </w:tcMar>
            <w:vAlign w:val="center"/>
          </w:tcPr>
          <w:p w14:paraId="530A299D">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X</w:t>
            </w:r>
          </w:p>
        </w:tc>
        <w:tc>
          <w:tcPr>
            <w:tcW w:w="256" w:type="pct"/>
            <w:tcBorders>
              <w:tl2br w:val="nil"/>
              <w:tr2bl w:val="nil"/>
            </w:tcBorders>
            <w:noWrap w:val="0"/>
            <w:tcMar>
              <w:left w:w="0" w:type="dxa"/>
              <w:right w:w="0" w:type="dxa"/>
            </w:tcMar>
            <w:vAlign w:val="center"/>
          </w:tcPr>
          <w:p w14:paraId="31BADA63">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Y</w:t>
            </w:r>
          </w:p>
        </w:tc>
        <w:tc>
          <w:tcPr>
            <w:tcW w:w="454" w:type="pct"/>
            <w:vMerge w:val="continue"/>
            <w:tcBorders>
              <w:tl2br w:val="nil"/>
              <w:tr2bl w:val="nil"/>
            </w:tcBorders>
            <w:noWrap w:val="0"/>
            <w:tcMar>
              <w:left w:w="0" w:type="dxa"/>
              <w:right w:w="0" w:type="dxa"/>
            </w:tcMar>
            <w:vAlign w:val="center"/>
          </w:tcPr>
          <w:p w14:paraId="41DC2DB5">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344" w:type="pct"/>
            <w:vMerge w:val="continue"/>
            <w:tcBorders>
              <w:tl2br w:val="nil"/>
              <w:tr2bl w:val="nil"/>
            </w:tcBorders>
            <w:noWrap w:val="0"/>
            <w:tcMar>
              <w:left w:w="0" w:type="dxa"/>
              <w:right w:w="0" w:type="dxa"/>
            </w:tcMar>
            <w:vAlign w:val="center"/>
          </w:tcPr>
          <w:p w14:paraId="731C45F7">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303" w:type="pct"/>
            <w:vMerge w:val="continue"/>
            <w:tcBorders>
              <w:tl2br w:val="nil"/>
              <w:tr2bl w:val="nil"/>
            </w:tcBorders>
            <w:noWrap w:val="0"/>
            <w:tcMar>
              <w:left w:w="0" w:type="dxa"/>
              <w:right w:w="0" w:type="dxa"/>
            </w:tcMar>
            <w:vAlign w:val="center"/>
          </w:tcPr>
          <w:p w14:paraId="63E300AA">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393" w:type="pct"/>
            <w:vMerge w:val="continue"/>
            <w:tcBorders>
              <w:tl2br w:val="nil"/>
              <w:tr2bl w:val="nil"/>
            </w:tcBorders>
            <w:noWrap w:val="0"/>
            <w:tcMar>
              <w:left w:w="0" w:type="dxa"/>
              <w:right w:w="0" w:type="dxa"/>
            </w:tcMar>
            <w:vAlign w:val="center"/>
          </w:tcPr>
          <w:p w14:paraId="1AE38B8F">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563" w:type="pct"/>
            <w:vMerge w:val="continue"/>
            <w:tcBorders>
              <w:tl2br w:val="nil"/>
              <w:tr2bl w:val="nil"/>
            </w:tcBorders>
            <w:noWrap w:val="0"/>
            <w:vAlign w:val="center"/>
          </w:tcPr>
          <w:p w14:paraId="0DF23262">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507" w:type="pct"/>
            <w:vMerge w:val="continue"/>
            <w:tcBorders>
              <w:tl2br w:val="nil"/>
              <w:tr2bl w:val="nil"/>
            </w:tcBorders>
            <w:noWrap w:val="0"/>
            <w:tcMar>
              <w:left w:w="0" w:type="dxa"/>
              <w:right w:w="0" w:type="dxa"/>
            </w:tcMar>
            <w:vAlign w:val="center"/>
          </w:tcPr>
          <w:p w14:paraId="33ACA47B">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343" w:type="pct"/>
            <w:vMerge w:val="continue"/>
            <w:tcBorders>
              <w:tl2br w:val="nil"/>
              <w:tr2bl w:val="nil"/>
            </w:tcBorders>
            <w:noWrap w:val="0"/>
            <w:tcMar>
              <w:left w:w="0" w:type="dxa"/>
              <w:right w:w="0" w:type="dxa"/>
            </w:tcMar>
            <w:vAlign w:val="center"/>
          </w:tcPr>
          <w:p w14:paraId="2BA9C597">
            <w:pPr>
              <w:keepNext w:val="0"/>
              <w:keepLines w:val="0"/>
              <w:pageBreakBefore w:val="0"/>
              <w:widowControl/>
              <w:kinsoku/>
              <w:wordWrap/>
              <w:overflowPunct/>
              <w:topLinePunct/>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color w:val="auto"/>
                <w:kern w:val="0"/>
                <w:sz w:val="18"/>
                <w:szCs w:val="18"/>
                <w:highlight w:val="none"/>
              </w:rPr>
            </w:pPr>
          </w:p>
        </w:tc>
        <w:tc>
          <w:tcPr>
            <w:tcW w:w="816" w:type="pct"/>
            <w:tcBorders>
              <w:tl2br w:val="nil"/>
              <w:tr2bl w:val="nil"/>
            </w:tcBorders>
            <w:noWrap w:val="0"/>
            <w:tcMar>
              <w:left w:w="0" w:type="dxa"/>
              <w:right w:w="0" w:type="dxa"/>
            </w:tcMar>
            <w:vAlign w:val="center"/>
          </w:tcPr>
          <w:p w14:paraId="0DADE8BB">
            <w:pPr>
              <w:adjustRightInd w:val="0"/>
              <w:snapToGrid w:val="0"/>
              <w:spacing w:line="360" w:lineRule="exact"/>
              <w:ind w:firstLine="0" w:firstLineChars="0"/>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21"/>
                <w:szCs w:val="21"/>
                <w:highlight w:val="none"/>
                <w:lang w:val="en-US" w:eastAsia="zh-CN"/>
              </w:rPr>
              <w:t>颗粒物（TSP）</w:t>
            </w:r>
          </w:p>
        </w:tc>
      </w:tr>
      <w:tr w14:paraId="7E55D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82" w:type="pct"/>
            <w:tcBorders>
              <w:tl2br w:val="nil"/>
              <w:tr2bl w:val="nil"/>
            </w:tcBorders>
            <w:noWrap w:val="0"/>
            <w:tcMar>
              <w:left w:w="0" w:type="dxa"/>
              <w:right w:w="0" w:type="dxa"/>
            </w:tcMar>
            <w:vAlign w:val="center"/>
          </w:tcPr>
          <w:p w14:paraId="619C009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G1</w:t>
            </w:r>
          </w:p>
        </w:tc>
        <w:tc>
          <w:tcPr>
            <w:tcW w:w="576" w:type="pct"/>
            <w:tcBorders>
              <w:tl2br w:val="nil"/>
              <w:tr2bl w:val="nil"/>
            </w:tcBorders>
            <w:shd w:val="clear" w:color="auto" w:fill="auto"/>
            <w:noWrap w:val="0"/>
            <w:tcMar>
              <w:left w:w="0" w:type="dxa"/>
              <w:right w:w="0" w:type="dxa"/>
            </w:tcMar>
            <w:vAlign w:val="center"/>
          </w:tcPr>
          <w:p w14:paraId="07DD363A">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粗碎厂房</w:t>
            </w:r>
          </w:p>
        </w:tc>
        <w:tc>
          <w:tcPr>
            <w:tcW w:w="256" w:type="pct"/>
            <w:tcBorders>
              <w:tl2br w:val="nil"/>
              <w:tr2bl w:val="nil"/>
            </w:tcBorders>
            <w:shd w:val="clear" w:color="auto" w:fill="auto"/>
            <w:noWrap w:val="0"/>
            <w:tcMar>
              <w:left w:w="0" w:type="dxa"/>
              <w:right w:w="0" w:type="dxa"/>
            </w:tcMar>
            <w:vAlign w:val="center"/>
          </w:tcPr>
          <w:p w14:paraId="1C522758">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152</w:t>
            </w:r>
          </w:p>
        </w:tc>
        <w:tc>
          <w:tcPr>
            <w:tcW w:w="256" w:type="pct"/>
            <w:tcBorders>
              <w:tl2br w:val="nil"/>
              <w:tr2bl w:val="nil"/>
            </w:tcBorders>
            <w:shd w:val="clear" w:color="auto" w:fill="auto"/>
            <w:noWrap w:val="0"/>
            <w:tcMar>
              <w:left w:w="0" w:type="dxa"/>
              <w:right w:w="0" w:type="dxa"/>
            </w:tcMar>
            <w:vAlign w:val="center"/>
          </w:tcPr>
          <w:p w14:paraId="46D05F95">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237</w:t>
            </w:r>
          </w:p>
        </w:tc>
        <w:tc>
          <w:tcPr>
            <w:tcW w:w="454" w:type="pct"/>
            <w:tcBorders>
              <w:tl2br w:val="nil"/>
              <w:tr2bl w:val="nil"/>
            </w:tcBorders>
            <w:shd w:val="clear" w:color="auto" w:fill="auto"/>
            <w:noWrap w:val="0"/>
            <w:tcMar>
              <w:left w:w="0" w:type="dxa"/>
              <w:right w:w="0" w:type="dxa"/>
            </w:tcMar>
            <w:vAlign w:val="center"/>
          </w:tcPr>
          <w:p w14:paraId="1D1640E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1105</w:t>
            </w:r>
          </w:p>
        </w:tc>
        <w:tc>
          <w:tcPr>
            <w:tcW w:w="344" w:type="pct"/>
            <w:tcBorders>
              <w:tl2br w:val="nil"/>
              <w:tr2bl w:val="nil"/>
            </w:tcBorders>
            <w:shd w:val="clear" w:color="auto" w:fill="auto"/>
            <w:noWrap w:val="0"/>
            <w:tcMar>
              <w:left w:w="0" w:type="dxa"/>
              <w:right w:w="0" w:type="dxa"/>
            </w:tcMar>
            <w:vAlign w:val="center"/>
          </w:tcPr>
          <w:p w14:paraId="59362E4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w:t>
            </w:r>
          </w:p>
        </w:tc>
        <w:tc>
          <w:tcPr>
            <w:tcW w:w="303" w:type="pct"/>
            <w:tcBorders>
              <w:tl2br w:val="nil"/>
              <w:tr2bl w:val="nil"/>
            </w:tcBorders>
            <w:shd w:val="clear" w:color="auto" w:fill="auto"/>
            <w:noWrap w:val="0"/>
            <w:tcMar>
              <w:left w:w="0" w:type="dxa"/>
              <w:right w:w="0" w:type="dxa"/>
            </w:tcMar>
            <w:vAlign w:val="center"/>
          </w:tcPr>
          <w:p w14:paraId="777694A9">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9</w:t>
            </w:r>
          </w:p>
        </w:tc>
        <w:tc>
          <w:tcPr>
            <w:tcW w:w="393" w:type="pct"/>
            <w:tcBorders>
              <w:tl2br w:val="nil"/>
              <w:tr2bl w:val="nil"/>
            </w:tcBorders>
            <w:shd w:val="clear" w:color="auto" w:fill="auto"/>
            <w:noWrap w:val="0"/>
            <w:tcMar>
              <w:left w:w="0" w:type="dxa"/>
              <w:right w:w="0" w:type="dxa"/>
            </w:tcMar>
            <w:vAlign w:val="center"/>
          </w:tcPr>
          <w:p w14:paraId="58AE0F7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p>
        </w:tc>
        <w:tc>
          <w:tcPr>
            <w:tcW w:w="563" w:type="pct"/>
            <w:tcBorders>
              <w:tl2br w:val="nil"/>
              <w:tr2bl w:val="nil"/>
            </w:tcBorders>
            <w:shd w:val="clear" w:color="auto" w:fill="auto"/>
            <w:noWrap w:val="0"/>
            <w:vAlign w:val="center"/>
          </w:tcPr>
          <w:p w14:paraId="255739A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9</w:t>
            </w:r>
          </w:p>
        </w:tc>
        <w:tc>
          <w:tcPr>
            <w:tcW w:w="507" w:type="pct"/>
            <w:tcBorders>
              <w:tl2br w:val="nil"/>
              <w:tr2bl w:val="nil"/>
            </w:tcBorders>
            <w:shd w:val="clear" w:color="auto" w:fill="auto"/>
            <w:noWrap w:val="0"/>
            <w:tcMar>
              <w:left w:w="0" w:type="dxa"/>
              <w:right w:w="0" w:type="dxa"/>
            </w:tcMar>
            <w:vAlign w:val="center"/>
          </w:tcPr>
          <w:p w14:paraId="403B035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43" w:type="pct"/>
            <w:tcBorders>
              <w:tl2br w:val="nil"/>
              <w:tr2bl w:val="nil"/>
            </w:tcBorders>
            <w:shd w:val="clear" w:color="auto" w:fill="auto"/>
            <w:noWrap w:val="0"/>
            <w:tcMar>
              <w:left w:w="0" w:type="dxa"/>
              <w:right w:w="0" w:type="dxa"/>
            </w:tcMar>
            <w:vAlign w:val="center"/>
          </w:tcPr>
          <w:p w14:paraId="09987A29">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816" w:type="pct"/>
            <w:tcBorders>
              <w:tl2br w:val="nil"/>
              <w:tr2bl w:val="nil"/>
            </w:tcBorders>
            <w:shd w:val="clear" w:color="auto" w:fill="auto"/>
            <w:noWrap w:val="0"/>
            <w:tcMar>
              <w:left w:w="0" w:type="dxa"/>
              <w:right w:w="0" w:type="dxa"/>
            </w:tcMar>
            <w:vAlign w:val="center"/>
          </w:tcPr>
          <w:p w14:paraId="7F59017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0.01</w:t>
            </w:r>
          </w:p>
        </w:tc>
      </w:tr>
      <w:tr w14:paraId="63E5E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82" w:type="pct"/>
            <w:tcBorders>
              <w:tl2br w:val="nil"/>
              <w:tr2bl w:val="nil"/>
            </w:tcBorders>
            <w:noWrap w:val="0"/>
            <w:tcMar>
              <w:left w:w="0" w:type="dxa"/>
              <w:right w:w="0" w:type="dxa"/>
            </w:tcMar>
            <w:vAlign w:val="center"/>
          </w:tcPr>
          <w:p w14:paraId="524A356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G2</w:t>
            </w:r>
          </w:p>
        </w:tc>
        <w:tc>
          <w:tcPr>
            <w:tcW w:w="576" w:type="pct"/>
            <w:tcBorders>
              <w:tl2br w:val="nil"/>
              <w:tr2bl w:val="nil"/>
            </w:tcBorders>
            <w:shd w:val="clear" w:color="auto" w:fill="auto"/>
            <w:noWrap w:val="0"/>
            <w:tcMar>
              <w:left w:w="0" w:type="dxa"/>
              <w:right w:w="0" w:type="dxa"/>
            </w:tcMar>
            <w:vAlign w:val="center"/>
          </w:tcPr>
          <w:p w14:paraId="7103805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中细碎厂房</w:t>
            </w:r>
          </w:p>
        </w:tc>
        <w:tc>
          <w:tcPr>
            <w:tcW w:w="256" w:type="pct"/>
            <w:tcBorders>
              <w:tl2br w:val="nil"/>
              <w:tr2bl w:val="nil"/>
            </w:tcBorders>
            <w:shd w:val="clear" w:color="auto" w:fill="auto"/>
            <w:noWrap w:val="0"/>
            <w:tcMar>
              <w:left w:w="0" w:type="dxa"/>
              <w:right w:w="0" w:type="dxa"/>
            </w:tcMar>
            <w:vAlign w:val="center"/>
          </w:tcPr>
          <w:p w14:paraId="04E20E15">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107</w:t>
            </w:r>
          </w:p>
        </w:tc>
        <w:tc>
          <w:tcPr>
            <w:tcW w:w="256" w:type="pct"/>
            <w:tcBorders>
              <w:tl2br w:val="nil"/>
              <w:tr2bl w:val="nil"/>
            </w:tcBorders>
            <w:shd w:val="clear" w:color="auto" w:fill="auto"/>
            <w:noWrap w:val="0"/>
            <w:tcMar>
              <w:left w:w="0" w:type="dxa"/>
              <w:right w:w="0" w:type="dxa"/>
            </w:tcMar>
            <w:vAlign w:val="center"/>
          </w:tcPr>
          <w:p w14:paraId="02CBE149">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237</w:t>
            </w:r>
          </w:p>
        </w:tc>
        <w:tc>
          <w:tcPr>
            <w:tcW w:w="454" w:type="pct"/>
            <w:tcBorders>
              <w:tl2br w:val="nil"/>
              <w:tr2bl w:val="nil"/>
            </w:tcBorders>
            <w:shd w:val="clear" w:color="auto" w:fill="auto"/>
            <w:noWrap w:val="0"/>
            <w:tcMar>
              <w:left w:w="0" w:type="dxa"/>
              <w:right w:w="0" w:type="dxa"/>
            </w:tcMar>
            <w:vAlign w:val="center"/>
          </w:tcPr>
          <w:p w14:paraId="0C24499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1104</w:t>
            </w:r>
          </w:p>
        </w:tc>
        <w:tc>
          <w:tcPr>
            <w:tcW w:w="344" w:type="pct"/>
            <w:tcBorders>
              <w:tl2br w:val="nil"/>
              <w:tr2bl w:val="nil"/>
            </w:tcBorders>
            <w:shd w:val="clear" w:color="auto" w:fill="auto"/>
            <w:noWrap w:val="0"/>
            <w:tcMar>
              <w:left w:w="0" w:type="dxa"/>
              <w:right w:w="0" w:type="dxa"/>
            </w:tcMar>
            <w:vAlign w:val="center"/>
          </w:tcPr>
          <w:p w14:paraId="6EE42A0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18</w:t>
            </w:r>
          </w:p>
        </w:tc>
        <w:tc>
          <w:tcPr>
            <w:tcW w:w="303" w:type="pct"/>
            <w:tcBorders>
              <w:tl2br w:val="nil"/>
              <w:tr2bl w:val="nil"/>
            </w:tcBorders>
            <w:shd w:val="clear" w:color="auto" w:fill="auto"/>
            <w:noWrap w:val="0"/>
            <w:tcMar>
              <w:left w:w="0" w:type="dxa"/>
              <w:right w:w="0" w:type="dxa"/>
            </w:tcMar>
            <w:vAlign w:val="center"/>
          </w:tcPr>
          <w:p w14:paraId="21B364A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393" w:type="pct"/>
            <w:tcBorders>
              <w:tl2br w:val="nil"/>
              <w:tr2bl w:val="nil"/>
            </w:tcBorders>
            <w:shd w:val="clear" w:color="auto" w:fill="auto"/>
            <w:noWrap w:val="0"/>
            <w:tcMar>
              <w:left w:w="0" w:type="dxa"/>
              <w:right w:w="0" w:type="dxa"/>
            </w:tcMar>
            <w:vAlign w:val="center"/>
          </w:tcPr>
          <w:p w14:paraId="3BF5747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p>
        </w:tc>
        <w:tc>
          <w:tcPr>
            <w:tcW w:w="563" w:type="pct"/>
            <w:tcBorders>
              <w:tl2br w:val="nil"/>
              <w:tr2bl w:val="nil"/>
            </w:tcBorders>
            <w:shd w:val="clear" w:color="auto" w:fill="auto"/>
            <w:noWrap w:val="0"/>
            <w:vAlign w:val="center"/>
          </w:tcPr>
          <w:p w14:paraId="44E664D1">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15</w:t>
            </w:r>
          </w:p>
        </w:tc>
        <w:tc>
          <w:tcPr>
            <w:tcW w:w="507" w:type="pct"/>
            <w:tcBorders>
              <w:tl2br w:val="nil"/>
              <w:tr2bl w:val="nil"/>
            </w:tcBorders>
            <w:shd w:val="clear" w:color="auto" w:fill="auto"/>
            <w:noWrap w:val="0"/>
            <w:tcMar>
              <w:left w:w="0" w:type="dxa"/>
              <w:right w:w="0" w:type="dxa"/>
            </w:tcMar>
            <w:vAlign w:val="center"/>
          </w:tcPr>
          <w:p w14:paraId="7E3A9E0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43" w:type="pct"/>
            <w:tcBorders>
              <w:tl2br w:val="nil"/>
              <w:tr2bl w:val="nil"/>
            </w:tcBorders>
            <w:shd w:val="clear" w:color="auto" w:fill="auto"/>
            <w:noWrap w:val="0"/>
            <w:tcMar>
              <w:left w:w="0" w:type="dxa"/>
              <w:right w:w="0" w:type="dxa"/>
            </w:tcMar>
            <w:vAlign w:val="center"/>
          </w:tcPr>
          <w:p w14:paraId="344C87AF">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816" w:type="pct"/>
            <w:tcBorders>
              <w:tl2br w:val="nil"/>
              <w:tr2bl w:val="nil"/>
            </w:tcBorders>
            <w:shd w:val="clear" w:color="auto" w:fill="auto"/>
            <w:noWrap w:val="0"/>
            <w:tcMar>
              <w:left w:w="0" w:type="dxa"/>
              <w:right w:w="0" w:type="dxa"/>
            </w:tcMar>
            <w:vAlign w:val="center"/>
          </w:tcPr>
          <w:p w14:paraId="446D4FBE">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0.023</w:t>
            </w:r>
          </w:p>
        </w:tc>
      </w:tr>
      <w:tr w14:paraId="2F5A8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82" w:type="pct"/>
            <w:tcBorders>
              <w:tl2br w:val="nil"/>
              <w:tr2bl w:val="nil"/>
            </w:tcBorders>
            <w:noWrap w:val="0"/>
            <w:tcMar>
              <w:left w:w="0" w:type="dxa"/>
              <w:right w:w="0" w:type="dxa"/>
            </w:tcMar>
            <w:vAlign w:val="center"/>
          </w:tcPr>
          <w:p w14:paraId="53972629">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G3</w:t>
            </w:r>
          </w:p>
        </w:tc>
        <w:tc>
          <w:tcPr>
            <w:tcW w:w="576" w:type="pct"/>
            <w:tcBorders>
              <w:tl2br w:val="nil"/>
              <w:tr2bl w:val="nil"/>
            </w:tcBorders>
            <w:shd w:val="clear" w:color="auto" w:fill="auto"/>
            <w:noWrap w:val="0"/>
            <w:tcMar>
              <w:left w:w="0" w:type="dxa"/>
              <w:right w:w="0" w:type="dxa"/>
            </w:tcMar>
            <w:vAlign w:val="center"/>
          </w:tcPr>
          <w:p w14:paraId="5D11513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w:t>
            </w:r>
          </w:p>
        </w:tc>
        <w:tc>
          <w:tcPr>
            <w:tcW w:w="256" w:type="pct"/>
            <w:tcBorders>
              <w:tl2br w:val="nil"/>
              <w:tr2bl w:val="nil"/>
            </w:tcBorders>
            <w:shd w:val="clear" w:color="auto" w:fill="auto"/>
            <w:noWrap w:val="0"/>
            <w:tcMar>
              <w:left w:w="0" w:type="dxa"/>
              <w:right w:w="0" w:type="dxa"/>
            </w:tcMar>
            <w:vAlign w:val="center"/>
          </w:tcPr>
          <w:p w14:paraId="3AB47001">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29</w:t>
            </w:r>
          </w:p>
        </w:tc>
        <w:tc>
          <w:tcPr>
            <w:tcW w:w="256" w:type="pct"/>
            <w:tcBorders>
              <w:tl2br w:val="nil"/>
              <w:tr2bl w:val="nil"/>
            </w:tcBorders>
            <w:shd w:val="clear" w:color="auto" w:fill="auto"/>
            <w:noWrap w:val="0"/>
            <w:tcMar>
              <w:left w:w="0" w:type="dxa"/>
              <w:right w:w="0" w:type="dxa"/>
            </w:tcMar>
            <w:vAlign w:val="center"/>
          </w:tcPr>
          <w:p w14:paraId="18AD3466">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240</w:t>
            </w:r>
          </w:p>
        </w:tc>
        <w:tc>
          <w:tcPr>
            <w:tcW w:w="454" w:type="pct"/>
            <w:tcBorders>
              <w:tl2br w:val="nil"/>
              <w:tr2bl w:val="nil"/>
            </w:tcBorders>
            <w:shd w:val="clear" w:color="auto" w:fill="auto"/>
            <w:noWrap w:val="0"/>
            <w:tcMar>
              <w:left w:w="0" w:type="dxa"/>
              <w:right w:w="0" w:type="dxa"/>
            </w:tcMar>
            <w:vAlign w:val="center"/>
          </w:tcPr>
          <w:p w14:paraId="6F1A263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1101</w:t>
            </w:r>
          </w:p>
        </w:tc>
        <w:tc>
          <w:tcPr>
            <w:tcW w:w="344" w:type="pct"/>
            <w:tcBorders>
              <w:tl2br w:val="nil"/>
              <w:tr2bl w:val="nil"/>
            </w:tcBorders>
            <w:shd w:val="clear" w:color="auto" w:fill="auto"/>
            <w:noWrap w:val="0"/>
            <w:tcMar>
              <w:left w:w="0" w:type="dxa"/>
              <w:right w:w="0" w:type="dxa"/>
            </w:tcMar>
            <w:vAlign w:val="center"/>
          </w:tcPr>
          <w:p w14:paraId="1F63C8B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18</w:t>
            </w:r>
          </w:p>
        </w:tc>
        <w:tc>
          <w:tcPr>
            <w:tcW w:w="303" w:type="pct"/>
            <w:tcBorders>
              <w:tl2br w:val="nil"/>
              <w:tr2bl w:val="nil"/>
            </w:tcBorders>
            <w:shd w:val="clear" w:color="auto" w:fill="auto"/>
            <w:noWrap w:val="0"/>
            <w:tcMar>
              <w:left w:w="0" w:type="dxa"/>
              <w:right w:w="0" w:type="dxa"/>
            </w:tcMar>
            <w:vAlign w:val="center"/>
          </w:tcPr>
          <w:p w14:paraId="35B6F20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w:t>
            </w:r>
          </w:p>
        </w:tc>
        <w:tc>
          <w:tcPr>
            <w:tcW w:w="393" w:type="pct"/>
            <w:tcBorders>
              <w:tl2br w:val="nil"/>
              <w:tr2bl w:val="nil"/>
            </w:tcBorders>
            <w:shd w:val="clear" w:color="auto" w:fill="auto"/>
            <w:noWrap w:val="0"/>
            <w:tcMar>
              <w:left w:w="0" w:type="dxa"/>
              <w:right w:w="0" w:type="dxa"/>
            </w:tcMar>
            <w:vAlign w:val="center"/>
          </w:tcPr>
          <w:p w14:paraId="28EBF581">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p>
        </w:tc>
        <w:tc>
          <w:tcPr>
            <w:tcW w:w="563" w:type="pct"/>
            <w:tcBorders>
              <w:tl2br w:val="nil"/>
              <w:tr2bl w:val="nil"/>
            </w:tcBorders>
            <w:shd w:val="clear" w:color="auto" w:fill="auto"/>
            <w:noWrap w:val="0"/>
            <w:vAlign w:val="center"/>
          </w:tcPr>
          <w:p w14:paraId="6105456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w:t>
            </w:r>
          </w:p>
        </w:tc>
        <w:tc>
          <w:tcPr>
            <w:tcW w:w="507" w:type="pct"/>
            <w:tcBorders>
              <w:tl2br w:val="nil"/>
              <w:tr2bl w:val="nil"/>
            </w:tcBorders>
            <w:shd w:val="clear" w:color="auto" w:fill="auto"/>
            <w:noWrap w:val="0"/>
            <w:tcMar>
              <w:left w:w="0" w:type="dxa"/>
              <w:right w:w="0" w:type="dxa"/>
            </w:tcMar>
            <w:vAlign w:val="center"/>
          </w:tcPr>
          <w:p w14:paraId="05D6FAE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43" w:type="pct"/>
            <w:tcBorders>
              <w:tl2br w:val="nil"/>
              <w:tr2bl w:val="nil"/>
            </w:tcBorders>
            <w:shd w:val="clear" w:color="auto" w:fill="auto"/>
            <w:noWrap w:val="0"/>
            <w:tcMar>
              <w:left w:w="0" w:type="dxa"/>
              <w:right w:w="0" w:type="dxa"/>
            </w:tcMar>
            <w:vAlign w:val="center"/>
          </w:tcPr>
          <w:p w14:paraId="3B2FE7B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816" w:type="pct"/>
            <w:tcBorders>
              <w:tl2br w:val="nil"/>
              <w:tr2bl w:val="nil"/>
            </w:tcBorders>
            <w:shd w:val="clear" w:color="auto" w:fill="auto"/>
            <w:noWrap w:val="0"/>
            <w:tcMar>
              <w:left w:w="0" w:type="dxa"/>
              <w:right w:w="0" w:type="dxa"/>
            </w:tcMar>
            <w:vAlign w:val="center"/>
          </w:tcPr>
          <w:p w14:paraId="4D57D2E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0.027</w:t>
            </w:r>
          </w:p>
        </w:tc>
      </w:tr>
      <w:tr w14:paraId="38F35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82" w:type="pct"/>
            <w:tcBorders>
              <w:tl2br w:val="nil"/>
              <w:tr2bl w:val="nil"/>
            </w:tcBorders>
            <w:noWrap w:val="0"/>
            <w:tcMar>
              <w:left w:w="0" w:type="dxa"/>
              <w:right w:w="0" w:type="dxa"/>
            </w:tcMar>
            <w:vAlign w:val="center"/>
          </w:tcPr>
          <w:p w14:paraId="1C645A6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G4</w:t>
            </w:r>
          </w:p>
        </w:tc>
        <w:tc>
          <w:tcPr>
            <w:tcW w:w="576" w:type="pct"/>
            <w:tcBorders>
              <w:tl2br w:val="nil"/>
              <w:tr2bl w:val="nil"/>
            </w:tcBorders>
            <w:shd w:val="clear" w:color="auto" w:fill="auto"/>
            <w:noWrap w:val="0"/>
            <w:tcMar>
              <w:left w:w="0" w:type="dxa"/>
              <w:right w:w="0" w:type="dxa"/>
            </w:tcMar>
            <w:vAlign w:val="center"/>
          </w:tcPr>
          <w:p w14:paraId="6E323B3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粉矿仓</w:t>
            </w:r>
          </w:p>
        </w:tc>
        <w:tc>
          <w:tcPr>
            <w:tcW w:w="256" w:type="pct"/>
            <w:tcBorders>
              <w:tl2br w:val="nil"/>
              <w:tr2bl w:val="nil"/>
            </w:tcBorders>
            <w:shd w:val="clear" w:color="auto" w:fill="auto"/>
            <w:noWrap w:val="0"/>
            <w:tcMar>
              <w:left w:w="0" w:type="dxa"/>
              <w:right w:w="0" w:type="dxa"/>
            </w:tcMar>
            <w:vAlign w:val="center"/>
          </w:tcPr>
          <w:p w14:paraId="2A4C8CF0">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29</w:t>
            </w:r>
          </w:p>
        </w:tc>
        <w:tc>
          <w:tcPr>
            <w:tcW w:w="256" w:type="pct"/>
            <w:tcBorders>
              <w:tl2br w:val="nil"/>
              <w:tr2bl w:val="nil"/>
            </w:tcBorders>
            <w:shd w:val="clear" w:color="auto" w:fill="auto"/>
            <w:noWrap w:val="0"/>
            <w:tcMar>
              <w:left w:w="0" w:type="dxa"/>
              <w:right w:w="0" w:type="dxa"/>
            </w:tcMar>
            <w:vAlign w:val="center"/>
          </w:tcPr>
          <w:p w14:paraId="43AF9CC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188</w:t>
            </w:r>
          </w:p>
        </w:tc>
        <w:tc>
          <w:tcPr>
            <w:tcW w:w="454" w:type="pct"/>
            <w:tcBorders>
              <w:tl2br w:val="nil"/>
              <w:tr2bl w:val="nil"/>
            </w:tcBorders>
            <w:shd w:val="clear" w:color="auto" w:fill="auto"/>
            <w:noWrap w:val="0"/>
            <w:tcMar>
              <w:left w:w="0" w:type="dxa"/>
              <w:right w:w="0" w:type="dxa"/>
            </w:tcMar>
            <w:vAlign w:val="center"/>
          </w:tcPr>
          <w:p w14:paraId="1D4E458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1102</w:t>
            </w:r>
          </w:p>
        </w:tc>
        <w:tc>
          <w:tcPr>
            <w:tcW w:w="344" w:type="pct"/>
            <w:tcBorders>
              <w:tl2br w:val="nil"/>
              <w:tr2bl w:val="nil"/>
            </w:tcBorders>
            <w:shd w:val="clear" w:color="auto" w:fill="auto"/>
            <w:noWrap w:val="0"/>
            <w:tcMar>
              <w:left w:w="0" w:type="dxa"/>
              <w:right w:w="0" w:type="dxa"/>
            </w:tcMar>
            <w:vAlign w:val="center"/>
          </w:tcPr>
          <w:p w14:paraId="4A18749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10</w:t>
            </w:r>
          </w:p>
        </w:tc>
        <w:tc>
          <w:tcPr>
            <w:tcW w:w="303" w:type="pct"/>
            <w:tcBorders>
              <w:tl2br w:val="nil"/>
              <w:tr2bl w:val="nil"/>
            </w:tcBorders>
            <w:shd w:val="clear" w:color="auto" w:fill="auto"/>
            <w:noWrap w:val="0"/>
            <w:tcMar>
              <w:left w:w="0" w:type="dxa"/>
              <w:right w:w="0" w:type="dxa"/>
            </w:tcMar>
            <w:vAlign w:val="center"/>
          </w:tcPr>
          <w:p w14:paraId="7C33C32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10</w:t>
            </w:r>
          </w:p>
        </w:tc>
        <w:tc>
          <w:tcPr>
            <w:tcW w:w="393" w:type="pct"/>
            <w:tcBorders>
              <w:tl2br w:val="nil"/>
              <w:tr2bl w:val="nil"/>
            </w:tcBorders>
            <w:shd w:val="clear" w:color="auto" w:fill="auto"/>
            <w:noWrap w:val="0"/>
            <w:tcMar>
              <w:left w:w="0" w:type="dxa"/>
              <w:right w:w="0" w:type="dxa"/>
            </w:tcMar>
            <w:vAlign w:val="center"/>
          </w:tcPr>
          <w:p w14:paraId="01721D5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0</w:t>
            </w:r>
          </w:p>
        </w:tc>
        <w:tc>
          <w:tcPr>
            <w:tcW w:w="563" w:type="pct"/>
            <w:tcBorders>
              <w:tl2br w:val="nil"/>
              <w:tr2bl w:val="nil"/>
            </w:tcBorders>
            <w:shd w:val="clear" w:color="auto" w:fill="auto"/>
            <w:noWrap w:val="0"/>
            <w:vAlign w:val="center"/>
          </w:tcPr>
          <w:p w14:paraId="05C65DD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15</w:t>
            </w:r>
          </w:p>
        </w:tc>
        <w:tc>
          <w:tcPr>
            <w:tcW w:w="507" w:type="pct"/>
            <w:tcBorders>
              <w:tl2br w:val="nil"/>
              <w:tr2bl w:val="nil"/>
            </w:tcBorders>
            <w:shd w:val="clear" w:color="auto" w:fill="auto"/>
            <w:noWrap w:val="0"/>
            <w:tcMar>
              <w:left w:w="0" w:type="dxa"/>
              <w:right w:w="0" w:type="dxa"/>
            </w:tcMar>
            <w:vAlign w:val="center"/>
          </w:tcPr>
          <w:p w14:paraId="3D320559">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343" w:type="pct"/>
            <w:tcBorders>
              <w:tl2br w:val="nil"/>
              <w:tr2bl w:val="nil"/>
            </w:tcBorders>
            <w:shd w:val="clear" w:color="auto" w:fill="auto"/>
            <w:noWrap w:val="0"/>
            <w:tcMar>
              <w:left w:w="0" w:type="dxa"/>
              <w:right w:w="0" w:type="dxa"/>
            </w:tcMar>
            <w:vAlign w:val="center"/>
          </w:tcPr>
          <w:p w14:paraId="4EB10AC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816" w:type="pct"/>
            <w:tcBorders>
              <w:tl2br w:val="nil"/>
              <w:tr2bl w:val="nil"/>
            </w:tcBorders>
            <w:shd w:val="clear" w:color="auto" w:fill="auto"/>
            <w:noWrap w:val="0"/>
            <w:tcMar>
              <w:left w:w="0" w:type="dxa"/>
              <w:right w:w="0" w:type="dxa"/>
            </w:tcMar>
            <w:vAlign w:val="center"/>
          </w:tcPr>
          <w:p w14:paraId="2E8B811F">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0.005</w:t>
            </w:r>
          </w:p>
        </w:tc>
      </w:tr>
      <w:tr w14:paraId="1BD44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82" w:type="pct"/>
            <w:tcBorders>
              <w:tl2br w:val="nil"/>
              <w:tr2bl w:val="nil"/>
            </w:tcBorders>
            <w:noWrap w:val="0"/>
            <w:tcMar>
              <w:left w:w="0" w:type="dxa"/>
              <w:right w:w="0" w:type="dxa"/>
            </w:tcMar>
            <w:vAlign w:val="center"/>
          </w:tcPr>
          <w:p w14:paraId="0B0DC12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G</w:t>
            </w:r>
            <w:r>
              <w:rPr>
                <w:rFonts w:hint="default" w:cs="Times New Roman"/>
                <w:color w:val="auto"/>
                <w:kern w:val="0"/>
                <w:sz w:val="21"/>
                <w:szCs w:val="21"/>
                <w:highlight w:val="none"/>
                <w:lang w:val="en-US" w:eastAsia="zh-CN"/>
              </w:rPr>
              <w:t>5</w:t>
            </w:r>
          </w:p>
        </w:tc>
        <w:tc>
          <w:tcPr>
            <w:tcW w:w="576" w:type="pct"/>
            <w:tcBorders>
              <w:tl2br w:val="nil"/>
              <w:tr2bl w:val="nil"/>
            </w:tcBorders>
            <w:shd w:val="clear" w:color="auto" w:fill="auto"/>
            <w:noWrap w:val="0"/>
            <w:tcMar>
              <w:left w:w="0" w:type="dxa"/>
              <w:right w:w="0" w:type="dxa"/>
            </w:tcMar>
            <w:vAlign w:val="center"/>
          </w:tcPr>
          <w:p w14:paraId="064D88E7">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原矿堆场</w:t>
            </w:r>
          </w:p>
        </w:tc>
        <w:tc>
          <w:tcPr>
            <w:tcW w:w="256" w:type="pct"/>
            <w:tcBorders>
              <w:tl2br w:val="nil"/>
              <w:tr2bl w:val="nil"/>
            </w:tcBorders>
            <w:shd w:val="clear" w:color="auto" w:fill="auto"/>
            <w:noWrap w:val="0"/>
            <w:tcMar>
              <w:left w:w="0" w:type="dxa"/>
              <w:right w:w="0" w:type="dxa"/>
            </w:tcMar>
            <w:vAlign w:val="center"/>
          </w:tcPr>
          <w:p w14:paraId="70546B42">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182</w:t>
            </w:r>
          </w:p>
        </w:tc>
        <w:tc>
          <w:tcPr>
            <w:tcW w:w="256" w:type="pct"/>
            <w:tcBorders>
              <w:tl2br w:val="nil"/>
              <w:tr2bl w:val="nil"/>
            </w:tcBorders>
            <w:shd w:val="clear" w:color="auto" w:fill="auto"/>
            <w:noWrap w:val="0"/>
            <w:tcMar>
              <w:left w:w="0" w:type="dxa"/>
              <w:right w:w="0" w:type="dxa"/>
            </w:tcMar>
            <w:vAlign w:val="center"/>
          </w:tcPr>
          <w:p w14:paraId="609896C0">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227</w:t>
            </w:r>
          </w:p>
        </w:tc>
        <w:tc>
          <w:tcPr>
            <w:tcW w:w="454" w:type="pct"/>
            <w:tcBorders>
              <w:tl2br w:val="nil"/>
              <w:tr2bl w:val="nil"/>
            </w:tcBorders>
            <w:shd w:val="clear" w:color="auto" w:fill="auto"/>
            <w:noWrap w:val="0"/>
            <w:tcMar>
              <w:left w:w="0" w:type="dxa"/>
              <w:right w:w="0" w:type="dxa"/>
            </w:tcMar>
            <w:vAlign w:val="center"/>
          </w:tcPr>
          <w:p w14:paraId="3BAA7D3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1105</w:t>
            </w:r>
          </w:p>
        </w:tc>
        <w:tc>
          <w:tcPr>
            <w:tcW w:w="344" w:type="pct"/>
            <w:tcBorders>
              <w:tl2br w:val="nil"/>
              <w:tr2bl w:val="nil"/>
            </w:tcBorders>
            <w:shd w:val="clear" w:color="auto" w:fill="auto"/>
            <w:noWrap w:val="0"/>
            <w:tcMar>
              <w:left w:w="0" w:type="dxa"/>
              <w:right w:w="0" w:type="dxa"/>
            </w:tcMar>
            <w:vAlign w:val="center"/>
          </w:tcPr>
          <w:p w14:paraId="31C0535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120</w:t>
            </w:r>
          </w:p>
        </w:tc>
        <w:tc>
          <w:tcPr>
            <w:tcW w:w="303" w:type="pct"/>
            <w:tcBorders>
              <w:tl2br w:val="nil"/>
              <w:tr2bl w:val="nil"/>
            </w:tcBorders>
            <w:shd w:val="clear" w:color="auto" w:fill="auto"/>
            <w:noWrap w:val="0"/>
            <w:tcMar>
              <w:left w:w="0" w:type="dxa"/>
              <w:right w:w="0" w:type="dxa"/>
            </w:tcMar>
            <w:vAlign w:val="center"/>
          </w:tcPr>
          <w:p w14:paraId="656F2D0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60</w:t>
            </w:r>
          </w:p>
        </w:tc>
        <w:tc>
          <w:tcPr>
            <w:tcW w:w="393" w:type="pct"/>
            <w:tcBorders>
              <w:tl2br w:val="nil"/>
              <w:tr2bl w:val="nil"/>
            </w:tcBorders>
            <w:shd w:val="clear" w:color="auto" w:fill="auto"/>
            <w:noWrap w:val="0"/>
            <w:tcMar>
              <w:left w:w="0" w:type="dxa"/>
              <w:right w:w="0" w:type="dxa"/>
            </w:tcMar>
            <w:vAlign w:val="center"/>
          </w:tcPr>
          <w:p w14:paraId="7C99416F">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p>
        </w:tc>
        <w:tc>
          <w:tcPr>
            <w:tcW w:w="563" w:type="pct"/>
            <w:tcBorders>
              <w:tl2br w:val="nil"/>
              <w:tr2bl w:val="nil"/>
            </w:tcBorders>
            <w:shd w:val="clear" w:color="auto" w:fill="auto"/>
            <w:noWrap w:val="0"/>
            <w:vAlign w:val="center"/>
          </w:tcPr>
          <w:p w14:paraId="774B0E9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w:t>
            </w:r>
          </w:p>
        </w:tc>
        <w:tc>
          <w:tcPr>
            <w:tcW w:w="507" w:type="pct"/>
            <w:tcBorders>
              <w:tl2br w:val="nil"/>
              <w:tr2bl w:val="nil"/>
            </w:tcBorders>
            <w:shd w:val="clear" w:color="auto" w:fill="auto"/>
            <w:noWrap w:val="0"/>
            <w:tcMar>
              <w:left w:w="0" w:type="dxa"/>
              <w:right w:w="0" w:type="dxa"/>
            </w:tcMar>
            <w:vAlign w:val="center"/>
          </w:tcPr>
          <w:p w14:paraId="72B638B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8760</w:t>
            </w:r>
          </w:p>
        </w:tc>
        <w:tc>
          <w:tcPr>
            <w:tcW w:w="343" w:type="pct"/>
            <w:tcBorders>
              <w:tl2br w:val="nil"/>
              <w:tr2bl w:val="nil"/>
            </w:tcBorders>
            <w:shd w:val="clear" w:color="auto" w:fill="auto"/>
            <w:noWrap w:val="0"/>
            <w:tcMar>
              <w:left w:w="0" w:type="dxa"/>
              <w:right w:w="0" w:type="dxa"/>
            </w:tcMar>
            <w:vAlign w:val="center"/>
          </w:tcPr>
          <w:p w14:paraId="49C3C02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816" w:type="pct"/>
            <w:tcBorders>
              <w:tl2br w:val="nil"/>
              <w:tr2bl w:val="nil"/>
            </w:tcBorders>
            <w:shd w:val="clear" w:color="auto" w:fill="auto"/>
            <w:noWrap w:val="0"/>
            <w:tcMar>
              <w:left w:w="0" w:type="dxa"/>
              <w:right w:w="0" w:type="dxa"/>
            </w:tcMar>
            <w:vAlign w:val="center"/>
          </w:tcPr>
          <w:p w14:paraId="0D2C6EC8">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0.3059</w:t>
            </w:r>
          </w:p>
        </w:tc>
      </w:tr>
      <w:tr w14:paraId="5C730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82" w:type="pct"/>
            <w:tcBorders>
              <w:tl2br w:val="nil"/>
              <w:tr2bl w:val="nil"/>
            </w:tcBorders>
            <w:noWrap w:val="0"/>
            <w:tcMar>
              <w:left w:w="0" w:type="dxa"/>
              <w:right w:w="0" w:type="dxa"/>
            </w:tcMar>
            <w:vAlign w:val="center"/>
          </w:tcPr>
          <w:p w14:paraId="549B4609">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G</w:t>
            </w:r>
            <w:r>
              <w:rPr>
                <w:rFonts w:hint="default" w:cs="Times New Roman"/>
                <w:color w:val="auto"/>
                <w:kern w:val="0"/>
                <w:sz w:val="21"/>
                <w:szCs w:val="21"/>
                <w:highlight w:val="none"/>
                <w:lang w:val="en-US" w:eastAsia="zh-CN"/>
              </w:rPr>
              <w:t>6</w:t>
            </w:r>
          </w:p>
        </w:tc>
        <w:tc>
          <w:tcPr>
            <w:tcW w:w="576" w:type="pct"/>
            <w:tcBorders>
              <w:tl2br w:val="nil"/>
              <w:tr2bl w:val="nil"/>
            </w:tcBorders>
            <w:shd w:val="clear" w:color="auto" w:fill="auto"/>
            <w:noWrap w:val="0"/>
            <w:tcMar>
              <w:left w:w="0" w:type="dxa"/>
              <w:right w:w="0" w:type="dxa"/>
            </w:tcMar>
            <w:vAlign w:val="center"/>
          </w:tcPr>
          <w:p w14:paraId="659374B8">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尾矿库</w:t>
            </w:r>
          </w:p>
        </w:tc>
        <w:tc>
          <w:tcPr>
            <w:tcW w:w="256" w:type="pct"/>
            <w:tcBorders>
              <w:tl2br w:val="nil"/>
              <w:tr2bl w:val="nil"/>
            </w:tcBorders>
            <w:shd w:val="clear" w:color="auto" w:fill="auto"/>
            <w:noWrap w:val="0"/>
            <w:tcMar>
              <w:left w:w="0" w:type="dxa"/>
              <w:right w:w="0" w:type="dxa"/>
            </w:tcMar>
            <w:vAlign w:val="center"/>
          </w:tcPr>
          <w:p w14:paraId="296F0695">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-555</w:t>
            </w:r>
          </w:p>
        </w:tc>
        <w:tc>
          <w:tcPr>
            <w:tcW w:w="256" w:type="pct"/>
            <w:tcBorders>
              <w:tl2br w:val="nil"/>
              <w:tr2bl w:val="nil"/>
            </w:tcBorders>
            <w:shd w:val="clear" w:color="auto" w:fill="auto"/>
            <w:noWrap w:val="0"/>
            <w:tcMar>
              <w:left w:w="0" w:type="dxa"/>
              <w:right w:w="0" w:type="dxa"/>
            </w:tcMar>
            <w:vAlign w:val="center"/>
          </w:tcPr>
          <w:p w14:paraId="41FF67C2">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1263</w:t>
            </w:r>
          </w:p>
        </w:tc>
        <w:tc>
          <w:tcPr>
            <w:tcW w:w="454" w:type="pct"/>
            <w:tcBorders>
              <w:tl2br w:val="nil"/>
              <w:tr2bl w:val="nil"/>
            </w:tcBorders>
            <w:shd w:val="clear" w:color="auto" w:fill="auto"/>
            <w:noWrap w:val="0"/>
            <w:tcMar>
              <w:left w:w="0" w:type="dxa"/>
              <w:right w:w="0" w:type="dxa"/>
            </w:tcMar>
            <w:vAlign w:val="center"/>
          </w:tcPr>
          <w:p w14:paraId="7249ABD0">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1091</w:t>
            </w:r>
          </w:p>
        </w:tc>
        <w:tc>
          <w:tcPr>
            <w:tcW w:w="344" w:type="pct"/>
            <w:tcBorders>
              <w:tl2br w:val="nil"/>
              <w:tr2bl w:val="nil"/>
            </w:tcBorders>
            <w:shd w:val="clear" w:color="auto" w:fill="auto"/>
            <w:noWrap w:val="0"/>
            <w:tcMar>
              <w:left w:w="0" w:type="dxa"/>
              <w:right w:w="0" w:type="dxa"/>
            </w:tcMar>
            <w:vAlign w:val="center"/>
          </w:tcPr>
          <w:p w14:paraId="3571B3C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200</w:t>
            </w:r>
          </w:p>
        </w:tc>
        <w:tc>
          <w:tcPr>
            <w:tcW w:w="303" w:type="pct"/>
            <w:tcBorders>
              <w:tl2br w:val="nil"/>
              <w:tr2bl w:val="nil"/>
            </w:tcBorders>
            <w:shd w:val="clear" w:color="auto" w:fill="auto"/>
            <w:noWrap w:val="0"/>
            <w:tcMar>
              <w:left w:w="0" w:type="dxa"/>
              <w:right w:w="0" w:type="dxa"/>
            </w:tcMar>
            <w:vAlign w:val="center"/>
          </w:tcPr>
          <w:p w14:paraId="4BA36A9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115</w:t>
            </w:r>
          </w:p>
        </w:tc>
        <w:tc>
          <w:tcPr>
            <w:tcW w:w="393" w:type="pct"/>
            <w:tcBorders>
              <w:tl2br w:val="nil"/>
              <w:tr2bl w:val="nil"/>
            </w:tcBorders>
            <w:shd w:val="clear" w:color="auto" w:fill="auto"/>
            <w:noWrap w:val="0"/>
            <w:tcMar>
              <w:left w:w="0" w:type="dxa"/>
              <w:right w:w="0" w:type="dxa"/>
            </w:tcMar>
            <w:vAlign w:val="center"/>
          </w:tcPr>
          <w:p w14:paraId="643F639F">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p>
        </w:tc>
        <w:tc>
          <w:tcPr>
            <w:tcW w:w="563" w:type="pct"/>
            <w:tcBorders>
              <w:tl2br w:val="nil"/>
              <w:tr2bl w:val="nil"/>
            </w:tcBorders>
            <w:shd w:val="clear" w:color="auto" w:fill="auto"/>
            <w:noWrap w:val="0"/>
            <w:vAlign w:val="center"/>
          </w:tcPr>
          <w:p w14:paraId="23AA8F49">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507" w:type="pct"/>
            <w:tcBorders>
              <w:tl2br w:val="nil"/>
              <w:tr2bl w:val="nil"/>
            </w:tcBorders>
            <w:shd w:val="clear" w:color="auto" w:fill="auto"/>
            <w:noWrap w:val="0"/>
            <w:tcMar>
              <w:left w:w="0" w:type="dxa"/>
              <w:right w:w="0" w:type="dxa"/>
            </w:tcMar>
            <w:vAlign w:val="center"/>
          </w:tcPr>
          <w:p w14:paraId="0770B48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8760</w:t>
            </w:r>
          </w:p>
        </w:tc>
        <w:tc>
          <w:tcPr>
            <w:tcW w:w="343" w:type="pct"/>
            <w:tcBorders>
              <w:tl2br w:val="nil"/>
              <w:tr2bl w:val="nil"/>
            </w:tcBorders>
            <w:shd w:val="clear" w:color="auto" w:fill="auto"/>
            <w:noWrap w:val="0"/>
            <w:tcMar>
              <w:left w:w="0" w:type="dxa"/>
              <w:right w:w="0" w:type="dxa"/>
            </w:tcMar>
            <w:vAlign w:val="center"/>
          </w:tcPr>
          <w:p w14:paraId="125A994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816" w:type="pct"/>
            <w:tcBorders>
              <w:tl2br w:val="nil"/>
              <w:tr2bl w:val="nil"/>
            </w:tcBorders>
            <w:shd w:val="clear" w:color="auto" w:fill="auto"/>
            <w:noWrap w:val="0"/>
            <w:tcMar>
              <w:left w:w="0" w:type="dxa"/>
              <w:right w:w="0" w:type="dxa"/>
            </w:tcMar>
            <w:vAlign w:val="center"/>
          </w:tcPr>
          <w:p w14:paraId="587BC79A">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w:t>
            </w:r>
            <w:r>
              <w:rPr>
                <w:rFonts w:hint="default" w:cs="Times New Roman"/>
                <w:color w:val="auto"/>
                <w:kern w:val="0"/>
                <w:sz w:val="21"/>
                <w:szCs w:val="21"/>
                <w:highlight w:val="none"/>
                <w:lang w:val="en-US" w:eastAsia="zh-CN"/>
              </w:rPr>
              <w:t>38</w:t>
            </w:r>
          </w:p>
        </w:tc>
      </w:tr>
    </w:tbl>
    <w:p w14:paraId="5B73590E">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表2.6-</w:t>
      </w:r>
      <w:r>
        <w:rPr>
          <w:rFonts w:hint="default" w:cs="Times New Roman"/>
          <w:b/>
          <w:color w:val="auto"/>
          <w:highlight w:val="none"/>
          <w:lang w:val="en-US" w:eastAsia="zh-CN"/>
        </w:rPr>
        <w:t>5</w:t>
      </w:r>
      <w:r>
        <w:rPr>
          <w:rFonts w:hint="default" w:ascii="Times New Roman" w:hAnsi="Times New Roman" w:cs="Times New Roman"/>
          <w:b/>
          <w:color w:val="auto"/>
          <w:highlight w:val="none"/>
        </w:rPr>
        <w:t xml:space="preserve">    污染物最大落地浓度统计表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41"/>
        <w:gridCol w:w="1906"/>
        <w:gridCol w:w="1705"/>
        <w:gridCol w:w="2126"/>
        <w:gridCol w:w="1069"/>
        <w:gridCol w:w="1072"/>
      </w:tblGrid>
      <w:tr w14:paraId="0AC958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blHeader/>
          <w:jc w:val="center"/>
        </w:trPr>
        <w:tc>
          <w:tcPr>
            <w:tcW w:w="376" w:type="pct"/>
            <w:noWrap w:val="0"/>
            <w:vAlign w:val="center"/>
          </w:tcPr>
          <w:p w14:paraId="57A3DA4C">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bCs/>
                <w:color w:val="auto"/>
                <w:kern w:val="0"/>
                <w:sz w:val="21"/>
                <w:highlight w:val="none"/>
              </w:rPr>
              <w:t>序号</w:t>
            </w:r>
          </w:p>
        </w:tc>
        <w:tc>
          <w:tcPr>
            <w:tcW w:w="1118" w:type="pct"/>
            <w:noWrap w:val="0"/>
            <w:vAlign w:val="center"/>
          </w:tcPr>
          <w:p w14:paraId="3792D497">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名称</w:t>
            </w:r>
          </w:p>
        </w:tc>
        <w:tc>
          <w:tcPr>
            <w:tcW w:w="1000" w:type="pct"/>
            <w:noWrap w:val="0"/>
            <w:vAlign w:val="center"/>
          </w:tcPr>
          <w:p w14:paraId="6360308C">
            <w:pPr>
              <w:spacing w:line="360" w:lineRule="exact"/>
              <w:ind w:firstLine="0" w:firstLineChars="0"/>
              <w:jc w:val="center"/>
              <w:rPr>
                <w:rFonts w:hint="default" w:ascii="Times New Roman" w:hAnsi="Times New Roman" w:eastAsia="宋体" w:cs="Times New Roman"/>
                <w:b/>
                <w:color w:val="auto"/>
                <w:sz w:val="21"/>
                <w:highlight w:val="none"/>
                <w:lang w:val="en-US" w:eastAsia="zh-CN"/>
              </w:rPr>
            </w:pPr>
            <w:r>
              <w:rPr>
                <w:rFonts w:hint="default" w:ascii="Times New Roman" w:hAnsi="Times New Roman" w:cs="Times New Roman"/>
                <w:b/>
                <w:color w:val="auto"/>
                <w:sz w:val="21"/>
                <w:highlight w:val="none"/>
              </w:rPr>
              <w:t>最大落地浓度（mg/m</w:t>
            </w:r>
            <w:r>
              <w:rPr>
                <w:rFonts w:hint="default" w:ascii="Times New Roman" w:hAnsi="Times New Roman" w:cs="Times New Roman"/>
                <w:b/>
                <w:color w:val="auto"/>
                <w:sz w:val="21"/>
                <w:highlight w:val="none"/>
                <w:vertAlign w:val="superscript"/>
              </w:rPr>
              <w:t>3</w:t>
            </w:r>
            <w:r>
              <w:rPr>
                <w:rFonts w:hint="default" w:ascii="Times New Roman" w:hAnsi="Times New Roman" w:cs="Times New Roman"/>
                <w:b/>
                <w:color w:val="auto"/>
                <w:sz w:val="21"/>
                <w:highlight w:val="none"/>
              </w:rPr>
              <w:t>）</w:t>
            </w:r>
          </w:p>
        </w:tc>
        <w:tc>
          <w:tcPr>
            <w:tcW w:w="1247" w:type="pct"/>
            <w:noWrap w:val="0"/>
            <w:vAlign w:val="center"/>
          </w:tcPr>
          <w:p w14:paraId="20FD682C">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最大浓度落地距离（m）</w:t>
            </w:r>
          </w:p>
        </w:tc>
        <w:tc>
          <w:tcPr>
            <w:tcW w:w="627" w:type="pct"/>
            <w:noWrap w:val="0"/>
            <w:vAlign w:val="center"/>
          </w:tcPr>
          <w:p w14:paraId="405CAAC0">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P</w:t>
            </w:r>
            <w:r>
              <w:rPr>
                <w:rFonts w:hint="default" w:ascii="Times New Roman" w:hAnsi="Times New Roman" w:cs="Times New Roman"/>
                <w:b/>
                <w:color w:val="auto"/>
                <w:sz w:val="21"/>
                <w:highlight w:val="none"/>
                <w:vertAlign w:val="subscript"/>
              </w:rPr>
              <w:t>max</w:t>
            </w:r>
            <w:r>
              <w:rPr>
                <w:rFonts w:hint="default" w:ascii="Times New Roman" w:hAnsi="Times New Roman" w:cs="Times New Roman"/>
                <w:b/>
                <w:color w:val="auto"/>
                <w:sz w:val="21"/>
                <w:highlight w:val="none"/>
              </w:rPr>
              <w:t>（%）</w:t>
            </w:r>
          </w:p>
        </w:tc>
        <w:tc>
          <w:tcPr>
            <w:tcW w:w="629" w:type="pct"/>
            <w:noWrap w:val="0"/>
            <w:vAlign w:val="center"/>
          </w:tcPr>
          <w:p w14:paraId="79B649F0">
            <w:pPr>
              <w:spacing w:line="360" w:lineRule="exact"/>
              <w:ind w:firstLine="0" w:firstLineChars="0"/>
              <w:jc w:val="center"/>
              <w:rPr>
                <w:rFonts w:hint="default" w:ascii="Times New Roman" w:hAnsi="Times New Roman" w:eastAsia="宋体" w:cs="Times New Roman"/>
                <w:b/>
                <w:color w:val="auto"/>
                <w:sz w:val="21"/>
                <w:highlight w:val="none"/>
                <w:lang w:val="en-US" w:eastAsia="zh-CN"/>
              </w:rPr>
            </w:pPr>
            <w:r>
              <w:rPr>
                <w:rFonts w:hint="default" w:cs="Times New Roman"/>
                <w:b/>
                <w:color w:val="auto"/>
                <w:sz w:val="21"/>
                <w:highlight w:val="none"/>
                <w:lang w:val="en-US" w:eastAsia="zh-CN"/>
              </w:rPr>
              <w:t>D10（m）</w:t>
            </w:r>
          </w:p>
        </w:tc>
      </w:tr>
      <w:tr w14:paraId="05F3C9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noWrap w:val="0"/>
            <w:vAlign w:val="center"/>
          </w:tcPr>
          <w:p w14:paraId="00C5E3EE">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eastAsia="宋体" w:cs="Times New Roman"/>
                <w:color w:val="auto"/>
                <w:kern w:val="0"/>
                <w:sz w:val="21"/>
                <w:szCs w:val="21"/>
                <w:highlight w:val="none"/>
                <w:lang w:val="en-US" w:eastAsia="zh-CN"/>
              </w:rPr>
              <w:t>P1</w:t>
            </w:r>
          </w:p>
        </w:tc>
        <w:tc>
          <w:tcPr>
            <w:tcW w:w="1118" w:type="pct"/>
            <w:noWrap w:val="0"/>
            <w:vAlign w:val="center"/>
          </w:tcPr>
          <w:p w14:paraId="512D77B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bCs/>
                <w:color w:val="auto"/>
                <w:sz w:val="21"/>
                <w:highlight w:val="none"/>
              </w:rPr>
            </w:pPr>
            <w:r>
              <w:rPr>
                <w:rFonts w:hint="default" w:ascii="Times New Roman" w:hAnsi="Times New Roman" w:eastAsia="宋体" w:cs="Times New Roman"/>
                <w:color w:val="auto"/>
                <w:spacing w:val="-2"/>
                <w:sz w:val="21"/>
                <w:szCs w:val="21"/>
                <w:highlight w:val="none"/>
                <w:lang w:val="en-US" w:eastAsia="zh-CN"/>
              </w:rPr>
              <w:t>粗碎厂房排气筒</w:t>
            </w:r>
          </w:p>
        </w:tc>
        <w:tc>
          <w:tcPr>
            <w:tcW w:w="1000" w:type="pct"/>
            <w:noWrap w:val="0"/>
            <w:vAlign w:val="center"/>
          </w:tcPr>
          <w:p w14:paraId="7C64B2E3">
            <w:pPr>
              <w:adjustRightInd w:val="0"/>
              <w:snapToGrid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0.0322</w:t>
            </w:r>
          </w:p>
        </w:tc>
        <w:tc>
          <w:tcPr>
            <w:tcW w:w="1247" w:type="pct"/>
            <w:noWrap w:val="0"/>
            <w:vAlign w:val="center"/>
          </w:tcPr>
          <w:p w14:paraId="44C3936D">
            <w:pPr>
              <w:adjustRightInd w:val="0"/>
              <w:snapToGrid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0</w:t>
            </w:r>
          </w:p>
        </w:tc>
        <w:tc>
          <w:tcPr>
            <w:tcW w:w="627" w:type="pct"/>
            <w:noWrap w:val="0"/>
            <w:vAlign w:val="center"/>
          </w:tcPr>
          <w:p w14:paraId="1CBCEB15">
            <w:pPr>
              <w:adjustRightInd w:val="0"/>
              <w:snapToGrid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7.16</w:t>
            </w:r>
          </w:p>
        </w:tc>
        <w:tc>
          <w:tcPr>
            <w:tcW w:w="629" w:type="pct"/>
            <w:noWrap w:val="0"/>
            <w:vAlign w:val="center"/>
          </w:tcPr>
          <w:p w14:paraId="5BE2FD6A">
            <w:pPr>
              <w:adjustRightInd w:val="0"/>
              <w:snapToGrid w:val="0"/>
              <w:spacing w:line="360" w:lineRule="exact"/>
              <w:ind w:firstLine="0" w:firstLineChars="0"/>
              <w:jc w:val="center"/>
              <w:rPr>
                <w:rFonts w:hint="default" w:cs="Times New Roman"/>
                <w:color w:val="auto"/>
                <w:sz w:val="21"/>
                <w:highlight w:val="none"/>
                <w:lang w:val="en-US" w:eastAsia="zh-CN"/>
              </w:rPr>
            </w:pPr>
            <w:r>
              <w:rPr>
                <w:rFonts w:hint="default" w:cs="Times New Roman"/>
                <w:color w:val="auto"/>
                <w:sz w:val="21"/>
                <w:highlight w:val="none"/>
                <w:lang w:val="en-US" w:eastAsia="zh-CN"/>
              </w:rPr>
              <w:t>0</w:t>
            </w:r>
          </w:p>
        </w:tc>
      </w:tr>
      <w:tr w14:paraId="167DFF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noWrap w:val="0"/>
            <w:vAlign w:val="center"/>
          </w:tcPr>
          <w:p w14:paraId="270607BA">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eastAsia="宋体" w:cs="Times New Roman"/>
                <w:color w:val="auto"/>
                <w:kern w:val="0"/>
                <w:sz w:val="21"/>
                <w:szCs w:val="21"/>
                <w:highlight w:val="none"/>
                <w:lang w:val="en-US" w:eastAsia="zh-CN"/>
              </w:rPr>
              <w:t>P2</w:t>
            </w:r>
          </w:p>
        </w:tc>
        <w:tc>
          <w:tcPr>
            <w:tcW w:w="1118" w:type="pct"/>
            <w:noWrap w:val="0"/>
            <w:vAlign w:val="center"/>
          </w:tcPr>
          <w:p w14:paraId="41515E3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pacing w:val="-2"/>
                <w:sz w:val="21"/>
                <w:szCs w:val="21"/>
                <w:highlight w:val="none"/>
                <w:lang w:val="en-US" w:eastAsia="zh-CN"/>
              </w:rPr>
              <w:t>中细碎厂房排气筒</w:t>
            </w:r>
          </w:p>
        </w:tc>
        <w:tc>
          <w:tcPr>
            <w:tcW w:w="1000" w:type="pct"/>
            <w:noWrap w:val="0"/>
            <w:vAlign w:val="center"/>
          </w:tcPr>
          <w:p w14:paraId="366CEF25">
            <w:pPr>
              <w:adjustRightInd w:val="0"/>
              <w:snapToGrid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0.0704</w:t>
            </w:r>
          </w:p>
        </w:tc>
        <w:tc>
          <w:tcPr>
            <w:tcW w:w="1247" w:type="pct"/>
            <w:noWrap w:val="0"/>
            <w:vAlign w:val="center"/>
          </w:tcPr>
          <w:p w14:paraId="7526F232">
            <w:pPr>
              <w:adjustRightInd w:val="0"/>
              <w:snapToGrid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725</w:t>
            </w:r>
          </w:p>
        </w:tc>
        <w:tc>
          <w:tcPr>
            <w:tcW w:w="627" w:type="pct"/>
            <w:shd w:val="clear" w:color="auto" w:fill="auto"/>
            <w:noWrap w:val="0"/>
            <w:vAlign w:val="center"/>
          </w:tcPr>
          <w:p w14:paraId="1C7586EF">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15.64</w:t>
            </w:r>
          </w:p>
        </w:tc>
        <w:tc>
          <w:tcPr>
            <w:tcW w:w="629" w:type="pct"/>
            <w:shd w:val="clear" w:color="auto" w:fill="auto"/>
            <w:noWrap w:val="0"/>
            <w:vAlign w:val="center"/>
          </w:tcPr>
          <w:p w14:paraId="1C6EEA3D">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725</w:t>
            </w:r>
          </w:p>
        </w:tc>
      </w:tr>
      <w:tr w14:paraId="6E864D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noWrap w:val="0"/>
            <w:vAlign w:val="center"/>
          </w:tcPr>
          <w:p w14:paraId="0419A8CE">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eastAsia="宋体" w:cs="Times New Roman"/>
                <w:color w:val="auto"/>
                <w:kern w:val="0"/>
                <w:sz w:val="21"/>
                <w:szCs w:val="21"/>
                <w:highlight w:val="none"/>
                <w:lang w:val="en-US" w:eastAsia="zh-CN"/>
              </w:rPr>
              <w:t>P3</w:t>
            </w:r>
          </w:p>
        </w:tc>
        <w:tc>
          <w:tcPr>
            <w:tcW w:w="1118" w:type="pct"/>
            <w:noWrap w:val="0"/>
            <w:vAlign w:val="center"/>
          </w:tcPr>
          <w:p w14:paraId="06382C7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spacing w:val="-2"/>
                <w:sz w:val="21"/>
                <w:szCs w:val="21"/>
                <w:highlight w:val="none"/>
                <w:lang w:val="en-US" w:eastAsia="zh-CN"/>
              </w:rPr>
              <w:t>筛分厂房排气筒</w:t>
            </w:r>
          </w:p>
        </w:tc>
        <w:tc>
          <w:tcPr>
            <w:tcW w:w="1000" w:type="pct"/>
            <w:noWrap w:val="0"/>
            <w:vAlign w:val="center"/>
          </w:tcPr>
          <w:p w14:paraId="191B0F04">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0.0841</w:t>
            </w:r>
          </w:p>
        </w:tc>
        <w:tc>
          <w:tcPr>
            <w:tcW w:w="1247" w:type="pct"/>
            <w:noWrap w:val="0"/>
            <w:vAlign w:val="center"/>
          </w:tcPr>
          <w:p w14:paraId="313B6581">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850</w:t>
            </w:r>
          </w:p>
        </w:tc>
        <w:tc>
          <w:tcPr>
            <w:tcW w:w="627" w:type="pct"/>
            <w:shd w:val="clear" w:color="auto" w:fill="auto"/>
            <w:noWrap w:val="0"/>
            <w:vAlign w:val="center"/>
          </w:tcPr>
          <w:p w14:paraId="2323B595">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b/>
                <w:bCs/>
                <w:color w:val="auto"/>
                <w:sz w:val="21"/>
                <w:highlight w:val="none"/>
                <w:lang w:val="en-US" w:eastAsia="zh-CN"/>
              </w:rPr>
              <w:t>18.7</w:t>
            </w:r>
          </w:p>
        </w:tc>
        <w:tc>
          <w:tcPr>
            <w:tcW w:w="629" w:type="pct"/>
            <w:shd w:val="clear" w:color="auto" w:fill="auto"/>
            <w:noWrap w:val="0"/>
            <w:vAlign w:val="center"/>
          </w:tcPr>
          <w:p w14:paraId="63F4C095">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b/>
                <w:bCs/>
                <w:color w:val="auto"/>
                <w:sz w:val="21"/>
                <w:highlight w:val="none"/>
                <w:lang w:val="en-US" w:eastAsia="zh-CN"/>
              </w:rPr>
              <w:t>850</w:t>
            </w:r>
          </w:p>
        </w:tc>
      </w:tr>
      <w:tr w14:paraId="332E42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noWrap w:val="0"/>
            <w:vAlign w:val="center"/>
          </w:tcPr>
          <w:p w14:paraId="15C1145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P4</w:t>
            </w:r>
          </w:p>
        </w:tc>
        <w:tc>
          <w:tcPr>
            <w:tcW w:w="1118" w:type="pct"/>
            <w:noWrap w:val="0"/>
            <w:vAlign w:val="center"/>
          </w:tcPr>
          <w:p w14:paraId="6E2E3A1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粉矿仓排气筒</w:t>
            </w:r>
          </w:p>
        </w:tc>
        <w:tc>
          <w:tcPr>
            <w:tcW w:w="1000" w:type="pct"/>
            <w:noWrap w:val="0"/>
            <w:vAlign w:val="center"/>
          </w:tcPr>
          <w:p w14:paraId="21E60749">
            <w:pPr>
              <w:adjustRightInd w:val="0"/>
              <w:snapToGrid w:val="0"/>
              <w:spacing w:line="360" w:lineRule="exact"/>
              <w:ind w:firstLine="0" w:firstLineChars="0"/>
              <w:jc w:val="center"/>
              <w:rPr>
                <w:rFonts w:hint="default" w:cs="Times New Roman"/>
                <w:color w:val="auto"/>
                <w:sz w:val="21"/>
                <w:highlight w:val="none"/>
                <w:lang w:val="en-US" w:eastAsia="zh-CN"/>
              </w:rPr>
            </w:pPr>
            <w:r>
              <w:rPr>
                <w:rFonts w:hint="default" w:cs="Times New Roman"/>
                <w:color w:val="auto"/>
                <w:sz w:val="21"/>
                <w:highlight w:val="none"/>
                <w:lang w:val="en-US" w:eastAsia="zh-CN"/>
              </w:rPr>
              <w:t>0.0143</w:t>
            </w:r>
          </w:p>
        </w:tc>
        <w:tc>
          <w:tcPr>
            <w:tcW w:w="1247" w:type="pct"/>
            <w:noWrap w:val="0"/>
            <w:vAlign w:val="center"/>
          </w:tcPr>
          <w:p w14:paraId="1B03E5FA">
            <w:pPr>
              <w:adjustRightInd w:val="0"/>
              <w:snapToGrid w:val="0"/>
              <w:spacing w:line="360" w:lineRule="exact"/>
              <w:ind w:firstLine="0" w:firstLineChars="0"/>
              <w:jc w:val="center"/>
              <w:rPr>
                <w:rFonts w:hint="default" w:cs="Times New Roman"/>
                <w:color w:val="auto"/>
                <w:sz w:val="21"/>
                <w:highlight w:val="none"/>
                <w:lang w:val="en-US" w:eastAsia="zh-CN"/>
              </w:rPr>
            </w:pPr>
            <w:r>
              <w:rPr>
                <w:rFonts w:hint="default" w:cs="Times New Roman"/>
                <w:color w:val="auto"/>
                <w:sz w:val="21"/>
                <w:highlight w:val="none"/>
                <w:lang w:val="en-US" w:eastAsia="zh-CN"/>
              </w:rPr>
              <w:t>0</w:t>
            </w:r>
          </w:p>
        </w:tc>
        <w:tc>
          <w:tcPr>
            <w:tcW w:w="627" w:type="pct"/>
            <w:shd w:val="clear" w:color="auto" w:fill="auto"/>
            <w:noWrap w:val="0"/>
            <w:vAlign w:val="center"/>
          </w:tcPr>
          <w:p w14:paraId="263DF8DC">
            <w:pPr>
              <w:adjustRightInd w:val="0"/>
              <w:snapToGrid w:val="0"/>
              <w:spacing w:line="360" w:lineRule="exact"/>
              <w:ind w:firstLine="0" w:firstLineChars="0"/>
              <w:jc w:val="center"/>
              <w:rPr>
                <w:rFonts w:hint="default" w:cs="Times New Roman"/>
                <w:color w:val="auto"/>
                <w:sz w:val="21"/>
                <w:highlight w:val="none"/>
                <w:lang w:val="en-US" w:eastAsia="zh-CN"/>
              </w:rPr>
            </w:pPr>
            <w:r>
              <w:rPr>
                <w:rFonts w:hint="default" w:cs="Times New Roman"/>
                <w:color w:val="auto"/>
                <w:sz w:val="21"/>
                <w:highlight w:val="none"/>
                <w:lang w:val="en-US" w:eastAsia="zh-CN"/>
              </w:rPr>
              <w:t>3.18</w:t>
            </w:r>
          </w:p>
        </w:tc>
        <w:tc>
          <w:tcPr>
            <w:tcW w:w="629" w:type="pct"/>
            <w:shd w:val="clear" w:color="auto" w:fill="auto"/>
            <w:noWrap w:val="0"/>
            <w:vAlign w:val="center"/>
          </w:tcPr>
          <w:p w14:paraId="5F5BF0D1">
            <w:pPr>
              <w:adjustRightInd w:val="0"/>
              <w:snapToGrid w:val="0"/>
              <w:spacing w:line="360" w:lineRule="exact"/>
              <w:ind w:firstLine="0" w:firstLineChars="0"/>
              <w:jc w:val="center"/>
              <w:rPr>
                <w:rFonts w:hint="default" w:cs="Times New Roman"/>
                <w:color w:val="auto"/>
                <w:sz w:val="21"/>
                <w:highlight w:val="none"/>
                <w:lang w:val="en-US" w:eastAsia="zh-CN"/>
              </w:rPr>
            </w:pPr>
            <w:r>
              <w:rPr>
                <w:rFonts w:hint="default" w:cs="Times New Roman"/>
                <w:color w:val="auto"/>
                <w:sz w:val="21"/>
                <w:highlight w:val="none"/>
                <w:lang w:val="en-US" w:eastAsia="zh-CN"/>
              </w:rPr>
              <w:t>0</w:t>
            </w:r>
          </w:p>
        </w:tc>
      </w:tr>
      <w:tr w14:paraId="19FFEB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shd w:val="clear" w:color="auto" w:fill="auto"/>
            <w:noWrap w:val="0"/>
            <w:vAlign w:val="center"/>
          </w:tcPr>
          <w:p w14:paraId="1D0E32E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G1</w:t>
            </w:r>
          </w:p>
        </w:tc>
        <w:tc>
          <w:tcPr>
            <w:tcW w:w="1118" w:type="pct"/>
            <w:shd w:val="clear" w:color="auto" w:fill="auto"/>
            <w:noWrap w:val="0"/>
            <w:vAlign w:val="center"/>
          </w:tcPr>
          <w:p w14:paraId="5DC54D7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粗碎厂房</w:t>
            </w:r>
          </w:p>
        </w:tc>
        <w:tc>
          <w:tcPr>
            <w:tcW w:w="1000" w:type="pct"/>
            <w:noWrap w:val="0"/>
            <w:vAlign w:val="center"/>
          </w:tcPr>
          <w:p w14:paraId="6D087012">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0.0176</w:t>
            </w:r>
          </w:p>
        </w:tc>
        <w:tc>
          <w:tcPr>
            <w:tcW w:w="1247" w:type="pct"/>
            <w:noWrap w:val="0"/>
            <w:vAlign w:val="center"/>
          </w:tcPr>
          <w:p w14:paraId="27DE407B">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w:t>
            </w:r>
          </w:p>
        </w:tc>
        <w:tc>
          <w:tcPr>
            <w:tcW w:w="627" w:type="pct"/>
            <w:noWrap w:val="0"/>
            <w:vAlign w:val="center"/>
          </w:tcPr>
          <w:p w14:paraId="4260E745">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1.96</w:t>
            </w:r>
          </w:p>
        </w:tc>
        <w:tc>
          <w:tcPr>
            <w:tcW w:w="629" w:type="pct"/>
            <w:noWrap w:val="0"/>
            <w:vAlign w:val="center"/>
          </w:tcPr>
          <w:p w14:paraId="36454505">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w:t>
            </w:r>
          </w:p>
        </w:tc>
      </w:tr>
      <w:tr w14:paraId="4DC0AA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shd w:val="clear" w:color="auto" w:fill="auto"/>
            <w:noWrap w:val="0"/>
            <w:vAlign w:val="center"/>
          </w:tcPr>
          <w:p w14:paraId="1A53871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G2</w:t>
            </w:r>
          </w:p>
        </w:tc>
        <w:tc>
          <w:tcPr>
            <w:tcW w:w="1118" w:type="pct"/>
            <w:shd w:val="clear" w:color="auto" w:fill="auto"/>
            <w:noWrap w:val="0"/>
            <w:vAlign w:val="center"/>
          </w:tcPr>
          <w:p w14:paraId="19668E6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中细碎厂房</w:t>
            </w:r>
          </w:p>
        </w:tc>
        <w:tc>
          <w:tcPr>
            <w:tcW w:w="1000" w:type="pct"/>
            <w:noWrap w:val="0"/>
            <w:vAlign w:val="center"/>
          </w:tcPr>
          <w:p w14:paraId="718F051B">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0.0146</w:t>
            </w:r>
          </w:p>
        </w:tc>
        <w:tc>
          <w:tcPr>
            <w:tcW w:w="1247" w:type="pct"/>
            <w:noWrap w:val="0"/>
            <w:vAlign w:val="center"/>
          </w:tcPr>
          <w:p w14:paraId="2AD0EA78">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w:t>
            </w:r>
          </w:p>
        </w:tc>
        <w:tc>
          <w:tcPr>
            <w:tcW w:w="627" w:type="pct"/>
            <w:noWrap w:val="0"/>
            <w:vAlign w:val="center"/>
          </w:tcPr>
          <w:p w14:paraId="7C9DD9A3">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1.63</w:t>
            </w:r>
          </w:p>
        </w:tc>
        <w:tc>
          <w:tcPr>
            <w:tcW w:w="629" w:type="pct"/>
            <w:noWrap w:val="0"/>
            <w:vAlign w:val="center"/>
          </w:tcPr>
          <w:p w14:paraId="038C5C4A">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w:t>
            </w:r>
          </w:p>
        </w:tc>
      </w:tr>
      <w:tr w14:paraId="72E7DC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shd w:val="clear" w:color="auto" w:fill="auto"/>
            <w:noWrap w:val="0"/>
            <w:vAlign w:val="center"/>
          </w:tcPr>
          <w:p w14:paraId="7A0568F0">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G3</w:t>
            </w:r>
          </w:p>
        </w:tc>
        <w:tc>
          <w:tcPr>
            <w:tcW w:w="1118" w:type="pct"/>
            <w:shd w:val="clear" w:color="auto" w:fill="auto"/>
            <w:noWrap w:val="0"/>
            <w:vAlign w:val="center"/>
          </w:tcPr>
          <w:p w14:paraId="6C8AC55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w:t>
            </w:r>
          </w:p>
        </w:tc>
        <w:tc>
          <w:tcPr>
            <w:tcW w:w="1000" w:type="pct"/>
            <w:noWrap w:val="0"/>
            <w:vAlign w:val="center"/>
          </w:tcPr>
          <w:p w14:paraId="414AFF41">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0.0309</w:t>
            </w:r>
          </w:p>
        </w:tc>
        <w:tc>
          <w:tcPr>
            <w:tcW w:w="1247" w:type="pct"/>
            <w:noWrap w:val="0"/>
            <w:vAlign w:val="center"/>
          </w:tcPr>
          <w:p w14:paraId="026AB68A">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w:t>
            </w:r>
          </w:p>
        </w:tc>
        <w:tc>
          <w:tcPr>
            <w:tcW w:w="627" w:type="pct"/>
            <w:noWrap w:val="0"/>
            <w:vAlign w:val="center"/>
          </w:tcPr>
          <w:p w14:paraId="1AF6B04C">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3.43</w:t>
            </w:r>
          </w:p>
        </w:tc>
        <w:tc>
          <w:tcPr>
            <w:tcW w:w="629" w:type="pct"/>
            <w:noWrap w:val="0"/>
            <w:vAlign w:val="center"/>
          </w:tcPr>
          <w:p w14:paraId="252661AD">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w:t>
            </w:r>
          </w:p>
        </w:tc>
      </w:tr>
      <w:tr w14:paraId="72905B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shd w:val="clear" w:color="auto" w:fill="auto"/>
            <w:noWrap w:val="0"/>
            <w:vAlign w:val="center"/>
          </w:tcPr>
          <w:p w14:paraId="34D4C4F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G4</w:t>
            </w:r>
          </w:p>
        </w:tc>
        <w:tc>
          <w:tcPr>
            <w:tcW w:w="1118" w:type="pct"/>
            <w:shd w:val="clear" w:color="auto" w:fill="auto"/>
            <w:noWrap w:val="0"/>
            <w:vAlign w:val="center"/>
          </w:tcPr>
          <w:p w14:paraId="6A68B60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粉矿仓</w:t>
            </w:r>
          </w:p>
        </w:tc>
        <w:tc>
          <w:tcPr>
            <w:tcW w:w="1000" w:type="pct"/>
            <w:noWrap w:val="0"/>
            <w:vAlign w:val="center"/>
          </w:tcPr>
          <w:p w14:paraId="6D9F9EEE">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0.0038</w:t>
            </w:r>
          </w:p>
        </w:tc>
        <w:tc>
          <w:tcPr>
            <w:tcW w:w="1247" w:type="pct"/>
            <w:noWrap w:val="0"/>
            <w:vAlign w:val="center"/>
          </w:tcPr>
          <w:p w14:paraId="23EA55AF">
            <w:pPr>
              <w:adjustRightInd w:val="0"/>
              <w:snapToGrid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cs="Times New Roman"/>
                <w:color w:val="auto"/>
                <w:sz w:val="21"/>
                <w:highlight w:val="none"/>
                <w:lang w:val="en-US" w:eastAsia="zh-CN"/>
              </w:rPr>
              <w:t>0</w:t>
            </w:r>
          </w:p>
        </w:tc>
        <w:tc>
          <w:tcPr>
            <w:tcW w:w="627" w:type="pct"/>
            <w:shd w:val="clear" w:color="auto" w:fill="auto"/>
            <w:noWrap w:val="0"/>
            <w:vAlign w:val="center"/>
          </w:tcPr>
          <w:p w14:paraId="404DA9B8">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0.43</w:t>
            </w:r>
          </w:p>
        </w:tc>
        <w:tc>
          <w:tcPr>
            <w:tcW w:w="629" w:type="pct"/>
            <w:shd w:val="clear" w:color="auto" w:fill="auto"/>
            <w:noWrap w:val="0"/>
            <w:vAlign w:val="center"/>
          </w:tcPr>
          <w:p w14:paraId="17B205D2">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0</w:t>
            </w:r>
          </w:p>
        </w:tc>
      </w:tr>
      <w:tr w14:paraId="2D2F06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shd w:val="clear" w:color="auto" w:fill="auto"/>
            <w:noWrap w:val="0"/>
            <w:vAlign w:val="center"/>
          </w:tcPr>
          <w:p w14:paraId="7F6A32D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G5</w:t>
            </w:r>
          </w:p>
        </w:tc>
        <w:tc>
          <w:tcPr>
            <w:tcW w:w="1118" w:type="pct"/>
            <w:shd w:val="clear" w:color="auto" w:fill="auto"/>
            <w:noWrap w:val="0"/>
            <w:vAlign w:val="center"/>
          </w:tcPr>
          <w:p w14:paraId="18EF209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原矿堆场</w:t>
            </w:r>
          </w:p>
        </w:tc>
        <w:tc>
          <w:tcPr>
            <w:tcW w:w="1000" w:type="pct"/>
            <w:shd w:val="clear" w:color="auto" w:fill="auto"/>
            <w:noWrap w:val="0"/>
            <w:vAlign w:val="center"/>
          </w:tcPr>
          <w:p w14:paraId="0F3995A2">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0.0952</w:t>
            </w:r>
          </w:p>
        </w:tc>
        <w:tc>
          <w:tcPr>
            <w:tcW w:w="1247" w:type="pct"/>
            <w:shd w:val="clear" w:color="auto" w:fill="auto"/>
            <w:noWrap w:val="0"/>
            <w:vAlign w:val="center"/>
          </w:tcPr>
          <w:p w14:paraId="317FEC1E">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75</w:t>
            </w:r>
          </w:p>
        </w:tc>
        <w:tc>
          <w:tcPr>
            <w:tcW w:w="627" w:type="pct"/>
            <w:shd w:val="clear" w:color="auto" w:fill="auto"/>
            <w:noWrap w:val="0"/>
            <w:vAlign w:val="center"/>
          </w:tcPr>
          <w:p w14:paraId="35847D57">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10.57</w:t>
            </w:r>
          </w:p>
        </w:tc>
        <w:tc>
          <w:tcPr>
            <w:tcW w:w="629" w:type="pct"/>
            <w:shd w:val="clear" w:color="auto" w:fill="auto"/>
            <w:noWrap w:val="0"/>
            <w:vAlign w:val="center"/>
          </w:tcPr>
          <w:p w14:paraId="12729685">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75</w:t>
            </w:r>
          </w:p>
        </w:tc>
      </w:tr>
      <w:tr w14:paraId="1B00EA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76" w:type="pct"/>
            <w:shd w:val="clear" w:color="auto" w:fill="auto"/>
            <w:noWrap w:val="0"/>
            <w:vAlign w:val="center"/>
          </w:tcPr>
          <w:p w14:paraId="6F2C847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G6</w:t>
            </w:r>
          </w:p>
        </w:tc>
        <w:tc>
          <w:tcPr>
            <w:tcW w:w="1118" w:type="pct"/>
            <w:shd w:val="clear" w:color="auto" w:fill="auto"/>
            <w:noWrap w:val="0"/>
            <w:vAlign w:val="center"/>
          </w:tcPr>
          <w:p w14:paraId="42094F0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尾矿库</w:t>
            </w:r>
          </w:p>
        </w:tc>
        <w:tc>
          <w:tcPr>
            <w:tcW w:w="1000" w:type="pct"/>
            <w:shd w:val="clear" w:color="auto" w:fill="auto"/>
            <w:noWrap w:val="0"/>
            <w:vAlign w:val="center"/>
          </w:tcPr>
          <w:p w14:paraId="79BEE165">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0.0005</w:t>
            </w:r>
          </w:p>
        </w:tc>
        <w:tc>
          <w:tcPr>
            <w:tcW w:w="1247" w:type="pct"/>
            <w:shd w:val="clear" w:color="auto" w:fill="auto"/>
            <w:noWrap w:val="0"/>
            <w:vAlign w:val="center"/>
          </w:tcPr>
          <w:p w14:paraId="7AB55DF2">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0</w:t>
            </w:r>
          </w:p>
        </w:tc>
        <w:tc>
          <w:tcPr>
            <w:tcW w:w="627" w:type="pct"/>
            <w:shd w:val="clear" w:color="auto" w:fill="auto"/>
            <w:noWrap w:val="0"/>
            <w:vAlign w:val="center"/>
          </w:tcPr>
          <w:p w14:paraId="4427AACF">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0.00</w:t>
            </w:r>
          </w:p>
        </w:tc>
        <w:tc>
          <w:tcPr>
            <w:tcW w:w="629" w:type="pct"/>
            <w:shd w:val="clear" w:color="auto" w:fill="auto"/>
            <w:noWrap w:val="0"/>
            <w:vAlign w:val="center"/>
          </w:tcPr>
          <w:p w14:paraId="4A5E6933">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0</w:t>
            </w:r>
          </w:p>
        </w:tc>
      </w:tr>
    </w:tbl>
    <w:p w14:paraId="3D06985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根据表2.6-</w:t>
      </w:r>
      <w:r>
        <w:rPr>
          <w:rFonts w:hint="default" w:cs="Times New Roman"/>
          <w:color w:val="auto"/>
          <w:highlight w:val="none"/>
          <w:lang w:val="en-US" w:eastAsia="zh-CN"/>
        </w:rPr>
        <w:t>3</w:t>
      </w:r>
      <w:r>
        <w:rPr>
          <w:rFonts w:hint="default" w:ascii="Times New Roman" w:hAnsi="Times New Roman" w:cs="Times New Roman"/>
          <w:color w:val="auto"/>
          <w:highlight w:val="none"/>
        </w:rPr>
        <w:t>及表2.6-</w:t>
      </w:r>
      <w:r>
        <w:rPr>
          <w:rFonts w:hint="default" w:cs="Times New Roman"/>
          <w:color w:val="auto"/>
          <w:highlight w:val="none"/>
          <w:lang w:val="en-US" w:eastAsia="zh-CN"/>
        </w:rPr>
        <w:t>4</w:t>
      </w:r>
      <w:r>
        <w:rPr>
          <w:rFonts w:hint="default" w:ascii="Times New Roman" w:hAnsi="Times New Roman" w:cs="Times New Roman"/>
          <w:color w:val="auto"/>
          <w:highlight w:val="none"/>
        </w:rPr>
        <w:t>，比较表2.6-</w:t>
      </w:r>
      <w:r>
        <w:rPr>
          <w:rFonts w:hint="default" w:cs="Times New Roman"/>
          <w:color w:val="auto"/>
          <w:highlight w:val="none"/>
          <w:lang w:val="en-US" w:eastAsia="zh-CN"/>
        </w:rPr>
        <w:t>1</w:t>
      </w:r>
      <w:r>
        <w:rPr>
          <w:rFonts w:hint="default" w:ascii="Times New Roman" w:hAnsi="Times New Roman" w:cs="Times New Roman"/>
          <w:color w:val="auto"/>
          <w:highlight w:val="none"/>
        </w:rPr>
        <w:t>评价工作分级判据，由计算结果可知，主要污染物的Pmax为</w:t>
      </w:r>
      <w:r>
        <w:rPr>
          <w:rFonts w:hint="default" w:cs="Times New Roman"/>
          <w:color w:val="auto"/>
          <w:highlight w:val="none"/>
          <w:lang w:val="en-US" w:eastAsia="zh-CN"/>
        </w:rPr>
        <w:t>18.7</w:t>
      </w:r>
      <w:r>
        <w:rPr>
          <w:rFonts w:hint="default" w:ascii="Times New Roman" w:hAnsi="Times New Roman" w:cs="Times New Roman"/>
          <w:color w:val="auto"/>
          <w:highlight w:val="none"/>
        </w:rPr>
        <w:t>%，</w:t>
      </w:r>
      <w:r>
        <w:rPr>
          <w:rFonts w:hint="default" w:cs="Times New Roman"/>
          <w:color w:val="auto"/>
          <w:highlight w:val="none"/>
          <w:lang w:val="en-US" w:eastAsia="zh-CN"/>
        </w:rPr>
        <w:t>大</w:t>
      </w:r>
      <w:r>
        <w:rPr>
          <w:rFonts w:hint="default" w:ascii="Times New Roman" w:hAnsi="Times New Roman" w:cs="Times New Roman"/>
          <w:color w:val="auto"/>
          <w:highlight w:val="none"/>
        </w:rPr>
        <w:t>于10%，按《环境影响评价技术导则 大气环境》（HJ2.2-2018）规定，确定本次大气环境评价工作等级为</w:t>
      </w:r>
      <w:r>
        <w:rPr>
          <w:rFonts w:hint="default" w:cs="Times New Roman"/>
          <w:color w:val="auto"/>
          <w:highlight w:val="none"/>
          <w:lang w:val="en-US" w:eastAsia="zh-CN"/>
        </w:rPr>
        <w:t>一</w:t>
      </w:r>
      <w:r>
        <w:rPr>
          <w:rFonts w:hint="default" w:ascii="Times New Roman" w:hAnsi="Times New Roman" w:cs="Times New Roman"/>
          <w:color w:val="auto"/>
          <w:highlight w:val="none"/>
        </w:rPr>
        <w:t>级。</w:t>
      </w:r>
    </w:p>
    <w:p w14:paraId="28861AB5">
      <w:pPr>
        <w:pStyle w:val="5"/>
        <w:ind w:firstLine="482"/>
        <w:rPr>
          <w:rFonts w:hint="default" w:ascii="Times New Roman" w:hAnsi="Times New Roman" w:cs="Times New Roman"/>
          <w:color w:val="auto"/>
          <w:highlight w:val="none"/>
        </w:rPr>
      </w:pPr>
      <w:bookmarkStart w:id="254" w:name="_Toc474747836"/>
      <w:bookmarkStart w:id="255" w:name="_Toc190909898"/>
      <w:bookmarkStart w:id="256" w:name="_Toc191903740"/>
      <w:bookmarkStart w:id="257" w:name="_Toc277781476"/>
      <w:bookmarkStart w:id="258" w:name="_Toc266374525"/>
      <w:bookmarkStart w:id="259" w:name="_Toc218485492"/>
      <w:bookmarkStart w:id="260" w:name="_Toc366104788"/>
      <w:r>
        <w:rPr>
          <w:rFonts w:hint="default" w:ascii="Times New Roman" w:hAnsi="Times New Roman" w:cs="Times New Roman"/>
          <w:color w:val="auto"/>
          <w:highlight w:val="none"/>
        </w:rPr>
        <w:t>2.6.1.2地表水评价等级</w:t>
      </w:r>
    </w:p>
    <w:p w14:paraId="524128C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本项目生产废水“闭路循环”不外排；生活污水经地埋式一体化生活污水处理设备</w:t>
      </w:r>
      <w:r>
        <w:rPr>
          <w:rFonts w:hint="default" w:ascii="Times New Roman" w:hAnsi="Times New Roman" w:cs="Times New Roman"/>
          <w:color w:val="auto"/>
          <w:highlight w:val="none"/>
        </w:rPr>
        <w:t>处理达到《农村生活污水处理排放标准》（DB65 4275-2019）表2规定的A级排放限值以及《城市污水再生利用 城市杂用水水质》（GB/T18920-2020）中的城市绿化、道路清扫、消防、建筑施工限值后用于</w:t>
      </w:r>
      <w:r>
        <w:rPr>
          <w:rFonts w:hint="default" w:ascii="Times New Roman" w:hAnsi="Times New Roman" w:cs="Times New Roman"/>
          <w:color w:val="auto"/>
          <w:spacing w:val="-1"/>
          <w:highlight w:val="none"/>
        </w:rPr>
        <w:t>选矿生产工序循环利用及绿化</w:t>
      </w:r>
      <w:r>
        <w:rPr>
          <w:rFonts w:hint="default" w:ascii="Times New Roman" w:hAnsi="Times New Roman" w:cs="Times New Roman"/>
          <w:color w:val="auto"/>
          <w:highlight w:val="none"/>
        </w:rPr>
        <w:t>，不外排。根据《环境影响评价技术导则 地表水环境》（HJ2.3-2018）中水污染影响型建设项目评价等级判定，本项目废水不排入外环境，因此本项目地表水环境影响评价工作等级确定为三级B。</w:t>
      </w:r>
    </w:p>
    <w:p w14:paraId="0344737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2.6.1.3地下水评价等级</w:t>
      </w:r>
    </w:p>
    <w:p w14:paraId="687A762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cs="Times New Roman"/>
          <w:color w:val="auto"/>
          <w:highlight w:val="none"/>
          <w:lang w:eastAsia="zh-CN"/>
        </w:rPr>
        <w:t>属于</w:t>
      </w:r>
      <w:r>
        <w:rPr>
          <w:rFonts w:hint="default" w:ascii="Times New Roman" w:hAnsi="Times New Roman" w:cs="Times New Roman"/>
          <w:color w:val="auto"/>
          <w:highlight w:val="none"/>
          <w:lang w:val="en-US" w:eastAsia="zh-CN"/>
        </w:rPr>
        <w:t>有色</w:t>
      </w:r>
      <w:r>
        <w:rPr>
          <w:rFonts w:hint="default" w:ascii="Times New Roman" w:hAnsi="Times New Roman" w:cs="Times New Roman"/>
          <w:color w:val="auto"/>
          <w:highlight w:val="none"/>
        </w:rPr>
        <w:t>金属矿采选业，建设内容包括选矿厂和尾矿库、办公生活区，根据《环境影响评价技术导则 地下水环境》（HJ610-2016）中附录A，尾矿库为I类项目，选矿厂为Ⅱ类项目。由于项目场地不位于集中式饮用水水源（包括已建成的在用、备用、应急水源地，在建和规划的饮用水水源）准保护区、除集中式饮用水水源以外的国家或地方政府设定的与地下水环境相关的其它保护区内，不属于地下水环境敏感区，依据《环境影响评价技术导则 地下水环境》（HJ610-2016）中的地下水环境敏感程度分级表及建设项目评价工作等级分级表（表2.6-5、表2.6-6），确定本项目选矿厂地下水评价等级为三级；尾矿库地下水评价等级为二级。</w:t>
      </w:r>
    </w:p>
    <w:p w14:paraId="7808745B">
      <w:pPr>
        <w:pStyle w:val="47"/>
        <w:widowControl w:val="0"/>
        <w:rPr>
          <w:rFonts w:hint="default" w:ascii="Times New Roman" w:hAnsi="Times New Roman" w:cs="Times New Roman"/>
          <w:color w:val="auto"/>
          <w:szCs w:val="32"/>
          <w:highlight w:val="none"/>
          <w:lang w:val="zh-CN"/>
        </w:rPr>
      </w:pPr>
      <w:r>
        <w:rPr>
          <w:rFonts w:hint="default" w:ascii="Times New Roman" w:hAnsi="Times New Roman" w:cs="Times New Roman"/>
          <w:color w:val="auto"/>
          <w:szCs w:val="32"/>
          <w:highlight w:val="none"/>
          <w:lang w:val="zh-CN"/>
        </w:rPr>
        <w:t>表2.6-</w:t>
      </w:r>
      <w:r>
        <w:rPr>
          <w:rFonts w:hint="default" w:ascii="Times New Roman" w:hAnsi="Times New Roman" w:cs="Times New Roman"/>
          <w:color w:val="auto"/>
          <w:szCs w:val="32"/>
          <w:highlight w:val="none"/>
        </w:rPr>
        <w:t>5</w:t>
      </w:r>
      <w:r>
        <w:rPr>
          <w:rFonts w:hint="default" w:ascii="Times New Roman" w:hAnsi="Times New Roman" w:cs="Times New Roman"/>
          <w:color w:val="auto"/>
          <w:szCs w:val="32"/>
          <w:highlight w:val="none"/>
          <w:lang w:val="zh-CN"/>
        </w:rPr>
        <w:t xml:space="preserve"> </w:t>
      </w:r>
      <w:r>
        <w:rPr>
          <w:rFonts w:hint="default"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lang w:val="zh-CN"/>
        </w:rPr>
        <w:t xml:space="preserve"> 地下水环境敏感程度分级</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7590"/>
      </w:tblGrid>
      <w:tr w14:paraId="27B26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29" w:type="dxa"/>
            <w:vAlign w:val="center"/>
          </w:tcPr>
          <w:p w14:paraId="5B0C09E0">
            <w:pPr>
              <w:adjustRightInd w:val="0"/>
              <w:snapToGri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分级</w:t>
            </w:r>
          </w:p>
        </w:tc>
        <w:tc>
          <w:tcPr>
            <w:tcW w:w="7590" w:type="dxa"/>
            <w:vAlign w:val="center"/>
          </w:tcPr>
          <w:p w14:paraId="00BEDBF4">
            <w:pPr>
              <w:adjustRightInd w:val="0"/>
              <w:snapToGri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项目场地的地下水环境敏感特征</w:t>
            </w:r>
          </w:p>
        </w:tc>
      </w:tr>
      <w:tr w14:paraId="10FC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4F98EA68">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7590" w:type="dxa"/>
            <w:vAlign w:val="center"/>
          </w:tcPr>
          <w:p w14:paraId="2ABD7DB5">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14:paraId="5F4D1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12F969FF">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7590" w:type="dxa"/>
            <w:vAlign w:val="center"/>
          </w:tcPr>
          <w:p w14:paraId="16FF4AE2">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14:paraId="1DE5B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56EAA85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7590" w:type="dxa"/>
            <w:vAlign w:val="center"/>
          </w:tcPr>
          <w:p w14:paraId="15A7C6A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上述地区之外的其它地区。</w:t>
            </w:r>
          </w:p>
        </w:tc>
      </w:tr>
      <w:tr w14:paraId="2683D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9" w:type="dxa"/>
            <w:gridSpan w:val="2"/>
            <w:vAlign w:val="center"/>
          </w:tcPr>
          <w:p w14:paraId="4047147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注：“环境敏感区”是指《建设项目环境影响评价分类管理名录》中所界定的涉及地下水的环境敏感区。</w:t>
            </w:r>
          </w:p>
        </w:tc>
      </w:tr>
    </w:tbl>
    <w:p w14:paraId="3448D8DE">
      <w:pPr>
        <w:pStyle w:val="47"/>
        <w:widowControl w:val="0"/>
        <w:rPr>
          <w:rFonts w:hint="default" w:ascii="Times New Roman" w:hAnsi="Times New Roman" w:cs="Times New Roman"/>
          <w:color w:val="auto"/>
          <w:szCs w:val="32"/>
          <w:highlight w:val="none"/>
          <w:lang w:val="zh-CN"/>
        </w:rPr>
      </w:pPr>
      <w:r>
        <w:rPr>
          <w:rFonts w:hint="default" w:ascii="Times New Roman" w:hAnsi="Times New Roman" w:cs="Times New Roman"/>
          <w:color w:val="auto"/>
          <w:szCs w:val="32"/>
          <w:highlight w:val="none"/>
          <w:lang w:val="zh-CN"/>
        </w:rPr>
        <w:t>表2.6-</w:t>
      </w:r>
      <w:r>
        <w:rPr>
          <w:rFonts w:hint="default" w:ascii="Times New Roman" w:hAnsi="Times New Roman" w:cs="Times New Roman"/>
          <w:color w:val="auto"/>
          <w:szCs w:val="32"/>
          <w:highlight w:val="none"/>
        </w:rPr>
        <w:t xml:space="preserve">6    </w:t>
      </w:r>
      <w:r>
        <w:rPr>
          <w:rFonts w:hint="default" w:ascii="Times New Roman" w:hAnsi="Times New Roman" w:cs="Times New Roman"/>
          <w:color w:val="auto"/>
          <w:szCs w:val="32"/>
          <w:highlight w:val="none"/>
          <w:lang w:val="zh-CN"/>
        </w:rPr>
        <w:t>评价区地下水环境影响评价工作等级划分</w:t>
      </w:r>
    </w:p>
    <w:tbl>
      <w:tblPr>
        <w:tblStyle w:val="33"/>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134"/>
        <w:gridCol w:w="1986"/>
        <w:gridCol w:w="1989"/>
      </w:tblGrid>
      <w:tr w14:paraId="222A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10" w:type="dxa"/>
            <w:tcBorders>
              <w:top w:val="single" w:color="auto" w:sz="12" w:space="0"/>
              <w:left w:val="single" w:color="auto" w:sz="12" w:space="0"/>
              <w:tl2br w:val="single" w:color="auto" w:sz="4" w:space="0"/>
            </w:tcBorders>
          </w:tcPr>
          <w:p w14:paraId="7A8E370C">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 xml:space="preserve">           目类别</w:t>
            </w:r>
          </w:p>
          <w:p w14:paraId="5270CD3A">
            <w:pPr>
              <w:spacing w:line="360" w:lineRule="exact"/>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环境敏感程度</w:t>
            </w:r>
          </w:p>
        </w:tc>
        <w:tc>
          <w:tcPr>
            <w:tcW w:w="2134" w:type="dxa"/>
            <w:tcBorders>
              <w:top w:val="single" w:color="auto" w:sz="12" w:space="0"/>
            </w:tcBorders>
            <w:vAlign w:val="center"/>
          </w:tcPr>
          <w:p w14:paraId="3DB4AE0B">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I类项目</w:t>
            </w:r>
          </w:p>
        </w:tc>
        <w:tc>
          <w:tcPr>
            <w:tcW w:w="1986" w:type="dxa"/>
            <w:tcBorders>
              <w:top w:val="single" w:color="auto" w:sz="12" w:space="0"/>
            </w:tcBorders>
            <w:vAlign w:val="center"/>
          </w:tcPr>
          <w:p w14:paraId="0B893DAC">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II类项目</w:t>
            </w:r>
          </w:p>
        </w:tc>
        <w:tc>
          <w:tcPr>
            <w:tcW w:w="1989" w:type="dxa"/>
            <w:tcBorders>
              <w:top w:val="single" w:color="auto" w:sz="12" w:space="0"/>
              <w:right w:val="single" w:color="auto" w:sz="12" w:space="0"/>
            </w:tcBorders>
            <w:vAlign w:val="center"/>
          </w:tcPr>
          <w:p w14:paraId="2FDE8C79">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III类项目</w:t>
            </w:r>
          </w:p>
        </w:tc>
      </w:tr>
      <w:tr w14:paraId="55C9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tcBorders>
            <w:vAlign w:val="center"/>
          </w:tcPr>
          <w:p w14:paraId="087C32E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2134" w:type="dxa"/>
            <w:vAlign w:val="center"/>
          </w:tcPr>
          <w:p w14:paraId="08E0F65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986" w:type="dxa"/>
            <w:vAlign w:val="center"/>
          </w:tcPr>
          <w:p w14:paraId="43EA6D0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989" w:type="dxa"/>
            <w:tcBorders>
              <w:right w:val="single" w:color="auto" w:sz="12" w:space="0"/>
            </w:tcBorders>
            <w:vAlign w:val="center"/>
          </w:tcPr>
          <w:p w14:paraId="1A854BC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r>
      <w:tr w14:paraId="3F4B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tcBorders>
            <w:vAlign w:val="center"/>
          </w:tcPr>
          <w:p w14:paraId="743DA25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2134" w:type="dxa"/>
            <w:vAlign w:val="center"/>
          </w:tcPr>
          <w:p w14:paraId="255EE17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986" w:type="dxa"/>
            <w:vAlign w:val="center"/>
          </w:tcPr>
          <w:p w14:paraId="1C2F99B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c>
          <w:tcPr>
            <w:tcW w:w="1989" w:type="dxa"/>
            <w:tcBorders>
              <w:right w:val="single" w:color="auto" w:sz="12" w:space="0"/>
            </w:tcBorders>
            <w:vAlign w:val="center"/>
          </w:tcPr>
          <w:p w14:paraId="668050D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r>
      <w:tr w14:paraId="02E8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bottom w:val="single" w:color="auto" w:sz="12" w:space="0"/>
            </w:tcBorders>
            <w:vAlign w:val="center"/>
          </w:tcPr>
          <w:p w14:paraId="0D41896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2134" w:type="dxa"/>
            <w:tcBorders>
              <w:bottom w:val="single" w:color="auto" w:sz="12" w:space="0"/>
            </w:tcBorders>
            <w:vAlign w:val="center"/>
          </w:tcPr>
          <w:p w14:paraId="453A628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c>
          <w:tcPr>
            <w:tcW w:w="1986" w:type="dxa"/>
            <w:tcBorders>
              <w:bottom w:val="single" w:color="auto" w:sz="12" w:space="0"/>
            </w:tcBorders>
            <w:vAlign w:val="center"/>
          </w:tcPr>
          <w:p w14:paraId="50A4249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c>
          <w:tcPr>
            <w:tcW w:w="1989" w:type="dxa"/>
            <w:tcBorders>
              <w:bottom w:val="single" w:color="auto" w:sz="12" w:space="0"/>
              <w:right w:val="single" w:color="auto" w:sz="12" w:space="0"/>
            </w:tcBorders>
            <w:vAlign w:val="center"/>
          </w:tcPr>
          <w:p w14:paraId="3AD969D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r>
    </w:tbl>
    <w:p w14:paraId="7078DAF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2.6.1.4声评价等级</w:t>
      </w:r>
    </w:p>
    <w:p w14:paraId="383F117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项目区位于《声环境质量标准》（GB3096</w:t>
      </w:r>
      <w:r>
        <w:rPr>
          <w:rFonts w:hint="default" w:cs="Times New Roman"/>
          <w:color w:val="auto"/>
          <w:highlight w:val="none"/>
          <w:lang w:val="en-US" w:eastAsia="zh-CN"/>
        </w:rPr>
        <w:t>-2008</w:t>
      </w:r>
      <w:r>
        <w:rPr>
          <w:rFonts w:hint="default" w:ascii="Times New Roman" w:hAnsi="Times New Roman" w:cs="Times New Roman"/>
          <w:color w:val="auto"/>
          <w:highlight w:val="none"/>
        </w:rPr>
        <w:t>）中的2类功能区，周围</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km范围内无居民区等声环境敏感目标，受影响人数变化不大。根据《环境影响评价技术导则 声环境》（HJ2.4-2021）中的评价等级确定原则，声环境评价等级为二级。</w:t>
      </w:r>
    </w:p>
    <w:p w14:paraId="24621D9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2.6.1.5土壤环境评价等级</w:t>
      </w:r>
    </w:p>
    <w:p w14:paraId="5342A46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（1）项目类别</w:t>
      </w:r>
    </w:p>
    <w:p w14:paraId="4625E3AA">
      <w:pPr>
        <w:pStyle w:val="52"/>
        <w:overflowPunct w:val="0"/>
        <w:topLinePunct/>
        <w:adjustRightInd/>
        <w:snapToGrid/>
        <w:spacing w:line="480" w:lineRule="exact"/>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根据《环境影响评价技术导则 土壤环境（试行）》（HJ964-2018）附录A土壤环境影响评价项目类别表（表2.6-7），本项目属于采矿业中的</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 1 \* ROMAN \* MERGEFORMAT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I</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类项目；根据附录B表B.1，选矿厂及尾矿库属于污染影响型。</w:t>
      </w:r>
    </w:p>
    <w:p w14:paraId="3217F1EA">
      <w:pPr>
        <w:pStyle w:val="52"/>
        <w:adjustRightInd/>
        <w:snapToGrid/>
        <w:spacing w:line="480" w:lineRule="exact"/>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表2.6-7    土壤环境影响评价项目类别</w:t>
      </w:r>
    </w:p>
    <w:tbl>
      <w:tblPr>
        <w:tblStyle w:val="34"/>
        <w:tblW w:w="86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9"/>
        <w:gridCol w:w="5245"/>
        <w:gridCol w:w="708"/>
      </w:tblGrid>
      <w:tr w14:paraId="65FA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vMerge w:val="restart"/>
            <w:tcBorders>
              <w:tl2br w:val="nil"/>
              <w:tr2bl w:val="nil"/>
            </w:tcBorders>
            <w:vAlign w:val="center"/>
          </w:tcPr>
          <w:p w14:paraId="2161D00C">
            <w:pPr>
              <w:pStyle w:val="5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行业类别</w:t>
            </w:r>
          </w:p>
        </w:tc>
        <w:tc>
          <w:tcPr>
            <w:tcW w:w="7512" w:type="dxa"/>
            <w:gridSpan w:val="3"/>
            <w:tcBorders>
              <w:tl2br w:val="nil"/>
              <w:tr2bl w:val="nil"/>
            </w:tcBorders>
            <w:vAlign w:val="center"/>
          </w:tcPr>
          <w:p w14:paraId="2759B489">
            <w:pPr>
              <w:pStyle w:val="5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项目类别</w:t>
            </w:r>
          </w:p>
        </w:tc>
      </w:tr>
      <w:tr w14:paraId="0443C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vMerge w:val="continue"/>
            <w:tcBorders>
              <w:tl2br w:val="nil"/>
              <w:tr2bl w:val="nil"/>
            </w:tcBorders>
            <w:vAlign w:val="center"/>
          </w:tcPr>
          <w:p w14:paraId="5E932D98">
            <w:pPr>
              <w:pStyle w:val="52"/>
              <w:ind w:firstLine="0" w:firstLineChars="0"/>
              <w:rPr>
                <w:rFonts w:hint="default" w:ascii="Times New Roman" w:hAnsi="Times New Roman" w:cs="Times New Roman"/>
                <w:b/>
                <w:bCs/>
                <w:color w:val="auto"/>
                <w:sz w:val="21"/>
                <w:highlight w:val="none"/>
              </w:rPr>
            </w:pPr>
          </w:p>
        </w:tc>
        <w:tc>
          <w:tcPr>
            <w:tcW w:w="1559" w:type="dxa"/>
            <w:tcBorders>
              <w:tl2br w:val="nil"/>
              <w:tr2bl w:val="nil"/>
            </w:tcBorders>
            <w:vAlign w:val="center"/>
          </w:tcPr>
          <w:p w14:paraId="0E73901A">
            <w:pPr>
              <w:pStyle w:val="5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I类</w:t>
            </w:r>
          </w:p>
        </w:tc>
        <w:tc>
          <w:tcPr>
            <w:tcW w:w="5245" w:type="dxa"/>
            <w:tcBorders>
              <w:tl2br w:val="nil"/>
              <w:tr2bl w:val="nil"/>
            </w:tcBorders>
            <w:vAlign w:val="center"/>
          </w:tcPr>
          <w:p w14:paraId="4B46F71C">
            <w:pPr>
              <w:pStyle w:val="5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II类</w:t>
            </w:r>
          </w:p>
        </w:tc>
        <w:tc>
          <w:tcPr>
            <w:tcW w:w="708" w:type="dxa"/>
            <w:tcBorders>
              <w:tl2br w:val="nil"/>
              <w:tr2bl w:val="nil"/>
            </w:tcBorders>
            <w:vAlign w:val="center"/>
          </w:tcPr>
          <w:p w14:paraId="49714305">
            <w:pPr>
              <w:pStyle w:val="5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III类</w:t>
            </w:r>
          </w:p>
        </w:tc>
      </w:tr>
      <w:tr w14:paraId="41E0C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tcBorders>
              <w:tl2br w:val="nil"/>
              <w:tr2bl w:val="nil"/>
            </w:tcBorders>
            <w:vAlign w:val="center"/>
          </w:tcPr>
          <w:p w14:paraId="66189B71">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采矿业</w:t>
            </w:r>
          </w:p>
        </w:tc>
        <w:tc>
          <w:tcPr>
            <w:tcW w:w="1559" w:type="dxa"/>
            <w:tcBorders>
              <w:tl2br w:val="nil"/>
              <w:tr2bl w:val="nil"/>
            </w:tcBorders>
            <w:vAlign w:val="center"/>
          </w:tcPr>
          <w:p w14:paraId="37E6D456">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金属矿、石油、页岩油开采</w:t>
            </w:r>
          </w:p>
        </w:tc>
        <w:tc>
          <w:tcPr>
            <w:tcW w:w="5245" w:type="dxa"/>
            <w:tcBorders>
              <w:tl2br w:val="nil"/>
              <w:tr2bl w:val="nil"/>
            </w:tcBorders>
            <w:vAlign w:val="center"/>
          </w:tcPr>
          <w:p w14:paraId="29187BF5">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化学矿采选；石棉矿采选；煤矿采选、天然气开采、页岩气开采、砂岩气开采、煤气层开采（含净化、液化）</w:t>
            </w:r>
          </w:p>
        </w:tc>
        <w:tc>
          <w:tcPr>
            <w:tcW w:w="708" w:type="dxa"/>
            <w:tcBorders>
              <w:tl2br w:val="nil"/>
              <w:tr2bl w:val="nil"/>
            </w:tcBorders>
            <w:vAlign w:val="center"/>
          </w:tcPr>
          <w:p w14:paraId="6912667E">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其他</w:t>
            </w:r>
          </w:p>
        </w:tc>
      </w:tr>
    </w:tbl>
    <w:p w14:paraId="6DA5CBA0">
      <w:pPr>
        <w:numPr>
          <w:ilvl w:val="0"/>
          <w:numId w:val="2"/>
        </w:num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土壤环境敏感程度</w:t>
      </w:r>
    </w:p>
    <w:p w14:paraId="3E3723E5">
      <w:pPr>
        <w:pStyle w:val="52"/>
        <w:overflowPunct w:val="0"/>
        <w:topLinePunct/>
        <w:adjustRightInd/>
        <w:snapToGrid/>
        <w:spacing w:line="480" w:lineRule="exact"/>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本项目土地利用类型为天然牧草地，</w:t>
      </w:r>
      <w:r>
        <w:rPr>
          <w:rFonts w:hint="default" w:cs="Times New Roman"/>
          <w:color w:val="auto"/>
          <w:szCs w:val="24"/>
          <w:highlight w:val="none"/>
          <w:lang w:val="en-US" w:eastAsia="zh-CN"/>
        </w:rPr>
        <w:t>同时尾矿库周边存在耕地，</w:t>
      </w:r>
      <w:r>
        <w:rPr>
          <w:rFonts w:hint="default" w:ascii="Times New Roman" w:hAnsi="Times New Roman" w:cs="Times New Roman"/>
          <w:color w:val="auto"/>
          <w:szCs w:val="24"/>
          <w:highlight w:val="none"/>
        </w:rPr>
        <w:t>根据《环境影响评价技术导则 土壤环境（试行）》（HJ964-2018）中土壤环境污染影响型敏感程度分级规定，判定本项目的土壤环境敏感程度为敏感，具体见表2.6-8。</w:t>
      </w:r>
    </w:p>
    <w:p w14:paraId="4BE9C480">
      <w:pPr>
        <w:pStyle w:val="52"/>
        <w:adjustRightInd/>
        <w:snapToGrid/>
        <w:spacing w:line="480" w:lineRule="exact"/>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表2.6-8    污染影响型敏感程度分级表</w:t>
      </w:r>
    </w:p>
    <w:tbl>
      <w:tblPr>
        <w:tblStyle w:val="34"/>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7409"/>
      </w:tblGrid>
      <w:tr w14:paraId="33936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7955EBCD">
            <w:pPr>
              <w:pStyle w:val="5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敏感程度</w:t>
            </w:r>
          </w:p>
        </w:tc>
        <w:tc>
          <w:tcPr>
            <w:tcW w:w="7409" w:type="dxa"/>
            <w:tcBorders>
              <w:tl2br w:val="nil"/>
              <w:tr2bl w:val="nil"/>
            </w:tcBorders>
            <w:vAlign w:val="center"/>
          </w:tcPr>
          <w:p w14:paraId="18BE19D1">
            <w:pPr>
              <w:pStyle w:val="5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判别依据</w:t>
            </w:r>
          </w:p>
        </w:tc>
      </w:tr>
      <w:tr w14:paraId="1A882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72A36C54">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7409" w:type="dxa"/>
            <w:tcBorders>
              <w:tl2br w:val="nil"/>
              <w:tr2bl w:val="nil"/>
            </w:tcBorders>
            <w:vAlign w:val="center"/>
          </w:tcPr>
          <w:p w14:paraId="15EA2ADB">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建设项目周边存在</w:t>
            </w:r>
            <w:r>
              <w:rPr>
                <w:rFonts w:hint="default" w:ascii="Times New Roman" w:hAnsi="Times New Roman" w:cs="Times New Roman"/>
                <w:b/>
                <w:bCs/>
                <w:color w:val="auto"/>
                <w:sz w:val="21"/>
                <w:highlight w:val="none"/>
              </w:rPr>
              <w:t>耕地</w:t>
            </w:r>
            <w:r>
              <w:rPr>
                <w:rFonts w:hint="default" w:ascii="Times New Roman" w:hAnsi="Times New Roman" w:cs="Times New Roman"/>
                <w:color w:val="auto"/>
                <w:sz w:val="21"/>
                <w:highlight w:val="none"/>
              </w:rPr>
              <w:t>、园地、</w:t>
            </w:r>
            <w:r>
              <w:rPr>
                <w:rFonts w:hint="default" w:ascii="Times New Roman" w:hAnsi="Times New Roman" w:cs="Times New Roman"/>
                <w:b/>
                <w:bCs/>
                <w:color w:val="auto"/>
                <w:sz w:val="21"/>
                <w:highlight w:val="none"/>
              </w:rPr>
              <w:t>牧草地</w:t>
            </w:r>
            <w:r>
              <w:rPr>
                <w:rFonts w:hint="default" w:ascii="Times New Roman" w:hAnsi="Times New Roman" w:cs="Times New Roman"/>
                <w:color w:val="auto"/>
                <w:sz w:val="21"/>
                <w:highlight w:val="none"/>
              </w:rPr>
              <w:t>、饮用水水源地或居民区、学校、医院、疗养院养老院等土壤环境敏感目标的</w:t>
            </w:r>
          </w:p>
        </w:tc>
      </w:tr>
      <w:tr w14:paraId="518A0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0FF27106">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7409" w:type="dxa"/>
            <w:tcBorders>
              <w:tl2br w:val="nil"/>
              <w:tr2bl w:val="nil"/>
            </w:tcBorders>
            <w:vAlign w:val="center"/>
          </w:tcPr>
          <w:p w14:paraId="4AE546FB">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建设项目周边存在其他土壤环境敏感目标的</w:t>
            </w:r>
          </w:p>
        </w:tc>
      </w:tr>
      <w:tr w14:paraId="33EFB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265DE9AC">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7409" w:type="dxa"/>
            <w:tcBorders>
              <w:tl2br w:val="nil"/>
              <w:tr2bl w:val="nil"/>
            </w:tcBorders>
            <w:vAlign w:val="center"/>
          </w:tcPr>
          <w:p w14:paraId="50EB1BD3">
            <w:pPr>
              <w:pStyle w:val="5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其他情况</w:t>
            </w:r>
          </w:p>
        </w:tc>
      </w:tr>
    </w:tbl>
    <w:p w14:paraId="68BA487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（3）评价工作等级判定</w:t>
      </w:r>
    </w:p>
    <w:p w14:paraId="23F5749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按照《环境影响评价技术导则 土壤环境（试行）》（HJ964-2018）中评价工作等级分级表的划分方法进行确定，其判定依据见表2.6-9。</w:t>
      </w:r>
    </w:p>
    <w:p w14:paraId="7928015C">
      <w:pPr>
        <w:pStyle w:val="52"/>
        <w:adjustRightInd/>
        <w:snapToGrid/>
        <w:spacing w:line="480" w:lineRule="exact"/>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270510</wp:posOffset>
                </wp:positionV>
                <wp:extent cx="934720" cy="296545"/>
                <wp:effectExtent l="0" t="0" r="0" b="0"/>
                <wp:wrapNone/>
                <wp:docPr id="8" name="矩形 32"/>
                <wp:cNvGraphicFramePr/>
                <a:graphic xmlns:a="http://schemas.openxmlformats.org/drawingml/2006/main">
                  <a:graphicData uri="http://schemas.microsoft.com/office/word/2010/wordprocessingShape">
                    <wps:wsp>
                      <wps:cNvSpPr/>
                      <wps:spPr>
                        <a:xfrm>
                          <a:off x="0" y="0"/>
                          <a:ext cx="934720" cy="296545"/>
                        </a:xfrm>
                        <a:prstGeom prst="rect">
                          <a:avLst/>
                        </a:prstGeom>
                        <a:noFill/>
                        <a:ln>
                          <a:noFill/>
                        </a:ln>
                      </wps:spPr>
                      <wps:txbx>
                        <w:txbxContent>
                          <w:p w14:paraId="7E458BEC">
                            <w:pPr>
                              <w:spacing w:line="240" w:lineRule="auto"/>
                              <w:ind w:firstLine="0" w:firstLineChars="0"/>
                              <w:jc w:val="center"/>
                              <w:rPr>
                                <w:b/>
                                <w:bCs/>
                                <w:sz w:val="18"/>
                                <w:szCs w:val="18"/>
                              </w:rPr>
                            </w:pPr>
                            <w:r>
                              <w:rPr>
                                <w:rFonts w:hint="eastAsia"/>
                                <w:b/>
                                <w:bCs/>
                                <w:sz w:val="18"/>
                                <w:szCs w:val="18"/>
                              </w:rPr>
                              <w:t>占地规模</w:t>
                            </w:r>
                          </w:p>
                        </w:txbxContent>
                      </wps:txbx>
                      <wps:bodyPr upright="1"/>
                    </wps:wsp>
                  </a:graphicData>
                </a:graphic>
              </wp:anchor>
            </w:drawing>
          </mc:Choice>
          <mc:Fallback>
            <w:pict>
              <v:rect id="矩形 32" o:spid="_x0000_s1026" o:spt="1" style="position:absolute;left:0pt;margin-left:-5.55pt;margin-top:21.3pt;height:23.35pt;width:73.6pt;z-index:251662336;mso-width-relative:page;mso-height-relative:page;" filled="f" stroked="f" coordsize="21600,21600" o:gfxdata="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z4wcjaAAAACQEAAA8A&#10;AAAAAAAAAQAgAAAAIgAAAGRycy9kb3ducmV2LnhtbFBLAQIUABQAAAAIAIdO4kDoEy0IowEAAEED&#10;AAAOAAAAAAAAAAEAIAAAACkBAABkcnMvZTJvRG9jLnhtbFBLBQYAAAAABgAGAFkBAAA+BQAAAAA=&#10;">
                <v:fill on="f" focussize="0,0"/>
                <v:stroke on="f"/>
                <v:imagedata o:title=""/>
                <o:lock v:ext="edit" aspectratio="f"/>
                <v:textbox>
                  <w:txbxContent>
                    <w:p w14:paraId="7E458BEC">
                      <w:pPr>
                        <w:spacing w:line="240" w:lineRule="auto"/>
                        <w:ind w:firstLine="0" w:firstLineChars="0"/>
                        <w:jc w:val="center"/>
                        <w:rPr>
                          <w:b/>
                          <w:bCs/>
                          <w:sz w:val="18"/>
                          <w:szCs w:val="18"/>
                        </w:rPr>
                      </w:pPr>
                      <w:r>
                        <w:rPr>
                          <w:rFonts w:hint="eastAsia"/>
                          <w:b/>
                          <w:bCs/>
                          <w:sz w:val="18"/>
                          <w:szCs w:val="18"/>
                        </w:rPr>
                        <w:t>占地规模</w:t>
                      </w:r>
                    </w:p>
                  </w:txbxContent>
                </v:textbox>
              </v:rect>
            </w:pict>
          </mc:Fallback>
        </mc:AlternateContent>
      </w:r>
      <w:r>
        <w:rPr>
          <w:rFonts w:hint="default" w:ascii="Times New Roman" w:hAnsi="Times New Roman" w:cs="Times New Roman"/>
          <w:b/>
          <w:bCs/>
          <w:color w:val="auto"/>
          <w:szCs w:val="24"/>
          <w:highlight w:val="none"/>
        </w:rPr>
        <w:t>表2.6-9    污染影响型评价工作等级划分表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823"/>
        <w:gridCol w:w="826"/>
        <w:gridCol w:w="825"/>
        <w:gridCol w:w="823"/>
        <w:gridCol w:w="823"/>
        <w:gridCol w:w="826"/>
        <w:gridCol w:w="823"/>
        <w:gridCol w:w="823"/>
        <w:gridCol w:w="832"/>
      </w:tblGrid>
      <w:tr w14:paraId="1D7C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3" w:type="pct"/>
            <w:vMerge w:val="restart"/>
            <w:tcBorders>
              <w:top w:val="single" w:color="auto" w:sz="12" w:space="0"/>
              <w:left w:val="single" w:color="auto" w:sz="12" w:space="0"/>
            </w:tcBorders>
            <w:vAlign w:val="center"/>
          </w:tcPr>
          <w:p w14:paraId="44EAFDAE">
            <w:pPr>
              <w:pStyle w:val="32"/>
              <w:spacing w:after="0" w:line="360" w:lineRule="exact"/>
              <w:ind w:left="0" w:leftChars="0"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136525</wp:posOffset>
                      </wp:positionH>
                      <wp:positionV relativeFrom="paragraph">
                        <wp:posOffset>9525</wp:posOffset>
                      </wp:positionV>
                      <wp:extent cx="498475" cy="459740"/>
                      <wp:effectExtent l="3175" t="3810" r="12700" b="12700"/>
                      <wp:wrapNone/>
                      <wp:docPr id="9" name="直接连接符 64"/>
                      <wp:cNvGraphicFramePr/>
                      <a:graphic xmlns:a="http://schemas.openxmlformats.org/drawingml/2006/main">
                        <a:graphicData uri="http://schemas.microsoft.com/office/word/2010/wordprocessingShape">
                          <wps:wsp>
                            <wps:cNvCnPr/>
                            <wps:spPr>
                              <a:xfrm>
                                <a:off x="1080770" y="1222375"/>
                                <a:ext cx="575945" cy="48387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64" o:spid="_x0000_s1026" o:spt="20" style="position:absolute;left:0pt;margin-left:10.75pt;margin-top:0.75pt;height:36.2pt;width:39.25pt;z-index:251664384;mso-width-relative:page;mso-height-relative:page;" filled="f" stroked="t" coordsize="21600,21600" o:gfxdata="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KAhStUAAAAHAQAADwAAAAAAAAABACAAAAAiAAAAZHJzL2Rvd25yZXYueG1sUEsB&#10;AhQAFAAAAAgAh07iQK8X0FX4AQAA0AMAAA4AAAAAAAAAAQAgAAAAJAEAAGRycy9lMm9Eb2MueG1s&#10;UEsFBgAAAAAGAAYAWQEAAI4FAAAAAA==&#10;">
                      <v:fill on="f" focussize="0,0"/>
                      <v:stroke weight="0.5pt" color="#000000" miterlimit="8" joinstyle="miter"/>
                      <v:imagedata o:title=""/>
                      <o:lock v:ext="edit" aspectratio="f"/>
                    </v:lin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-196850</wp:posOffset>
                      </wp:positionH>
                      <wp:positionV relativeFrom="paragraph">
                        <wp:posOffset>110490</wp:posOffset>
                      </wp:positionV>
                      <wp:extent cx="963930" cy="296545"/>
                      <wp:effectExtent l="0" t="0" r="0" b="0"/>
                      <wp:wrapNone/>
                      <wp:docPr id="6" name="矩形 31"/>
                      <wp:cNvGraphicFramePr/>
                      <a:graphic xmlns:a="http://schemas.openxmlformats.org/drawingml/2006/main">
                        <a:graphicData uri="http://schemas.microsoft.com/office/word/2010/wordprocessingShape">
                          <wps:wsp>
                            <wps:cNvSpPr/>
                            <wps:spPr>
                              <a:xfrm>
                                <a:off x="0" y="0"/>
                                <a:ext cx="963930" cy="296545"/>
                              </a:xfrm>
                              <a:prstGeom prst="rect">
                                <a:avLst/>
                              </a:prstGeom>
                              <a:noFill/>
                              <a:ln>
                                <a:noFill/>
                              </a:ln>
                            </wps:spPr>
                            <wps:txbx>
                              <w:txbxContent>
                                <w:p w14:paraId="55306E26">
                                  <w:pPr>
                                    <w:spacing w:line="240" w:lineRule="auto"/>
                                    <w:ind w:firstLine="0" w:firstLineChars="0"/>
                                    <w:jc w:val="center"/>
                                    <w:rPr>
                                      <w:b/>
                                      <w:bCs/>
                                      <w:sz w:val="21"/>
                                      <w:szCs w:val="21"/>
                                    </w:rPr>
                                  </w:pPr>
                                  <w:r>
                                    <w:rPr>
                                      <w:rFonts w:hint="eastAsia"/>
                                      <w:b/>
                                      <w:bCs/>
                                      <w:sz w:val="18"/>
                                      <w:szCs w:val="18"/>
                                    </w:rPr>
                                    <w:t>评</w:t>
                                  </w:r>
                                  <w:r>
                                    <w:rPr>
                                      <w:rFonts w:hint="eastAsia"/>
                                      <w:b/>
                                      <w:bCs/>
                                      <w:color w:val="000000" w:themeColor="text1"/>
                                      <w:sz w:val="18"/>
                                      <w:szCs w:val="18"/>
                                      <w14:textFill>
                                        <w14:solidFill>
                                          <w14:schemeClr w14:val="tx1"/>
                                        </w14:solidFill>
                                      </w14:textFill>
                                    </w:rPr>
                                    <w:t>价工作等级</w:t>
                                  </w:r>
                                </w:p>
                              </w:txbxContent>
                            </wps:txbx>
                            <wps:bodyPr upright="1"/>
                          </wps:wsp>
                        </a:graphicData>
                      </a:graphic>
                    </wp:anchor>
                  </w:drawing>
                </mc:Choice>
                <mc:Fallback>
                  <w:pict>
                    <v:rect id="矩形 31" o:spid="_x0000_s1026" o:spt="1" style="position:absolute;left:0pt;margin-left:-15.5pt;margin-top:8.7pt;height:23.35pt;width:75.9pt;z-index:251661312;mso-width-relative:page;mso-height-relative:page;" filled="f" stroked="f" coordsize="21600,21600" o:gfxdata="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cP7g/ZAAAACQEAAA8AAAAA&#10;AAAAAQAgAAAAIgAAAGRycy9kb3ducmV2LnhtbFBLAQIUABQAAAAIAIdO4kD87PmToQEAAEEDAAAO&#10;AAAAAAAAAAEAIAAAACgBAABkcnMvZTJvRG9jLnhtbFBLBQYAAAAABgAGAFkBAAA7BQAAAAA=&#10;">
                      <v:fill on="f" focussize="0,0"/>
                      <v:stroke on="f"/>
                      <v:imagedata o:title=""/>
                      <o:lock v:ext="edit" aspectratio="f"/>
                      <v:textbox>
                        <w:txbxContent>
                          <w:p w14:paraId="55306E26">
                            <w:pPr>
                              <w:spacing w:line="240" w:lineRule="auto"/>
                              <w:ind w:firstLine="0" w:firstLineChars="0"/>
                              <w:jc w:val="center"/>
                              <w:rPr>
                                <w:b/>
                                <w:bCs/>
                                <w:sz w:val="21"/>
                                <w:szCs w:val="21"/>
                              </w:rPr>
                            </w:pPr>
                            <w:r>
                              <w:rPr>
                                <w:rFonts w:hint="eastAsia"/>
                                <w:b/>
                                <w:bCs/>
                                <w:sz w:val="18"/>
                                <w:szCs w:val="18"/>
                              </w:rPr>
                              <w:t>评</w:t>
                            </w:r>
                            <w:r>
                              <w:rPr>
                                <w:rFonts w:hint="eastAsia"/>
                                <w:b/>
                                <w:bCs/>
                                <w:color w:val="000000" w:themeColor="text1"/>
                                <w:sz w:val="18"/>
                                <w:szCs w:val="18"/>
                                <w14:textFill>
                                  <w14:solidFill>
                                    <w14:schemeClr w14:val="tx1"/>
                                  </w14:solidFill>
                                </w14:textFill>
                              </w:rPr>
                              <w:t>价工作等级</w:t>
                            </w:r>
                          </w:p>
                        </w:txbxContent>
                      </v:textbox>
                    </v:rect>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-253365</wp:posOffset>
                      </wp:positionH>
                      <wp:positionV relativeFrom="paragraph">
                        <wp:posOffset>267970</wp:posOffset>
                      </wp:positionV>
                      <wp:extent cx="876300" cy="296545"/>
                      <wp:effectExtent l="0" t="0" r="0" b="0"/>
                      <wp:wrapNone/>
                      <wp:docPr id="12" name="矩形 34"/>
                      <wp:cNvGraphicFramePr/>
                      <a:graphic xmlns:a="http://schemas.openxmlformats.org/drawingml/2006/main">
                        <a:graphicData uri="http://schemas.microsoft.com/office/word/2010/wordprocessingShape">
                          <wps:wsp>
                            <wps:cNvSpPr/>
                            <wps:spPr>
                              <a:xfrm>
                                <a:off x="0" y="0"/>
                                <a:ext cx="876300" cy="296545"/>
                              </a:xfrm>
                              <a:prstGeom prst="rect">
                                <a:avLst/>
                              </a:prstGeom>
                              <a:noFill/>
                              <a:ln>
                                <a:noFill/>
                              </a:ln>
                            </wps:spPr>
                            <wps:txbx>
                              <w:txbxContent>
                                <w:p w14:paraId="4B7D57CB">
                                  <w:pPr>
                                    <w:spacing w:line="240" w:lineRule="auto"/>
                                    <w:ind w:firstLine="0" w:firstLineChars="0"/>
                                    <w:jc w:val="center"/>
                                    <w:rPr>
                                      <w:b/>
                                      <w:bCs/>
                                      <w:sz w:val="21"/>
                                      <w:szCs w:val="21"/>
                                    </w:rPr>
                                  </w:pPr>
                                  <w:r>
                                    <w:rPr>
                                      <w:rFonts w:hint="eastAsia"/>
                                      <w:b/>
                                      <w:bCs/>
                                      <w:sz w:val="18"/>
                                      <w:szCs w:val="18"/>
                                    </w:rPr>
                                    <w:t>敏感程度</w:t>
                                  </w:r>
                                </w:p>
                              </w:txbxContent>
                            </wps:txbx>
                            <wps:bodyPr upright="1"/>
                          </wps:wsp>
                        </a:graphicData>
                      </a:graphic>
                    </wp:anchor>
                  </w:drawing>
                </mc:Choice>
                <mc:Fallback>
                  <w:pict>
                    <v:rect id="矩形 34" o:spid="_x0000_s1026" o:spt="1" style="position:absolute;left:0pt;margin-left:-19.95pt;margin-top:21.1pt;height:23.35pt;width:69pt;z-index:251665408;mso-width-relative:page;mso-height-relative:page;" filled="f" stroked="f" coordsize="21600,21600" o:gfxdata="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P+aFtkAAAAIAQAADwAA&#10;AAAAAAABACAAAAAiAAAAZHJzL2Rvd25yZXYueG1sUEsBAhQAFAAAAAgAh07iQHCGqwWjAQAAQgMA&#10;AA4AAAAAAAAAAQAgAAAAKAEAAGRycy9lMm9Eb2MueG1sUEsFBgAAAAAGAAYAWQEAAD0FAAAAAA==&#10;">
                      <v:fill on="f" focussize="0,0"/>
                      <v:stroke on="f"/>
                      <v:imagedata o:title=""/>
                      <o:lock v:ext="edit" aspectratio="f"/>
                      <v:textbox>
                        <w:txbxContent>
                          <w:p w14:paraId="4B7D57CB">
                            <w:pPr>
                              <w:spacing w:line="240" w:lineRule="auto"/>
                              <w:ind w:firstLine="0" w:firstLineChars="0"/>
                              <w:jc w:val="center"/>
                              <w:rPr>
                                <w:b/>
                                <w:bCs/>
                                <w:sz w:val="21"/>
                                <w:szCs w:val="21"/>
                              </w:rPr>
                            </w:pPr>
                            <w:r>
                              <w:rPr>
                                <w:rFonts w:hint="eastAsia"/>
                                <w:b/>
                                <w:bCs/>
                                <w:sz w:val="18"/>
                                <w:szCs w:val="18"/>
                              </w:rPr>
                              <w:t>敏感程度</w:t>
                            </w:r>
                          </w:p>
                        </w:txbxContent>
                      </v:textbox>
                    </v:rect>
                  </w:pict>
                </mc:Fallback>
              </mc:AlternateContent>
            </w:r>
            <w:r>
              <w:rPr>
                <w:rFonts w:hint="default" w:ascii="Times New Roman" w:hAnsi="Times New Roman" w:cs="Times New Roman"/>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-77470</wp:posOffset>
                      </wp:positionH>
                      <wp:positionV relativeFrom="paragraph">
                        <wp:posOffset>201930</wp:posOffset>
                      </wp:positionV>
                      <wp:extent cx="683260" cy="259715"/>
                      <wp:effectExtent l="1905" t="4445" r="19685" b="21590"/>
                      <wp:wrapNone/>
                      <wp:docPr id="64" name="直接连接符 64"/>
                      <wp:cNvGraphicFramePr/>
                      <a:graphic xmlns:a="http://schemas.openxmlformats.org/drawingml/2006/main">
                        <a:graphicData uri="http://schemas.microsoft.com/office/word/2010/wordprocessingShape">
                          <wps:wsp>
                            <wps:cNvCnPr/>
                            <wps:spPr>
                              <a:xfrm>
                                <a:off x="1080770" y="1222375"/>
                                <a:ext cx="575945" cy="48387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pt;margin-top:15.9pt;height:20.45pt;width:53.8pt;z-index:251663360;mso-width-relative:page;mso-height-relative:page;" filled="f" stroked="t" coordsize="21600,21600" o:gfxdata="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9ckGfYAAAACAEAAA8AAAAAAAAAAQAgAAAAIgAAAGRycy9kb3ducmV2Lnht&#10;bFBLAQIUABQAAAAIAIdO4kAzWxQR+QEAANEDAAAOAAAAAAAAAAEAIAAAACcBAABkcnMvZTJvRG9j&#10;LnhtbFBLBQYAAAAABgAGAFkBAACSBQAAAAA=&#10;">
                      <v:fill on="f" focussize="0,0"/>
                      <v:stroke weight="0.5pt" color="#000000" miterlimit="8" joinstyle="miter"/>
                      <v:imagedata o:title=""/>
                      <o:lock v:ext="edit" aspectratio="f"/>
                    </v:line>
                  </w:pict>
                </mc:Fallback>
              </mc:AlternateContent>
            </w:r>
          </w:p>
        </w:tc>
        <w:tc>
          <w:tcPr>
            <w:tcW w:w="1452" w:type="pct"/>
            <w:gridSpan w:val="3"/>
            <w:tcBorders>
              <w:top w:val="single" w:color="auto" w:sz="12" w:space="0"/>
            </w:tcBorders>
            <w:vAlign w:val="center"/>
          </w:tcPr>
          <w:p w14:paraId="3E155F10">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I类</w:t>
            </w:r>
          </w:p>
        </w:tc>
        <w:tc>
          <w:tcPr>
            <w:tcW w:w="1451" w:type="pct"/>
            <w:gridSpan w:val="3"/>
            <w:tcBorders>
              <w:top w:val="single" w:color="auto" w:sz="12" w:space="0"/>
            </w:tcBorders>
            <w:vAlign w:val="center"/>
          </w:tcPr>
          <w:p w14:paraId="6260CE29">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II类</w:t>
            </w:r>
          </w:p>
        </w:tc>
        <w:tc>
          <w:tcPr>
            <w:tcW w:w="1451" w:type="pct"/>
            <w:gridSpan w:val="3"/>
            <w:tcBorders>
              <w:top w:val="single" w:color="auto" w:sz="12" w:space="0"/>
              <w:right w:val="single" w:color="auto" w:sz="12" w:space="0"/>
            </w:tcBorders>
            <w:vAlign w:val="center"/>
          </w:tcPr>
          <w:p w14:paraId="14D5C279">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III类</w:t>
            </w:r>
          </w:p>
        </w:tc>
      </w:tr>
      <w:tr w14:paraId="40C2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3" w:type="pct"/>
            <w:vMerge w:val="continue"/>
            <w:tcBorders>
              <w:left w:val="single" w:color="auto" w:sz="12" w:space="0"/>
            </w:tcBorders>
            <w:vAlign w:val="center"/>
          </w:tcPr>
          <w:p w14:paraId="5550CD51">
            <w:pPr>
              <w:pStyle w:val="32"/>
              <w:spacing w:after="0" w:line="360" w:lineRule="exact"/>
              <w:ind w:left="0" w:leftChars="0" w:firstLine="0" w:firstLineChars="0"/>
              <w:jc w:val="center"/>
              <w:rPr>
                <w:rFonts w:hint="default" w:ascii="Times New Roman" w:hAnsi="Times New Roman" w:cs="Times New Roman"/>
                <w:color w:val="auto"/>
                <w:kern w:val="0"/>
                <w:szCs w:val="21"/>
                <w:highlight w:val="none"/>
              </w:rPr>
            </w:pPr>
          </w:p>
        </w:tc>
        <w:tc>
          <w:tcPr>
            <w:tcW w:w="483" w:type="pct"/>
            <w:vAlign w:val="center"/>
          </w:tcPr>
          <w:p w14:paraId="3BC1EFA2">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大</w:t>
            </w:r>
          </w:p>
        </w:tc>
        <w:tc>
          <w:tcPr>
            <w:tcW w:w="485" w:type="pct"/>
            <w:vAlign w:val="center"/>
          </w:tcPr>
          <w:p w14:paraId="1270C1D3">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中</w:t>
            </w:r>
          </w:p>
        </w:tc>
        <w:tc>
          <w:tcPr>
            <w:tcW w:w="484" w:type="pct"/>
            <w:vAlign w:val="center"/>
          </w:tcPr>
          <w:p w14:paraId="008F10B2">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w:t>
            </w:r>
          </w:p>
        </w:tc>
        <w:tc>
          <w:tcPr>
            <w:tcW w:w="483" w:type="pct"/>
            <w:vAlign w:val="center"/>
          </w:tcPr>
          <w:p w14:paraId="20F4AF4B">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大</w:t>
            </w:r>
          </w:p>
        </w:tc>
        <w:tc>
          <w:tcPr>
            <w:tcW w:w="483" w:type="pct"/>
            <w:vAlign w:val="center"/>
          </w:tcPr>
          <w:p w14:paraId="0D611B6F">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中</w:t>
            </w:r>
          </w:p>
        </w:tc>
        <w:tc>
          <w:tcPr>
            <w:tcW w:w="484" w:type="pct"/>
            <w:vAlign w:val="center"/>
          </w:tcPr>
          <w:p w14:paraId="50482460">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w:t>
            </w:r>
          </w:p>
        </w:tc>
        <w:tc>
          <w:tcPr>
            <w:tcW w:w="483" w:type="pct"/>
            <w:vAlign w:val="center"/>
          </w:tcPr>
          <w:p w14:paraId="5EB83F64">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大</w:t>
            </w:r>
          </w:p>
        </w:tc>
        <w:tc>
          <w:tcPr>
            <w:tcW w:w="483" w:type="pct"/>
            <w:vAlign w:val="center"/>
          </w:tcPr>
          <w:p w14:paraId="6AD9D31E">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中</w:t>
            </w:r>
          </w:p>
        </w:tc>
        <w:tc>
          <w:tcPr>
            <w:tcW w:w="484" w:type="pct"/>
            <w:tcBorders>
              <w:right w:val="single" w:color="auto" w:sz="12" w:space="0"/>
            </w:tcBorders>
            <w:vAlign w:val="center"/>
          </w:tcPr>
          <w:p w14:paraId="78501FEE">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w:t>
            </w:r>
          </w:p>
        </w:tc>
      </w:tr>
      <w:tr w14:paraId="3007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3" w:type="pct"/>
            <w:tcBorders>
              <w:left w:val="single" w:color="auto" w:sz="12" w:space="0"/>
            </w:tcBorders>
            <w:shd w:val="clear" w:color="auto" w:fill="auto"/>
            <w:vAlign w:val="center"/>
          </w:tcPr>
          <w:p w14:paraId="3990C6E3">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敏感</w:t>
            </w:r>
          </w:p>
        </w:tc>
        <w:tc>
          <w:tcPr>
            <w:tcW w:w="483" w:type="pct"/>
            <w:shd w:val="clear" w:color="auto" w:fill="auto"/>
            <w:vAlign w:val="center"/>
          </w:tcPr>
          <w:p w14:paraId="409CBE7E">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一级</w:t>
            </w:r>
          </w:p>
        </w:tc>
        <w:tc>
          <w:tcPr>
            <w:tcW w:w="485" w:type="pct"/>
            <w:shd w:val="clear" w:color="auto" w:fill="auto"/>
            <w:vAlign w:val="center"/>
          </w:tcPr>
          <w:p w14:paraId="2869D66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
                <w:bCs w:val="0"/>
                <w:color w:val="auto"/>
                <w:kern w:val="0"/>
                <w:szCs w:val="21"/>
                <w:highlight w:val="none"/>
              </w:rPr>
              <w:t>一级</w:t>
            </w:r>
          </w:p>
        </w:tc>
        <w:tc>
          <w:tcPr>
            <w:tcW w:w="484" w:type="pct"/>
            <w:vAlign w:val="center"/>
          </w:tcPr>
          <w:p w14:paraId="7398304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483" w:type="pct"/>
            <w:vAlign w:val="center"/>
          </w:tcPr>
          <w:p w14:paraId="50B4D5E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3" w:type="pct"/>
            <w:vAlign w:val="center"/>
          </w:tcPr>
          <w:p w14:paraId="234CB5F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4" w:type="pct"/>
            <w:vAlign w:val="center"/>
          </w:tcPr>
          <w:p w14:paraId="7F7F01E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3" w:type="pct"/>
            <w:vAlign w:val="center"/>
          </w:tcPr>
          <w:p w14:paraId="55FF477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3" w:type="pct"/>
            <w:vAlign w:val="center"/>
          </w:tcPr>
          <w:p w14:paraId="61EA21C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4" w:type="pct"/>
            <w:tcBorders>
              <w:right w:val="single" w:color="auto" w:sz="12" w:space="0"/>
            </w:tcBorders>
            <w:vAlign w:val="center"/>
          </w:tcPr>
          <w:p w14:paraId="55BC8B7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r>
      <w:tr w14:paraId="5BA7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3" w:type="pct"/>
            <w:tcBorders>
              <w:left w:val="single" w:color="auto" w:sz="12" w:space="0"/>
            </w:tcBorders>
            <w:vAlign w:val="center"/>
          </w:tcPr>
          <w:p w14:paraId="71011CE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较敏感</w:t>
            </w:r>
          </w:p>
        </w:tc>
        <w:tc>
          <w:tcPr>
            <w:tcW w:w="483" w:type="pct"/>
            <w:vAlign w:val="center"/>
          </w:tcPr>
          <w:p w14:paraId="6CB5FE5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485" w:type="pct"/>
            <w:vAlign w:val="center"/>
          </w:tcPr>
          <w:p w14:paraId="56C3FAC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484" w:type="pct"/>
            <w:vAlign w:val="center"/>
          </w:tcPr>
          <w:p w14:paraId="165DD24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3" w:type="pct"/>
            <w:vAlign w:val="center"/>
          </w:tcPr>
          <w:p w14:paraId="09B73BF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3" w:type="pct"/>
            <w:vAlign w:val="center"/>
          </w:tcPr>
          <w:p w14:paraId="351A7AA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4" w:type="pct"/>
            <w:vAlign w:val="center"/>
          </w:tcPr>
          <w:p w14:paraId="23A4927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3" w:type="pct"/>
            <w:vAlign w:val="center"/>
          </w:tcPr>
          <w:p w14:paraId="1E04AD9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3" w:type="pct"/>
            <w:vAlign w:val="center"/>
          </w:tcPr>
          <w:p w14:paraId="347F129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4" w:type="pct"/>
            <w:tcBorders>
              <w:right w:val="single" w:color="auto" w:sz="12" w:space="0"/>
            </w:tcBorders>
            <w:vAlign w:val="center"/>
          </w:tcPr>
          <w:p w14:paraId="258592E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r>
      <w:tr w14:paraId="1A7C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3" w:type="pct"/>
            <w:tcBorders>
              <w:left w:val="single" w:color="auto" w:sz="12" w:space="0"/>
            </w:tcBorders>
            <w:vAlign w:val="center"/>
          </w:tcPr>
          <w:p w14:paraId="3ADBC4C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不敏感</w:t>
            </w:r>
          </w:p>
        </w:tc>
        <w:tc>
          <w:tcPr>
            <w:tcW w:w="483" w:type="pct"/>
            <w:vAlign w:val="center"/>
          </w:tcPr>
          <w:p w14:paraId="0BF0D2D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485" w:type="pct"/>
            <w:vAlign w:val="center"/>
          </w:tcPr>
          <w:p w14:paraId="5239A81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4" w:type="pct"/>
            <w:vAlign w:val="center"/>
          </w:tcPr>
          <w:p w14:paraId="3E9B6B8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3" w:type="pct"/>
            <w:vAlign w:val="center"/>
          </w:tcPr>
          <w:p w14:paraId="20053E9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83" w:type="pct"/>
            <w:vAlign w:val="center"/>
          </w:tcPr>
          <w:p w14:paraId="5604113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4" w:type="pct"/>
            <w:vAlign w:val="center"/>
          </w:tcPr>
          <w:p w14:paraId="3DBC4DC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3" w:type="pct"/>
            <w:vAlign w:val="center"/>
          </w:tcPr>
          <w:p w14:paraId="03524B6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83" w:type="pct"/>
            <w:vAlign w:val="center"/>
          </w:tcPr>
          <w:p w14:paraId="3A19AB6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c>
          <w:tcPr>
            <w:tcW w:w="484" w:type="pct"/>
            <w:tcBorders>
              <w:right w:val="single" w:color="auto" w:sz="12" w:space="0"/>
            </w:tcBorders>
            <w:vAlign w:val="center"/>
          </w:tcPr>
          <w:p w14:paraId="28FE4DD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r>
      <w:tr w14:paraId="760F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000" w:type="pct"/>
            <w:gridSpan w:val="10"/>
            <w:tcBorders>
              <w:left w:val="single" w:color="auto" w:sz="12" w:space="0"/>
              <w:bottom w:val="single" w:color="auto" w:sz="12" w:space="0"/>
              <w:right w:val="single" w:color="auto" w:sz="12" w:space="0"/>
            </w:tcBorders>
            <w:vAlign w:val="center"/>
          </w:tcPr>
          <w:p w14:paraId="2026BA9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注：“-”表示可不开展土壤环境影响评价工作</w:t>
            </w:r>
          </w:p>
        </w:tc>
      </w:tr>
    </w:tbl>
    <w:p w14:paraId="60BF981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本项目区域土壤环境影响评价项目类别为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类，所在区域土壤环境敏感程度为敏感，本项目占地面积</w:t>
      </w:r>
      <w:r>
        <w:rPr>
          <w:rFonts w:hint="default" w:ascii="Times New Roman" w:hAnsi="Times New Roman" w:cs="Times New Roman"/>
          <w:color w:val="auto"/>
          <w:highlight w:val="none"/>
          <w:lang w:val="en-US" w:eastAsia="zh-CN"/>
        </w:rPr>
        <w:t>33</w:t>
      </w:r>
      <w:r>
        <w:rPr>
          <w:rFonts w:hint="eastAsia" w:cs="Times New Roman"/>
          <w:color w:val="auto"/>
          <w:highlight w:val="none"/>
          <w:lang w:val="en-US" w:eastAsia="zh-CN"/>
        </w:rPr>
        <w:t>.6</w:t>
      </w:r>
      <w:r>
        <w:rPr>
          <w:rFonts w:hint="default" w:ascii="Times New Roman" w:hAnsi="Times New Roman" w:cs="Times New Roman"/>
          <w:color w:val="auto"/>
          <w:highlight w:val="none"/>
        </w:rPr>
        <w:t>h</w:t>
      </w:r>
      <w:r>
        <w:rPr>
          <w:rFonts w:hint="default" w:ascii="Times New Roman" w:hAnsi="Times New Roman" w:cs="Times New Roman"/>
          <w:color w:val="auto"/>
          <w:kern w:val="0"/>
          <w:highlight w:val="none"/>
        </w:rPr>
        <w:t>m</w:t>
      </w:r>
      <w:r>
        <w:rPr>
          <w:rFonts w:hint="default" w:ascii="Times New Roman" w:hAnsi="Times New Roman" w:cs="Times New Roman"/>
          <w:color w:val="auto"/>
          <w:kern w:val="0"/>
          <w:highlight w:val="none"/>
          <w:vertAlign w:val="superscript"/>
        </w:rPr>
        <w:t>2</w:t>
      </w:r>
      <w:r>
        <w:rPr>
          <w:rFonts w:hint="default" w:ascii="Times New Roman" w:hAnsi="Times New Roman" w:cs="Times New Roman"/>
          <w:color w:val="auto"/>
          <w:kern w:val="0"/>
          <w:highlight w:val="none"/>
        </w:rPr>
        <w:t>，占地规模为</w:t>
      </w:r>
      <w:r>
        <w:rPr>
          <w:rFonts w:hint="default" w:ascii="Times New Roman" w:hAnsi="Times New Roman" w:cs="Times New Roman"/>
          <w:color w:val="auto"/>
          <w:kern w:val="0"/>
          <w:highlight w:val="none"/>
          <w:lang w:val="en-US" w:eastAsia="zh-CN"/>
        </w:rPr>
        <w:t>中</w:t>
      </w:r>
      <w:r>
        <w:rPr>
          <w:rFonts w:hint="default" w:ascii="Times New Roman" w:hAnsi="Times New Roman" w:cs="Times New Roman"/>
          <w:color w:val="auto"/>
          <w:kern w:val="0"/>
          <w:highlight w:val="none"/>
        </w:rPr>
        <w:t>型。</w:t>
      </w:r>
      <w:r>
        <w:rPr>
          <w:rFonts w:hint="default" w:ascii="Times New Roman" w:hAnsi="Times New Roman" w:cs="Times New Roman"/>
          <w:color w:val="auto"/>
          <w:highlight w:val="none"/>
        </w:rPr>
        <w:t>因此，确定本项目土壤环境影响评价等级为一级。</w:t>
      </w:r>
    </w:p>
    <w:p w14:paraId="6BB027B5">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2.6.1.6生态环境影响评价等级</w:t>
      </w:r>
    </w:p>
    <w:p w14:paraId="41E815B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本项目生态影响评价等级判定情况见表2.6-10。</w:t>
      </w:r>
    </w:p>
    <w:p w14:paraId="72A6EA5F">
      <w:pPr>
        <w:pStyle w:val="52"/>
        <w:adjustRightInd/>
        <w:snapToGrid/>
        <w:spacing w:line="480" w:lineRule="exact"/>
        <w:ind w:firstLine="482"/>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表2.6-10    本项目生态影响评价等级判定表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4915"/>
        <w:gridCol w:w="2035"/>
      </w:tblGrid>
      <w:tr w14:paraId="69334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72" w:type="dxa"/>
            <w:tcBorders>
              <w:tl2br w:val="nil"/>
              <w:tr2bl w:val="nil"/>
            </w:tcBorders>
            <w:shd w:val="clear" w:color="auto" w:fill="auto"/>
            <w:vAlign w:val="center"/>
          </w:tcPr>
          <w:p w14:paraId="0277AB4B">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判定依据</w:t>
            </w:r>
          </w:p>
        </w:tc>
        <w:tc>
          <w:tcPr>
            <w:tcW w:w="4915" w:type="dxa"/>
            <w:tcBorders>
              <w:tl2br w:val="nil"/>
              <w:tr2bl w:val="nil"/>
            </w:tcBorders>
            <w:shd w:val="clear" w:color="auto" w:fill="auto"/>
            <w:vAlign w:val="center"/>
          </w:tcPr>
          <w:p w14:paraId="12AB83F9">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生态影响评价等级判定原则</w:t>
            </w:r>
          </w:p>
        </w:tc>
        <w:tc>
          <w:tcPr>
            <w:tcW w:w="2035" w:type="dxa"/>
            <w:tcBorders>
              <w:tl2br w:val="nil"/>
              <w:tr2bl w:val="nil"/>
            </w:tcBorders>
            <w:shd w:val="clear" w:color="auto" w:fill="auto"/>
            <w:vAlign w:val="center"/>
          </w:tcPr>
          <w:p w14:paraId="2D96EEC1">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本项目情况</w:t>
            </w:r>
          </w:p>
        </w:tc>
      </w:tr>
      <w:tr w14:paraId="562E0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restart"/>
            <w:tcBorders>
              <w:tl2br w:val="nil"/>
              <w:tr2bl w:val="nil"/>
            </w:tcBorders>
            <w:shd w:val="clear" w:color="auto" w:fill="auto"/>
            <w:vAlign w:val="center"/>
          </w:tcPr>
          <w:p w14:paraId="33BC0B29">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4"/>
                <w:highlight w:val="none"/>
              </w:rPr>
              <w:t>《环境影响评价技术导则 生态</w:t>
            </w:r>
            <w:r>
              <w:rPr>
                <w:rFonts w:hint="default" w:cs="Times New Roman"/>
                <w:color w:val="auto"/>
                <w:sz w:val="21"/>
                <w:szCs w:val="24"/>
                <w:highlight w:val="none"/>
                <w:lang w:val="en-US" w:eastAsia="zh-CN"/>
              </w:rPr>
              <w:t>影响</w:t>
            </w:r>
            <w:r>
              <w:rPr>
                <w:rFonts w:hint="default" w:ascii="Times New Roman" w:hAnsi="Times New Roman" w:cs="Times New Roman"/>
                <w:color w:val="auto"/>
                <w:sz w:val="21"/>
                <w:szCs w:val="24"/>
                <w:highlight w:val="none"/>
              </w:rPr>
              <w:t>》（HJ19-2022）</w:t>
            </w:r>
          </w:p>
        </w:tc>
        <w:tc>
          <w:tcPr>
            <w:tcW w:w="4915" w:type="dxa"/>
            <w:tcBorders>
              <w:tl2br w:val="nil"/>
              <w:tr2bl w:val="nil"/>
            </w:tcBorders>
            <w:shd w:val="clear" w:color="auto" w:fill="auto"/>
            <w:vAlign w:val="center"/>
          </w:tcPr>
          <w:p w14:paraId="7F96DF5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a、涉及国家公园、自然保护区、世界自然遗产、重要生境时，评价等级为一级</w:t>
            </w:r>
          </w:p>
        </w:tc>
        <w:tc>
          <w:tcPr>
            <w:tcW w:w="2035" w:type="dxa"/>
            <w:tcBorders>
              <w:tl2br w:val="nil"/>
              <w:tr2bl w:val="nil"/>
            </w:tcBorders>
            <w:shd w:val="clear" w:color="auto" w:fill="auto"/>
            <w:vAlign w:val="center"/>
          </w:tcPr>
          <w:p w14:paraId="53F91109">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0B6B8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6DA566F6">
            <w:pPr>
              <w:pStyle w:val="45"/>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24619CF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b、涉及自然公园时，评价等级为二级</w:t>
            </w:r>
          </w:p>
        </w:tc>
        <w:tc>
          <w:tcPr>
            <w:tcW w:w="2035" w:type="dxa"/>
            <w:tcBorders>
              <w:tl2br w:val="nil"/>
              <w:tr2bl w:val="nil"/>
            </w:tcBorders>
            <w:shd w:val="clear" w:color="auto" w:fill="auto"/>
            <w:vAlign w:val="center"/>
          </w:tcPr>
          <w:p w14:paraId="61BA611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40F4F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1A43A025">
            <w:pPr>
              <w:pStyle w:val="45"/>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7C99DDC9">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c、涉及生态保护红线时，评价等级不低于二级</w:t>
            </w:r>
          </w:p>
        </w:tc>
        <w:tc>
          <w:tcPr>
            <w:tcW w:w="2035" w:type="dxa"/>
            <w:tcBorders>
              <w:tl2br w:val="nil"/>
              <w:tr2bl w:val="nil"/>
            </w:tcBorders>
            <w:shd w:val="clear" w:color="auto" w:fill="auto"/>
            <w:vAlign w:val="center"/>
          </w:tcPr>
          <w:p w14:paraId="3FC39D39">
            <w:pPr>
              <w:pStyle w:val="45"/>
              <w:spacing w:before="0" w:beforeAutospacing="0" w:line="360" w:lineRule="exact"/>
              <w:ind w:firstLine="0" w:firstLineChars="0"/>
              <w:jc w:val="center"/>
              <w:rPr>
                <w:rFonts w:hint="default" w:ascii="Times New Roman" w:hAnsi="Times New Roman" w:cs="Times New Roman"/>
                <w:b/>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18BE6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0EBA7680">
            <w:pPr>
              <w:pStyle w:val="45"/>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533139A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d、根据HJ2.3判断属于水文要素影响型且地表水评价等级不低于二级的建设项目，生态影响评价等级不低于二级</w:t>
            </w:r>
          </w:p>
        </w:tc>
        <w:tc>
          <w:tcPr>
            <w:tcW w:w="2035" w:type="dxa"/>
            <w:tcBorders>
              <w:tl2br w:val="nil"/>
              <w:tr2bl w:val="nil"/>
            </w:tcBorders>
            <w:shd w:val="clear" w:color="auto" w:fill="auto"/>
            <w:vAlign w:val="center"/>
          </w:tcPr>
          <w:p w14:paraId="3FBEF3FF">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本项目不属于水文要素影响型项目，地表水评价等级为三级B</w:t>
            </w:r>
          </w:p>
        </w:tc>
      </w:tr>
      <w:tr w14:paraId="30A58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0CFE52B7">
            <w:pPr>
              <w:pStyle w:val="45"/>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56EDE91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e、根据HJ610、HJ964判断地下水水位或土壤影响范围内分布有天然林、公益林、湿地等生态保护目标的建设项目，生态影响评价等级不低于二级</w:t>
            </w:r>
          </w:p>
        </w:tc>
        <w:tc>
          <w:tcPr>
            <w:tcW w:w="2035" w:type="dxa"/>
            <w:tcBorders>
              <w:tl2br w:val="nil"/>
              <w:tr2bl w:val="nil"/>
            </w:tcBorders>
            <w:shd w:val="clear" w:color="auto" w:fill="auto"/>
            <w:vAlign w:val="center"/>
          </w:tcPr>
          <w:p w14:paraId="78B3EA4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0C01D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48195A62">
            <w:pPr>
              <w:pStyle w:val="45"/>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5B8C7F6C">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f、当工程占地规模大于20km</w:t>
            </w:r>
            <w:r>
              <w:rPr>
                <w:rFonts w:hint="default" w:ascii="Times New Roman" w:hAnsi="Times New Roman" w:cs="Times New Roman"/>
                <w:color w:val="auto"/>
                <w:spacing w:val="-1"/>
                <w:sz w:val="21"/>
                <w:szCs w:val="21"/>
                <w:highlight w:val="none"/>
                <w:vertAlign w:val="superscript"/>
              </w:rPr>
              <w:t>2</w:t>
            </w:r>
            <w:r>
              <w:rPr>
                <w:rFonts w:hint="default" w:ascii="Times New Roman" w:hAnsi="Times New Roman" w:cs="Times New Roman"/>
                <w:color w:val="auto"/>
                <w:spacing w:val="-1"/>
                <w:sz w:val="21"/>
                <w:szCs w:val="21"/>
                <w:highlight w:val="none"/>
              </w:rPr>
              <w:t>时（包括永久和临时占用陆域和水域），评价等级不低于二级；改扩建项目的占地范围以新增占地（包括陆域和水域）确定</w:t>
            </w:r>
          </w:p>
        </w:tc>
        <w:tc>
          <w:tcPr>
            <w:tcW w:w="2035" w:type="dxa"/>
            <w:tcBorders>
              <w:tl2br w:val="nil"/>
              <w:tr2bl w:val="nil"/>
            </w:tcBorders>
            <w:shd w:val="clear" w:color="auto" w:fill="auto"/>
            <w:vAlign w:val="center"/>
          </w:tcPr>
          <w:p w14:paraId="49151D1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本项目占地面积</w:t>
            </w:r>
            <w:r>
              <w:rPr>
                <w:rFonts w:hint="default" w:cs="Times New Roman"/>
                <w:color w:val="auto"/>
                <w:spacing w:val="-1"/>
                <w:sz w:val="21"/>
                <w:szCs w:val="21"/>
                <w:highlight w:val="none"/>
                <w:lang w:val="en-US" w:eastAsia="zh-CN"/>
              </w:rPr>
              <w:t>3</w:t>
            </w:r>
            <w:r>
              <w:rPr>
                <w:rFonts w:hint="eastAsia" w:cs="Times New Roman"/>
                <w:color w:val="auto"/>
                <w:spacing w:val="-1"/>
                <w:sz w:val="21"/>
                <w:szCs w:val="21"/>
                <w:highlight w:val="none"/>
                <w:lang w:val="en-US" w:eastAsia="zh-CN"/>
              </w:rPr>
              <w:t>3.6</w:t>
            </w:r>
            <w:r>
              <w:rPr>
                <w:rFonts w:hint="default" w:ascii="Times New Roman" w:hAnsi="Times New Roman" w:cs="Times New Roman"/>
                <w:color w:val="auto"/>
                <w:spacing w:val="-1"/>
                <w:sz w:val="21"/>
                <w:szCs w:val="21"/>
                <w:highlight w:val="none"/>
              </w:rPr>
              <w:t>hm</w:t>
            </w:r>
            <w:r>
              <w:rPr>
                <w:rFonts w:hint="default" w:ascii="Times New Roman" w:hAnsi="Times New Roman" w:cs="Times New Roman"/>
                <w:color w:val="auto"/>
                <w:spacing w:val="-1"/>
                <w:sz w:val="21"/>
                <w:szCs w:val="21"/>
                <w:highlight w:val="none"/>
                <w:vertAlign w:val="superscript"/>
              </w:rPr>
              <w:t>2</w:t>
            </w:r>
            <w:r>
              <w:rPr>
                <w:rFonts w:hint="default" w:ascii="Times New Roman" w:hAnsi="Times New Roman" w:cs="Times New Roman"/>
                <w:color w:val="auto"/>
                <w:spacing w:val="-1"/>
                <w:sz w:val="21"/>
                <w:szCs w:val="21"/>
                <w:highlight w:val="none"/>
              </w:rPr>
              <w:t>，小于20km</w:t>
            </w:r>
            <w:r>
              <w:rPr>
                <w:rFonts w:hint="default" w:ascii="Times New Roman" w:hAnsi="Times New Roman" w:cs="Times New Roman"/>
                <w:color w:val="auto"/>
                <w:spacing w:val="-1"/>
                <w:sz w:val="21"/>
                <w:szCs w:val="21"/>
                <w:highlight w:val="none"/>
                <w:vertAlign w:val="superscript"/>
              </w:rPr>
              <w:t>2</w:t>
            </w:r>
          </w:p>
        </w:tc>
      </w:tr>
      <w:tr w14:paraId="2C862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24D50781">
            <w:pPr>
              <w:pStyle w:val="45"/>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7F441DA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g、除本条a、b、c、d、e、f以外的情况，评价等级为三级</w:t>
            </w:r>
          </w:p>
        </w:tc>
        <w:tc>
          <w:tcPr>
            <w:tcW w:w="2035" w:type="dxa"/>
            <w:tcBorders>
              <w:tl2br w:val="nil"/>
              <w:tr2bl w:val="nil"/>
            </w:tcBorders>
            <w:shd w:val="clear" w:color="auto" w:fill="auto"/>
            <w:vAlign w:val="center"/>
          </w:tcPr>
          <w:p w14:paraId="7D6CAF5C">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属于</w:t>
            </w:r>
          </w:p>
        </w:tc>
      </w:tr>
      <w:tr w14:paraId="1A5CF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4E2CC845">
            <w:pPr>
              <w:pStyle w:val="45"/>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3EF9A8CE">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h、当评价等级判定同时符合上述多种情况时，应采用其中最高的评价等级</w:t>
            </w:r>
          </w:p>
        </w:tc>
        <w:tc>
          <w:tcPr>
            <w:tcW w:w="2035" w:type="dxa"/>
            <w:tcBorders>
              <w:tl2br w:val="nil"/>
              <w:tr2bl w:val="nil"/>
            </w:tcBorders>
            <w:shd w:val="clear" w:color="auto" w:fill="auto"/>
            <w:vAlign w:val="center"/>
          </w:tcPr>
          <w:p w14:paraId="3A014740">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w:t>
            </w:r>
          </w:p>
        </w:tc>
      </w:tr>
    </w:tbl>
    <w:p w14:paraId="4539C7E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不涉及国家公园、自然保护区、世界自然遗产、重要生境、自然公园、</w:t>
      </w:r>
      <w:r>
        <w:rPr>
          <w:rFonts w:hint="default" w:ascii="Times New Roman" w:hAnsi="Times New Roman" w:cs="Times New Roman"/>
          <w:color w:val="auto"/>
          <w:highlight w:val="none"/>
        </w:rPr>
        <w:t>生态保护红线，</w:t>
      </w:r>
      <w:r>
        <w:rPr>
          <w:rFonts w:hint="default" w:ascii="Times New Roman" w:hAnsi="Times New Roman" w:cs="Times New Roman"/>
          <w:color w:val="auto"/>
          <w:sz w:val="24"/>
          <w:szCs w:val="24"/>
          <w:highlight w:val="none"/>
        </w:rPr>
        <w:t>根据《环境影响评价技术导则</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生态影响》（HJ19</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2022），“在矿山开采可能导致矿区土地利用类型明显改变，或拦河闸坝建设可能明显改变水文情势等情况下，评价工作等级应上调一级”的评价等级判定要求，确定</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生态影响评价等级为</w:t>
      </w:r>
      <w:r>
        <w:rPr>
          <w:rFonts w:hint="default" w:ascii="Times New Roman" w:hAnsi="Times New Roman" w:cs="Times New Roman"/>
          <w:color w:val="auto"/>
          <w:sz w:val="24"/>
          <w:szCs w:val="24"/>
          <w:highlight w:val="none"/>
          <w:lang w:val="en-US" w:eastAsia="zh-CN"/>
        </w:rPr>
        <w:t>二</w:t>
      </w:r>
      <w:r>
        <w:rPr>
          <w:rFonts w:hint="default" w:ascii="Times New Roman" w:hAnsi="Times New Roman" w:cs="Times New Roman"/>
          <w:color w:val="auto"/>
          <w:sz w:val="24"/>
          <w:szCs w:val="24"/>
          <w:highlight w:val="none"/>
        </w:rPr>
        <w:t>级。</w:t>
      </w:r>
    </w:p>
    <w:p w14:paraId="18D24365">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2.6.1.7环境风险评价等级</w:t>
      </w:r>
    </w:p>
    <w:p w14:paraId="3FA2BA69">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选矿厂</w:t>
      </w:r>
    </w:p>
    <w:p w14:paraId="788AA47C">
      <w:pPr>
        <w:ind w:firstLine="480"/>
        <w:rPr>
          <w:rFonts w:hint="default" w:ascii="Times New Roman" w:hAnsi="Times New Roman" w:cs="Times New Roman"/>
          <w:color w:val="auto"/>
          <w:highlight w:val="none"/>
        </w:rPr>
      </w:pPr>
      <w:r>
        <w:rPr>
          <w:rFonts w:hint="default" w:cs="Times New Roman"/>
          <w:color w:val="auto"/>
          <w:highlight w:val="none"/>
          <w:lang w:eastAsia="zh-CN"/>
        </w:rPr>
        <w:t>（</w:t>
      </w:r>
      <w:r>
        <w:rPr>
          <w:rFonts w:hint="default" w:cs="Times New Roman"/>
          <w:color w:val="auto"/>
          <w:highlight w:val="none"/>
          <w:lang w:val="en-US" w:eastAsia="zh-CN"/>
        </w:rPr>
        <w:t>1</w:t>
      </w:r>
      <w:r>
        <w:rPr>
          <w:rFonts w:hint="default" w:cs="Times New Roman"/>
          <w:color w:val="auto"/>
          <w:highlight w:val="none"/>
          <w:lang w:eastAsia="zh-CN"/>
        </w:rPr>
        <w:t>）</w:t>
      </w:r>
      <w:r>
        <w:rPr>
          <w:rFonts w:hint="default" w:ascii="Times New Roman" w:hAnsi="Times New Roman" w:cs="Times New Roman"/>
          <w:color w:val="auto"/>
          <w:highlight w:val="none"/>
        </w:rPr>
        <w:t>P的分级确定</w:t>
      </w:r>
    </w:p>
    <w:p w14:paraId="11D63A86">
      <w:pPr>
        <w:ind w:firstLine="480"/>
        <w:rPr>
          <w:rFonts w:hint="default" w:ascii="Times New Roman" w:hAnsi="Times New Roman" w:cs="Times New Roman"/>
          <w:color w:val="auto"/>
          <w:highlight w:val="none"/>
        </w:rPr>
      </w:pPr>
      <w:r>
        <w:rPr>
          <w:rFonts w:hint="default" w:cs="Times New Roman"/>
          <w:color w:val="auto"/>
          <w:highlight w:val="none"/>
          <w:lang w:val="en-US" w:eastAsia="zh-CN"/>
        </w:rPr>
        <w:t>①</w:t>
      </w:r>
      <w:r>
        <w:rPr>
          <w:rFonts w:hint="default" w:ascii="Times New Roman" w:hAnsi="Times New Roman" w:cs="Times New Roman"/>
          <w:color w:val="auto"/>
          <w:highlight w:val="none"/>
        </w:rPr>
        <w:t>危险物质数量与临界量的比值（Q）</w:t>
      </w:r>
      <w:r>
        <w:rPr>
          <w:rFonts w:hint="default" w:cs="Times New Roman"/>
          <w:color w:val="auto"/>
          <w:highlight w:val="none"/>
          <w:lang w:val="en-US" w:eastAsia="zh-CN"/>
        </w:rPr>
        <w:t>的确定</w:t>
      </w:r>
    </w:p>
    <w:p w14:paraId="570EA566">
      <w:pPr>
        <w:ind w:firstLine="480"/>
        <w:rPr>
          <w:rFonts w:hint="default" w:cs="Times New Roman"/>
          <w:color w:val="auto"/>
          <w:highlight w:val="none"/>
          <w:lang w:val="en-US" w:eastAsia="zh-CN"/>
        </w:rPr>
      </w:pPr>
      <w:r>
        <w:rPr>
          <w:rFonts w:hint="default" w:ascii="Times New Roman" w:hAnsi="Times New Roman" w:cs="Times New Roman"/>
          <w:color w:val="auto"/>
          <w:highlight w:val="none"/>
        </w:rPr>
        <w:t>本项目</w:t>
      </w:r>
      <w:r>
        <w:rPr>
          <w:rFonts w:hint="default" w:cs="Times New Roman"/>
          <w:color w:val="auto"/>
          <w:highlight w:val="none"/>
          <w:lang w:val="en-US" w:eastAsia="zh-CN"/>
        </w:rPr>
        <w:t>属于金矿选矿</w:t>
      </w:r>
      <w:r>
        <w:rPr>
          <w:rFonts w:hint="default" w:ascii="Times New Roman" w:hAnsi="Times New Roman" w:cs="Times New Roman"/>
          <w:color w:val="auto"/>
          <w:highlight w:val="none"/>
        </w:rPr>
        <w:t>建设项目，</w:t>
      </w:r>
      <w:r>
        <w:rPr>
          <w:rFonts w:hint="default" w:cs="Times New Roman"/>
          <w:color w:val="auto"/>
          <w:highlight w:val="none"/>
          <w:lang w:val="en-US" w:eastAsia="zh-CN"/>
        </w:rPr>
        <w:t>本项目</w:t>
      </w:r>
      <w:r>
        <w:rPr>
          <w:rFonts w:hint="default" w:ascii="Times New Roman" w:hAnsi="Times New Roman" w:cs="Times New Roman"/>
          <w:color w:val="auto"/>
          <w:highlight w:val="none"/>
        </w:rPr>
        <w:t>选矿厂</w:t>
      </w:r>
      <w:r>
        <w:rPr>
          <w:rFonts w:hint="default" w:cs="Times New Roman"/>
          <w:color w:val="auto"/>
          <w:highlight w:val="none"/>
          <w:lang w:val="en-US" w:eastAsia="zh-CN"/>
        </w:rPr>
        <w:t>不设置柴油储罐，</w:t>
      </w:r>
      <w:r>
        <w:rPr>
          <w:rFonts w:hint="default" w:ascii="Times New Roman" w:hAnsi="Times New Roman" w:cs="Times New Roman"/>
          <w:color w:val="auto"/>
          <w:highlight w:val="none"/>
        </w:rPr>
        <w:t>主要涉及可燃、易燃和爆炸危险性物质为2#油、废矿物油</w:t>
      </w:r>
      <w:r>
        <w:rPr>
          <w:rFonts w:hint="default" w:ascii="Times New Roman" w:hAnsi="Times New Roman" w:cs="Times New Roman"/>
          <w:color w:val="auto"/>
          <w:highlight w:val="none"/>
          <w:lang w:eastAsia="zh-CN"/>
        </w:rPr>
        <w:t>、</w:t>
      </w:r>
      <w:r>
        <w:rPr>
          <w:rFonts w:hint="default" w:cs="Times New Roman"/>
          <w:color w:val="auto"/>
          <w:highlight w:val="none"/>
          <w:lang w:val="en-US" w:eastAsia="zh-CN"/>
        </w:rPr>
        <w:t>废油桶、</w:t>
      </w:r>
      <w:r>
        <w:rPr>
          <w:rFonts w:hint="default" w:ascii="Times New Roman" w:hAnsi="Times New Roman" w:cs="Times New Roman"/>
          <w:color w:val="auto"/>
          <w:highlight w:val="none"/>
          <w:lang w:val="en-US" w:eastAsia="zh-CN"/>
        </w:rPr>
        <w:t>丁基黄药、丁胺黄药</w:t>
      </w:r>
      <w:r>
        <w:rPr>
          <w:rFonts w:hint="default" w:ascii="Times New Roman" w:hAnsi="Times New Roman" w:cs="Times New Roman"/>
          <w:color w:val="auto"/>
          <w:highlight w:val="none"/>
        </w:rPr>
        <w:t>，2#油最大储存量</w:t>
      </w:r>
      <w:r>
        <w:rPr>
          <w:rFonts w:hint="default" w:ascii="Times New Roman" w:hAnsi="Times New Roman" w:cs="Times New Roman"/>
          <w:color w:val="auto"/>
          <w:highlight w:val="none"/>
          <w:lang w:eastAsia="zh-CN"/>
        </w:rPr>
        <w:t>以</w:t>
      </w:r>
      <w:r>
        <w:rPr>
          <w:rFonts w:hint="default" w:ascii="Times New Roman" w:hAnsi="Times New Roman" w:cs="Times New Roman"/>
          <w:color w:val="auto"/>
          <w:highlight w:val="none"/>
          <w:lang w:val="en-US" w:eastAsia="zh-CN"/>
        </w:rPr>
        <w:t>2.25</w:t>
      </w:r>
      <w:r>
        <w:rPr>
          <w:rFonts w:hint="default" w:ascii="Times New Roman" w:hAnsi="Times New Roman" w:cs="Times New Roman"/>
          <w:color w:val="auto"/>
          <w:highlight w:val="none"/>
        </w:rPr>
        <w:t>t</w:t>
      </w:r>
      <w:r>
        <w:rPr>
          <w:rFonts w:hint="default" w:ascii="Times New Roman" w:hAnsi="Times New Roman" w:cs="Times New Roman"/>
          <w:color w:val="auto"/>
          <w:highlight w:val="none"/>
          <w:lang w:eastAsia="zh-CN"/>
        </w:rPr>
        <w:t>计</w:t>
      </w:r>
      <w:r>
        <w:rPr>
          <w:rFonts w:hint="default" w:ascii="Times New Roman" w:hAnsi="Times New Roman" w:cs="Times New Roman"/>
          <w:color w:val="auto"/>
          <w:highlight w:val="none"/>
        </w:rPr>
        <w:t>，废矿物油</w:t>
      </w:r>
      <w:r>
        <w:rPr>
          <w:rFonts w:hint="default" w:ascii="Times New Roman" w:hAnsi="Times New Roman" w:cs="Times New Roman"/>
          <w:color w:val="auto"/>
          <w:highlight w:val="none"/>
          <w:lang w:val="en-US" w:eastAsia="zh-CN"/>
        </w:rPr>
        <w:t>及</w:t>
      </w:r>
      <w:r>
        <w:rPr>
          <w:rFonts w:hint="default" w:cs="Times New Roman"/>
          <w:color w:val="auto"/>
          <w:highlight w:val="none"/>
          <w:lang w:val="en-US" w:eastAsia="zh-CN"/>
        </w:rPr>
        <w:t>废油桶</w:t>
      </w:r>
      <w:r>
        <w:rPr>
          <w:rFonts w:hint="default" w:ascii="Times New Roman" w:hAnsi="Times New Roman" w:cs="Times New Roman"/>
          <w:color w:val="auto"/>
          <w:highlight w:val="none"/>
        </w:rPr>
        <w:t>最大储存量</w:t>
      </w:r>
      <w:r>
        <w:rPr>
          <w:rFonts w:hint="default" w:ascii="Times New Roman" w:hAnsi="Times New Roman" w:cs="Times New Roman"/>
          <w:color w:val="auto"/>
          <w:highlight w:val="none"/>
          <w:lang w:eastAsia="zh-CN"/>
        </w:rPr>
        <w:t>以</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t</w:t>
      </w:r>
      <w:r>
        <w:rPr>
          <w:rFonts w:hint="default" w:ascii="Times New Roman" w:hAnsi="Times New Roman" w:cs="Times New Roman"/>
          <w:color w:val="auto"/>
          <w:highlight w:val="none"/>
          <w:lang w:eastAsia="zh-CN"/>
        </w:rPr>
        <w:t>计，</w:t>
      </w:r>
      <w:r>
        <w:rPr>
          <w:rFonts w:hint="default" w:ascii="Times New Roman" w:hAnsi="Times New Roman" w:cs="Times New Roman"/>
          <w:color w:val="auto"/>
          <w:highlight w:val="none"/>
        </w:rPr>
        <w:t>危险物质以油类物质计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毒性物质为丁基黄药、丁胺黄药最大储存量以11.815t计</w:t>
      </w:r>
      <w:r>
        <w:rPr>
          <w:rFonts w:hint="default" w:cs="Times New Roman"/>
          <w:color w:val="auto"/>
          <w:highlight w:val="none"/>
          <w:lang w:val="en-US" w:eastAsia="zh-CN"/>
        </w:rPr>
        <w:t>，危险物质以健康危险急性毒性物质（</w:t>
      </w:r>
      <w:r>
        <w:rPr>
          <w:rFonts w:hint="default" w:ascii="Times New Roman" w:hAnsi="Times New Roman" w:cs="Times New Roman"/>
          <w:color w:val="auto"/>
          <w:highlight w:val="none"/>
          <w:lang w:val="en-US" w:eastAsia="zh-CN"/>
        </w:rPr>
        <w:t>类别2、类别3</w:t>
      </w:r>
      <w:r>
        <w:rPr>
          <w:rFonts w:hint="default" w:cs="Times New Roman"/>
          <w:color w:val="auto"/>
          <w:highlight w:val="none"/>
          <w:lang w:val="en-US" w:eastAsia="zh-CN"/>
        </w:rPr>
        <w:t>）计。</w:t>
      </w:r>
    </w:p>
    <w:p w14:paraId="10EA299B">
      <w:pPr>
        <w:spacing w:line="480" w:lineRule="exact"/>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根据《建设项目环境风险评价技术导则》（HJ 169-2018），计算危险物质数量与临界量比值（Q），当只涉及一种危险物质时，计算该物质的总量与其临界量比值，即为Q；当存在多种危险物质时，则按下式计算物质总量与其临界量比值（Q）。</w:t>
      </w:r>
    </w:p>
    <w:p w14:paraId="65CAFB8E">
      <w:pPr>
        <w:spacing w:line="480" w:lineRule="exact"/>
        <w:ind w:firstLine="48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Q=q</w:t>
      </w:r>
      <w:r>
        <w:rPr>
          <w:rFonts w:hint="default" w:ascii="Times New Roman" w:hAnsi="Times New Roman" w:eastAsia="宋体" w:cs="Times New Roman"/>
          <w:color w:val="auto"/>
          <w:szCs w:val="21"/>
          <w:highlight w:val="none"/>
          <w:vertAlign w:val="subscript"/>
        </w:rPr>
        <w:t>1</w:t>
      </w:r>
      <w:r>
        <w:rPr>
          <w:rFonts w:hint="default" w:ascii="Times New Roman" w:hAnsi="Times New Roman" w:eastAsia="宋体" w:cs="Times New Roman"/>
          <w:color w:val="auto"/>
          <w:szCs w:val="21"/>
          <w:highlight w:val="none"/>
        </w:rPr>
        <w:t>/Q</w:t>
      </w:r>
      <w:r>
        <w:rPr>
          <w:rFonts w:hint="default" w:ascii="Times New Roman" w:hAnsi="Times New Roman" w:eastAsia="宋体" w:cs="Times New Roman"/>
          <w:color w:val="auto"/>
          <w:szCs w:val="21"/>
          <w:highlight w:val="none"/>
          <w:vertAlign w:val="subscript"/>
        </w:rPr>
        <w:t>1</w:t>
      </w:r>
      <w:r>
        <w:rPr>
          <w:rFonts w:hint="default" w:ascii="Times New Roman" w:hAnsi="Times New Roman" w:eastAsia="宋体" w:cs="Times New Roman"/>
          <w:color w:val="auto"/>
          <w:szCs w:val="21"/>
          <w:highlight w:val="none"/>
        </w:rPr>
        <w:t>+q</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/Q</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 xml:space="preserve"> +q</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/Q</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…qn/Qn</w:t>
      </w:r>
    </w:p>
    <w:p w14:paraId="207D5C1D">
      <w:pPr>
        <w:spacing w:line="480" w:lineRule="exact"/>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式中：q</w:t>
      </w:r>
      <w:r>
        <w:rPr>
          <w:rFonts w:hint="default" w:ascii="Times New Roman" w:hAnsi="Times New Roman" w:eastAsia="宋体" w:cs="Times New Roman"/>
          <w:color w:val="auto"/>
          <w:szCs w:val="21"/>
          <w:highlight w:val="none"/>
          <w:vertAlign w:val="subscript"/>
        </w:rPr>
        <w:t>1</w:t>
      </w:r>
      <w:r>
        <w:rPr>
          <w:rFonts w:hint="default" w:ascii="Times New Roman" w:hAnsi="Times New Roman" w:eastAsia="宋体" w:cs="Times New Roman"/>
          <w:color w:val="auto"/>
          <w:szCs w:val="21"/>
          <w:highlight w:val="none"/>
        </w:rPr>
        <w:t>，q</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，……qn</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每种危险物质的最大存在总量，单位为t；</w:t>
      </w:r>
    </w:p>
    <w:p w14:paraId="3DCA2CCB">
      <w:pPr>
        <w:spacing w:line="480" w:lineRule="exact"/>
        <w:ind w:firstLine="960" w:firstLineChars="4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Q</w:t>
      </w:r>
      <w:r>
        <w:rPr>
          <w:rFonts w:hint="default" w:ascii="Times New Roman" w:hAnsi="Times New Roman" w:eastAsia="宋体" w:cs="Times New Roman"/>
          <w:color w:val="auto"/>
          <w:szCs w:val="21"/>
          <w:highlight w:val="none"/>
          <w:vertAlign w:val="subscript"/>
        </w:rPr>
        <w:t>1</w:t>
      </w:r>
      <w:r>
        <w:rPr>
          <w:rFonts w:hint="default" w:ascii="Times New Roman" w:hAnsi="Times New Roman" w:eastAsia="宋体" w:cs="Times New Roman"/>
          <w:color w:val="auto"/>
          <w:szCs w:val="21"/>
          <w:highlight w:val="none"/>
        </w:rPr>
        <w:t>，Q</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，……Qn</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每种危险物质的临界量，单位为t；</w:t>
      </w:r>
    </w:p>
    <w:p w14:paraId="6DB85A1E">
      <w:pPr>
        <w:spacing w:line="480" w:lineRule="exact"/>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w:t>
      </w:r>
      <w:r>
        <w:rPr>
          <w:rFonts w:hint="default" w:ascii="Times New Roman" w:hAnsi="Times New Roman" w:eastAsia="宋体" w:cs="Times New Roman"/>
          <w:b/>
          <w:color w:val="auto"/>
          <w:kern w:val="0"/>
          <w:highlight w:val="none"/>
          <w:lang w:val="en-US" w:eastAsia="zh-CN"/>
        </w:rPr>
        <w:t>2.</w:t>
      </w:r>
      <w:r>
        <w:rPr>
          <w:rFonts w:hint="default" w:ascii="Times New Roman" w:hAnsi="Times New Roman" w:cs="Times New Roman"/>
          <w:b/>
          <w:color w:val="auto"/>
          <w:kern w:val="0"/>
          <w:highlight w:val="none"/>
          <w:lang w:val="en-US" w:eastAsia="zh-CN"/>
        </w:rPr>
        <w:t>6-11</w:t>
      </w:r>
      <w:r>
        <w:rPr>
          <w:rFonts w:hint="default" w:ascii="Times New Roman" w:hAnsi="Times New Roman" w:eastAsia="宋体" w:cs="Times New Roman"/>
          <w:b/>
          <w:color w:val="auto"/>
          <w:kern w:val="0"/>
          <w:highlight w:val="none"/>
        </w:rPr>
        <w:t xml:space="preserve">    本工程危险物质数量与临界量的比值</w:t>
      </w:r>
    </w:p>
    <w:tbl>
      <w:tblPr>
        <w:tblStyle w:val="33"/>
        <w:tblW w:w="504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9"/>
        <w:gridCol w:w="2313"/>
        <w:gridCol w:w="1626"/>
        <w:gridCol w:w="1870"/>
        <w:gridCol w:w="1858"/>
      </w:tblGrid>
      <w:tr w14:paraId="10D6C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1CEA118B">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74" w:type="pct"/>
            <w:tcBorders>
              <w:tl2br w:val="nil"/>
              <w:tr2bl w:val="nil"/>
            </w:tcBorders>
            <w:noWrap w:val="0"/>
            <w:vAlign w:val="center"/>
          </w:tcPr>
          <w:p w14:paraId="59C06DE2">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物质名称</w:t>
            </w:r>
          </w:p>
        </w:tc>
        <w:tc>
          <w:tcPr>
            <w:tcW w:w="966" w:type="pct"/>
            <w:tcBorders>
              <w:tl2br w:val="nil"/>
              <w:tr2bl w:val="nil"/>
            </w:tcBorders>
            <w:noWrap w:val="0"/>
            <w:vAlign w:val="center"/>
          </w:tcPr>
          <w:p w14:paraId="571CCF6B">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储存量（t）</w:t>
            </w:r>
          </w:p>
        </w:tc>
        <w:tc>
          <w:tcPr>
            <w:tcW w:w="1110" w:type="pct"/>
            <w:tcBorders>
              <w:tl2br w:val="nil"/>
              <w:tr2bl w:val="nil"/>
            </w:tcBorders>
            <w:noWrap w:val="0"/>
            <w:vAlign w:val="center"/>
          </w:tcPr>
          <w:p w14:paraId="4D86627F">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临界量（t）</w:t>
            </w:r>
          </w:p>
        </w:tc>
        <w:tc>
          <w:tcPr>
            <w:tcW w:w="1103" w:type="pct"/>
            <w:tcBorders>
              <w:tl2br w:val="nil"/>
              <w:tr2bl w:val="nil"/>
            </w:tcBorders>
            <w:noWrap w:val="0"/>
            <w:vAlign w:val="center"/>
          </w:tcPr>
          <w:p w14:paraId="09B760F2">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Q值</w:t>
            </w:r>
          </w:p>
        </w:tc>
      </w:tr>
      <w:tr w14:paraId="14F8BB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2BF4A13D">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1374" w:type="pct"/>
            <w:tcBorders>
              <w:tl2br w:val="nil"/>
              <w:tr2bl w:val="nil"/>
            </w:tcBorders>
            <w:noWrap w:val="0"/>
            <w:vAlign w:val="center"/>
          </w:tcPr>
          <w:p w14:paraId="322EF1F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2#油</w:t>
            </w:r>
          </w:p>
        </w:tc>
        <w:tc>
          <w:tcPr>
            <w:tcW w:w="966" w:type="pct"/>
            <w:tcBorders>
              <w:tl2br w:val="nil"/>
              <w:tr2bl w:val="nil"/>
            </w:tcBorders>
            <w:noWrap w:val="0"/>
            <w:vAlign w:val="center"/>
          </w:tcPr>
          <w:p w14:paraId="373A194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2.25</w:t>
            </w:r>
          </w:p>
        </w:tc>
        <w:tc>
          <w:tcPr>
            <w:tcW w:w="1110" w:type="pct"/>
            <w:tcBorders>
              <w:tl2br w:val="nil"/>
              <w:tr2bl w:val="nil"/>
            </w:tcBorders>
            <w:noWrap w:val="0"/>
            <w:vAlign w:val="center"/>
          </w:tcPr>
          <w:p w14:paraId="710C9A6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858" w:type="dxa"/>
            <w:tcBorders>
              <w:tl2br w:val="nil"/>
              <w:tr2bl w:val="nil"/>
            </w:tcBorders>
            <w:noWrap w:val="0"/>
            <w:vAlign w:val="center"/>
          </w:tcPr>
          <w:p w14:paraId="147234F4">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0.0009</w:t>
            </w:r>
          </w:p>
        </w:tc>
      </w:tr>
      <w:tr w14:paraId="3032A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40610A61">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1374" w:type="pct"/>
            <w:tcBorders>
              <w:tl2br w:val="nil"/>
              <w:tr2bl w:val="nil"/>
            </w:tcBorders>
            <w:noWrap w:val="0"/>
            <w:vAlign w:val="center"/>
          </w:tcPr>
          <w:p w14:paraId="5C0376B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废矿物油、废油桶</w:t>
            </w:r>
          </w:p>
        </w:tc>
        <w:tc>
          <w:tcPr>
            <w:tcW w:w="966" w:type="pct"/>
            <w:tcBorders>
              <w:tl2br w:val="nil"/>
              <w:tr2bl w:val="nil"/>
            </w:tcBorders>
            <w:noWrap w:val="0"/>
            <w:vAlign w:val="center"/>
          </w:tcPr>
          <w:p w14:paraId="1CB9134C">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1110" w:type="pct"/>
            <w:tcBorders>
              <w:tl2br w:val="nil"/>
              <w:tr2bl w:val="nil"/>
            </w:tcBorders>
            <w:noWrap w:val="0"/>
            <w:vAlign w:val="center"/>
          </w:tcPr>
          <w:p w14:paraId="383FA5D6">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858" w:type="dxa"/>
            <w:tcBorders>
              <w:tl2br w:val="nil"/>
              <w:tr2bl w:val="nil"/>
            </w:tcBorders>
            <w:noWrap w:val="0"/>
            <w:vAlign w:val="center"/>
          </w:tcPr>
          <w:p w14:paraId="53346D2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0.00044</w:t>
            </w:r>
          </w:p>
        </w:tc>
      </w:tr>
      <w:tr w14:paraId="5493ED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1ABFDF72">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1374" w:type="pct"/>
            <w:tcBorders>
              <w:tl2br w:val="nil"/>
              <w:tr2bl w:val="nil"/>
            </w:tcBorders>
            <w:noWrap w:val="0"/>
            <w:vAlign w:val="center"/>
          </w:tcPr>
          <w:p w14:paraId="7DF3F42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丁胺黑药、丁基黄药</w:t>
            </w:r>
          </w:p>
        </w:tc>
        <w:tc>
          <w:tcPr>
            <w:tcW w:w="966" w:type="pct"/>
            <w:tcBorders>
              <w:tl2br w:val="nil"/>
              <w:tr2bl w:val="nil"/>
            </w:tcBorders>
            <w:noWrap w:val="0"/>
            <w:vAlign w:val="center"/>
          </w:tcPr>
          <w:p w14:paraId="60C6A2AE">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11.815</w:t>
            </w:r>
          </w:p>
        </w:tc>
        <w:tc>
          <w:tcPr>
            <w:tcW w:w="1110" w:type="pct"/>
            <w:tcBorders>
              <w:tl2br w:val="nil"/>
              <w:tr2bl w:val="nil"/>
            </w:tcBorders>
            <w:noWrap w:val="0"/>
            <w:vAlign w:val="center"/>
          </w:tcPr>
          <w:p w14:paraId="22F8DE81">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858" w:type="dxa"/>
            <w:tcBorders>
              <w:tl2br w:val="nil"/>
              <w:tr2bl w:val="nil"/>
            </w:tcBorders>
            <w:noWrap w:val="0"/>
            <w:vAlign w:val="center"/>
          </w:tcPr>
          <w:p w14:paraId="1754A3AE">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0.2363</w:t>
            </w:r>
          </w:p>
        </w:tc>
      </w:tr>
      <w:tr w14:paraId="3598D8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3896" w:type="pct"/>
            <w:gridSpan w:val="4"/>
            <w:tcBorders>
              <w:tl2br w:val="nil"/>
              <w:tr2bl w:val="nil"/>
            </w:tcBorders>
            <w:noWrap w:val="0"/>
            <w:vAlign w:val="center"/>
          </w:tcPr>
          <w:p w14:paraId="7EA687F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858" w:type="dxa"/>
            <w:tcBorders>
              <w:tl2br w:val="nil"/>
              <w:tr2bl w:val="nil"/>
            </w:tcBorders>
            <w:noWrap w:val="0"/>
            <w:vAlign w:val="center"/>
          </w:tcPr>
          <w:p w14:paraId="3F199B6C">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0.23764</w:t>
            </w:r>
          </w:p>
        </w:tc>
      </w:tr>
    </w:tbl>
    <w:p w14:paraId="51D5A6AE">
      <w:pPr>
        <w:spacing w:line="480" w:lineRule="exact"/>
        <w:ind w:firstLine="480"/>
        <w:jc w:val="both"/>
        <w:rPr>
          <w:rFonts w:hint="default" w:ascii="Times New Roman" w:hAnsi="Times New Roman" w:eastAsia="宋体" w:cs="Times New Roman"/>
          <w:b/>
          <w:color w:val="auto"/>
          <w:kern w:val="0"/>
          <w:highlight w:val="none"/>
        </w:rPr>
      </w:pPr>
      <w:r>
        <w:rPr>
          <w:rFonts w:hint="default" w:ascii="Times New Roman" w:hAnsi="Times New Roman" w:eastAsia="宋体" w:cs="Times New Roman"/>
          <w:color w:val="auto"/>
          <w:highlight w:val="none"/>
        </w:rPr>
        <w:t>因此，本工程Q值为</w:t>
      </w:r>
      <w:r>
        <w:rPr>
          <w:rFonts w:hint="default" w:ascii="Times New Roman" w:hAnsi="Times New Roman" w:eastAsia="宋体" w:cs="Times New Roman"/>
          <w:color w:val="auto"/>
          <w:highlight w:val="none"/>
          <w:lang w:val="en-US" w:eastAsia="zh-CN"/>
        </w:rPr>
        <w:t>0.23764</w:t>
      </w:r>
      <w:r>
        <w:rPr>
          <w:rFonts w:hint="default" w:ascii="Times New Roman" w:hAnsi="Times New Roman" w:eastAsia="宋体" w:cs="Times New Roman"/>
          <w:color w:val="auto"/>
          <w:highlight w:val="none"/>
        </w:rPr>
        <w:t>，Q</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p w14:paraId="0BAC9A0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根据《建设项目环境风险评价技术导则》（HJ169-2018），建设项目涉及的物质及工艺系统危险性和所在地的环境敏感性确定环境风险潜势，按照表2.6-11确定评价工作等级。风险潜势为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IV</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及以上，进行一级评价；风险潜势为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III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，进行二级评价；风险潜势为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，进行三级评价；风险潜势为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，可开展简单分析。</w:t>
      </w:r>
    </w:p>
    <w:p w14:paraId="621F8E3F">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color w:val="auto"/>
          <w:kern w:val="0"/>
          <w:highlight w:val="none"/>
        </w:rPr>
        <w:t>表2.6-1</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评价工作等级划分</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671"/>
        <w:gridCol w:w="1636"/>
        <w:gridCol w:w="1680"/>
        <w:gridCol w:w="1661"/>
      </w:tblGrid>
      <w:tr w14:paraId="12F64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tcBorders>
              <w:tl2br w:val="nil"/>
              <w:tr2bl w:val="nil"/>
            </w:tcBorders>
            <w:vAlign w:val="center"/>
          </w:tcPr>
          <w:p w14:paraId="7043E393">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t>环境风险潜势</w:t>
            </w:r>
          </w:p>
        </w:tc>
        <w:tc>
          <w:tcPr>
            <w:tcW w:w="1671" w:type="dxa"/>
            <w:tcBorders>
              <w:tl2br w:val="nil"/>
              <w:tr2bl w:val="nil"/>
            </w:tcBorders>
            <w:vAlign w:val="center"/>
          </w:tcPr>
          <w:p w14:paraId="5E7EF81E">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4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IV</w:t>
            </w:r>
            <w:r>
              <w:rPr>
                <w:rFonts w:hint="default" w:ascii="Times New Roman" w:hAnsi="Times New Roman" w:cs="Times New Roman"/>
                <w:b/>
                <w:color w:val="auto"/>
                <w:kern w:val="0"/>
                <w:szCs w:val="16"/>
                <w:highlight w:val="none"/>
              </w:rPr>
              <w:fldChar w:fldCharType="end"/>
            </w:r>
            <w:r>
              <w:rPr>
                <w:rFonts w:hint="default" w:ascii="Times New Roman" w:hAnsi="Times New Roman" w:cs="Times New Roman"/>
                <w:b/>
                <w:color w:val="auto"/>
                <w:kern w:val="0"/>
                <w:szCs w:val="16"/>
                <w:highlight w:val="none"/>
              </w:rPr>
              <w:t>、</w:t>
            </w: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4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IV</w:t>
            </w:r>
            <w:r>
              <w:rPr>
                <w:rFonts w:hint="default" w:ascii="Times New Roman" w:hAnsi="Times New Roman" w:cs="Times New Roman"/>
                <w:b/>
                <w:color w:val="auto"/>
                <w:kern w:val="0"/>
                <w:szCs w:val="16"/>
                <w:highlight w:val="none"/>
              </w:rPr>
              <w:fldChar w:fldCharType="end"/>
            </w:r>
            <w:r>
              <w:rPr>
                <w:rFonts w:hint="default" w:ascii="Times New Roman" w:hAnsi="Times New Roman" w:cs="Times New Roman"/>
                <w:b/>
                <w:color w:val="auto"/>
                <w:kern w:val="0"/>
                <w:szCs w:val="16"/>
                <w:highlight w:val="none"/>
              </w:rPr>
              <w:t>+</w:t>
            </w:r>
          </w:p>
        </w:tc>
        <w:tc>
          <w:tcPr>
            <w:tcW w:w="1636" w:type="dxa"/>
            <w:tcBorders>
              <w:tl2br w:val="nil"/>
              <w:tr2bl w:val="nil"/>
            </w:tcBorders>
            <w:vAlign w:val="center"/>
          </w:tcPr>
          <w:p w14:paraId="5DA7F9AE">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3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III</w:t>
            </w:r>
            <w:r>
              <w:rPr>
                <w:rFonts w:hint="default" w:ascii="Times New Roman" w:hAnsi="Times New Roman" w:cs="Times New Roman"/>
                <w:b/>
                <w:color w:val="auto"/>
                <w:kern w:val="0"/>
                <w:szCs w:val="16"/>
                <w:highlight w:val="none"/>
              </w:rPr>
              <w:fldChar w:fldCharType="end"/>
            </w:r>
          </w:p>
        </w:tc>
        <w:tc>
          <w:tcPr>
            <w:tcW w:w="1680" w:type="dxa"/>
            <w:tcBorders>
              <w:tl2br w:val="nil"/>
              <w:tr2bl w:val="nil"/>
            </w:tcBorders>
            <w:vAlign w:val="center"/>
          </w:tcPr>
          <w:p w14:paraId="21F560C7">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2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II</w:t>
            </w:r>
            <w:r>
              <w:rPr>
                <w:rFonts w:hint="default" w:ascii="Times New Roman" w:hAnsi="Times New Roman" w:cs="Times New Roman"/>
                <w:b/>
                <w:color w:val="auto"/>
                <w:kern w:val="0"/>
                <w:szCs w:val="16"/>
                <w:highlight w:val="none"/>
              </w:rPr>
              <w:fldChar w:fldCharType="end"/>
            </w:r>
          </w:p>
        </w:tc>
        <w:tc>
          <w:tcPr>
            <w:tcW w:w="1661" w:type="dxa"/>
            <w:tcBorders>
              <w:tl2br w:val="nil"/>
              <w:tr2bl w:val="nil"/>
            </w:tcBorders>
            <w:vAlign w:val="center"/>
          </w:tcPr>
          <w:p w14:paraId="01BCB86F">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1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w:t>
            </w:r>
            <w:r>
              <w:rPr>
                <w:rFonts w:hint="default" w:ascii="Times New Roman" w:hAnsi="Times New Roman" w:cs="Times New Roman"/>
                <w:b/>
                <w:color w:val="auto"/>
                <w:kern w:val="0"/>
                <w:szCs w:val="16"/>
                <w:highlight w:val="none"/>
              </w:rPr>
              <w:fldChar w:fldCharType="end"/>
            </w:r>
          </w:p>
        </w:tc>
      </w:tr>
      <w:tr w14:paraId="1F70F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tcBorders>
              <w:tl2br w:val="nil"/>
              <w:tr2bl w:val="nil"/>
            </w:tcBorders>
            <w:vAlign w:val="center"/>
          </w:tcPr>
          <w:p w14:paraId="57232EFA">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评价工作等级</w:t>
            </w:r>
          </w:p>
        </w:tc>
        <w:tc>
          <w:tcPr>
            <w:tcW w:w="1671" w:type="dxa"/>
            <w:tcBorders>
              <w:tl2br w:val="nil"/>
              <w:tr2bl w:val="nil"/>
            </w:tcBorders>
            <w:vAlign w:val="center"/>
          </w:tcPr>
          <w:p w14:paraId="16C712A4">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一</w:t>
            </w:r>
          </w:p>
        </w:tc>
        <w:tc>
          <w:tcPr>
            <w:tcW w:w="1636" w:type="dxa"/>
            <w:tcBorders>
              <w:tl2br w:val="nil"/>
              <w:tr2bl w:val="nil"/>
            </w:tcBorders>
            <w:vAlign w:val="center"/>
          </w:tcPr>
          <w:p w14:paraId="57FEBC22">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二</w:t>
            </w:r>
          </w:p>
        </w:tc>
        <w:tc>
          <w:tcPr>
            <w:tcW w:w="1680" w:type="dxa"/>
            <w:tcBorders>
              <w:tl2br w:val="nil"/>
              <w:tr2bl w:val="nil"/>
            </w:tcBorders>
            <w:vAlign w:val="center"/>
          </w:tcPr>
          <w:p w14:paraId="54B3F132">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三</w:t>
            </w:r>
          </w:p>
        </w:tc>
        <w:tc>
          <w:tcPr>
            <w:tcW w:w="1661" w:type="dxa"/>
            <w:tcBorders>
              <w:tl2br w:val="nil"/>
              <w:tr2bl w:val="nil"/>
            </w:tcBorders>
            <w:vAlign w:val="center"/>
          </w:tcPr>
          <w:p w14:paraId="163C041C">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简单分析a</w:t>
            </w:r>
          </w:p>
        </w:tc>
      </w:tr>
      <w:tr w14:paraId="1406F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9" w:type="dxa"/>
            <w:gridSpan w:val="5"/>
            <w:tcBorders>
              <w:tl2br w:val="nil"/>
              <w:tr2bl w:val="nil"/>
            </w:tcBorders>
            <w:vAlign w:val="center"/>
          </w:tcPr>
          <w:p w14:paraId="5C2FB48F">
            <w:pPr>
              <w:pStyle w:val="32"/>
              <w:spacing w:after="0" w:line="360" w:lineRule="exact"/>
              <w:ind w:left="0" w:leftChars="0" w:firstLine="0" w:firstLineChars="0"/>
              <w:jc w:val="left"/>
              <w:rPr>
                <w:rFonts w:hint="default" w:ascii="Times New Roman" w:hAnsi="Times New Roman" w:cs="Times New Roman"/>
                <w:color w:val="auto"/>
                <w:szCs w:val="16"/>
                <w:highlight w:val="none"/>
              </w:rPr>
            </w:pPr>
            <w:r>
              <w:rPr>
                <w:rFonts w:hint="default" w:ascii="Times New Roman" w:hAnsi="Times New Roman" w:cs="Times New Roman"/>
                <w:bCs/>
                <w:color w:val="auto"/>
                <w:kern w:val="0"/>
                <w:szCs w:val="16"/>
                <w:highlight w:val="none"/>
              </w:rPr>
              <w:t>a是相对于详细评价工作内容而言，在描述危险物质、环境影响途径、环境危害后果、风险防范措施等方面给出定性的说明。</w:t>
            </w:r>
          </w:p>
        </w:tc>
      </w:tr>
    </w:tbl>
    <w:p w14:paraId="57684E2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以上Q值分析，</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选矿厂</w:t>
      </w:r>
      <w:r>
        <w:rPr>
          <w:rFonts w:hint="default" w:ascii="Times New Roman" w:hAnsi="Times New Roman" w:cs="Times New Roman"/>
          <w:color w:val="auto"/>
          <w:highlight w:val="none"/>
        </w:rPr>
        <w:t>Q＜1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因此</w:t>
      </w:r>
      <w:r>
        <w:rPr>
          <w:rFonts w:hint="default" w:ascii="Times New Roman" w:hAnsi="Times New Roman" w:cs="Times New Roman"/>
          <w:color w:val="auto"/>
          <w:highlight w:val="none"/>
        </w:rPr>
        <w:t>选矿厂仅进行简单分析。</w:t>
      </w:r>
    </w:p>
    <w:p w14:paraId="0148A70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除选矿厂外，其余涉及的环境风险主要为尾矿库风险，因此，参照《尾矿库环境风险评估技术导则（试行）》（HJ740-2015）对项目环境风险等级进行评估并提出环境风险防范措施。</w:t>
      </w:r>
    </w:p>
    <w:p w14:paraId="465235A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w:t>
      </w:r>
    </w:p>
    <w:p w14:paraId="428ABD6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《尾矿库环境风险评估技术导则（试行）》（HJ740-2015）从尾矿库的环境危害性（H）、周边环境敏感性（S）、控制机制可靠性（R）三个方面进行环境风险等级的划分。评价等级划分指标体系见图2.6-1。</w:t>
      </w:r>
    </w:p>
    <w:p w14:paraId="20CAF13E">
      <w:pPr>
        <w:ind w:firstLine="480"/>
        <w:jc w:val="center"/>
        <w:rPr>
          <w:rFonts w:hint="default" w:ascii="Times New Roman" w:hAnsi="Times New Roman" w:cs="Times New Roman"/>
          <w:b/>
          <w:color w:val="auto"/>
          <w:highlight w:val="none"/>
        </w:rPr>
      </w:pPr>
      <w:r>
        <w:rPr>
          <w:rFonts w:hint="default" w:ascii="Times New Roman" w:hAnsi="Times New Roman" w:cs="Times New Roman"/>
          <w:color w:val="auto"/>
          <w:highlight w:val="none"/>
        </w:rPr>
        <w:drawing>
          <wp:anchor distT="0" distB="0" distL="0" distR="0" simplePos="0" relativeHeight="251668480" behindDoc="0" locked="0" layoutInCell="1" allowOverlap="1">
            <wp:simplePos x="0" y="0"/>
            <wp:positionH relativeFrom="margin">
              <wp:align>center</wp:align>
            </wp:positionH>
            <wp:positionV relativeFrom="paragraph">
              <wp:posOffset>78740</wp:posOffset>
            </wp:positionV>
            <wp:extent cx="5257165" cy="1304290"/>
            <wp:effectExtent l="0" t="0" r="635" b="6350"/>
            <wp:wrapTopAndBottom/>
            <wp:docPr id="3"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8"/>
                    <pic:cNvPicPr>
                      <a:picLocks noChangeAspect="1"/>
                    </pic:cNvPicPr>
                  </pic:nvPicPr>
                  <pic:blipFill>
                    <a:blip r:embed="rId34" cstate="print"/>
                    <a:stretch>
                      <a:fillRect/>
                    </a:stretch>
                  </pic:blipFill>
                  <pic:spPr>
                    <a:xfrm>
                      <a:off x="0" y="0"/>
                      <a:ext cx="5257165" cy="1304290"/>
                    </a:xfrm>
                    <a:prstGeom prst="rect">
                      <a:avLst/>
                    </a:prstGeom>
                    <a:noFill/>
                    <a:ln w="9525">
                      <a:noFill/>
                      <a:miter/>
                    </a:ln>
                  </pic:spPr>
                </pic:pic>
              </a:graphicData>
            </a:graphic>
          </wp:anchor>
        </w:drawing>
      </w:r>
      <w:r>
        <w:rPr>
          <w:rFonts w:hint="default" w:ascii="Times New Roman" w:hAnsi="Times New Roman" w:cs="Times New Roman"/>
          <w:b/>
          <w:color w:val="auto"/>
          <w:kern w:val="0"/>
          <w:highlight w:val="none"/>
        </w:rPr>
        <w:t>图2.6-1    评价等级划分指标体系</w:t>
      </w:r>
    </w:p>
    <w:p w14:paraId="7A0928C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①环境危害性（H）</w:t>
      </w:r>
    </w:p>
    <w:p w14:paraId="40F7E5B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采用评分方法，对类型、性质和规模三方面指标进行评分与累加求和，评估尾矿库环境危害性（H），危险性等别划分指标见表2.6-1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5286AA8F">
      <w:pPr>
        <w:ind w:firstLine="482"/>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表2.6-1</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 xml:space="preserve">    尾矿库环境危害性（H）等别划分指标体系</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62"/>
        <w:gridCol w:w="893"/>
        <w:gridCol w:w="1767"/>
        <w:gridCol w:w="1099"/>
        <w:gridCol w:w="2064"/>
        <w:gridCol w:w="1099"/>
      </w:tblGrid>
      <w:tr w14:paraId="7B81C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35" w:type="dxa"/>
            <w:vAlign w:val="center"/>
          </w:tcPr>
          <w:p w14:paraId="36B5FAAD">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6585" w:type="dxa"/>
            <w:gridSpan w:val="5"/>
            <w:vAlign w:val="center"/>
          </w:tcPr>
          <w:p w14:paraId="76EB82ED">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指标项目</w:t>
            </w:r>
          </w:p>
        </w:tc>
        <w:tc>
          <w:tcPr>
            <w:tcW w:w="1099" w:type="dxa"/>
            <w:vAlign w:val="center"/>
          </w:tcPr>
          <w:p w14:paraId="43978217">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指标分值</w:t>
            </w:r>
          </w:p>
        </w:tc>
      </w:tr>
      <w:tr w14:paraId="0E271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Align w:val="center"/>
          </w:tcPr>
          <w:p w14:paraId="534B3064">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w:t>
            </w:r>
          </w:p>
        </w:tc>
        <w:tc>
          <w:tcPr>
            <w:tcW w:w="762" w:type="dxa"/>
            <w:vMerge w:val="restart"/>
            <w:vAlign w:val="center"/>
          </w:tcPr>
          <w:p w14:paraId="1D61791E">
            <w:pPr>
              <w:spacing w:line="360" w:lineRule="exact"/>
              <w:ind w:firstLine="0" w:firstLineChars="0"/>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尾矿库环境危害性</w:t>
            </w:r>
          </w:p>
        </w:tc>
        <w:tc>
          <w:tcPr>
            <w:tcW w:w="893" w:type="dxa"/>
            <w:vAlign w:val="center"/>
          </w:tcPr>
          <w:p w14:paraId="20386678">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类型</w:t>
            </w:r>
          </w:p>
        </w:tc>
        <w:tc>
          <w:tcPr>
            <w:tcW w:w="4930" w:type="dxa"/>
            <w:gridSpan w:val="3"/>
            <w:vAlign w:val="center"/>
          </w:tcPr>
          <w:p w14:paraId="5CA89BB1">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矿种类型/固体废物类型/尾矿（或尾矿水）成分类型</w:t>
            </w:r>
          </w:p>
        </w:tc>
        <w:tc>
          <w:tcPr>
            <w:tcW w:w="1099" w:type="dxa"/>
            <w:vAlign w:val="center"/>
          </w:tcPr>
          <w:p w14:paraId="0308804A">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24</w:t>
            </w:r>
          </w:p>
        </w:tc>
      </w:tr>
      <w:tr w14:paraId="3E839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Align w:val="center"/>
          </w:tcPr>
          <w:p w14:paraId="0C2B375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w:t>
            </w:r>
          </w:p>
        </w:tc>
        <w:tc>
          <w:tcPr>
            <w:tcW w:w="762" w:type="dxa"/>
            <w:vMerge w:val="continue"/>
            <w:vAlign w:val="center"/>
          </w:tcPr>
          <w:p w14:paraId="4C52512E">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893" w:type="dxa"/>
            <w:vMerge w:val="restart"/>
            <w:vAlign w:val="center"/>
          </w:tcPr>
          <w:p w14:paraId="512B2D7A">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性质</w:t>
            </w:r>
          </w:p>
        </w:tc>
        <w:tc>
          <w:tcPr>
            <w:tcW w:w="1767" w:type="dxa"/>
            <w:vMerge w:val="restart"/>
            <w:vAlign w:val="center"/>
          </w:tcPr>
          <w:p w14:paraId="4B5A7DBD">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特征污染物指标浓度情况</w:t>
            </w:r>
          </w:p>
        </w:tc>
        <w:tc>
          <w:tcPr>
            <w:tcW w:w="1099" w:type="dxa"/>
            <w:vMerge w:val="restart"/>
            <w:vAlign w:val="center"/>
          </w:tcPr>
          <w:p w14:paraId="55C8B58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浓度倍数情况</w:t>
            </w:r>
          </w:p>
        </w:tc>
        <w:tc>
          <w:tcPr>
            <w:tcW w:w="2064" w:type="dxa"/>
            <w:vAlign w:val="center"/>
          </w:tcPr>
          <w:p w14:paraId="21D45EF3">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pH值</w:t>
            </w:r>
          </w:p>
        </w:tc>
        <w:tc>
          <w:tcPr>
            <w:tcW w:w="1099" w:type="dxa"/>
            <w:vAlign w:val="center"/>
          </w:tcPr>
          <w:p w14:paraId="51786604">
            <w:pPr>
              <w:spacing w:line="360" w:lineRule="exact"/>
              <w:ind w:firstLine="0" w:firstLineChars="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0</w:t>
            </w:r>
          </w:p>
        </w:tc>
      </w:tr>
      <w:tr w14:paraId="67C90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Align w:val="center"/>
          </w:tcPr>
          <w:p w14:paraId="6C2B9A9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w:t>
            </w:r>
          </w:p>
        </w:tc>
        <w:tc>
          <w:tcPr>
            <w:tcW w:w="762" w:type="dxa"/>
            <w:vMerge w:val="continue"/>
            <w:vAlign w:val="center"/>
          </w:tcPr>
          <w:p w14:paraId="71359C74">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893" w:type="dxa"/>
            <w:vMerge w:val="continue"/>
            <w:vAlign w:val="center"/>
          </w:tcPr>
          <w:p w14:paraId="43E4BCB2">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767" w:type="dxa"/>
            <w:vMerge w:val="continue"/>
            <w:vAlign w:val="center"/>
          </w:tcPr>
          <w:p w14:paraId="641D28A3">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099" w:type="dxa"/>
            <w:vMerge w:val="continue"/>
            <w:vAlign w:val="center"/>
          </w:tcPr>
          <w:p w14:paraId="748B2F93">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2064" w:type="dxa"/>
            <w:vAlign w:val="center"/>
          </w:tcPr>
          <w:p w14:paraId="62581910">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指标最高浓度倍数</w:t>
            </w:r>
          </w:p>
        </w:tc>
        <w:tc>
          <w:tcPr>
            <w:tcW w:w="1099" w:type="dxa"/>
            <w:vAlign w:val="center"/>
          </w:tcPr>
          <w:p w14:paraId="2B841211">
            <w:pPr>
              <w:spacing w:line="360" w:lineRule="exact"/>
              <w:ind w:firstLine="0" w:firstLineChars="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0</w:t>
            </w:r>
          </w:p>
        </w:tc>
      </w:tr>
      <w:tr w14:paraId="5E04A1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Align w:val="center"/>
          </w:tcPr>
          <w:p w14:paraId="45C3B704">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w:t>
            </w:r>
          </w:p>
        </w:tc>
        <w:tc>
          <w:tcPr>
            <w:tcW w:w="762" w:type="dxa"/>
            <w:vMerge w:val="continue"/>
            <w:vAlign w:val="center"/>
          </w:tcPr>
          <w:p w14:paraId="702A5F2D">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893" w:type="dxa"/>
            <w:vMerge w:val="continue"/>
            <w:vAlign w:val="center"/>
          </w:tcPr>
          <w:p w14:paraId="553F4A82">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767" w:type="dxa"/>
            <w:vMerge w:val="continue"/>
            <w:vAlign w:val="center"/>
          </w:tcPr>
          <w:p w14:paraId="1B036749">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163" w:type="dxa"/>
            <w:gridSpan w:val="2"/>
            <w:vAlign w:val="center"/>
          </w:tcPr>
          <w:p w14:paraId="2C6C2EDC">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浓度倍数3倍及以上指标项数</w:t>
            </w:r>
          </w:p>
        </w:tc>
        <w:tc>
          <w:tcPr>
            <w:tcW w:w="1099" w:type="dxa"/>
            <w:vAlign w:val="center"/>
          </w:tcPr>
          <w:p w14:paraId="59E248B9">
            <w:pPr>
              <w:spacing w:line="360" w:lineRule="exact"/>
              <w:ind w:firstLine="0" w:firstLineChars="0"/>
              <w:jc w:val="center"/>
              <w:rPr>
                <w:rFonts w:hint="eastAsia" w:ascii="Times New Roman" w:hAnsi="Times New Roman" w:eastAsia="宋体" w:cs="Times New Roman"/>
                <w:bCs/>
                <w:color w:val="auto"/>
                <w:kern w:val="0"/>
                <w:sz w:val="21"/>
                <w:szCs w:val="21"/>
                <w:highlight w:val="none"/>
                <w:lang w:eastAsia="zh-CN"/>
              </w:rPr>
            </w:pPr>
            <w:r>
              <w:rPr>
                <w:rFonts w:hint="eastAsia" w:cs="Times New Roman"/>
                <w:bCs/>
                <w:color w:val="auto"/>
                <w:kern w:val="0"/>
                <w:sz w:val="21"/>
                <w:szCs w:val="21"/>
                <w:highlight w:val="none"/>
                <w:lang w:val="en-US" w:eastAsia="zh-CN"/>
              </w:rPr>
              <w:t>0</w:t>
            </w:r>
          </w:p>
        </w:tc>
      </w:tr>
      <w:tr w14:paraId="0FFF6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vAlign w:val="center"/>
          </w:tcPr>
          <w:p w14:paraId="013F18C0">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5</w:t>
            </w:r>
          </w:p>
        </w:tc>
        <w:tc>
          <w:tcPr>
            <w:tcW w:w="762" w:type="dxa"/>
            <w:vMerge w:val="continue"/>
            <w:vAlign w:val="center"/>
          </w:tcPr>
          <w:p w14:paraId="027DE8A2">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893" w:type="dxa"/>
            <w:vAlign w:val="center"/>
          </w:tcPr>
          <w:p w14:paraId="3C6EB932">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规模</w:t>
            </w:r>
          </w:p>
        </w:tc>
        <w:tc>
          <w:tcPr>
            <w:tcW w:w="4930" w:type="dxa"/>
            <w:gridSpan w:val="3"/>
            <w:vAlign w:val="center"/>
          </w:tcPr>
          <w:p w14:paraId="55F7C8B7">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现状库容</w:t>
            </w:r>
          </w:p>
        </w:tc>
        <w:tc>
          <w:tcPr>
            <w:tcW w:w="1099" w:type="dxa"/>
            <w:vAlign w:val="center"/>
          </w:tcPr>
          <w:p w14:paraId="1B5AE6F2">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18</w:t>
            </w:r>
          </w:p>
        </w:tc>
      </w:tr>
    </w:tbl>
    <w:p w14:paraId="79ECE1D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尾矿库等别划分见表2.6-1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14:paraId="2B8BFB4F">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表2.6-1</w:t>
      </w:r>
      <w:r>
        <w:rPr>
          <w:rFonts w:hint="default" w:ascii="Times New Roman" w:hAnsi="Times New Roman" w:cs="Times New Roman"/>
          <w:b/>
          <w:color w:val="auto"/>
          <w:kern w:val="0"/>
          <w:highlight w:val="none"/>
          <w:lang w:val="en-US" w:eastAsia="zh-CN"/>
        </w:rPr>
        <w:t>4</w:t>
      </w:r>
      <w:r>
        <w:rPr>
          <w:rFonts w:hint="default" w:ascii="Times New Roman" w:hAnsi="Times New Roman" w:cs="Times New Roman"/>
          <w:b/>
          <w:color w:val="auto"/>
          <w:kern w:val="0"/>
          <w:highlight w:val="none"/>
        </w:rPr>
        <w:t xml:space="preserve">    尾矿库环境危害性（H）等别划分表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EA6A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61" w:type="dxa"/>
            <w:vAlign w:val="center"/>
          </w:tcPr>
          <w:p w14:paraId="477DD224">
            <w:pPr>
              <w:pStyle w:val="32"/>
              <w:spacing w:after="0" w:line="360" w:lineRule="exact"/>
              <w:ind w:left="0" w:leftChars="0" w:firstLine="0" w:firstLineChars="0"/>
              <w:jc w:val="center"/>
              <w:rPr>
                <w:rFonts w:hint="default" w:ascii="Times New Roman" w:hAnsi="Times New Roman" w:cs="Times New Roman"/>
                <w:b/>
                <w:color w:val="auto"/>
                <w:szCs w:val="16"/>
                <w:highlight w:val="none"/>
              </w:rPr>
            </w:pPr>
            <w:r>
              <w:rPr>
                <w:rFonts w:hint="default" w:ascii="Times New Roman" w:hAnsi="Times New Roman" w:cs="Times New Roman"/>
                <w:b/>
                <w:color w:val="auto"/>
                <w:kern w:val="0"/>
                <w:szCs w:val="16"/>
                <w:highlight w:val="none"/>
              </w:rPr>
              <w:t>尾矿库环境危害性得分（D</w:t>
            </w:r>
            <w:r>
              <w:rPr>
                <w:rFonts w:hint="default" w:ascii="Times New Roman" w:hAnsi="Times New Roman" w:cs="Times New Roman"/>
                <w:b/>
                <w:color w:val="auto"/>
                <w:kern w:val="0"/>
                <w:szCs w:val="16"/>
                <w:highlight w:val="none"/>
                <w:vertAlign w:val="subscript"/>
              </w:rPr>
              <w:t>H</w:t>
            </w:r>
            <w:r>
              <w:rPr>
                <w:rFonts w:hint="default" w:ascii="Times New Roman" w:hAnsi="Times New Roman" w:cs="Times New Roman"/>
                <w:b/>
                <w:color w:val="auto"/>
                <w:kern w:val="0"/>
                <w:szCs w:val="16"/>
                <w:highlight w:val="none"/>
              </w:rPr>
              <w:t>）</w:t>
            </w:r>
          </w:p>
        </w:tc>
        <w:tc>
          <w:tcPr>
            <w:tcW w:w="4261" w:type="dxa"/>
            <w:vAlign w:val="center"/>
          </w:tcPr>
          <w:p w14:paraId="02F0FDA3">
            <w:pPr>
              <w:pStyle w:val="32"/>
              <w:spacing w:after="0" w:line="360" w:lineRule="exact"/>
              <w:ind w:left="0" w:leftChars="0" w:firstLine="0" w:firstLineChars="0"/>
              <w:jc w:val="center"/>
              <w:rPr>
                <w:rFonts w:hint="default" w:ascii="Times New Roman" w:hAnsi="Times New Roman" w:cs="Times New Roman"/>
                <w:b/>
                <w:color w:val="auto"/>
                <w:szCs w:val="16"/>
                <w:highlight w:val="none"/>
              </w:rPr>
            </w:pPr>
            <w:r>
              <w:rPr>
                <w:rFonts w:hint="default" w:ascii="Times New Roman" w:hAnsi="Times New Roman" w:cs="Times New Roman"/>
                <w:b/>
                <w:color w:val="auto"/>
                <w:szCs w:val="16"/>
                <w:highlight w:val="none"/>
              </w:rPr>
              <w:t>尾矿库环境危害性等别代码</w:t>
            </w:r>
          </w:p>
        </w:tc>
      </w:tr>
      <w:tr w14:paraId="77EF5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76E1E18B">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kern w:val="0"/>
                <w:szCs w:val="16"/>
                <w:highlight w:val="none"/>
              </w:rPr>
              <w:t>D</w:t>
            </w:r>
            <w:r>
              <w:rPr>
                <w:rFonts w:hint="default" w:ascii="Times New Roman" w:hAnsi="Times New Roman" w:cs="Times New Roman"/>
                <w:bCs/>
                <w:color w:val="auto"/>
                <w:kern w:val="0"/>
                <w:szCs w:val="16"/>
                <w:highlight w:val="none"/>
                <w:vertAlign w:val="subscript"/>
              </w:rPr>
              <w:t>H</w:t>
            </w:r>
            <w:r>
              <w:rPr>
                <w:rFonts w:hint="default" w:ascii="Times New Roman" w:hAnsi="Times New Roman" w:cs="Times New Roman"/>
                <w:bCs/>
                <w:color w:val="auto"/>
                <w:kern w:val="0"/>
                <w:szCs w:val="16"/>
                <w:highlight w:val="none"/>
              </w:rPr>
              <w:t>&gt;60</w:t>
            </w:r>
          </w:p>
        </w:tc>
        <w:tc>
          <w:tcPr>
            <w:tcW w:w="4261" w:type="dxa"/>
            <w:vAlign w:val="center"/>
          </w:tcPr>
          <w:p w14:paraId="7C9AA572">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szCs w:val="16"/>
                <w:highlight w:val="none"/>
              </w:rPr>
              <w:t>H1</w:t>
            </w:r>
          </w:p>
        </w:tc>
      </w:tr>
      <w:tr w14:paraId="40A22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762FBEB5">
            <w:pPr>
              <w:pStyle w:val="32"/>
              <w:spacing w:after="0" w:line="360" w:lineRule="exact"/>
              <w:ind w:left="0" w:leftChars="0" w:firstLine="0" w:firstLineChars="0"/>
              <w:jc w:val="center"/>
              <w:rPr>
                <w:rFonts w:hint="default" w:ascii="Times New Roman" w:hAnsi="Times New Roman" w:cs="Times New Roman"/>
                <w:b/>
                <w:bCs w:val="0"/>
                <w:color w:val="auto"/>
                <w:szCs w:val="16"/>
                <w:highlight w:val="none"/>
              </w:rPr>
            </w:pPr>
            <w:r>
              <w:rPr>
                <w:rFonts w:hint="default" w:ascii="Times New Roman" w:hAnsi="Times New Roman" w:cs="Times New Roman"/>
                <w:b/>
                <w:bCs w:val="0"/>
                <w:color w:val="auto"/>
                <w:kern w:val="0"/>
                <w:szCs w:val="16"/>
                <w:highlight w:val="none"/>
              </w:rPr>
              <w:t>30&lt;D</w:t>
            </w:r>
            <w:r>
              <w:rPr>
                <w:rFonts w:hint="default" w:ascii="Times New Roman" w:hAnsi="Times New Roman" w:cs="Times New Roman"/>
                <w:b/>
                <w:bCs w:val="0"/>
                <w:color w:val="auto"/>
                <w:kern w:val="0"/>
                <w:szCs w:val="16"/>
                <w:highlight w:val="none"/>
                <w:vertAlign w:val="subscript"/>
              </w:rPr>
              <w:t>H</w:t>
            </w:r>
            <w:r>
              <w:rPr>
                <w:rFonts w:hint="default" w:ascii="Times New Roman" w:hAnsi="Times New Roman" w:cs="Times New Roman"/>
                <w:b/>
                <w:bCs w:val="0"/>
                <w:color w:val="auto"/>
                <w:kern w:val="0"/>
                <w:szCs w:val="16"/>
                <w:highlight w:val="none"/>
              </w:rPr>
              <w:t>≦60</w:t>
            </w:r>
          </w:p>
        </w:tc>
        <w:tc>
          <w:tcPr>
            <w:tcW w:w="4261" w:type="dxa"/>
            <w:vAlign w:val="center"/>
          </w:tcPr>
          <w:p w14:paraId="35801A9D">
            <w:pPr>
              <w:pStyle w:val="32"/>
              <w:spacing w:after="0" w:line="360" w:lineRule="exact"/>
              <w:ind w:left="0" w:leftChars="0" w:firstLine="0" w:firstLineChars="0"/>
              <w:jc w:val="center"/>
              <w:rPr>
                <w:rFonts w:hint="default" w:ascii="Times New Roman" w:hAnsi="Times New Roman" w:cs="Times New Roman"/>
                <w:b/>
                <w:bCs w:val="0"/>
                <w:color w:val="auto"/>
                <w:szCs w:val="16"/>
                <w:highlight w:val="none"/>
              </w:rPr>
            </w:pPr>
            <w:r>
              <w:rPr>
                <w:rFonts w:hint="default" w:ascii="Times New Roman" w:hAnsi="Times New Roman" w:cs="Times New Roman"/>
                <w:b/>
                <w:bCs w:val="0"/>
                <w:color w:val="auto"/>
                <w:szCs w:val="16"/>
                <w:highlight w:val="none"/>
              </w:rPr>
              <w:t>H2</w:t>
            </w:r>
          </w:p>
        </w:tc>
      </w:tr>
      <w:tr w14:paraId="6836F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110ED310">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kern w:val="0"/>
                <w:szCs w:val="16"/>
                <w:highlight w:val="none"/>
              </w:rPr>
              <w:t>D</w:t>
            </w:r>
            <w:r>
              <w:rPr>
                <w:rFonts w:hint="default" w:ascii="Times New Roman" w:hAnsi="Times New Roman" w:cs="Times New Roman"/>
                <w:bCs/>
                <w:color w:val="auto"/>
                <w:kern w:val="0"/>
                <w:szCs w:val="16"/>
                <w:highlight w:val="none"/>
                <w:vertAlign w:val="subscript"/>
              </w:rPr>
              <w:t>H</w:t>
            </w:r>
            <w:r>
              <w:rPr>
                <w:rFonts w:hint="default" w:ascii="Times New Roman" w:hAnsi="Times New Roman" w:cs="Times New Roman"/>
                <w:bCs/>
                <w:color w:val="auto"/>
                <w:kern w:val="0"/>
                <w:szCs w:val="16"/>
                <w:highlight w:val="none"/>
              </w:rPr>
              <w:t>≦30</w:t>
            </w:r>
          </w:p>
        </w:tc>
        <w:tc>
          <w:tcPr>
            <w:tcW w:w="4261" w:type="dxa"/>
            <w:vAlign w:val="center"/>
          </w:tcPr>
          <w:p w14:paraId="3CC66D15">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szCs w:val="16"/>
                <w:highlight w:val="none"/>
              </w:rPr>
              <w:t>H3</w:t>
            </w:r>
          </w:p>
        </w:tc>
      </w:tr>
    </w:tbl>
    <w:p w14:paraId="1E9886F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根据《尾矿库环境风险评估技术导则（试行）》（HJ740-2015）附录B中各指标评分方法，</w:t>
      </w:r>
      <w:r>
        <w:rPr>
          <w:rFonts w:hint="default" w:ascii="Times New Roman" w:hAnsi="Times New Roman" w:cs="Times New Roman"/>
          <w:color w:val="auto"/>
          <w:highlight w:val="none"/>
          <w:lang w:val="zh-CN" w:bidi="ar"/>
        </w:rPr>
        <w:t>本项目尾矿库属于金矿，为贵金属矿种，采用</w:t>
      </w:r>
      <w:r>
        <w:rPr>
          <w:rFonts w:hint="default" w:ascii="Times New Roman" w:hAnsi="Times New Roman" w:cs="Times New Roman"/>
          <w:color w:val="auto"/>
          <w:highlight w:val="none"/>
          <w:lang w:bidi="ar"/>
        </w:rPr>
        <w:t>无氰化物选矿工艺，</w:t>
      </w:r>
      <w:r>
        <w:rPr>
          <w:rFonts w:hint="default" w:ascii="Times New Roman" w:hAnsi="Times New Roman" w:cs="Times New Roman"/>
          <w:color w:val="auto"/>
          <w:highlight w:val="none"/>
          <w:lang w:val="zh-CN" w:bidi="ar"/>
        </w:rPr>
        <w:t>评分取</w:t>
      </w:r>
      <w:r>
        <w:rPr>
          <w:rFonts w:hint="default" w:ascii="Times New Roman" w:hAnsi="Times New Roman" w:cs="Times New Roman"/>
          <w:color w:val="auto"/>
          <w:highlight w:val="none"/>
          <w:lang w:bidi="ar"/>
        </w:rPr>
        <w:t>24</w:t>
      </w:r>
      <w:r>
        <w:rPr>
          <w:rFonts w:hint="default" w:ascii="Times New Roman" w:hAnsi="Times New Roman" w:cs="Times New Roman"/>
          <w:color w:val="auto"/>
          <w:highlight w:val="none"/>
          <w:lang w:val="zh-CN" w:bidi="ar"/>
        </w:rPr>
        <w:t>；特征污染物指标pH介于6～9，评分取0；所有污染物浓度指标倍数均在3倍以下，评分取0；浓度倍数3倍及以上的指标项数为</w:t>
      </w:r>
      <w:r>
        <w:rPr>
          <w:rFonts w:hint="default" w:ascii="Times New Roman" w:hAnsi="Times New Roman" w:cs="Times New Roman"/>
          <w:color w:val="auto"/>
          <w:highlight w:val="none"/>
          <w:lang w:bidi="ar"/>
        </w:rPr>
        <w:t>无</w:t>
      </w:r>
      <w:r>
        <w:rPr>
          <w:rFonts w:hint="default" w:ascii="Times New Roman" w:hAnsi="Times New Roman" w:cs="Times New Roman"/>
          <w:color w:val="auto"/>
          <w:highlight w:val="none"/>
          <w:lang w:val="zh-CN" w:bidi="ar"/>
        </w:rPr>
        <w:t>，评分取0；尾矿库</w:t>
      </w:r>
      <w:r>
        <w:rPr>
          <w:rFonts w:hint="default" w:ascii="Times New Roman" w:hAnsi="Times New Roman" w:cs="Times New Roman"/>
          <w:color w:val="auto"/>
          <w:kern w:val="21"/>
          <w:szCs w:val="24"/>
          <w:highlight w:val="none"/>
          <w:lang w:bidi="ar"/>
        </w:rPr>
        <w:t>总库容</w:t>
      </w:r>
      <w:r>
        <w:rPr>
          <w:rFonts w:hint="default" w:ascii="Times New Roman" w:hAnsi="Times New Roman" w:cs="Times New Roman"/>
          <w:color w:val="auto"/>
          <w:highlight w:val="none"/>
          <w:lang w:val="en-US" w:eastAsia="zh-CN"/>
        </w:rPr>
        <w:t>大于等于1000万方，小于3000万方</w:t>
      </w:r>
      <w:r>
        <w:rPr>
          <w:rFonts w:hint="default" w:ascii="Times New Roman" w:hAnsi="Times New Roman" w:cs="Times New Roman"/>
          <w:color w:val="auto"/>
          <w:highlight w:val="none"/>
          <w:lang w:val="zh-CN" w:bidi="ar"/>
        </w:rPr>
        <w:t>，评分取</w:t>
      </w:r>
      <w:r>
        <w:rPr>
          <w:rFonts w:hint="default" w:ascii="Times New Roman" w:hAnsi="Times New Roman" w:cs="Times New Roman"/>
          <w:color w:val="auto"/>
          <w:highlight w:val="none"/>
          <w:lang w:val="en-US" w:eastAsia="zh-CN" w:bidi="ar"/>
        </w:rPr>
        <w:t>18</w:t>
      </w:r>
      <w:r>
        <w:rPr>
          <w:rFonts w:hint="default" w:ascii="Times New Roman" w:hAnsi="Times New Roman" w:cs="Times New Roman"/>
          <w:color w:val="auto"/>
          <w:highlight w:val="none"/>
          <w:lang w:val="zh-CN" w:bidi="ar"/>
        </w:rPr>
        <w:t>，由此得出总得分为</w:t>
      </w:r>
      <w:r>
        <w:rPr>
          <w:rFonts w:hint="default" w:ascii="Times New Roman" w:hAnsi="Times New Roman" w:cs="Times New Roman"/>
          <w:color w:val="auto"/>
          <w:highlight w:val="none"/>
          <w:lang w:val="en-US" w:eastAsia="zh-CN" w:bidi="ar"/>
        </w:rPr>
        <w:t>42</w:t>
      </w:r>
      <w:r>
        <w:rPr>
          <w:rFonts w:hint="default" w:ascii="Times New Roman" w:hAnsi="Times New Roman" w:cs="Times New Roman"/>
          <w:color w:val="auto"/>
          <w:highlight w:val="none"/>
          <w:lang w:val="zh-CN" w:bidi="ar"/>
        </w:rPr>
        <w:t>，尾矿库环境危险性等别为H</w:t>
      </w:r>
      <w:r>
        <w:rPr>
          <w:rFonts w:hint="default" w:ascii="Times New Roman" w:hAnsi="Times New Roman" w:cs="Times New Roman"/>
          <w:color w:val="auto"/>
          <w:highlight w:val="none"/>
          <w:lang w:val="en-US" w:eastAsia="zh-CN" w:bidi="ar"/>
        </w:rPr>
        <w:t>2</w:t>
      </w:r>
      <w:r>
        <w:rPr>
          <w:rFonts w:hint="default" w:ascii="Times New Roman" w:hAnsi="Times New Roman" w:cs="Times New Roman"/>
          <w:color w:val="auto"/>
          <w:highlight w:val="none"/>
          <w:lang w:val="zh-CN" w:bidi="ar"/>
        </w:rPr>
        <w:t>。</w:t>
      </w:r>
    </w:p>
    <w:p w14:paraId="11CCD98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②周边环境敏感性</w:t>
      </w:r>
    </w:p>
    <w:p w14:paraId="68EDF27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采用评分方法，对尾矿库下游涉及的跨界情况、周边环境风险受体情况、周边环境功能类别情况三方面指标进行评分与累加求和，评估尾矿库周边环境敏感性（S），尾矿库周边环境敏感性等别划分体系见表2.6-1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14:paraId="1005CD0C">
      <w:pPr>
        <w:pStyle w:val="32"/>
        <w:spacing w:after="0"/>
        <w:ind w:left="0" w:leftChars="0" w:firstLine="482"/>
        <w:jc w:val="center"/>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表2.6-1</w:t>
      </w:r>
      <w:r>
        <w:rPr>
          <w:rFonts w:hint="default" w:ascii="Times New Roman" w:hAnsi="Times New Roman" w:cs="Times New Roman"/>
          <w:b/>
          <w:color w:val="auto"/>
          <w:kern w:val="0"/>
          <w:sz w:val="24"/>
          <w:highlight w:val="none"/>
          <w:lang w:val="en-US" w:eastAsia="zh-CN"/>
        </w:rPr>
        <w:t>5</w:t>
      </w:r>
      <w:r>
        <w:rPr>
          <w:rFonts w:hint="default" w:ascii="Times New Roman" w:hAnsi="Times New Roman" w:cs="Times New Roman"/>
          <w:b/>
          <w:color w:val="auto"/>
          <w:kern w:val="0"/>
          <w:sz w:val="24"/>
          <w:highlight w:val="none"/>
        </w:rPr>
        <w:t xml:space="preserve">    尾矿库周边环境敏感性（S）等别划分指标体系</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47"/>
        <w:gridCol w:w="1500"/>
        <w:gridCol w:w="1215"/>
        <w:gridCol w:w="1217"/>
        <w:gridCol w:w="1224"/>
        <w:gridCol w:w="1217"/>
      </w:tblGrid>
      <w:tr w14:paraId="72AE5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0" w:type="dxa"/>
            <w:tcBorders>
              <w:tl2br w:val="nil"/>
              <w:tr2bl w:val="nil"/>
            </w:tcBorders>
            <w:vAlign w:val="center"/>
          </w:tcPr>
          <w:p w14:paraId="081E3289">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t>序号</w:t>
            </w:r>
          </w:p>
        </w:tc>
        <w:tc>
          <w:tcPr>
            <w:tcW w:w="6603" w:type="dxa"/>
            <w:gridSpan w:val="5"/>
            <w:tcBorders>
              <w:tl2br w:val="nil"/>
              <w:tr2bl w:val="nil"/>
            </w:tcBorders>
            <w:vAlign w:val="center"/>
          </w:tcPr>
          <w:p w14:paraId="42C88BDF">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t>指标项目</w:t>
            </w:r>
          </w:p>
        </w:tc>
        <w:tc>
          <w:tcPr>
            <w:tcW w:w="1217" w:type="dxa"/>
            <w:tcBorders>
              <w:tl2br w:val="nil"/>
              <w:tr2bl w:val="nil"/>
            </w:tcBorders>
            <w:vAlign w:val="center"/>
          </w:tcPr>
          <w:p w14:paraId="36E449FC">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t>指标分值</w:t>
            </w:r>
          </w:p>
        </w:tc>
      </w:tr>
      <w:tr w14:paraId="7C86D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76D2939A">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1</w:t>
            </w:r>
          </w:p>
        </w:tc>
        <w:tc>
          <w:tcPr>
            <w:tcW w:w="1447" w:type="dxa"/>
            <w:vMerge w:val="restart"/>
            <w:tcBorders>
              <w:tl2br w:val="nil"/>
              <w:tr2bl w:val="nil"/>
            </w:tcBorders>
            <w:vAlign w:val="center"/>
          </w:tcPr>
          <w:p w14:paraId="76F3551F">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尾矿库周边环境敏感性</w:t>
            </w:r>
          </w:p>
        </w:tc>
        <w:tc>
          <w:tcPr>
            <w:tcW w:w="1500" w:type="dxa"/>
            <w:vMerge w:val="restart"/>
            <w:tcBorders>
              <w:tl2br w:val="nil"/>
              <w:tr2bl w:val="nil"/>
            </w:tcBorders>
            <w:vAlign w:val="center"/>
          </w:tcPr>
          <w:p w14:paraId="44767017">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下游涉及的跨界情况</w:t>
            </w:r>
          </w:p>
        </w:tc>
        <w:tc>
          <w:tcPr>
            <w:tcW w:w="3656" w:type="dxa"/>
            <w:gridSpan w:val="3"/>
            <w:tcBorders>
              <w:tl2br w:val="nil"/>
              <w:tr2bl w:val="nil"/>
            </w:tcBorders>
            <w:vAlign w:val="center"/>
          </w:tcPr>
          <w:p w14:paraId="4351C6E6">
            <w:pPr>
              <w:pStyle w:val="32"/>
              <w:spacing w:after="0" w:line="360" w:lineRule="exact"/>
              <w:ind w:left="0" w:left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涉及跨界类型</w:t>
            </w:r>
          </w:p>
        </w:tc>
        <w:tc>
          <w:tcPr>
            <w:tcW w:w="1217" w:type="dxa"/>
            <w:tcBorders>
              <w:tl2br w:val="nil"/>
              <w:tr2bl w:val="nil"/>
            </w:tcBorders>
            <w:vAlign w:val="center"/>
          </w:tcPr>
          <w:p w14:paraId="4D530B5A">
            <w:pPr>
              <w:pStyle w:val="32"/>
              <w:spacing w:after="0" w:line="360" w:lineRule="exact"/>
              <w:ind w:left="0" w:leftChars="0" w:firstLine="0" w:firstLineChars="0"/>
              <w:jc w:val="center"/>
              <w:rPr>
                <w:rFonts w:hint="eastAsia" w:ascii="Times New Roman" w:hAnsi="Times New Roman" w:eastAsia="宋体" w:cs="Times New Roman"/>
                <w:bCs/>
                <w:color w:val="auto"/>
                <w:kern w:val="0"/>
                <w:szCs w:val="16"/>
                <w:highlight w:val="none"/>
                <w:lang w:eastAsia="zh-CN"/>
              </w:rPr>
            </w:pPr>
            <w:r>
              <w:rPr>
                <w:rFonts w:hint="eastAsia" w:cs="Times New Roman"/>
                <w:bCs/>
                <w:color w:val="auto"/>
                <w:kern w:val="0"/>
                <w:szCs w:val="16"/>
                <w:highlight w:val="none"/>
                <w:lang w:val="en-US" w:eastAsia="zh-CN"/>
              </w:rPr>
              <w:t>0</w:t>
            </w:r>
          </w:p>
        </w:tc>
      </w:tr>
      <w:tr w14:paraId="765A7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086F9E07">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2</w:t>
            </w:r>
          </w:p>
        </w:tc>
        <w:tc>
          <w:tcPr>
            <w:tcW w:w="1447" w:type="dxa"/>
            <w:vMerge w:val="continue"/>
            <w:tcBorders>
              <w:tl2br w:val="nil"/>
              <w:tr2bl w:val="nil"/>
            </w:tcBorders>
            <w:vAlign w:val="center"/>
          </w:tcPr>
          <w:p w14:paraId="01E03CCC">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500" w:type="dxa"/>
            <w:vMerge w:val="continue"/>
            <w:tcBorders>
              <w:tl2br w:val="nil"/>
              <w:tr2bl w:val="nil"/>
            </w:tcBorders>
            <w:vAlign w:val="center"/>
          </w:tcPr>
          <w:p w14:paraId="21A409C4">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3656" w:type="dxa"/>
            <w:gridSpan w:val="3"/>
            <w:tcBorders>
              <w:tl2br w:val="nil"/>
              <w:tr2bl w:val="nil"/>
            </w:tcBorders>
            <w:vAlign w:val="center"/>
          </w:tcPr>
          <w:p w14:paraId="0216CEFB">
            <w:pPr>
              <w:pStyle w:val="32"/>
              <w:spacing w:after="0" w:line="360" w:lineRule="exact"/>
              <w:ind w:left="0" w:left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涉及跨界距离</w:t>
            </w:r>
          </w:p>
        </w:tc>
        <w:tc>
          <w:tcPr>
            <w:tcW w:w="1217" w:type="dxa"/>
            <w:tcBorders>
              <w:tl2br w:val="nil"/>
              <w:tr2bl w:val="nil"/>
            </w:tcBorders>
            <w:vAlign w:val="center"/>
          </w:tcPr>
          <w:p w14:paraId="63C34FEE">
            <w:pPr>
              <w:pStyle w:val="32"/>
              <w:spacing w:after="0" w:line="360" w:lineRule="exact"/>
              <w:ind w:left="0" w:leftChars="0" w:firstLine="0" w:firstLineChars="0"/>
              <w:jc w:val="center"/>
              <w:rPr>
                <w:rFonts w:hint="eastAsia" w:ascii="Times New Roman" w:hAnsi="Times New Roman" w:eastAsia="宋体" w:cs="Times New Roman"/>
                <w:bCs/>
                <w:color w:val="auto"/>
                <w:kern w:val="0"/>
                <w:szCs w:val="16"/>
                <w:highlight w:val="none"/>
                <w:lang w:eastAsia="zh-CN"/>
              </w:rPr>
            </w:pPr>
            <w:r>
              <w:rPr>
                <w:rFonts w:hint="eastAsia" w:cs="Times New Roman"/>
                <w:bCs/>
                <w:color w:val="auto"/>
                <w:kern w:val="0"/>
                <w:szCs w:val="16"/>
                <w:highlight w:val="none"/>
                <w:lang w:val="en-US" w:eastAsia="zh-CN"/>
              </w:rPr>
              <w:t>0</w:t>
            </w:r>
          </w:p>
        </w:tc>
      </w:tr>
      <w:tr w14:paraId="352F9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3DA47B7E">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3</w:t>
            </w:r>
          </w:p>
        </w:tc>
        <w:tc>
          <w:tcPr>
            <w:tcW w:w="1447" w:type="dxa"/>
            <w:vMerge w:val="continue"/>
            <w:tcBorders>
              <w:tl2br w:val="nil"/>
              <w:tr2bl w:val="nil"/>
            </w:tcBorders>
            <w:vAlign w:val="center"/>
          </w:tcPr>
          <w:p w14:paraId="01AF3000">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5156" w:type="dxa"/>
            <w:gridSpan w:val="4"/>
            <w:tcBorders>
              <w:tl2br w:val="nil"/>
              <w:tr2bl w:val="nil"/>
            </w:tcBorders>
            <w:vAlign w:val="center"/>
          </w:tcPr>
          <w:p w14:paraId="322C3D18">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周边环境风险受体情况</w:t>
            </w:r>
          </w:p>
        </w:tc>
        <w:tc>
          <w:tcPr>
            <w:tcW w:w="1217" w:type="dxa"/>
            <w:tcBorders>
              <w:tl2br w:val="nil"/>
              <w:tr2bl w:val="nil"/>
            </w:tcBorders>
            <w:vAlign w:val="center"/>
          </w:tcPr>
          <w:p w14:paraId="6668AE5C">
            <w:pPr>
              <w:pStyle w:val="32"/>
              <w:spacing w:after="0" w:line="360" w:lineRule="exact"/>
              <w:ind w:left="0" w:leftChars="0" w:firstLine="0" w:firstLineChars="0"/>
              <w:jc w:val="center"/>
              <w:rPr>
                <w:rFonts w:hint="eastAsia" w:ascii="Times New Roman" w:hAnsi="Times New Roman" w:eastAsia="宋体" w:cs="Times New Roman"/>
                <w:bCs/>
                <w:color w:val="auto"/>
                <w:kern w:val="0"/>
                <w:szCs w:val="16"/>
                <w:highlight w:val="none"/>
                <w:lang w:eastAsia="zh-CN"/>
              </w:rPr>
            </w:pPr>
            <w:r>
              <w:rPr>
                <w:rFonts w:hint="eastAsia" w:cs="Times New Roman"/>
                <w:bCs/>
                <w:color w:val="auto"/>
                <w:kern w:val="0"/>
                <w:szCs w:val="16"/>
                <w:highlight w:val="none"/>
                <w:lang w:val="en-US" w:eastAsia="zh-CN"/>
              </w:rPr>
              <w:t>0</w:t>
            </w:r>
          </w:p>
        </w:tc>
      </w:tr>
      <w:tr w14:paraId="4FC78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5F43A3F1">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4</w:t>
            </w:r>
          </w:p>
        </w:tc>
        <w:tc>
          <w:tcPr>
            <w:tcW w:w="1447" w:type="dxa"/>
            <w:vMerge w:val="continue"/>
            <w:tcBorders>
              <w:tl2br w:val="nil"/>
              <w:tr2bl w:val="nil"/>
            </w:tcBorders>
            <w:vAlign w:val="center"/>
          </w:tcPr>
          <w:p w14:paraId="24C61F03">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500" w:type="dxa"/>
            <w:vMerge w:val="restart"/>
            <w:tcBorders>
              <w:tl2br w:val="nil"/>
              <w:tr2bl w:val="nil"/>
            </w:tcBorders>
            <w:vAlign w:val="center"/>
          </w:tcPr>
          <w:p w14:paraId="41FB4F1A">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周边环境功能类别情况</w:t>
            </w:r>
          </w:p>
        </w:tc>
        <w:tc>
          <w:tcPr>
            <w:tcW w:w="1215" w:type="dxa"/>
            <w:vMerge w:val="restart"/>
            <w:tcBorders>
              <w:tl2br w:val="nil"/>
              <w:tr2bl w:val="nil"/>
            </w:tcBorders>
            <w:vAlign w:val="center"/>
          </w:tcPr>
          <w:p w14:paraId="044CE4A3">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水环境</w:t>
            </w:r>
          </w:p>
        </w:tc>
        <w:tc>
          <w:tcPr>
            <w:tcW w:w="1217" w:type="dxa"/>
            <w:vMerge w:val="restart"/>
            <w:tcBorders>
              <w:tl2br w:val="nil"/>
              <w:tr2bl w:val="nil"/>
            </w:tcBorders>
            <w:vAlign w:val="center"/>
          </w:tcPr>
          <w:p w14:paraId="6A3D76D4">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下游水体</w:t>
            </w:r>
          </w:p>
        </w:tc>
        <w:tc>
          <w:tcPr>
            <w:tcW w:w="1224" w:type="dxa"/>
            <w:tcBorders>
              <w:tl2br w:val="nil"/>
              <w:tr2bl w:val="nil"/>
            </w:tcBorders>
            <w:vAlign w:val="center"/>
          </w:tcPr>
          <w:p w14:paraId="0D514D45">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地表水</w:t>
            </w:r>
          </w:p>
        </w:tc>
        <w:tc>
          <w:tcPr>
            <w:tcW w:w="1217" w:type="dxa"/>
            <w:vMerge w:val="restart"/>
            <w:tcBorders>
              <w:tl2br w:val="nil"/>
              <w:tr2bl w:val="nil"/>
            </w:tcBorders>
            <w:vAlign w:val="center"/>
          </w:tcPr>
          <w:p w14:paraId="5F01A391">
            <w:pPr>
              <w:pStyle w:val="32"/>
              <w:spacing w:after="0" w:line="360" w:lineRule="exact"/>
              <w:ind w:left="0" w:leftChars="0" w:firstLine="0" w:firstLineChars="0"/>
              <w:jc w:val="center"/>
              <w:rPr>
                <w:rFonts w:hint="eastAsia" w:ascii="Times New Roman" w:hAnsi="Times New Roman" w:eastAsia="宋体" w:cs="Times New Roman"/>
                <w:bCs/>
                <w:color w:val="auto"/>
                <w:kern w:val="0"/>
                <w:szCs w:val="16"/>
                <w:highlight w:val="none"/>
                <w:lang w:eastAsia="zh-CN"/>
              </w:rPr>
            </w:pPr>
            <w:r>
              <w:rPr>
                <w:rFonts w:hint="eastAsia" w:cs="Times New Roman"/>
                <w:bCs/>
                <w:color w:val="auto"/>
                <w:kern w:val="0"/>
                <w:szCs w:val="16"/>
                <w:highlight w:val="none"/>
                <w:lang w:val="en-US" w:eastAsia="zh-CN"/>
              </w:rPr>
              <w:t>0</w:t>
            </w:r>
          </w:p>
        </w:tc>
      </w:tr>
      <w:tr w14:paraId="6023B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7A7216BA">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5</w:t>
            </w:r>
          </w:p>
        </w:tc>
        <w:tc>
          <w:tcPr>
            <w:tcW w:w="1447" w:type="dxa"/>
            <w:vMerge w:val="continue"/>
            <w:tcBorders>
              <w:tl2br w:val="nil"/>
              <w:tr2bl w:val="nil"/>
            </w:tcBorders>
            <w:vAlign w:val="center"/>
          </w:tcPr>
          <w:p w14:paraId="17555018">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500" w:type="dxa"/>
            <w:vMerge w:val="continue"/>
            <w:tcBorders>
              <w:tl2br w:val="nil"/>
              <w:tr2bl w:val="nil"/>
            </w:tcBorders>
            <w:vAlign w:val="center"/>
          </w:tcPr>
          <w:p w14:paraId="7823E432">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215" w:type="dxa"/>
            <w:vMerge w:val="continue"/>
            <w:tcBorders>
              <w:tl2br w:val="nil"/>
              <w:tr2bl w:val="nil"/>
            </w:tcBorders>
            <w:vAlign w:val="center"/>
          </w:tcPr>
          <w:p w14:paraId="682E571A">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217" w:type="dxa"/>
            <w:vMerge w:val="continue"/>
            <w:tcBorders>
              <w:tl2br w:val="nil"/>
              <w:tr2bl w:val="nil"/>
            </w:tcBorders>
            <w:vAlign w:val="center"/>
          </w:tcPr>
          <w:p w14:paraId="6E67AAAA">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224" w:type="dxa"/>
            <w:tcBorders>
              <w:tl2br w:val="nil"/>
              <w:tr2bl w:val="nil"/>
            </w:tcBorders>
            <w:vAlign w:val="center"/>
          </w:tcPr>
          <w:p w14:paraId="26035ECF">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海水</w:t>
            </w:r>
          </w:p>
        </w:tc>
        <w:tc>
          <w:tcPr>
            <w:tcW w:w="1217" w:type="dxa"/>
            <w:vMerge w:val="continue"/>
            <w:tcBorders>
              <w:tl2br w:val="nil"/>
              <w:tr2bl w:val="nil"/>
            </w:tcBorders>
            <w:vAlign w:val="center"/>
          </w:tcPr>
          <w:p w14:paraId="1E0E30B9">
            <w:pPr>
              <w:pStyle w:val="32"/>
              <w:spacing w:after="0" w:line="360" w:lineRule="exact"/>
              <w:ind w:left="0" w:leftChars="0"/>
              <w:jc w:val="center"/>
              <w:rPr>
                <w:rFonts w:hint="default" w:ascii="Times New Roman" w:hAnsi="Times New Roman" w:cs="Times New Roman"/>
                <w:bCs/>
                <w:color w:val="auto"/>
                <w:kern w:val="0"/>
                <w:szCs w:val="16"/>
                <w:highlight w:val="none"/>
              </w:rPr>
            </w:pPr>
          </w:p>
        </w:tc>
      </w:tr>
      <w:tr w14:paraId="668D8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782CD4CF">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6</w:t>
            </w:r>
          </w:p>
        </w:tc>
        <w:tc>
          <w:tcPr>
            <w:tcW w:w="1447" w:type="dxa"/>
            <w:vMerge w:val="continue"/>
            <w:tcBorders>
              <w:tl2br w:val="nil"/>
              <w:tr2bl w:val="nil"/>
            </w:tcBorders>
            <w:vAlign w:val="center"/>
          </w:tcPr>
          <w:p w14:paraId="27E49C6F">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500" w:type="dxa"/>
            <w:vMerge w:val="continue"/>
            <w:tcBorders>
              <w:tl2br w:val="nil"/>
              <w:tr2bl w:val="nil"/>
            </w:tcBorders>
            <w:vAlign w:val="center"/>
          </w:tcPr>
          <w:p w14:paraId="087DC529">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215" w:type="dxa"/>
            <w:vMerge w:val="continue"/>
            <w:tcBorders>
              <w:tl2br w:val="nil"/>
              <w:tr2bl w:val="nil"/>
            </w:tcBorders>
            <w:vAlign w:val="center"/>
          </w:tcPr>
          <w:p w14:paraId="75E49C60">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2441" w:type="dxa"/>
            <w:gridSpan w:val="2"/>
            <w:tcBorders>
              <w:tl2br w:val="nil"/>
              <w:tr2bl w:val="nil"/>
            </w:tcBorders>
            <w:vAlign w:val="center"/>
          </w:tcPr>
          <w:p w14:paraId="60FED493">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地下水</w:t>
            </w:r>
          </w:p>
        </w:tc>
        <w:tc>
          <w:tcPr>
            <w:tcW w:w="1217" w:type="dxa"/>
            <w:tcBorders>
              <w:tl2br w:val="nil"/>
              <w:tr2bl w:val="nil"/>
            </w:tcBorders>
            <w:vAlign w:val="center"/>
          </w:tcPr>
          <w:p w14:paraId="47854009">
            <w:pPr>
              <w:pStyle w:val="32"/>
              <w:spacing w:after="0" w:line="360" w:lineRule="exact"/>
              <w:ind w:left="0" w:leftChars="0" w:firstLine="0" w:firstLineChars="0"/>
              <w:jc w:val="center"/>
              <w:rPr>
                <w:rFonts w:hint="eastAsia" w:ascii="Times New Roman" w:hAnsi="Times New Roman" w:eastAsia="宋体" w:cs="Times New Roman"/>
                <w:bCs/>
                <w:color w:val="auto"/>
                <w:kern w:val="0"/>
                <w:szCs w:val="16"/>
                <w:highlight w:val="none"/>
                <w:lang w:eastAsia="zh-CN"/>
              </w:rPr>
            </w:pPr>
            <w:r>
              <w:rPr>
                <w:rFonts w:hint="eastAsia" w:cs="Times New Roman"/>
                <w:bCs/>
                <w:color w:val="auto"/>
                <w:kern w:val="0"/>
                <w:szCs w:val="16"/>
                <w:highlight w:val="none"/>
                <w:lang w:val="en-US" w:eastAsia="zh-CN"/>
              </w:rPr>
              <w:t>4</w:t>
            </w:r>
          </w:p>
        </w:tc>
      </w:tr>
      <w:tr w14:paraId="6EE01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222912B9">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7</w:t>
            </w:r>
          </w:p>
        </w:tc>
        <w:tc>
          <w:tcPr>
            <w:tcW w:w="1447" w:type="dxa"/>
            <w:vMerge w:val="continue"/>
            <w:tcBorders>
              <w:tl2br w:val="nil"/>
              <w:tr2bl w:val="nil"/>
            </w:tcBorders>
            <w:vAlign w:val="center"/>
          </w:tcPr>
          <w:p w14:paraId="765BB012">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500" w:type="dxa"/>
            <w:vMerge w:val="continue"/>
            <w:tcBorders>
              <w:tl2br w:val="nil"/>
              <w:tr2bl w:val="nil"/>
            </w:tcBorders>
            <w:vAlign w:val="center"/>
          </w:tcPr>
          <w:p w14:paraId="7585A5BC">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3656" w:type="dxa"/>
            <w:gridSpan w:val="3"/>
            <w:tcBorders>
              <w:tl2br w:val="nil"/>
              <w:tr2bl w:val="nil"/>
            </w:tcBorders>
            <w:vAlign w:val="center"/>
          </w:tcPr>
          <w:p w14:paraId="348374AB">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土壤环境</w:t>
            </w:r>
          </w:p>
        </w:tc>
        <w:tc>
          <w:tcPr>
            <w:tcW w:w="1217" w:type="dxa"/>
            <w:tcBorders>
              <w:tl2br w:val="nil"/>
              <w:tr2bl w:val="nil"/>
            </w:tcBorders>
            <w:vAlign w:val="center"/>
          </w:tcPr>
          <w:p w14:paraId="01922869">
            <w:pPr>
              <w:pStyle w:val="32"/>
              <w:spacing w:after="0" w:line="360" w:lineRule="exact"/>
              <w:ind w:left="0" w:leftChars="0" w:firstLine="0" w:firstLineChars="0"/>
              <w:jc w:val="center"/>
              <w:rPr>
                <w:rFonts w:hint="eastAsia" w:ascii="Times New Roman" w:hAnsi="Times New Roman" w:eastAsia="宋体" w:cs="Times New Roman"/>
                <w:bCs/>
                <w:color w:val="auto"/>
                <w:kern w:val="0"/>
                <w:szCs w:val="16"/>
                <w:highlight w:val="none"/>
                <w:lang w:eastAsia="zh-CN"/>
              </w:rPr>
            </w:pPr>
            <w:r>
              <w:rPr>
                <w:rFonts w:hint="eastAsia" w:cs="Times New Roman"/>
                <w:bCs/>
                <w:color w:val="auto"/>
                <w:kern w:val="0"/>
                <w:szCs w:val="16"/>
                <w:highlight w:val="none"/>
                <w:lang w:val="en-US" w:eastAsia="zh-CN"/>
              </w:rPr>
              <w:t>3</w:t>
            </w:r>
          </w:p>
        </w:tc>
      </w:tr>
      <w:tr w14:paraId="0414C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vAlign w:val="center"/>
          </w:tcPr>
          <w:p w14:paraId="5BEB2E5D">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8</w:t>
            </w:r>
          </w:p>
        </w:tc>
        <w:tc>
          <w:tcPr>
            <w:tcW w:w="1447" w:type="dxa"/>
            <w:vMerge w:val="continue"/>
            <w:tcBorders>
              <w:tl2br w:val="nil"/>
              <w:tr2bl w:val="nil"/>
            </w:tcBorders>
            <w:vAlign w:val="center"/>
          </w:tcPr>
          <w:p w14:paraId="1C3F86C9">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1500" w:type="dxa"/>
            <w:vMerge w:val="continue"/>
            <w:tcBorders>
              <w:tl2br w:val="nil"/>
              <w:tr2bl w:val="nil"/>
            </w:tcBorders>
            <w:vAlign w:val="center"/>
          </w:tcPr>
          <w:p w14:paraId="4EF5706B">
            <w:pPr>
              <w:pStyle w:val="32"/>
              <w:spacing w:after="0" w:line="360" w:lineRule="exact"/>
              <w:ind w:left="0" w:leftChars="0"/>
              <w:jc w:val="center"/>
              <w:rPr>
                <w:rFonts w:hint="default" w:ascii="Times New Roman" w:hAnsi="Times New Roman" w:cs="Times New Roman"/>
                <w:bCs/>
                <w:color w:val="auto"/>
                <w:kern w:val="0"/>
                <w:szCs w:val="16"/>
                <w:highlight w:val="none"/>
              </w:rPr>
            </w:pPr>
          </w:p>
        </w:tc>
        <w:tc>
          <w:tcPr>
            <w:tcW w:w="3656" w:type="dxa"/>
            <w:gridSpan w:val="3"/>
            <w:tcBorders>
              <w:tl2br w:val="nil"/>
              <w:tr2bl w:val="nil"/>
            </w:tcBorders>
            <w:vAlign w:val="center"/>
          </w:tcPr>
          <w:p w14:paraId="358AB049">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大气环境</w:t>
            </w:r>
          </w:p>
        </w:tc>
        <w:tc>
          <w:tcPr>
            <w:tcW w:w="1217" w:type="dxa"/>
            <w:tcBorders>
              <w:tl2br w:val="nil"/>
              <w:tr2bl w:val="nil"/>
            </w:tcBorders>
            <w:vAlign w:val="center"/>
          </w:tcPr>
          <w:p w14:paraId="7B92298D">
            <w:pPr>
              <w:pStyle w:val="32"/>
              <w:spacing w:after="0" w:line="360" w:lineRule="exact"/>
              <w:ind w:left="0" w:leftChars="0" w:firstLine="0" w:firstLineChars="0"/>
              <w:jc w:val="center"/>
              <w:rPr>
                <w:rFonts w:hint="default" w:ascii="Times New Roman" w:hAnsi="Times New Roman" w:eastAsia="宋体" w:cs="Times New Roman"/>
                <w:bCs/>
                <w:color w:val="auto"/>
                <w:kern w:val="0"/>
                <w:szCs w:val="16"/>
                <w:highlight w:val="none"/>
                <w:lang w:val="en-US" w:eastAsia="zh-CN"/>
              </w:rPr>
            </w:pPr>
            <w:r>
              <w:rPr>
                <w:rFonts w:hint="eastAsia" w:cs="Times New Roman"/>
                <w:bCs/>
                <w:color w:val="auto"/>
                <w:kern w:val="0"/>
                <w:szCs w:val="16"/>
                <w:highlight w:val="none"/>
                <w:lang w:val="en-US" w:eastAsia="zh-CN"/>
              </w:rPr>
              <w:t>1.5</w:t>
            </w:r>
          </w:p>
        </w:tc>
      </w:tr>
    </w:tbl>
    <w:p w14:paraId="34418BB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依据尾矿库周边环境敏感性等别划分表，将周边环境敏感性（S）划分为S1、S2、S3三个等别，见表2.6-1</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14:paraId="53993736">
      <w:pPr>
        <w:ind w:firstLine="482"/>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表2.6-1</w:t>
      </w:r>
      <w:r>
        <w:rPr>
          <w:rFonts w:hint="default" w:ascii="Times New Roman" w:hAnsi="Times New Roman" w:cs="Times New Roman"/>
          <w:b/>
          <w:color w:val="auto"/>
          <w:kern w:val="0"/>
          <w:highlight w:val="none"/>
          <w:lang w:val="en-US" w:eastAsia="zh-CN"/>
        </w:rPr>
        <w:t>6</w:t>
      </w:r>
      <w:r>
        <w:rPr>
          <w:rFonts w:hint="default" w:ascii="Times New Roman" w:hAnsi="Times New Roman" w:cs="Times New Roman"/>
          <w:b/>
          <w:color w:val="auto"/>
          <w:kern w:val="0"/>
          <w:highlight w:val="none"/>
        </w:rPr>
        <w:t xml:space="preserve">    尾矿库周边环境敏感性（S）等别划分表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8D4A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61" w:type="dxa"/>
            <w:vAlign w:val="center"/>
          </w:tcPr>
          <w:p w14:paraId="3B63F530">
            <w:pPr>
              <w:pStyle w:val="32"/>
              <w:spacing w:after="0" w:line="360" w:lineRule="exact"/>
              <w:ind w:left="0" w:leftChars="0" w:firstLine="0" w:firstLineChars="0"/>
              <w:jc w:val="center"/>
              <w:rPr>
                <w:rFonts w:hint="default" w:ascii="Times New Roman" w:hAnsi="Times New Roman" w:cs="Times New Roman"/>
                <w:b/>
                <w:color w:val="auto"/>
                <w:szCs w:val="16"/>
                <w:highlight w:val="none"/>
              </w:rPr>
            </w:pPr>
            <w:r>
              <w:rPr>
                <w:rFonts w:hint="default" w:ascii="Times New Roman" w:hAnsi="Times New Roman" w:cs="Times New Roman"/>
                <w:b/>
                <w:color w:val="auto"/>
                <w:kern w:val="0"/>
                <w:szCs w:val="16"/>
                <w:highlight w:val="none"/>
              </w:rPr>
              <w:t>尾矿库周边环境敏感性得分（D</w:t>
            </w:r>
            <w:r>
              <w:rPr>
                <w:rFonts w:hint="default" w:ascii="Times New Roman" w:hAnsi="Times New Roman" w:cs="Times New Roman"/>
                <w:b/>
                <w:color w:val="auto"/>
                <w:kern w:val="0"/>
                <w:szCs w:val="16"/>
                <w:highlight w:val="none"/>
                <w:vertAlign w:val="subscript"/>
              </w:rPr>
              <w:t>S</w:t>
            </w:r>
            <w:r>
              <w:rPr>
                <w:rFonts w:hint="default" w:ascii="Times New Roman" w:hAnsi="Times New Roman" w:cs="Times New Roman"/>
                <w:b/>
                <w:color w:val="auto"/>
                <w:kern w:val="0"/>
                <w:szCs w:val="16"/>
                <w:highlight w:val="none"/>
              </w:rPr>
              <w:t>）</w:t>
            </w:r>
          </w:p>
        </w:tc>
        <w:tc>
          <w:tcPr>
            <w:tcW w:w="4261" w:type="dxa"/>
            <w:vAlign w:val="center"/>
          </w:tcPr>
          <w:p w14:paraId="66296D49">
            <w:pPr>
              <w:pStyle w:val="32"/>
              <w:spacing w:after="0" w:line="360" w:lineRule="exact"/>
              <w:ind w:left="0" w:leftChars="0" w:firstLine="0" w:firstLineChars="0"/>
              <w:jc w:val="center"/>
              <w:rPr>
                <w:rFonts w:hint="default" w:ascii="Times New Roman" w:hAnsi="Times New Roman" w:cs="Times New Roman"/>
                <w:b/>
                <w:color w:val="auto"/>
                <w:szCs w:val="16"/>
                <w:highlight w:val="none"/>
              </w:rPr>
            </w:pPr>
            <w:r>
              <w:rPr>
                <w:rFonts w:hint="default" w:ascii="Times New Roman" w:hAnsi="Times New Roman" w:cs="Times New Roman"/>
                <w:b/>
                <w:color w:val="auto"/>
                <w:szCs w:val="16"/>
                <w:highlight w:val="none"/>
              </w:rPr>
              <w:t>尾矿库周边环境敏感性（S）等别代码</w:t>
            </w:r>
          </w:p>
        </w:tc>
      </w:tr>
      <w:tr w14:paraId="7AFA9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68236D6D">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kern w:val="0"/>
                <w:szCs w:val="16"/>
                <w:highlight w:val="none"/>
              </w:rPr>
              <w:t>D</w:t>
            </w:r>
            <w:r>
              <w:rPr>
                <w:rFonts w:hint="default" w:ascii="Times New Roman" w:hAnsi="Times New Roman" w:cs="Times New Roman"/>
                <w:bCs/>
                <w:color w:val="auto"/>
                <w:kern w:val="0"/>
                <w:szCs w:val="16"/>
                <w:highlight w:val="none"/>
                <w:vertAlign w:val="subscript"/>
              </w:rPr>
              <w:t>S</w:t>
            </w:r>
            <w:r>
              <w:rPr>
                <w:rFonts w:hint="default" w:ascii="Times New Roman" w:hAnsi="Times New Roman" w:cs="Times New Roman"/>
                <w:bCs/>
                <w:color w:val="auto"/>
                <w:kern w:val="0"/>
                <w:szCs w:val="16"/>
                <w:highlight w:val="none"/>
              </w:rPr>
              <w:t>&gt;60</w:t>
            </w:r>
          </w:p>
        </w:tc>
        <w:tc>
          <w:tcPr>
            <w:tcW w:w="4261" w:type="dxa"/>
            <w:vAlign w:val="center"/>
          </w:tcPr>
          <w:p w14:paraId="18BBB26A">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szCs w:val="16"/>
                <w:highlight w:val="none"/>
              </w:rPr>
              <w:t>S1</w:t>
            </w:r>
          </w:p>
        </w:tc>
      </w:tr>
      <w:tr w14:paraId="42E19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582866A4">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kern w:val="0"/>
                <w:szCs w:val="16"/>
                <w:highlight w:val="none"/>
              </w:rPr>
              <w:t>30&lt;D</w:t>
            </w:r>
            <w:r>
              <w:rPr>
                <w:rFonts w:hint="default" w:ascii="Times New Roman" w:hAnsi="Times New Roman" w:cs="Times New Roman"/>
                <w:bCs/>
                <w:color w:val="auto"/>
                <w:kern w:val="0"/>
                <w:szCs w:val="16"/>
                <w:highlight w:val="none"/>
                <w:vertAlign w:val="subscript"/>
              </w:rPr>
              <w:t>S</w:t>
            </w:r>
            <w:r>
              <w:rPr>
                <w:rFonts w:hint="default" w:ascii="Times New Roman" w:hAnsi="Times New Roman" w:cs="Times New Roman"/>
                <w:bCs/>
                <w:color w:val="auto"/>
                <w:kern w:val="0"/>
                <w:szCs w:val="16"/>
                <w:highlight w:val="none"/>
              </w:rPr>
              <w:t>≦60</w:t>
            </w:r>
          </w:p>
        </w:tc>
        <w:tc>
          <w:tcPr>
            <w:tcW w:w="4261" w:type="dxa"/>
            <w:vAlign w:val="center"/>
          </w:tcPr>
          <w:p w14:paraId="19A7C158">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szCs w:val="16"/>
                <w:highlight w:val="none"/>
              </w:rPr>
              <w:t>S2</w:t>
            </w:r>
          </w:p>
        </w:tc>
      </w:tr>
      <w:tr w14:paraId="1E1D7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33078854">
            <w:pPr>
              <w:pStyle w:val="32"/>
              <w:spacing w:after="0" w:line="360" w:lineRule="exact"/>
              <w:ind w:left="0" w:leftChars="0" w:firstLine="0" w:firstLineChars="0"/>
              <w:jc w:val="center"/>
              <w:rPr>
                <w:rFonts w:hint="default" w:ascii="Times New Roman" w:hAnsi="Times New Roman" w:cs="Times New Roman"/>
                <w:b/>
                <w:bCs w:val="0"/>
                <w:color w:val="auto"/>
                <w:szCs w:val="16"/>
                <w:highlight w:val="none"/>
              </w:rPr>
            </w:pPr>
            <w:r>
              <w:rPr>
                <w:rFonts w:hint="default" w:ascii="Times New Roman" w:hAnsi="Times New Roman" w:cs="Times New Roman"/>
                <w:b/>
                <w:bCs w:val="0"/>
                <w:color w:val="auto"/>
                <w:kern w:val="0"/>
                <w:szCs w:val="16"/>
                <w:highlight w:val="none"/>
              </w:rPr>
              <w:t>D</w:t>
            </w:r>
            <w:r>
              <w:rPr>
                <w:rFonts w:hint="default" w:ascii="Times New Roman" w:hAnsi="Times New Roman" w:cs="Times New Roman"/>
                <w:b/>
                <w:bCs w:val="0"/>
                <w:color w:val="auto"/>
                <w:kern w:val="0"/>
                <w:szCs w:val="16"/>
                <w:highlight w:val="none"/>
                <w:vertAlign w:val="subscript"/>
              </w:rPr>
              <w:t>S</w:t>
            </w:r>
            <w:r>
              <w:rPr>
                <w:rFonts w:hint="default" w:ascii="Times New Roman" w:hAnsi="Times New Roman" w:cs="Times New Roman"/>
                <w:b/>
                <w:bCs w:val="0"/>
                <w:color w:val="auto"/>
                <w:kern w:val="0"/>
                <w:szCs w:val="16"/>
                <w:highlight w:val="none"/>
              </w:rPr>
              <w:t>≦30</w:t>
            </w:r>
          </w:p>
        </w:tc>
        <w:tc>
          <w:tcPr>
            <w:tcW w:w="4261" w:type="dxa"/>
            <w:vAlign w:val="center"/>
          </w:tcPr>
          <w:p w14:paraId="69DC69C2">
            <w:pPr>
              <w:pStyle w:val="32"/>
              <w:spacing w:after="0" w:line="360" w:lineRule="exact"/>
              <w:ind w:left="0" w:leftChars="0" w:firstLine="0" w:firstLineChars="0"/>
              <w:jc w:val="center"/>
              <w:rPr>
                <w:rFonts w:hint="default" w:ascii="Times New Roman" w:hAnsi="Times New Roman" w:cs="Times New Roman"/>
                <w:b/>
                <w:bCs w:val="0"/>
                <w:color w:val="auto"/>
                <w:szCs w:val="16"/>
                <w:highlight w:val="none"/>
              </w:rPr>
            </w:pPr>
            <w:r>
              <w:rPr>
                <w:rFonts w:hint="default" w:ascii="Times New Roman" w:hAnsi="Times New Roman" w:cs="Times New Roman"/>
                <w:b/>
                <w:bCs w:val="0"/>
                <w:color w:val="auto"/>
                <w:szCs w:val="16"/>
                <w:highlight w:val="none"/>
              </w:rPr>
              <w:t>S3</w:t>
            </w:r>
          </w:p>
        </w:tc>
      </w:tr>
    </w:tbl>
    <w:p w14:paraId="6C2473C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根据《尾矿库环境风险评估技术导则（试行）》（HJ740-2015）附录C中各指标评分方法，本项目尾矿库位于</w:t>
      </w:r>
      <w:r>
        <w:rPr>
          <w:rFonts w:hint="default" w:ascii="Times New Roman" w:hAnsi="Times New Roman" w:cs="Times New Roman"/>
          <w:color w:val="auto"/>
          <w:highlight w:val="none"/>
          <w:lang w:val="en-US" w:eastAsia="zh-CN"/>
        </w:rPr>
        <w:t>富蕴县</w:t>
      </w:r>
      <w:r>
        <w:rPr>
          <w:rFonts w:hint="default" w:ascii="Times New Roman" w:hAnsi="Times New Roman" w:cs="Times New Roman"/>
          <w:color w:val="auto"/>
          <w:highlight w:val="none"/>
        </w:rPr>
        <w:t>，不涉及到跨界情况，</w:t>
      </w:r>
      <w:r>
        <w:rPr>
          <w:rFonts w:hint="default" w:cs="Times New Roman"/>
          <w:color w:val="auto"/>
          <w:highlight w:val="none"/>
          <w:lang w:eastAsia="zh-CN"/>
        </w:rPr>
        <w:t>属于</w:t>
      </w:r>
      <w:r>
        <w:rPr>
          <w:rFonts w:hint="default" w:ascii="Times New Roman" w:hAnsi="Times New Roman" w:cs="Times New Roman"/>
          <w:color w:val="auto"/>
          <w:highlight w:val="none"/>
        </w:rPr>
        <w:t>其他类，评分取0；尾矿库周边及下游</w:t>
      </w:r>
      <w:r>
        <w:rPr>
          <w:rFonts w:hint="default" w:ascii="Times New Roman" w:hAnsi="Times New Roman" w:cs="Times New Roman"/>
          <w:color w:val="auto"/>
          <w:highlight w:val="none"/>
          <w:lang w:val="en-US" w:eastAsia="zh-CN"/>
        </w:rPr>
        <w:t>不涉及环境风险受体</w:t>
      </w:r>
      <w:r>
        <w:rPr>
          <w:rFonts w:hint="default" w:ascii="Times New Roman" w:hAnsi="Times New Roman" w:cs="Times New Roman"/>
          <w:color w:val="auto"/>
          <w:highlight w:val="none"/>
        </w:rPr>
        <w:t>，评分取</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下游无</w:t>
      </w:r>
      <w:r>
        <w:rPr>
          <w:rFonts w:hint="default" w:ascii="Times New Roman" w:hAnsi="Times New Roman" w:cs="Times New Roman"/>
          <w:color w:val="auto"/>
          <w:highlight w:val="none"/>
        </w:rPr>
        <w:t>地表水，评分取</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分；地下水属于三类，评分取4分；土壤环境属二类，评分取3分；大气环境为二类，评分取1.5。综上，总得分为</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.5，环境敏感性等别为S</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0474C61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③控制机制可靠性</w:t>
      </w:r>
    </w:p>
    <w:p w14:paraId="1A68D83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老尾矿库的基本情况、自然条件情况、生产安全情况、环境保护情况和历史事件情况五方面指标进行评分与累加求和，评估尾矿库控制机制可靠性（R），控制机制可靠性等别划分指标体系见表2.6-1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14:paraId="0467F9ED">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color w:val="auto"/>
          <w:kern w:val="0"/>
          <w:highlight w:val="none"/>
        </w:rPr>
        <w:t>表2.6-1</w:t>
      </w:r>
      <w:r>
        <w:rPr>
          <w:rFonts w:hint="default" w:ascii="Times New Roman" w:hAnsi="Times New Roman" w:cs="Times New Roman"/>
          <w:b/>
          <w:color w:val="auto"/>
          <w:kern w:val="0"/>
          <w:highlight w:val="none"/>
          <w:lang w:val="en-US" w:eastAsia="zh-CN"/>
        </w:rPr>
        <w:t>7</w:t>
      </w:r>
      <w:r>
        <w:rPr>
          <w:rFonts w:hint="default" w:ascii="Times New Roman" w:hAnsi="Times New Roman" w:cs="Times New Roman"/>
          <w:b/>
          <w:color w:val="auto"/>
          <w:kern w:val="0"/>
          <w:highlight w:val="none"/>
        </w:rPr>
        <w:t xml:space="preserve">    尾矿库控制机制可靠性（R）等别划分指标体系</w:t>
      </w:r>
    </w:p>
    <w:tbl>
      <w:tblPr>
        <w:tblStyle w:val="34"/>
        <w:tblW w:w="50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040"/>
        <w:gridCol w:w="767"/>
        <w:gridCol w:w="3342"/>
        <w:gridCol w:w="1803"/>
        <w:gridCol w:w="409"/>
        <w:gridCol w:w="667"/>
      </w:tblGrid>
      <w:tr w14:paraId="2F93B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0" w:type="auto"/>
            <w:tcBorders>
              <w:tl2br w:val="nil"/>
              <w:tr2bl w:val="nil"/>
            </w:tcBorders>
            <w:vAlign w:val="center"/>
          </w:tcPr>
          <w:p w14:paraId="57FBD068">
            <w:pPr>
              <w:pStyle w:val="11"/>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0" w:type="auto"/>
            <w:gridSpan w:val="5"/>
            <w:tcBorders>
              <w:tl2br w:val="nil"/>
              <w:tr2bl w:val="nil"/>
            </w:tcBorders>
            <w:vAlign w:val="center"/>
          </w:tcPr>
          <w:p w14:paraId="03BC4796">
            <w:pPr>
              <w:pStyle w:val="11"/>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指标项目</w:t>
            </w:r>
          </w:p>
        </w:tc>
        <w:tc>
          <w:tcPr>
            <w:tcW w:w="0" w:type="auto"/>
            <w:tcBorders>
              <w:tl2br w:val="nil"/>
              <w:tr2bl w:val="nil"/>
            </w:tcBorders>
            <w:vAlign w:val="center"/>
          </w:tcPr>
          <w:p w14:paraId="01441EA0">
            <w:pPr>
              <w:pStyle w:val="11"/>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指标分值</w:t>
            </w:r>
          </w:p>
        </w:tc>
      </w:tr>
      <w:tr w14:paraId="0B339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3F2E5A4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0" w:type="auto"/>
            <w:vMerge w:val="restart"/>
            <w:tcBorders>
              <w:tl2br w:val="nil"/>
              <w:tr2bl w:val="nil"/>
            </w:tcBorders>
            <w:vAlign w:val="center"/>
          </w:tcPr>
          <w:p w14:paraId="1F927C5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尾矿库控制机制可靠性</w:t>
            </w:r>
          </w:p>
        </w:tc>
        <w:tc>
          <w:tcPr>
            <w:tcW w:w="0" w:type="auto"/>
            <w:vMerge w:val="restart"/>
            <w:tcBorders>
              <w:tl2br w:val="nil"/>
              <w:tr2bl w:val="nil"/>
            </w:tcBorders>
            <w:vAlign w:val="center"/>
          </w:tcPr>
          <w:p w14:paraId="54D9091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基本</w:t>
            </w:r>
          </w:p>
          <w:p w14:paraId="40E5AEB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情况</w:t>
            </w:r>
          </w:p>
        </w:tc>
        <w:tc>
          <w:tcPr>
            <w:tcW w:w="0" w:type="auto"/>
            <w:vMerge w:val="restart"/>
            <w:tcBorders>
              <w:tl2br w:val="nil"/>
              <w:tr2bl w:val="nil"/>
            </w:tcBorders>
            <w:vAlign w:val="center"/>
          </w:tcPr>
          <w:p w14:paraId="00A3F89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w:t>
            </w:r>
          </w:p>
        </w:tc>
        <w:tc>
          <w:tcPr>
            <w:tcW w:w="0" w:type="auto"/>
            <w:gridSpan w:val="2"/>
            <w:tcBorders>
              <w:tl2br w:val="nil"/>
              <w:tr2bl w:val="nil"/>
            </w:tcBorders>
            <w:vAlign w:val="center"/>
          </w:tcPr>
          <w:p w14:paraId="7428983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堆存种类</w:t>
            </w:r>
          </w:p>
        </w:tc>
        <w:tc>
          <w:tcPr>
            <w:tcW w:w="0" w:type="auto"/>
            <w:tcBorders>
              <w:tl2br w:val="nil"/>
              <w:tr2bl w:val="nil"/>
            </w:tcBorders>
            <w:shd w:val="clear" w:color="auto" w:fill="auto"/>
            <w:vAlign w:val="center"/>
          </w:tcPr>
          <w:p w14:paraId="3722A71A">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29D13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6A2FAD1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0" w:type="auto"/>
            <w:vMerge w:val="continue"/>
            <w:tcBorders>
              <w:tl2br w:val="nil"/>
              <w:tr2bl w:val="nil"/>
            </w:tcBorders>
            <w:vAlign w:val="center"/>
          </w:tcPr>
          <w:p w14:paraId="0761AB7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49EF9F8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56749F4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5F96E87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堆存方式</w:t>
            </w:r>
          </w:p>
        </w:tc>
        <w:tc>
          <w:tcPr>
            <w:tcW w:w="0" w:type="auto"/>
            <w:tcBorders>
              <w:tl2br w:val="nil"/>
              <w:tr2bl w:val="nil"/>
            </w:tcBorders>
            <w:shd w:val="clear" w:color="auto" w:fill="auto"/>
            <w:vAlign w:val="center"/>
          </w:tcPr>
          <w:p w14:paraId="3362772E">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1</w:t>
            </w:r>
          </w:p>
        </w:tc>
      </w:tr>
      <w:tr w14:paraId="232E3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121D154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0" w:type="auto"/>
            <w:vMerge w:val="continue"/>
            <w:tcBorders>
              <w:tl2br w:val="nil"/>
              <w:tr2bl w:val="nil"/>
            </w:tcBorders>
            <w:vAlign w:val="center"/>
          </w:tcPr>
          <w:p w14:paraId="3B49A04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1BE12B4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2B063E4C">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6ACE0A4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坝体透水情况</w:t>
            </w:r>
          </w:p>
        </w:tc>
        <w:tc>
          <w:tcPr>
            <w:tcW w:w="0" w:type="auto"/>
            <w:tcBorders>
              <w:tl2br w:val="nil"/>
              <w:tr2bl w:val="nil"/>
            </w:tcBorders>
            <w:shd w:val="clear" w:color="auto" w:fill="auto"/>
            <w:vAlign w:val="center"/>
          </w:tcPr>
          <w:p w14:paraId="37BEA19A">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1BC77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7665042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0" w:type="auto"/>
            <w:vMerge w:val="continue"/>
            <w:tcBorders>
              <w:tl2br w:val="nil"/>
              <w:tr2bl w:val="nil"/>
            </w:tcBorders>
            <w:vAlign w:val="center"/>
          </w:tcPr>
          <w:p w14:paraId="6940610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5317080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3AABEB8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w:t>
            </w:r>
          </w:p>
        </w:tc>
        <w:tc>
          <w:tcPr>
            <w:tcW w:w="0" w:type="auto"/>
            <w:gridSpan w:val="2"/>
            <w:tcBorders>
              <w:tl2br w:val="nil"/>
              <w:tr2bl w:val="nil"/>
            </w:tcBorders>
            <w:vAlign w:val="center"/>
          </w:tcPr>
          <w:p w14:paraId="48C31F1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输送方式</w:t>
            </w:r>
          </w:p>
        </w:tc>
        <w:tc>
          <w:tcPr>
            <w:tcW w:w="0" w:type="auto"/>
            <w:tcBorders>
              <w:tl2br w:val="nil"/>
              <w:tr2bl w:val="nil"/>
            </w:tcBorders>
            <w:shd w:val="clear" w:color="auto" w:fill="auto"/>
            <w:vAlign w:val="center"/>
          </w:tcPr>
          <w:p w14:paraId="1BC9E758">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w:t>
            </w:r>
          </w:p>
        </w:tc>
      </w:tr>
      <w:tr w14:paraId="62C31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7E9631F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0" w:type="auto"/>
            <w:vMerge w:val="continue"/>
            <w:tcBorders>
              <w:tl2br w:val="nil"/>
              <w:tr2bl w:val="nil"/>
            </w:tcBorders>
            <w:vAlign w:val="center"/>
          </w:tcPr>
          <w:p w14:paraId="490E697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1DAA115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3733373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5C26EAD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输送量</w:t>
            </w:r>
          </w:p>
        </w:tc>
        <w:tc>
          <w:tcPr>
            <w:tcW w:w="0" w:type="auto"/>
            <w:tcBorders>
              <w:tl2br w:val="nil"/>
              <w:tr2bl w:val="nil"/>
            </w:tcBorders>
            <w:shd w:val="clear" w:color="auto" w:fill="auto"/>
            <w:vAlign w:val="center"/>
          </w:tcPr>
          <w:p w14:paraId="29927675">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w:t>
            </w:r>
          </w:p>
        </w:tc>
      </w:tr>
      <w:tr w14:paraId="5D601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1835CEC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0" w:type="auto"/>
            <w:vMerge w:val="continue"/>
            <w:tcBorders>
              <w:tl2br w:val="nil"/>
              <w:tr2bl w:val="nil"/>
            </w:tcBorders>
            <w:vAlign w:val="center"/>
          </w:tcPr>
          <w:p w14:paraId="7578731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24108F5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162A129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37A8128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输送距离</w:t>
            </w:r>
          </w:p>
        </w:tc>
        <w:tc>
          <w:tcPr>
            <w:tcW w:w="0" w:type="auto"/>
            <w:tcBorders>
              <w:tl2br w:val="nil"/>
              <w:tr2bl w:val="nil"/>
            </w:tcBorders>
            <w:shd w:val="clear" w:color="auto" w:fill="auto"/>
            <w:vAlign w:val="center"/>
          </w:tcPr>
          <w:p w14:paraId="513952AB">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04335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87811D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0" w:type="auto"/>
            <w:vMerge w:val="continue"/>
            <w:tcBorders>
              <w:tl2br w:val="nil"/>
              <w:tr2bl w:val="nil"/>
            </w:tcBorders>
            <w:vAlign w:val="center"/>
          </w:tcPr>
          <w:p w14:paraId="3CAF324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22AF708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134FC22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w:t>
            </w:r>
          </w:p>
        </w:tc>
        <w:tc>
          <w:tcPr>
            <w:tcW w:w="0" w:type="auto"/>
            <w:gridSpan w:val="2"/>
            <w:tcBorders>
              <w:tl2br w:val="nil"/>
              <w:tr2bl w:val="nil"/>
            </w:tcBorders>
            <w:vAlign w:val="center"/>
          </w:tcPr>
          <w:p w14:paraId="3813334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回水方式</w:t>
            </w:r>
          </w:p>
        </w:tc>
        <w:tc>
          <w:tcPr>
            <w:tcW w:w="0" w:type="auto"/>
            <w:tcBorders>
              <w:tl2br w:val="nil"/>
              <w:tr2bl w:val="nil"/>
            </w:tcBorders>
            <w:shd w:val="clear" w:color="auto" w:fill="auto"/>
            <w:vAlign w:val="center"/>
          </w:tcPr>
          <w:p w14:paraId="493C2B5D">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0.5</w:t>
            </w:r>
          </w:p>
        </w:tc>
      </w:tr>
      <w:tr w14:paraId="22A5C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44AF3B7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0" w:type="auto"/>
            <w:vMerge w:val="continue"/>
            <w:tcBorders>
              <w:tl2br w:val="nil"/>
              <w:tr2bl w:val="nil"/>
            </w:tcBorders>
            <w:vAlign w:val="center"/>
          </w:tcPr>
          <w:p w14:paraId="6F85971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2888AA6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6F5E93F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3611211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回水量</w:t>
            </w:r>
          </w:p>
        </w:tc>
        <w:tc>
          <w:tcPr>
            <w:tcW w:w="0" w:type="auto"/>
            <w:tcBorders>
              <w:tl2br w:val="nil"/>
              <w:tr2bl w:val="nil"/>
            </w:tcBorders>
            <w:shd w:val="clear" w:color="auto" w:fill="auto"/>
            <w:vAlign w:val="center"/>
          </w:tcPr>
          <w:p w14:paraId="36D04817">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w:t>
            </w:r>
          </w:p>
        </w:tc>
      </w:tr>
      <w:tr w14:paraId="31444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4AADA02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0" w:type="auto"/>
            <w:vMerge w:val="continue"/>
            <w:tcBorders>
              <w:tl2br w:val="nil"/>
              <w:tr2bl w:val="nil"/>
            </w:tcBorders>
            <w:vAlign w:val="center"/>
          </w:tcPr>
          <w:p w14:paraId="12AF132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259D4DAD">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0B7F751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6639AC9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回水距离</w:t>
            </w:r>
          </w:p>
        </w:tc>
        <w:tc>
          <w:tcPr>
            <w:tcW w:w="0" w:type="auto"/>
            <w:tcBorders>
              <w:tl2br w:val="nil"/>
              <w:tr2bl w:val="nil"/>
            </w:tcBorders>
            <w:shd w:val="clear" w:color="auto" w:fill="auto"/>
            <w:vAlign w:val="center"/>
          </w:tcPr>
          <w:p w14:paraId="77DB1268">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1216E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2B7EA39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0" w:type="auto"/>
            <w:vMerge w:val="continue"/>
            <w:tcBorders>
              <w:tl2br w:val="nil"/>
              <w:tr2bl w:val="nil"/>
            </w:tcBorders>
            <w:vAlign w:val="center"/>
          </w:tcPr>
          <w:p w14:paraId="3F2EFF5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711DE98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1AEA360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防洪</w:t>
            </w:r>
          </w:p>
        </w:tc>
        <w:tc>
          <w:tcPr>
            <w:tcW w:w="0" w:type="auto"/>
            <w:gridSpan w:val="2"/>
            <w:tcBorders>
              <w:tl2br w:val="nil"/>
              <w:tr2bl w:val="nil"/>
            </w:tcBorders>
            <w:vAlign w:val="center"/>
          </w:tcPr>
          <w:p w14:paraId="41E46E8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库外截洪设施</w:t>
            </w:r>
          </w:p>
        </w:tc>
        <w:tc>
          <w:tcPr>
            <w:tcW w:w="0" w:type="auto"/>
            <w:tcBorders>
              <w:tl2br w:val="nil"/>
              <w:tr2bl w:val="nil"/>
            </w:tcBorders>
            <w:shd w:val="clear" w:color="auto" w:fill="auto"/>
            <w:vAlign w:val="center"/>
          </w:tcPr>
          <w:p w14:paraId="1F09CCE2">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1</w:t>
            </w:r>
          </w:p>
        </w:tc>
      </w:tr>
      <w:tr w14:paraId="46828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24E3F02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0" w:type="auto"/>
            <w:vMerge w:val="continue"/>
            <w:tcBorders>
              <w:tl2br w:val="nil"/>
              <w:tr2bl w:val="nil"/>
            </w:tcBorders>
            <w:vAlign w:val="center"/>
          </w:tcPr>
          <w:p w14:paraId="2A66644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45A73DB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6653DE6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13BB3C0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库内排洪设施</w:t>
            </w:r>
          </w:p>
        </w:tc>
        <w:tc>
          <w:tcPr>
            <w:tcW w:w="0" w:type="auto"/>
            <w:tcBorders>
              <w:tl2br w:val="nil"/>
              <w:tr2bl w:val="nil"/>
            </w:tcBorders>
            <w:shd w:val="clear" w:color="auto" w:fill="auto"/>
            <w:vAlign w:val="center"/>
          </w:tcPr>
          <w:p w14:paraId="32B3BE29">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1</w:t>
            </w:r>
          </w:p>
        </w:tc>
      </w:tr>
      <w:tr w14:paraId="7D43F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E057FF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0" w:type="auto"/>
            <w:vMerge w:val="continue"/>
            <w:tcBorders>
              <w:tl2br w:val="nil"/>
              <w:tr2bl w:val="nil"/>
            </w:tcBorders>
            <w:vAlign w:val="center"/>
          </w:tcPr>
          <w:p w14:paraId="127B607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tcBorders>
              <w:tl2br w:val="nil"/>
              <w:tr2bl w:val="nil"/>
            </w:tcBorders>
            <w:vAlign w:val="center"/>
          </w:tcPr>
          <w:p w14:paraId="2C55416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自然条件情况</w:t>
            </w:r>
          </w:p>
        </w:tc>
        <w:tc>
          <w:tcPr>
            <w:tcW w:w="0" w:type="auto"/>
            <w:gridSpan w:val="3"/>
            <w:tcBorders>
              <w:tl2br w:val="nil"/>
              <w:tr2bl w:val="nil"/>
            </w:tcBorders>
            <w:vAlign w:val="center"/>
          </w:tcPr>
          <w:p w14:paraId="23E6901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是否处于按《地质灾害危险性评估技术要求（试行）》评定为“危害性中等”或“危害性大”的区域，或者处于地质灾害易灾区、岩溶（喀斯特）地貌区</w:t>
            </w:r>
          </w:p>
        </w:tc>
        <w:tc>
          <w:tcPr>
            <w:tcW w:w="391" w:type="pct"/>
            <w:tcBorders>
              <w:tl2br w:val="nil"/>
              <w:tr2bl w:val="nil"/>
            </w:tcBorders>
            <w:vAlign w:val="center"/>
          </w:tcPr>
          <w:p w14:paraId="23CBA239">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7D4AD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4AC4EB8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0" w:type="auto"/>
            <w:vMerge w:val="continue"/>
            <w:tcBorders>
              <w:tl2br w:val="nil"/>
              <w:tr2bl w:val="nil"/>
            </w:tcBorders>
            <w:vAlign w:val="center"/>
          </w:tcPr>
          <w:p w14:paraId="4B0A2AD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tcBorders>
              <w:tl2br w:val="nil"/>
              <w:tr2bl w:val="nil"/>
            </w:tcBorders>
            <w:vAlign w:val="center"/>
          </w:tcPr>
          <w:p w14:paraId="1598518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生产安全情况</w:t>
            </w:r>
          </w:p>
        </w:tc>
        <w:tc>
          <w:tcPr>
            <w:tcW w:w="0" w:type="auto"/>
            <w:gridSpan w:val="3"/>
            <w:tcBorders>
              <w:tl2br w:val="nil"/>
              <w:tr2bl w:val="nil"/>
            </w:tcBorders>
            <w:vAlign w:val="center"/>
          </w:tcPr>
          <w:p w14:paraId="4CA1BBE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尾矿库安全度等别</w:t>
            </w:r>
          </w:p>
        </w:tc>
        <w:tc>
          <w:tcPr>
            <w:tcW w:w="391" w:type="pct"/>
            <w:tcBorders>
              <w:tl2br w:val="nil"/>
              <w:tr2bl w:val="nil"/>
            </w:tcBorders>
            <w:vAlign w:val="center"/>
          </w:tcPr>
          <w:p w14:paraId="5A7DED7A">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05989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2D8DD7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0" w:type="auto"/>
            <w:vMerge w:val="continue"/>
            <w:tcBorders>
              <w:tl2br w:val="nil"/>
              <w:tr2bl w:val="nil"/>
            </w:tcBorders>
            <w:vAlign w:val="center"/>
          </w:tcPr>
          <w:p w14:paraId="53318FA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46A1D28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环境保护情况</w:t>
            </w:r>
          </w:p>
        </w:tc>
        <w:tc>
          <w:tcPr>
            <w:tcW w:w="0" w:type="auto"/>
            <w:tcBorders>
              <w:tl2br w:val="nil"/>
              <w:tr2bl w:val="nil"/>
            </w:tcBorders>
            <w:vAlign w:val="center"/>
          </w:tcPr>
          <w:p w14:paraId="345E5CC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环保审批</w:t>
            </w:r>
          </w:p>
        </w:tc>
        <w:tc>
          <w:tcPr>
            <w:tcW w:w="0" w:type="auto"/>
            <w:gridSpan w:val="2"/>
            <w:tcBorders>
              <w:tl2br w:val="nil"/>
              <w:tr2bl w:val="nil"/>
            </w:tcBorders>
            <w:vAlign w:val="center"/>
          </w:tcPr>
          <w:p w14:paraId="41CC1244">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是否通过“三同时”验收</w:t>
            </w:r>
          </w:p>
        </w:tc>
        <w:tc>
          <w:tcPr>
            <w:tcW w:w="0" w:type="auto"/>
            <w:tcBorders>
              <w:tl2br w:val="nil"/>
              <w:tr2bl w:val="nil"/>
            </w:tcBorders>
            <w:shd w:val="clear" w:color="auto" w:fill="auto"/>
            <w:vAlign w:val="center"/>
          </w:tcPr>
          <w:p w14:paraId="49DF08A1">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57192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4669834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0" w:type="auto"/>
            <w:vMerge w:val="continue"/>
            <w:tcBorders>
              <w:tl2br w:val="nil"/>
              <w:tr2bl w:val="nil"/>
            </w:tcBorders>
            <w:vAlign w:val="center"/>
          </w:tcPr>
          <w:p w14:paraId="44AD358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02D5A51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1DBF4B7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污染防治</w:t>
            </w:r>
          </w:p>
        </w:tc>
        <w:tc>
          <w:tcPr>
            <w:tcW w:w="0" w:type="auto"/>
            <w:gridSpan w:val="2"/>
            <w:tcBorders>
              <w:tl2br w:val="nil"/>
              <w:tr2bl w:val="nil"/>
            </w:tcBorders>
            <w:vAlign w:val="center"/>
          </w:tcPr>
          <w:p w14:paraId="5955909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水排放情况</w:t>
            </w:r>
          </w:p>
        </w:tc>
        <w:tc>
          <w:tcPr>
            <w:tcW w:w="0" w:type="auto"/>
            <w:tcBorders>
              <w:tl2br w:val="nil"/>
              <w:tr2bl w:val="nil"/>
            </w:tcBorders>
            <w:shd w:val="clear" w:color="auto" w:fill="auto"/>
            <w:vAlign w:val="center"/>
          </w:tcPr>
          <w:p w14:paraId="262D850C">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733F8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12AAEF9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0" w:type="auto"/>
            <w:vMerge w:val="continue"/>
            <w:tcBorders>
              <w:tl2br w:val="nil"/>
              <w:tr2bl w:val="nil"/>
            </w:tcBorders>
            <w:vAlign w:val="center"/>
          </w:tcPr>
          <w:p w14:paraId="3683CAA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6E632BD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47AA5B8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068ED86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防流失情况</w:t>
            </w:r>
          </w:p>
        </w:tc>
        <w:tc>
          <w:tcPr>
            <w:tcW w:w="0" w:type="auto"/>
            <w:tcBorders>
              <w:tl2br w:val="nil"/>
              <w:tr2bl w:val="nil"/>
            </w:tcBorders>
            <w:shd w:val="clear" w:color="auto" w:fill="auto"/>
            <w:vAlign w:val="center"/>
          </w:tcPr>
          <w:p w14:paraId="7601A972">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72E28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6F8DA28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0" w:type="auto"/>
            <w:vMerge w:val="continue"/>
            <w:tcBorders>
              <w:tl2br w:val="nil"/>
              <w:tr2bl w:val="nil"/>
            </w:tcBorders>
            <w:vAlign w:val="center"/>
          </w:tcPr>
          <w:p w14:paraId="002F7D7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50F623D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75AD62D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607E7C8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防渗漏情况</w:t>
            </w:r>
          </w:p>
        </w:tc>
        <w:tc>
          <w:tcPr>
            <w:tcW w:w="0" w:type="auto"/>
            <w:tcBorders>
              <w:tl2br w:val="nil"/>
              <w:tr2bl w:val="nil"/>
            </w:tcBorders>
            <w:shd w:val="clear" w:color="auto" w:fill="auto"/>
            <w:vAlign w:val="center"/>
          </w:tcPr>
          <w:p w14:paraId="44C7BBFF">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73DF7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3F73774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0" w:type="auto"/>
            <w:vMerge w:val="continue"/>
            <w:tcBorders>
              <w:tl2br w:val="nil"/>
              <w:tr2bl w:val="nil"/>
            </w:tcBorders>
            <w:vAlign w:val="center"/>
          </w:tcPr>
          <w:p w14:paraId="1BF9F85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4BFED4E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7C439CD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45D2695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防扬散情况</w:t>
            </w:r>
          </w:p>
        </w:tc>
        <w:tc>
          <w:tcPr>
            <w:tcW w:w="0" w:type="auto"/>
            <w:tcBorders>
              <w:tl2br w:val="nil"/>
              <w:tr2bl w:val="nil"/>
            </w:tcBorders>
            <w:shd w:val="clear" w:color="auto" w:fill="auto"/>
            <w:vAlign w:val="center"/>
          </w:tcPr>
          <w:p w14:paraId="1021B33E">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40FF2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618AF5A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0" w:type="auto"/>
            <w:vMerge w:val="continue"/>
            <w:tcBorders>
              <w:tl2br w:val="nil"/>
              <w:tr2bl w:val="nil"/>
            </w:tcBorders>
            <w:vAlign w:val="center"/>
          </w:tcPr>
          <w:p w14:paraId="68F4670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6D366D7C">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1A4B084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w:t>
            </w:r>
          </w:p>
        </w:tc>
        <w:tc>
          <w:tcPr>
            <w:tcW w:w="0" w:type="auto"/>
            <w:vMerge w:val="restart"/>
            <w:tcBorders>
              <w:tl2br w:val="nil"/>
              <w:tr2bl w:val="nil"/>
            </w:tcBorders>
            <w:vAlign w:val="center"/>
          </w:tcPr>
          <w:p w14:paraId="2DC66DE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环境应急设施</w:t>
            </w:r>
          </w:p>
        </w:tc>
        <w:tc>
          <w:tcPr>
            <w:tcW w:w="0" w:type="auto"/>
            <w:tcBorders>
              <w:tl2br w:val="nil"/>
              <w:tr2bl w:val="nil"/>
            </w:tcBorders>
            <w:shd w:val="clear" w:color="auto" w:fill="auto"/>
            <w:vAlign w:val="center"/>
          </w:tcPr>
          <w:p w14:paraId="23B8A8C1">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0" w:type="auto"/>
            <w:tcBorders>
              <w:tl2br w:val="nil"/>
              <w:tr2bl w:val="nil"/>
            </w:tcBorders>
            <w:vAlign w:val="center"/>
          </w:tcPr>
          <w:p w14:paraId="1A05030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r>
      <w:tr w14:paraId="09B17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C28EC0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0" w:type="auto"/>
            <w:vMerge w:val="continue"/>
            <w:tcBorders>
              <w:tl2br w:val="nil"/>
              <w:tr2bl w:val="nil"/>
            </w:tcBorders>
            <w:vAlign w:val="center"/>
          </w:tcPr>
          <w:p w14:paraId="53BF599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4171882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03A7138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4E44EDE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tcBorders>
              <w:tl2br w:val="nil"/>
              <w:tr2bl w:val="nil"/>
            </w:tcBorders>
            <w:shd w:val="clear" w:color="auto" w:fill="auto"/>
            <w:vAlign w:val="center"/>
          </w:tcPr>
          <w:p w14:paraId="1ABB7B0E">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0" w:type="auto"/>
            <w:tcBorders>
              <w:tl2br w:val="nil"/>
              <w:tr2bl w:val="nil"/>
            </w:tcBorders>
            <w:vAlign w:val="center"/>
          </w:tcPr>
          <w:p w14:paraId="711A97D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r>
      <w:tr w14:paraId="1D050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2DF9886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0" w:type="auto"/>
            <w:vMerge w:val="continue"/>
            <w:tcBorders>
              <w:tl2br w:val="nil"/>
              <w:tr2bl w:val="nil"/>
            </w:tcBorders>
            <w:vAlign w:val="center"/>
          </w:tcPr>
          <w:p w14:paraId="67BC908C">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63751B2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59BE4FD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36E506C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tcBorders>
              <w:tl2br w:val="nil"/>
              <w:tr2bl w:val="nil"/>
            </w:tcBorders>
            <w:shd w:val="clear" w:color="auto" w:fill="auto"/>
            <w:vAlign w:val="center"/>
          </w:tcPr>
          <w:p w14:paraId="141C67E3">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0" w:type="auto"/>
            <w:tcBorders>
              <w:tl2br w:val="nil"/>
              <w:tr2bl w:val="nil"/>
            </w:tcBorders>
            <w:vAlign w:val="center"/>
          </w:tcPr>
          <w:p w14:paraId="0A02298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14:paraId="7598F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1216F7A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0" w:type="auto"/>
            <w:vMerge w:val="continue"/>
            <w:tcBorders>
              <w:tl2br w:val="nil"/>
              <w:tr2bl w:val="nil"/>
            </w:tcBorders>
            <w:vAlign w:val="center"/>
          </w:tcPr>
          <w:p w14:paraId="09EC5B3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2EF0AD5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5AB5153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36B0A4B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环境应急预案</w:t>
            </w:r>
          </w:p>
        </w:tc>
        <w:tc>
          <w:tcPr>
            <w:tcW w:w="0" w:type="auto"/>
            <w:tcBorders>
              <w:tl2br w:val="nil"/>
              <w:tr2bl w:val="nil"/>
            </w:tcBorders>
            <w:shd w:val="clear" w:color="auto" w:fill="auto"/>
            <w:vAlign w:val="center"/>
          </w:tcPr>
          <w:p w14:paraId="6E197831">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2A948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33E1C1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0" w:type="auto"/>
            <w:vMerge w:val="continue"/>
            <w:tcBorders>
              <w:tl2br w:val="nil"/>
              <w:tr2bl w:val="nil"/>
            </w:tcBorders>
            <w:vAlign w:val="center"/>
          </w:tcPr>
          <w:p w14:paraId="5D37E5C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1C49D43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37C3C57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0BFCFD4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环境应急资源</w:t>
            </w:r>
          </w:p>
        </w:tc>
        <w:tc>
          <w:tcPr>
            <w:tcW w:w="0" w:type="auto"/>
            <w:tcBorders>
              <w:tl2br w:val="nil"/>
              <w:tr2bl w:val="nil"/>
            </w:tcBorders>
            <w:shd w:val="clear" w:color="auto" w:fill="auto"/>
            <w:vAlign w:val="center"/>
          </w:tcPr>
          <w:p w14:paraId="6BC73783">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2E6EF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09EADFB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0" w:type="auto"/>
            <w:vMerge w:val="continue"/>
            <w:tcBorders>
              <w:tl2br w:val="nil"/>
              <w:tr2bl w:val="nil"/>
            </w:tcBorders>
            <w:vAlign w:val="center"/>
          </w:tcPr>
          <w:p w14:paraId="40707CE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35BBA26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782CDFC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3159FBF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环境监测预警与日常检查</w:t>
            </w:r>
          </w:p>
        </w:tc>
        <w:tc>
          <w:tcPr>
            <w:tcW w:w="0" w:type="auto"/>
            <w:tcBorders>
              <w:tl2br w:val="nil"/>
              <w:tr2bl w:val="nil"/>
            </w:tcBorders>
            <w:shd w:val="clear" w:color="auto" w:fill="auto"/>
            <w:vAlign w:val="center"/>
          </w:tcPr>
          <w:p w14:paraId="10D87241">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0" w:type="auto"/>
            <w:tcBorders>
              <w:tl2br w:val="nil"/>
              <w:tr2bl w:val="nil"/>
            </w:tcBorders>
            <w:vAlign w:val="center"/>
          </w:tcPr>
          <w:p w14:paraId="0B41CBF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r>
      <w:tr w14:paraId="3FD69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69488E4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0" w:type="auto"/>
            <w:vMerge w:val="continue"/>
            <w:tcBorders>
              <w:tl2br w:val="nil"/>
              <w:tr2bl w:val="nil"/>
            </w:tcBorders>
            <w:vAlign w:val="center"/>
          </w:tcPr>
          <w:p w14:paraId="07ADC10D">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771452C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67DB4CFD">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631BA21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tcBorders>
              <w:tl2br w:val="nil"/>
              <w:tr2bl w:val="nil"/>
            </w:tcBorders>
            <w:shd w:val="clear" w:color="auto" w:fill="auto"/>
            <w:vAlign w:val="center"/>
          </w:tcPr>
          <w:p w14:paraId="3BD3AB2D">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0" w:type="auto"/>
            <w:tcBorders>
              <w:tl2br w:val="nil"/>
              <w:tr2bl w:val="nil"/>
            </w:tcBorders>
            <w:vAlign w:val="center"/>
          </w:tcPr>
          <w:p w14:paraId="5F9DD7F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r>
      <w:tr w14:paraId="248DA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35E034A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0" w:type="auto"/>
            <w:vMerge w:val="continue"/>
            <w:tcBorders>
              <w:tl2br w:val="nil"/>
              <w:tr2bl w:val="nil"/>
            </w:tcBorders>
            <w:vAlign w:val="center"/>
          </w:tcPr>
          <w:p w14:paraId="61839037">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5CFD90B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78CDE6F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3F3C159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环境安全隐患排查与治理</w:t>
            </w:r>
          </w:p>
        </w:tc>
        <w:tc>
          <w:tcPr>
            <w:tcW w:w="0" w:type="auto"/>
            <w:tcBorders>
              <w:tl2br w:val="nil"/>
              <w:tr2bl w:val="nil"/>
            </w:tcBorders>
            <w:shd w:val="clear" w:color="auto" w:fill="auto"/>
            <w:vAlign w:val="center"/>
          </w:tcPr>
          <w:p w14:paraId="19011D5A">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0" w:type="auto"/>
            <w:tcBorders>
              <w:tl2br w:val="nil"/>
              <w:tr2bl w:val="nil"/>
            </w:tcBorders>
            <w:vAlign w:val="center"/>
          </w:tcPr>
          <w:p w14:paraId="62FED6C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r>
      <w:tr w14:paraId="6FDC4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2308D28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0" w:type="auto"/>
            <w:vMerge w:val="continue"/>
            <w:tcBorders>
              <w:tl2br w:val="nil"/>
              <w:tr2bl w:val="nil"/>
            </w:tcBorders>
            <w:vAlign w:val="center"/>
          </w:tcPr>
          <w:p w14:paraId="0302DAB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77A4CF3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0FD085C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359349D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tcBorders>
              <w:tl2br w:val="nil"/>
              <w:tr2bl w:val="nil"/>
            </w:tcBorders>
            <w:shd w:val="clear" w:color="auto" w:fill="auto"/>
            <w:vAlign w:val="center"/>
          </w:tcPr>
          <w:p w14:paraId="62E096EA">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0" w:type="auto"/>
            <w:tcBorders>
              <w:tl2br w:val="nil"/>
              <w:tr2bl w:val="nil"/>
            </w:tcBorders>
            <w:vAlign w:val="center"/>
          </w:tcPr>
          <w:p w14:paraId="28BE65D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r>
      <w:tr w14:paraId="72792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6365171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0" w:type="auto"/>
            <w:vMerge w:val="continue"/>
            <w:tcBorders>
              <w:tl2br w:val="nil"/>
              <w:tr2bl w:val="nil"/>
            </w:tcBorders>
            <w:vAlign w:val="center"/>
          </w:tcPr>
          <w:p w14:paraId="29EB854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0C170BC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tcBorders>
              <w:tl2br w:val="nil"/>
              <w:tr2bl w:val="nil"/>
            </w:tcBorders>
            <w:vAlign w:val="center"/>
          </w:tcPr>
          <w:p w14:paraId="622433F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环境违法与环境纠纷情况</w:t>
            </w:r>
          </w:p>
        </w:tc>
        <w:tc>
          <w:tcPr>
            <w:tcW w:w="0" w:type="auto"/>
            <w:gridSpan w:val="2"/>
            <w:tcBorders>
              <w:tl2br w:val="nil"/>
              <w:tr2bl w:val="nil"/>
            </w:tcBorders>
            <w:vAlign w:val="center"/>
          </w:tcPr>
          <w:p w14:paraId="406B54A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近三年来是否存在环境违法行为或与周边存在环境纠纷</w:t>
            </w:r>
          </w:p>
        </w:tc>
        <w:tc>
          <w:tcPr>
            <w:tcW w:w="0" w:type="auto"/>
            <w:tcBorders>
              <w:tl2br w:val="nil"/>
              <w:tr2bl w:val="nil"/>
            </w:tcBorders>
            <w:shd w:val="clear" w:color="auto" w:fill="auto"/>
            <w:vAlign w:val="center"/>
          </w:tcPr>
          <w:p w14:paraId="1BBEC110">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59A09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185395D4">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0" w:type="auto"/>
            <w:vMerge w:val="continue"/>
            <w:tcBorders>
              <w:tl2br w:val="nil"/>
              <w:tr2bl w:val="nil"/>
            </w:tcBorders>
            <w:vAlign w:val="center"/>
          </w:tcPr>
          <w:p w14:paraId="5CD687E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restart"/>
            <w:tcBorders>
              <w:tl2br w:val="nil"/>
              <w:tr2bl w:val="nil"/>
            </w:tcBorders>
            <w:vAlign w:val="center"/>
          </w:tcPr>
          <w:p w14:paraId="435A768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历史事件情况</w:t>
            </w:r>
          </w:p>
        </w:tc>
        <w:tc>
          <w:tcPr>
            <w:tcW w:w="0" w:type="auto"/>
            <w:vMerge w:val="restart"/>
            <w:tcBorders>
              <w:tl2br w:val="nil"/>
              <w:tr2bl w:val="nil"/>
            </w:tcBorders>
            <w:vAlign w:val="center"/>
          </w:tcPr>
          <w:p w14:paraId="5165622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近三年来发生事故或事件情况（包括安全和环境方面）</w:t>
            </w:r>
          </w:p>
        </w:tc>
        <w:tc>
          <w:tcPr>
            <w:tcW w:w="0" w:type="auto"/>
            <w:gridSpan w:val="2"/>
            <w:tcBorders>
              <w:tl2br w:val="nil"/>
              <w:tr2bl w:val="nil"/>
            </w:tcBorders>
            <w:vAlign w:val="center"/>
          </w:tcPr>
          <w:p w14:paraId="1BF362B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事件等级</w:t>
            </w:r>
          </w:p>
        </w:tc>
        <w:tc>
          <w:tcPr>
            <w:tcW w:w="0" w:type="auto"/>
            <w:tcBorders>
              <w:tl2br w:val="nil"/>
              <w:tr2bl w:val="nil"/>
            </w:tcBorders>
            <w:shd w:val="clear" w:color="auto" w:fill="auto"/>
            <w:vAlign w:val="center"/>
          </w:tcPr>
          <w:p w14:paraId="54E9804C">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4CDDA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14:paraId="401B184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0" w:type="auto"/>
            <w:vMerge w:val="continue"/>
            <w:tcBorders>
              <w:tl2br w:val="nil"/>
              <w:tr2bl w:val="nil"/>
            </w:tcBorders>
            <w:vAlign w:val="center"/>
          </w:tcPr>
          <w:p w14:paraId="2A6A098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36F8E08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vMerge w:val="continue"/>
            <w:tcBorders>
              <w:tl2br w:val="nil"/>
              <w:tr2bl w:val="nil"/>
            </w:tcBorders>
            <w:vAlign w:val="center"/>
          </w:tcPr>
          <w:p w14:paraId="4F5135E7">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0" w:type="auto"/>
            <w:gridSpan w:val="2"/>
            <w:tcBorders>
              <w:tl2br w:val="nil"/>
              <w:tr2bl w:val="nil"/>
            </w:tcBorders>
            <w:vAlign w:val="center"/>
          </w:tcPr>
          <w:p w14:paraId="256209A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事件次数</w:t>
            </w:r>
          </w:p>
        </w:tc>
        <w:tc>
          <w:tcPr>
            <w:tcW w:w="0" w:type="auto"/>
            <w:tcBorders>
              <w:tl2br w:val="nil"/>
              <w:tr2bl w:val="nil"/>
            </w:tcBorders>
            <w:shd w:val="clear" w:color="auto" w:fill="auto"/>
            <w:vAlign w:val="center"/>
          </w:tcPr>
          <w:p w14:paraId="0C0CD764">
            <w:pPr>
              <w:pStyle w:val="11"/>
              <w:spacing w:after="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0</w:t>
            </w:r>
          </w:p>
        </w:tc>
      </w:tr>
      <w:tr w14:paraId="4976B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7"/>
            <w:tcBorders>
              <w:tl2br w:val="nil"/>
              <w:tr2bl w:val="nil"/>
            </w:tcBorders>
            <w:vAlign w:val="center"/>
          </w:tcPr>
          <w:p w14:paraId="65A1F5E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r>
    </w:tbl>
    <w:p w14:paraId="1F6829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依据尾矿库控制机制可靠性等别划分表，将控制机制可靠性（R）划分为R1、R2、R3三个等别，控制机制可靠性等别划分见表2.6-1</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280B0122">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表2.6-1</w:t>
      </w:r>
      <w:r>
        <w:rPr>
          <w:rFonts w:hint="default" w:ascii="Times New Roman" w:hAnsi="Times New Roman" w:cs="Times New Roman"/>
          <w:b/>
          <w:color w:val="auto"/>
          <w:kern w:val="0"/>
          <w:highlight w:val="none"/>
          <w:lang w:val="en-US" w:eastAsia="zh-CN"/>
        </w:rPr>
        <w:t>8</w:t>
      </w:r>
      <w:r>
        <w:rPr>
          <w:rFonts w:hint="default" w:ascii="Times New Roman" w:hAnsi="Times New Roman" w:cs="Times New Roman"/>
          <w:b/>
          <w:color w:val="auto"/>
          <w:kern w:val="0"/>
          <w:highlight w:val="none"/>
        </w:rPr>
        <w:t xml:space="preserve">    尾矿库控制机制可靠性（R）等别划分表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326EA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0054D185">
            <w:pPr>
              <w:pStyle w:val="32"/>
              <w:spacing w:after="0" w:line="360" w:lineRule="exact"/>
              <w:ind w:left="0" w:leftChars="0" w:firstLine="0" w:firstLineChars="0"/>
              <w:jc w:val="center"/>
              <w:rPr>
                <w:rFonts w:hint="default" w:ascii="Times New Roman" w:hAnsi="Times New Roman" w:cs="Times New Roman"/>
                <w:b/>
                <w:color w:val="auto"/>
                <w:szCs w:val="16"/>
                <w:highlight w:val="none"/>
              </w:rPr>
            </w:pPr>
            <w:r>
              <w:rPr>
                <w:rFonts w:hint="default" w:ascii="Times New Roman" w:hAnsi="Times New Roman" w:cs="Times New Roman"/>
                <w:b/>
                <w:color w:val="auto"/>
                <w:kern w:val="0"/>
                <w:szCs w:val="16"/>
                <w:highlight w:val="none"/>
              </w:rPr>
              <w:t>尾矿库控制机制可靠性（D</w:t>
            </w:r>
            <w:r>
              <w:rPr>
                <w:rFonts w:hint="default" w:ascii="Times New Roman" w:hAnsi="Times New Roman" w:cs="Times New Roman"/>
                <w:b/>
                <w:color w:val="auto"/>
                <w:kern w:val="0"/>
                <w:szCs w:val="16"/>
                <w:highlight w:val="none"/>
                <w:vertAlign w:val="subscript"/>
              </w:rPr>
              <w:t>R</w:t>
            </w:r>
            <w:r>
              <w:rPr>
                <w:rFonts w:hint="default" w:ascii="Times New Roman" w:hAnsi="Times New Roman" w:cs="Times New Roman"/>
                <w:b/>
                <w:color w:val="auto"/>
                <w:kern w:val="0"/>
                <w:szCs w:val="16"/>
                <w:highlight w:val="none"/>
              </w:rPr>
              <w:t>）</w:t>
            </w:r>
          </w:p>
        </w:tc>
        <w:tc>
          <w:tcPr>
            <w:tcW w:w="4261" w:type="dxa"/>
            <w:vAlign w:val="center"/>
          </w:tcPr>
          <w:p w14:paraId="239D7CC7">
            <w:pPr>
              <w:pStyle w:val="32"/>
              <w:spacing w:after="0" w:line="360" w:lineRule="exact"/>
              <w:ind w:left="0" w:leftChars="0" w:firstLine="0" w:firstLineChars="0"/>
              <w:jc w:val="center"/>
              <w:rPr>
                <w:rFonts w:hint="default" w:ascii="Times New Roman" w:hAnsi="Times New Roman" w:cs="Times New Roman"/>
                <w:b/>
                <w:color w:val="auto"/>
                <w:szCs w:val="16"/>
                <w:highlight w:val="none"/>
              </w:rPr>
            </w:pPr>
            <w:r>
              <w:rPr>
                <w:rFonts w:hint="default" w:ascii="Times New Roman" w:hAnsi="Times New Roman" w:cs="Times New Roman"/>
                <w:b/>
                <w:color w:val="auto"/>
                <w:szCs w:val="16"/>
                <w:highlight w:val="none"/>
              </w:rPr>
              <w:t>尾矿库环境危害性（R）等别代码</w:t>
            </w:r>
          </w:p>
        </w:tc>
      </w:tr>
      <w:tr w14:paraId="4D0DC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2D73681D">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kern w:val="0"/>
                <w:szCs w:val="16"/>
                <w:highlight w:val="none"/>
              </w:rPr>
              <w:t>D</w:t>
            </w:r>
            <w:r>
              <w:rPr>
                <w:rFonts w:hint="default" w:ascii="Times New Roman" w:hAnsi="Times New Roman" w:cs="Times New Roman"/>
                <w:bCs/>
                <w:color w:val="auto"/>
                <w:kern w:val="0"/>
                <w:szCs w:val="16"/>
                <w:highlight w:val="none"/>
                <w:vertAlign w:val="subscript"/>
              </w:rPr>
              <w:t>R</w:t>
            </w:r>
            <w:r>
              <w:rPr>
                <w:rFonts w:hint="default" w:ascii="Times New Roman" w:hAnsi="Times New Roman" w:cs="Times New Roman"/>
                <w:bCs/>
                <w:color w:val="auto"/>
                <w:kern w:val="0"/>
                <w:szCs w:val="16"/>
                <w:highlight w:val="none"/>
              </w:rPr>
              <w:t>&gt;60</w:t>
            </w:r>
          </w:p>
        </w:tc>
        <w:tc>
          <w:tcPr>
            <w:tcW w:w="4261" w:type="dxa"/>
            <w:vAlign w:val="center"/>
          </w:tcPr>
          <w:p w14:paraId="0B2C6F09">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szCs w:val="16"/>
                <w:highlight w:val="none"/>
              </w:rPr>
              <w:t>R1</w:t>
            </w:r>
          </w:p>
        </w:tc>
      </w:tr>
      <w:tr w14:paraId="12C14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7A76D6D8">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kern w:val="0"/>
                <w:szCs w:val="16"/>
                <w:highlight w:val="none"/>
              </w:rPr>
              <w:t>30&lt;D</w:t>
            </w:r>
            <w:r>
              <w:rPr>
                <w:rFonts w:hint="default" w:ascii="Times New Roman" w:hAnsi="Times New Roman" w:cs="Times New Roman"/>
                <w:bCs/>
                <w:color w:val="auto"/>
                <w:kern w:val="0"/>
                <w:szCs w:val="16"/>
                <w:highlight w:val="none"/>
                <w:vertAlign w:val="subscript"/>
              </w:rPr>
              <w:t>R</w:t>
            </w:r>
            <w:r>
              <w:rPr>
                <w:rFonts w:hint="default" w:ascii="Times New Roman" w:hAnsi="Times New Roman" w:cs="Times New Roman"/>
                <w:bCs/>
                <w:color w:val="auto"/>
                <w:kern w:val="0"/>
                <w:szCs w:val="16"/>
                <w:highlight w:val="none"/>
              </w:rPr>
              <w:t>≦60</w:t>
            </w:r>
          </w:p>
        </w:tc>
        <w:tc>
          <w:tcPr>
            <w:tcW w:w="4261" w:type="dxa"/>
            <w:vAlign w:val="center"/>
          </w:tcPr>
          <w:p w14:paraId="5FAA0D2E">
            <w:pPr>
              <w:pStyle w:val="32"/>
              <w:spacing w:after="0" w:line="360" w:lineRule="exact"/>
              <w:ind w:left="0" w:leftChars="0" w:firstLine="0" w:firstLineChars="0"/>
              <w:jc w:val="center"/>
              <w:rPr>
                <w:rFonts w:hint="default" w:ascii="Times New Roman" w:hAnsi="Times New Roman" w:cs="Times New Roman"/>
                <w:bCs/>
                <w:color w:val="auto"/>
                <w:szCs w:val="16"/>
                <w:highlight w:val="none"/>
              </w:rPr>
            </w:pPr>
            <w:r>
              <w:rPr>
                <w:rFonts w:hint="default" w:ascii="Times New Roman" w:hAnsi="Times New Roman" w:cs="Times New Roman"/>
                <w:bCs/>
                <w:color w:val="auto"/>
                <w:szCs w:val="16"/>
                <w:highlight w:val="none"/>
              </w:rPr>
              <w:t>R2</w:t>
            </w:r>
          </w:p>
        </w:tc>
      </w:tr>
      <w:tr w14:paraId="46383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5FEB1E93">
            <w:pPr>
              <w:pStyle w:val="32"/>
              <w:spacing w:after="0" w:line="360" w:lineRule="exact"/>
              <w:ind w:left="0" w:leftChars="0" w:firstLine="0" w:firstLineChars="0"/>
              <w:jc w:val="center"/>
              <w:rPr>
                <w:rFonts w:hint="default" w:ascii="Times New Roman" w:hAnsi="Times New Roman" w:cs="Times New Roman"/>
                <w:b/>
                <w:bCs w:val="0"/>
                <w:color w:val="auto"/>
                <w:szCs w:val="16"/>
                <w:highlight w:val="none"/>
              </w:rPr>
            </w:pPr>
            <w:r>
              <w:rPr>
                <w:rFonts w:hint="default" w:ascii="Times New Roman" w:hAnsi="Times New Roman" w:cs="Times New Roman"/>
                <w:b/>
                <w:bCs w:val="0"/>
                <w:color w:val="auto"/>
                <w:kern w:val="0"/>
                <w:szCs w:val="16"/>
                <w:highlight w:val="none"/>
              </w:rPr>
              <w:t>D</w:t>
            </w:r>
            <w:r>
              <w:rPr>
                <w:rFonts w:hint="default" w:ascii="Times New Roman" w:hAnsi="Times New Roman" w:cs="Times New Roman"/>
                <w:b/>
                <w:bCs w:val="0"/>
                <w:color w:val="auto"/>
                <w:kern w:val="0"/>
                <w:szCs w:val="16"/>
                <w:highlight w:val="none"/>
                <w:vertAlign w:val="subscript"/>
              </w:rPr>
              <w:t>R</w:t>
            </w:r>
            <w:r>
              <w:rPr>
                <w:rFonts w:hint="default" w:ascii="Times New Roman" w:hAnsi="Times New Roman" w:cs="Times New Roman"/>
                <w:b/>
                <w:bCs w:val="0"/>
                <w:color w:val="auto"/>
                <w:kern w:val="0"/>
                <w:szCs w:val="16"/>
                <w:highlight w:val="none"/>
              </w:rPr>
              <w:t>≦30</w:t>
            </w:r>
          </w:p>
        </w:tc>
        <w:tc>
          <w:tcPr>
            <w:tcW w:w="4261" w:type="dxa"/>
            <w:vAlign w:val="center"/>
          </w:tcPr>
          <w:p w14:paraId="00F519B6">
            <w:pPr>
              <w:pStyle w:val="32"/>
              <w:spacing w:after="0" w:line="360" w:lineRule="exact"/>
              <w:ind w:left="0" w:leftChars="0" w:firstLine="0" w:firstLineChars="0"/>
              <w:jc w:val="center"/>
              <w:rPr>
                <w:rFonts w:hint="default" w:ascii="Times New Roman" w:hAnsi="Times New Roman" w:cs="Times New Roman"/>
                <w:b/>
                <w:bCs w:val="0"/>
                <w:color w:val="auto"/>
                <w:szCs w:val="16"/>
                <w:highlight w:val="none"/>
              </w:rPr>
            </w:pPr>
            <w:r>
              <w:rPr>
                <w:rFonts w:hint="default" w:ascii="Times New Roman" w:hAnsi="Times New Roman" w:cs="Times New Roman"/>
                <w:b/>
                <w:bCs w:val="0"/>
                <w:color w:val="auto"/>
                <w:szCs w:val="16"/>
                <w:highlight w:val="none"/>
              </w:rPr>
              <w:t>R3</w:t>
            </w:r>
          </w:p>
        </w:tc>
      </w:tr>
    </w:tbl>
    <w:p w14:paraId="1F65177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根据《尾矿库环境风险评估技术导则（试行）》（HJ740-2015）附录D中各指标评分方法，本项目尾矿库总得分为</w:t>
      </w:r>
      <w:r>
        <w:rPr>
          <w:rFonts w:hint="default" w:cs="Times New Roman"/>
          <w:color w:val="auto"/>
          <w:highlight w:val="none"/>
          <w:lang w:val="en-US" w:eastAsia="zh-CN"/>
        </w:rPr>
        <w:t>3.5</w:t>
      </w:r>
      <w:r>
        <w:rPr>
          <w:rFonts w:hint="default" w:ascii="Times New Roman" w:hAnsi="Times New Roman" w:cs="Times New Roman"/>
          <w:color w:val="auto"/>
          <w:highlight w:val="none"/>
        </w:rPr>
        <w:t>，控制机制可靠性等别为R3。</w:t>
      </w:r>
    </w:p>
    <w:p w14:paraId="11AA8CD4">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szCs w:val="21"/>
          <w:highlight w:val="none"/>
          <w:lang w:val="zh-CN" w:bidi="ar"/>
        </w:rPr>
        <w:t>表</w:t>
      </w:r>
      <w:r>
        <w:rPr>
          <w:rFonts w:hint="default" w:ascii="Times New Roman" w:hAnsi="Times New Roman" w:cs="Times New Roman"/>
          <w:b/>
          <w:color w:val="auto"/>
          <w:szCs w:val="21"/>
          <w:highlight w:val="none"/>
          <w:lang w:bidi="ar"/>
        </w:rPr>
        <w:t>2.6-1</w:t>
      </w:r>
      <w:r>
        <w:rPr>
          <w:rFonts w:hint="default" w:ascii="Times New Roman" w:hAnsi="Times New Roman" w:cs="Times New Roman"/>
          <w:b/>
          <w:color w:val="auto"/>
          <w:szCs w:val="21"/>
          <w:highlight w:val="none"/>
          <w:lang w:val="en-US" w:eastAsia="zh-CN" w:bidi="ar"/>
        </w:rPr>
        <w:t>9</w:t>
      </w:r>
      <w:r>
        <w:rPr>
          <w:rFonts w:hint="default" w:ascii="Times New Roman" w:hAnsi="Times New Roman" w:cs="Times New Roman"/>
          <w:b/>
          <w:color w:val="auto"/>
          <w:szCs w:val="21"/>
          <w:highlight w:val="none"/>
          <w:lang w:bidi="ar"/>
        </w:rPr>
        <w:t xml:space="preserve">    尾矿库环境风险等级划分矩阵</w:t>
      </w:r>
    </w:p>
    <w:tbl>
      <w:tblPr>
        <w:tblStyle w:val="33"/>
        <w:tblW w:w="851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810"/>
        <w:gridCol w:w="1751"/>
        <w:gridCol w:w="2040"/>
        <w:gridCol w:w="2134"/>
        <w:gridCol w:w="1782"/>
      </w:tblGrid>
      <w:tr w14:paraId="368F9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blHeader/>
        </w:trPr>
        <w:tc>
          <w:tcPr>
            <w:tcW w:w="810" w:type="dxa"/>
            <w:vMerge w:val="restart"/>
            <w:tcBorders>
              <w:tl2br w:val="nil"/>
              <w:tr2bl w:val="nil"/>
            </w:tcBorders>
            <w:shd w:val="clear" w:color="auto" w:fill="auto"/>
            <w:vAlign w:val="center"/>
          </w:tcPr>
          <w:p w14:paraId="76F5E155">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序号</w:t>
            </w:r>
          </w:p>
        </w:tc>
        <w:tc>
          <w:tcPr>
            <w:tcW w:w="5925" w:type="dxa"/>
            <w:gridSpan w:val="3"/>
            <w:tcBorders>
              <w:tl2br w:val="nil"/>
              <w:tr2bl w:val="nil"/>
            </w:tcBorders>
            <w:shd w:val="clear" w:color="auto" w:fill="auto"/>
            <w:vAlign w:val="center"/>
          </w:tcPr>
          <w:p w14:paraId="417E4CC8">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情形</w:t>
            </w:r>
          </w:p>
        </w:tc>
        <w:tc>
          <w:tcPr>
            <w:tcW w:w="1782" w:type="dxa"/>
            <w:vMerge w:val="restart"/>
            <w:tcBorders>
              <w:tl2br w:val="nil"/>
              <w:tr2bl w:val="nil"/>
            </w:tcBorders>
            <w:shd w:val="clear" w:color="auto" w:fill="auto"/>
            <w:vAlign w:val="center"/>
          </w:tcPr>
          <w:p w14:paraId="093755E4">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环境风险</w:t>
            </w:r>
          </w:p>
          <w:p w14:paraId="16056BBE">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等级</w:t>
            </w:r>
          </w:p>
        </w:tc>
      </w:tr>
      <w:tr w14:paraId="65D9EF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vMerge w:val="continue"/>
            <w:tcBorders>
              <w:tl2br w:val="nil"/>
              <w:tr2bl w:val="nil"/>
            </w:tcBorders>
            <w:shd w:val="clear" w:color="auto" w:fill="auto"/>
            <w:vAlign w:val="center"/>
          </w:tcPr>
          <w:p w14:paraId="7F8876C5">
            <w:pPr>
              <w:ind w:firstLine="400"/>
              <w:rPr>
                <w:rFonts w:hint="default" w:ascii="Times New Roman" w:hAnsi="Times New Roman" w:cs="Times New Roman"/>
                <w:color w:val="auto"/>
                <w:sz w:val="20"/>
                <w:szCs w:val="20"/>
                <w:highlight w:val="none"/>
              </w:rPr>
            </w:pPr>
          </w:p>
        </w:tc>
        <w:tc>
          <w:tcPr>
            <w:tcW w:w="1751" w:type="dxa"/>
            <w:tcBorders>
              <w:tl2br w:val="nil"/>
              <w:tr2bl w:val="nil"/>
            </w:tcBorders>
            <w:shd w:val="clear" w:color="auto" w:fill="auto"/>
            <w:vAlign w:val="center"/>
          </w:tcPr>
          <w:p w14:paraId="653EEF4C">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环境危害性（H）</w:t>
            </w:r>
          </w:p>
        </w:tc>
        <w:tc>
          <w:tcPr>
            <w:tcW w:w="2040" w:type="dxa"/>
            <w:tcBorders>
              <w:tl2br w:val="nil"/>
              <w:tr2bl w:val="nil"/>
            </w:tcBorders>
            <w:shd w:val="clear" w:color="auto" w:fill="auto"/>
            <w:vAlign w:val="center"/>
          </w:tcPr>
          <w:p w14:paraId="4E7C1B49">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周边环境敏感性（S）</w:t>
            </w:r>
          </w:p>
        </w:tc>
        <w:tc>
          <w:tcPr>
            <w:tcW w:w="2134" w:type="dxa"/>
            <w:tcBorders>
              <w:tl2br w:val="nil"/>
              <w:tr2bl w:val="nil"/>
            </w:tcBorders>
            <w:shd w:val="clear" w:color="auto" w:fill="auto"/>
            <w:vAlign w:val="center"/>
          </w:tcPr>
          <w:p w14:paraId="5B6A5867">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控制机制可靠性（R）</w:t>
            </w:r>
          </w:p>
        </w:tc>
        <w:tc>
          <w:tcPr>
            <w:tcW w:w="1782" w:type="dxa"/>
            <w:vMerge w:val="continue"/>
            <w:tcBorders>
              <w:tl2br w:val="nil"/>
              <w:tr2bl w:val="nil"/>
            </w:tcBorders>
            <w:shd w:val="clear" w:color="auto" w:fill="auto"/>
            <w:vAlign w:val="center"/>
          </w:tcPr>
          <w:p w14:paraId="5DF40C03">
            <w:pPr>
              <w:ind w:firstLine="400"/>
              <w:rPr>
                <w:rFonts w:hint="default" w:ascii="Times New Roman" w:hAnsi="Times New Roman" w:cs="Times New Roman"/>
                <w:color w:val="auto"/>
                <w:sz w:val="20"/>
                <w:szCs w:val="20"/>
                <w:highlight w:val="none"/>
              </w:rPr>
            </w:pPr>
          </w:p>
        </w:tc>
      </w:tr>
      <w:tr w14:paraId="53CB9E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30AC46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w:t>
            </w:r>
          </w:p>
        </w:tc>
        <w:tc>
          <w:tcPr>
            <w:tcW w:w="1751" w:type="dxa"/>
            <w:vMerge w:val="restart"/>
            <w:tcBorders>
              <w:tl2br w:val="nil"/>
              <w:tr2bl w:val="nil"/>
            </w:tcBorders>
            <w:shd w:val="clear" w:color="auto" w:fill="auto"/>
            <w:vAlign w:val="center"/>
          </w:tcPr>
          <w:p w14:paraId="35C7B09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H1</w:t>
            </w:r>
          </w:p>
        </w:tc>
        <w:tc>
          <w:tcPr>
            <w:tcW w:w="2040" w:type="dxa"/>
            <w:vMerge w:val="restart"/>
            <w:tcBorders>
              <w:tl2br w:val="nil"/>
              <w:tr2bl w:val="nil"/>
            </w:tcBorders>
            <w:shd w:val="clear" w:color="auto" w:fill="auto"/>
            <w:vAlign w:val="center"/>
          </w:tcPr>
          <w:p w14:paraId="3549E27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361FC1B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088D7BC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47B4A9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33371E1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w:t>
            </w:r>
          </w:p>
        </w:tc>
        <w:tc>
          <w:tcPr>
            <w:tcW w:w="1751" w:type="dxa"/>
            <w:vMerge w:val="continue"/>
            <w:tcBorders>
              <w:tl2br w:val="nil"/>
              <w:tr2bl w:val="nil"/>
            </w:tcBorders>
            <w:shd w:val="clear" w:color="auto" w:fill="auto"/>
            <w:vAlign w:val="center"/>
          </w:tcPr>
          <w:p w14:paraId="32B323DF">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338D8197">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5801C5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0DD11D5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6C4F7D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D53741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3</w:t>
            </w:r>
          </w:p>
        </w:tc>
        <w:tc>
          <w:tcPr>
            <w:tcW w:w="1751" w:type="dxa"/>
            <w:vMerge w:val="continue"/>
            <w:tcBorders>
              <w:tl2br w:val="nil"/>
              <w:tr2bl w:val="nil"/>
            </w:tcBorders>
            <w:shd w:val="clear" w:color="auto" w:fill="auto"/>
            <w:vAlign w:val="center"/>
          </w:tcPr>
          <w:p w14:paraId="31FC8AB1">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3DF856FF">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6EBCB04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5A5F397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51877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BC050D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4</w:t>
            </w:r>
          </w:p>
        </w:tc>
        <w:tc>
          <w:tcPr>
            <w:tcW w:w="1751" w:type="dxa"/>
            <w:vMerge w:val="continue"/>
            <w:tcBorders>
              <w:tl2br w:val="nil"/>
              <w:tr2bl w:val="nil"/>
            </w:tcBorders>
            <w:shd w:val="clear" w:color="auto" w:fill="auto"/>
            <w:vAlign w:val="center"/>
          </w:tcPr>
          <w:p w14:paraId="2C727B62">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68995BF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75E8D42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3F41C65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00217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BDA8A9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5</w:t>
            </w:r>
          </w:p>
        </w:tc>
        <w:tc>
          <w:tcPr>
            <w:tcW w:w="1751" w:type="dxa"/>
            <w:vMerge w:val="continue"/>
            <w:tcBorders>
              <w:tl2br w:val="nil"/>
              <w:tr2bl w:val="nil"/>
            </w:tcBorders>
            <w:shd w:val="clear" w:color="auto" w:fill="auto"/>
            <w:vAlign w:val="center"/>
          </w:tcPr>
          <w:p w14:paraId="3FA61302">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4E0BCB39">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3CDBBE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600C04F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11D89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B550EB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6</w:t>
            </w:r>
          </w:p>
        </w:tc>
        <w:tc>
          <w:tcPr>
            <w:tcW w:w="1751" w:type="dxa"/>
            <w:vMerge w:val="continue"/>
            <w:tcBorders>
              <w:tl2br w:val="nil"/>
              <w:tr2bl w:val="nil"/>
            </w:tcBorders>
            <w:shd w:val="clear" w:color="auto" w:fill="auto"/>
            <w:vAlign w:val="center"/>
          </w:tcPr>
          <w:p w14:paraId="7D4E6CA3">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859B898">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623E460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5CDDBDD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2088A2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69CDDC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7</w:t>
            </w:r>
          </w:p>
        </w:tc>
        <w:tc>
          <w:tcPr>
            <w:tcW w:w="1751" w:type="dxa"/>
            <w:vMerge w:val="continue"/>
            <w:tcBorders>
              <w:tl2br w:val="nil"/>
              <w:tr2bl w:val="nil"/>
            </w:tcBorders>
            <w:shd w:val="clear" w:color="auto" w:fill="auto"/>
            <w:vAlign w:val="center"/>
          </w:tcPr>
          <w:p w14:paraId="4F0D977A">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2B77EB3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S3</w:t>
            </w:r>
          </w:p>
        </w:tc>
        <w:tc>
          <w:tcPr>
            <w:tcW w:w="2134" w:type="dxa"/>
            <w:tcBorders>
              <w:tl2br w:val="nil"/>
              <w:tr2bl w:val="nil"/>
            </w:tcBorders>
            <w:shd w:val="clear" w:color="auto" w:fill="auto"/>
            <w:vAlign w:val="center"/>
          </w:tcPr>
          <w:p w14:paraId="25EA5AC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07DFE54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58E36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467F26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8</w:t>
            </w:r>
          </w:p>
        </w:tc>
        <w:tc>
          <w:tcPr>
            <w:tcW w:w="1751" w:type="dxa"/>
            <w:vMerge w:val="continue"/>
            <w:tcBorders>
              <w:tl2br w:val="nil"/>
              <w:tr2bl w:val="nil"/>
            </w:tcBorders>
            <w:shd w:val="clear" w:color="auto" w:fill="auto"/>
            <w:vAlign w:val="center"/>
          </w:tcPr>
          <w:p w14:paraId="2ACD3E91">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01FA4C3">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7EE22F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2B8EDC6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18D26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342BE7A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9</w:t>
            </w:r>
          </w:p>
        </w:tc>
        <w:tc>
          <w:tcPr>
            <w:tcW w:w="1751" w:type="dxa"/>
            <w:vMerge w:val="continue"/>
            <w:tcBorders>
              <w:tl2br w:val="nil"/>
              <w:tr2bl w:val="nil"/>
            </w:tcBorders>
            <w:shd w:val="clear" w:color="auto" w:fill="auto"/>
            <w:vAlign w:val="center"/>
          </w:tcPr>
          <w:p w14:paraId="54973FD6">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2733F9A">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7619F1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3A1A404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56AA76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7888A0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10</w:t>
            </w:r>
          </w:p>
        </w:tc>
        <w:tc>
          <w:tcPr>
            <w:tcW w:w="1751" w:type="dxa"/>
            <w:vMerge w:val="restart"/>
            <w:tcBorders>
              <w:tl2br w:val="nil"/>
              <w:tr2bl w:val="nil"/>
            </w:tcBorders>
            <w:shd w:val="clear" w:color="auto" w:fill="auto"/>
            <w:vAlign w:val="center"/>
          </w:tcPr>
          <w:p w14:paraId="4EBBBFC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H2</w:t>
            </w:r>
          </w:p>
        </w:tc>
        <w:tc>
          <w:tcPr>
            <w:tcW w:w="2040" w:type="dxa"/>
            <w:vMerge w:val="restart"/>
            <w:tcBorders>
              <w:tl2br w:val="nil"/>
              <w:tr2bl w:val="nil"/>
            </w:tcBorders>
            <w:shd w:val="clear" w:color="auto" w:fill="auto"/>
            <w:vAlign w:val="center"/>
          </w:tcPr>
          <w:p w14:paraId="4FFE1E0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1CAB238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7E5F5D4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32C91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9F4523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11</w:t>
            </w:r>
          </w:p>
        </w:tc>
        <w:tc>
          <w:tcPr>
            <w:tcW w:w="1751" w:type="dxa"/>
            <w:vMerge w:val="continue"/>
            <w:tcBorders>
              <w:tl2br w:val="nil"/>
              <w:tr2bl w:val="nil"/>
            </w:tcBorders>
            <w:shd w:val="clear" w:color="auto" w:fill="auto"/>
            <w:vAlign w:val="center"/>
          </w:tcPr>
          <w:p w14:paraId="788D0FCA">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1C91EAD4">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CE2737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7D21840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069565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5712CC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12</w:t>
            </w:r>
          </w:p>
        </w:tc>
        <w:tc>
          <w:tcPr>
            <w:tcW w:w="1751" w:type="dxa"/>
            <w:vMerge w:val="continue"/>
            <w:tcBorders>
              <w:tl2br w:val="nil"/>
              <w:tr2bl w:val="nil"/>
            </w:tcBorders>
            <w:shd w:val="clear" w:color="auto" w:fill="auto"/>
            <w:vAlign w:val="center"/>
          </w:tcPr>
          <w:p w14:paraId="6A675753">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BCEB029">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4F912C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1D76427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78A96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4D6154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13</w:t>
            </w:r>
          </w:p>
        </w:tc>
        <w:tc>
          <w:tcPr>
            <w:tcW w:w="1751" w:type="dxa"/>
            <w:vMerge w:val="continue"/>
            <w:tcBorders>
              <w:tl2br w:val="nil"/>
              <w:tr2bl w:val="nil"/>
            </w:tcBorders>
            <w:shd w:val="clear" w:color="auto" w:fill="auto"/>
            <w:vAlign w:val="center"/>
          </w:tcPr>
          <w:p w14:paraId="2ED6561B">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66777B2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2519A49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04697BD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08DEE6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96DD88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14</w:t>
            </w:r>
          </w:p>
        </w:tc>
        <w:tc>
          <w:tcPr>
            <w:tcW w:w="1751" w:type="dxa"/>
            <w:vMerge w:val="continue"/>
            <w:tcBorders>
              <w:tl2br w:val="nil"/>
              <w:tr2bl w:val="nil"/>
            </w:tcBorders>
            <w:shd w:val="clear" w:color="auto" w:fill="auto"/>
            <w:vAlign w:val="center"/>
          </w:tcPr>
          <w:p w14:paraId="3E286DD0">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482467D">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A79D46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550417B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17EE4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2FCC6B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15</w:t>
            </w:r>
          </w:p>
        </w:tc>
        <w:tc>
          <w:tcPr>
            <w:tcW w:w="1751" w:type="dxa"/>
            <w:vMerge w:val="continue"/>
            <w:tcBorders>
              <w:tl2br w:val="nil"/>
              <w:tr2bl w:val="nil"/>
            </w:tcBorders>
            <w:shd w:val="clear" w:color="auto" w:fill="auto"/>
            <w:vAlign w:val="center"/>
          </w:tcPr>
          <w:p w14:paraId="210F163E">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3C9F3CB9">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24BCA8D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5B2BC4E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1B8F6A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39F261F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16</w:t>
            </w:r>
          </w:p>
        </w:tc>
        <w:tc>
          <w:tcPr>
            <w:tcW w:w="1751" w:type="dxa"/>
            <w:vMerge w:val="continue"/>
            <w:tcBorders>
              <w:tl2br w:val="nil"/>
              <w:tr2bl w:val="nil"/>
            </w:tcBorders>
            <w:shd w:val="clear" w:color="auto" w:fill="auto"/>
            <w:vAlign w:val="center"/>
          </w:tcPr>
          <w:p w14:paraId="08F4D114">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02FBA69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S3</w:t>
            </w:r>
          </w:p>
        </w:tc>
        <w:tc>
          <w:tcPr>
            <w:tcW w:w="2134" w:type="dxa"/>
            <w:tcBorders>
              <w:tl2br w:val="nil"/>
              <w:tr2bl w:val="nil"/>
            </w:tcBorders>
            <w:shd w:val="clear" w:color="auto" w:fill="auto"/>
            <w:vAlign w:val="center"/>
          </w:tcPr>
          <w:p w14:paraId="254DF47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6211E2F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5FE8ED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85C5E5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17</w:t>
            </w:r>
          </w:p>
        </w:tc>
        <w:tc>
          <w:tcPr>
            <w:tcW w:w="1751" w:type="dxa"/>
            <w:vMerge w:val="continue"/>
            <w:tcBorders>
              <w:tl2br w:val="nil"/>
              <w:tr2bl w:val="nil"/>
            </w:tcBorders>
            <w:shd w:val="clear" w:color="auto" w:fill="auto"/>
            <w:vAlign w:val="center"/>
          </w:tcPr>
          <w:p w14:paraId="70D6A3C2">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F7498B4">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817248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0AA5D1C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5CA05B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F61F4B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18</w:t>
            </w:r>
          </w:p>
        </w:tc>
        <w:tc>
          <w:tcPr>
            <w:tcW w:w="1751" w:type="dxa"/>
            <w:vMerge w:val="continue"/>
            <w:tcBorders>
              <w:tl2br w:val="nil"/>
              <w:tr2bl w:val="nil"/>
            </w:tcBorders>
            <w:shd w:val="clear" w:color="auto" w:fill="auto"/>
            <w:vAlign w:val="center"/>
          </w:tcPr>
          <w:p w14:paraId="2784B16A">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BF63E95">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C4F3E5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R3</w:t>
            </w:r>
          </w:p>
        </w:tc>
        <w:tc>
          <w:tcPr>
            <w:tcW w:w="1782" w:type="dxa"/>
            <w:tcBorders>
              <w:tl2br w:val="nil"/>
              <w:tr2bl w:val="nil"/>
            </w:tcBorders>
            <w:shd w:val="clear" w:color="auto" w:fill="auto"/>
            <w:vAlign w:val="center"/>
          </w:tcPr>
          <w:p w14:paraId="513ABFF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一般</w:t>
            </w:r>
          </w:p>
        </w:tc>
      </w:tr>
      <w:tr w14:paraId="39DC1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8124C7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19</w:t>
            </w:r>
          </w:p>
        </w:tc>
        <w:tc>
          <w:tcPr>
            <w:tcW w:w="1751" w:type="dxa"/>
            <w:vMerge w:val="restart"/>
            <w:tcBorders>
              <w:tl2br w:val="nil"/>
              <w:tr2bl w:val="nil"/>
            </w:tcBorders>
            <w:shd w:val="clear" w:color="auto" w:fill="auto"/>
            <w:vAlign w:val="center"/>
          </w:tcPr>
          <w:p w14:paraId="16B5DA8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H3</w:t>
            </w:r>
          </w:p>
        </w:tc>
        <w:tc>
          <w:tcPr>
            <w:tcW w:w="2040" w:type="dxa"/>
            <w:vMerge w:val="restart"/>
            <w:tcBorders>
              <w:tl2br w:val="nil"/>
              <w:tr2bl w:val="nil"/>
            </w:tcBorders>
            <w:shd w:val="clear" w:color="auto" w:fill="auto"/>
            <w:vAlign w:val="center"/>
          </w:tcPr>
          <w:p w14:paraId="44B34E1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5A100C1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335689C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40BC38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427BE7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20</w:t>
            </w:r>
          </w:p>
        </w:tc>
        <w:tc>
          <w:tcPr>
            <w:tcW w:w="1751" w:type="dxa"/>
            <w:vMerge w:val="continue"/>
            <w:tcBorders>
              <w:tl2br w:val="nil"/>
              <w:tr2bl w:val="nil"/>
            </w:tcBorders>
            <w:shd w:val="clear" w:color="auto" w:fill="auto"/>
            <w:vAlign w:val="center"/>
          </w:tcPr>
          <w:p w14:paraId="2803FF33">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3AA1CABC">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29CB13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1E4E362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0E9DD3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1ECAFD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21</w:t>
            </w:r>
          </w:p>
        </w:tc>
        <w:tc>
          <w:tcPr>
            <w:tcW w:w="1751" w:type="dxa"/>
            <w:vMerge w:val="continue"/>
            <w:tcBorders>
              <w:tl2br w:val="nil"/>
              <w:tr2bl w:val="nil"/>
            </w:tcBorders>
            <w:shd w:val="clear" w:color="auto" w:fill="auto"/>
            <w:vAlign w:val="center"/>
          </w:tcPr>
          <w:p w14:paraId="6FBF3568">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457401B0">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6E9E36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127A79B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3DE33F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D0ECC7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22</w:t>
            </w:r>
          </w:p>
        </w:tc>
        <w:tc>
          <w:tcPr>
            <w:tcW w:w="1751" w:type="dxa"/>
            <w:vMerge w:val="continue"/>
            <w:tcBorders>
              <w:tl2br w:val="nil"/>
              <w:tr2bl w:val="nil"/>
            </w:tcBorders>
            <w:shd w:val="clear" w:color="auto" w:fill="auto"/>
            <w:vAlign w:val="center"/>
          </w:tcPr>
          <w:p w14:paraId="301F797D">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37376A0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57E365D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49D6999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199D6D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D83B4E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23</w:t>
            </w:r>
          </w:p>
        </w:tc>
        <w:tc>
          <w:tcPr>
            <w:tcW w:w="1751" w:type="dxa"/>
            <w:vMerge w:val="continue"/>
            <w:tcBorders>
              <w:tl2br w:val="nil"/>
              <w:tr2bl w:val="nil"/>
            </w:tcBorders>
            <w:shd w:val="clear" w:color="auto" w:fill="auto"/>
            <w:vAlign w:val="center"/>
          </w:tcPr>
          <w:p w14:paraId="011E211B">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5E5F055">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341A61E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1F65349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57688A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8911EE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24</w:t>
            </w:r>
          </w:p>
        </w:tc>
        <w:tc>
          <w:tcPr>
            <w:tcW w:w="1751" w:type="dxa"/>
            <w:vMerge w:val="continue"/>
            <w:tcBorders>
              <w:tl2br w:val="nil"/>
              <w:tr2bl w:val="nil"/>
            </w:tcBorders>
            <w:shd w:val="clear" w:color="auto" w:fill="auto"/>
            <w:vAlign w:val="center"/>
          </w:tcPr>
          <w:p w14:paraId="573B83DD">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74FEDD87">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6598F5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2FDD1B4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03F371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4D6571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25</w:t>
            </w:r>
          </w:p>
        </w:tc>
        <w:tc>
          <w:tcPr>
            <w:tcW w:w="1751" w:type="dxa"/>
            <w:vMerge w:val="continue"/>
            <w:tcBorders>
              <w:tl2br w:val="nil"/>
              <w:tr2bl w:val="nil"/>
            </w:tcBorders>
            <w:shd w:val="clear" w:color="auto" w:fill="auto"/>
            <w:vAlign w:val="center"/>
          </w:tcPr>
          <w:p w14:paraId="4CD4CF7B">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4A431B8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S3</w:t>
            </w:r>
          </w:p>
        </w:tc>
        <w:tc>
          <w:tcPr>
            <w:tcW w:w="2134" w:type="dxa"/>
            <w:tcBorders>
              <w:tl2br w:val="nil"/>
              <w:tr2bl w:val="nil"/>
            </w:tcBorders>
            <w:shd w:val="clear" w:color="auto" w:fill="auto"/>
            <w:vAlign w:val="center"/>
          </w:tcPr>
          <w:p w14:paraId="69BE9AC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241A7C4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2B5F9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7A4975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26</w:t>
            </w:r>
          </w:p>
        </w:tc>
        <w:tc>
          <w:tcPr>
            <w:tcW w:w="1751" w:type="dxa"/>
            <w:vMerge w:val="continue"/>
            <w:tcBorders>
              <w:tl2br w:val="nil"/>
              <w:tr2bl w:val="nil"/>
            </w:tcBorders>
            <w:shd w:val="clear" w:color="auto" w:fill="auto"/>
            <w:vAlign w:val="center"/>
          </w:tcPr>
          <w:p w14:paraId="688FFCCE">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A19EC51">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778B7D9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0C56E02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1A2A5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C9B704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27</w:t>
            </w:r>
          </w:p>
        </w:tc>
        <w:tc>
          <w:tcPr>
            <w:tcW w:w="1751" w:type="dxa"/>
            <w:vMerge w:val="continue"/>
            <w:tcBorders>
              <w:tl2br w:val="nil"/>
              <w:tr2bl w:val="nil"/>
            </w:tcBorders>
            <w:shd w:val="clear" w:color="auto" w:fill="auto"/>
            <w:vAlign w:val="center"/>
          </w:tcPr>
          <w:p w14:paraId="7061DCB0">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23038EF">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1C1B87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2F03139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bl>
    <w:p w14:paraId="149DA4A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根据以上判定，结合《尾矿库环境风险评估技术导则（试行）》（HJ740-2015）表7中等级划分矩阵，确定本次评价尾矿库环境风险等级为一般（H</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R3）。</w:t>
      </w:r>
    </w:p>
    <w:p w14:paraId="0F5DC3CF">
      <w:pPr>
        <w:pStyle w:val="4"/>
        <w:rPr>
          <w:rFonts w:hint="default" w:ascii="Times New Roman" w:hAnsi="Times New Roman" w:cs="Times New Roman"/>
          <w:color w:val="auto"/>
          <w:highlight w:val="none"/>
        </w:rPr>
      </w:pPr>
      <w:bookmarkStart w:id="261" w:name="_Toc19418"/>
      <w:bookmarkStart w:id="262" w:name="_Toc22727"/>
      <w:bookmarkStart w:id="263" w:name="_Toc14513"/>
      <w:bookmarkStart w:id="264" w:name="_Toc21557"/>
      <w:bookmarkStart w:id="265" w:name="_Toc5345"/>
      <w:bookmarkStart w:id="266" w:name="_Toc12187"/>
      <w:bookmarkStart w:id="267" w:name="_Toc9002"/>
      <w:bookmarkStart w:id="268" w:name="_Toc5262"/>
      <w:bookmarkStart w:id="269" w:name="_Toc4804"/>
      <w:r>
        <w:rPr>
          <w:rFonts w:hint="default" w:ascii="Times New Roman" w:hAnsi="Times New Roman" w:cs="Times New Roman"/>
          <w:color w:val="auto"/>
          <w:highlight w:val="none"/>
        </w:rPr>
        <w:t>2.6.2评价范围</w:t>
      </w:r>
      <w:bookmarkEnd w:id="261"/>
      <w:bookmarkEnd w:id="262"/>
      <w:bookmarkEnd w:id="263"/>
      <w:bookmarkEnd w:id="264"/>
      <w:bookmarkEnd w:id="265"/>
      <w:bookmarkEnd w:id="266"/>
      <w:bookmarkEnd w:id="267"/>
      <w:bookmarkEnd w:id="268"/>
      <w:bookmarkEnd w:id="269"/>
    </w:p>
    <w:p w14:paraId="53AE980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根据评价工作等级及当地气象条件、自然环境状况确定各环境要素评价范围如下：</w:t>
      </w:r>
    </w:p>
    <w:p w14:paraId="0847D98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（1）环境空气</w:t>
      </w:r>
    </w:p>
    <w:p w14:paraId="60744857">
      <w:pPr>
        <w:pStyle w:val="80"/>
        <w:widowControl/>
        <w:overflowPunct w:val="0"/>
        <w:topLinePunct/>
        <w:spacing w:line="500" w:lineRule="exac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本项目大气环境影响评价等级为</w:t>
      </w:r>
      <w:r>
        <w:rPr>
          <w:rFonts w:hint="default" w:hAnsi="Times New Roman" w:cs="Times New Roman"/>
          <w:color w:val="auto"/>
          <w:szCs w:val="24"/>
          <w:highlight w:val="none"/>
          <w:lang w:val="en-US" w:eastAsia="zh-CN"/>
        </w:rPr>
        <w:t>一</w:t>
      </w:r>
      <w:r>
        <w:rPr>
          <w:rFonts w:hint="default" w:ascii="Times New Roman" w:hAnsi="Times New Roman" w:cs="Times New Roman"/>
          <w:color w:val="auto"/>
          <w:szCs w:val="24"/>
          <w:highlight w:val="none"/>
        </w:rPr>
        <w:t>级，</w:t>
      </w:r>
      <w:r>
        <w:rPr>
          <w:rFonts w:hint="default" w:ascii="Times New Roman" w:hAnsi="Times New Roman" w:cs="Times New Roman"/>
          <w:color w:val="auto"/>
          <w:highlight w:val="none"/>
        </w:rPr>
        <w:t>根据《环境影响评价技术导则 大气环境》（HJ2.2-2018）规定，</w:t>
      </w:r>
      <w:r>
        <w:rPr>
          <w:rFonts w:hint="default" w:hAnsi="Times New Roman" w:cs="Times New Roman"/>
          <w:color w:val="auto"/>
          <w:highlight w:val="none"/>
          <w:lang w:val="en-US" w:eastAsia="zh-CN"/>
        </w:rPr>
        <w:t>本项目D</w:t>
      </w:r>
      <w:r>
        <w:rPr>
          <w:rFonts w:hint="default" w:hAnsi="Times New Roman" w:cs="Times New Roman"/>
          <w:color w:val="auto"/>
          <w:highlight w:val="none"/>
          <w:vertAlign w:val="subscript"/>
          <w:lang w:val="en-US" w:eastAsia="zh-CN"/>
        </w:rPr>
        <w:t>10%</w:t>
      </w:r>
      <w:r>
        <w:rPr>
          <w:rFonts w:hint="default" w:hAnsi="Times New Roman" w:cs="Times New Roman"/>
          <w:color w:val="auto"/>
          <w:highlight w:val="none"/>
          <w:lang w:val="en-US" w:eastAsia="zh-CN"/>
        </w:rPr>
        <w:t>为</w:t>
      </w:r>
      <w:r>
        <w:rPr>
          <w:rFonts w:hint="eastAsia" w:hAnsi="Times New Roman" w:cs="Times New Roman"/>
          <w:color w:val="auto"/>
          <w:highlight w:val="none"/>
          <w:lang w:val="en-US" w:eastAsia="zh-CN"/>
        </w:rPr>
        <w:t>850</w:t>
      </w:r>
      <w:r>
        <w:rPr>
          <w:rFonts w:hint="default" w:hAnsi="Times New Roman" w:cs="Times New Roman"/>
          <w:color w:val="auto"/>
          <w:highlight w:val="none"/>
          <w:lang w:val="en-US" w:eastAsia="zh-CN"/>
        </w:rPr>
        <w:t>m，小于2500m，因此</w:t>
      </w:r>
      <w:r>
        <w:rPr>
          <w:rFonts w:hint="default" w:ascii="Times New Roman" w:hAnsi="Times New Roman" w:cs="Times New Roman"/>
          <w:color w:val="auto"/>
          <w:highlight w:val="none"/>
        </w:rPr>
        <w:t>大气环境影响评价范围</w:t>
      </w:r>
      <w:r>
        <w:rPr>
          <w:rFonts w:hint="default" w:ascii="Times New Roman" w:hAnsi="Times New Roman" w:cs="Times New Roman"/>
          <w:color w:val="auto"/>
          <w:highlight w:val="none"/>
          <w:lang w:eastAsia="zh-CN"/>
        </w:rPr>
        <w:t>以选矿工业场地、尾矿库</w:t>
      </w:r>
      <w:r>
        <w:rPr>
          <w:rFonts w:hint="default" w:ascii="Times New Roman" w:hAnsi="Times New Roman" w:cs="Times New Roman"/>
          <w:color w:val="auto"/>
          <w:highlight w:val="none"/>
          <w:lang w:val="en-US" w:eastAsia="zh-CN"/>
        </w:rPr>
        <w:t>分别</w:t>
      </w:r>
      <w:r>
        <w:rPr>
          <w:rFonts w:hint="default" w:ascii="Times New Roman" w:hAnsi="Times New Roman" w:cs="Times New Roman"/>
          <w:color w:val="auto"/>
          <w:highlight w:val="none"/>
          <w:lang w:eastAsia="zh-CN"/>
        </w:rPr>
        <w:t>为中心，边长为</w:t>
      </w:r>
      <w:r>
        <w:rPr>
          <w:rFonts w:hint="default" w:ascii="Times New Roman" w:hAnsi="Times New Roman" w:cs="Times New Roman"/>
          <w:color w:val="auto"/>
          <w:highlight w:val="none"/>
        </w:rPr>
        <w:t>5km</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lang w:val="en-US" w:eastAsia="zh-CN"/>
        </w:rPr>
        <w:t>包络线</w:t>
      </w:r>
      <w:r>
        <w:rPr>
          <w:rFonts w:hint="default" w:ascii="Times New Roman" w:hAnsi="Times New Roman" w:cs="Times New Roman"/>
          <w:color w:val="auto"/>
          <w:highlight w:val="none"/>
          <w:lang w:eastAsia="zh-CN"/>
        </w:rPr>
        <w:t>区域</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szCs w:val="24"/>
          <w:highlight w:val="none"/>
        </w:rPr>
        <w:t>评价范围见图2.6-</w:t>
      </w:r>
      <w:r>
        <w:rPr>
          <w:rFonts w:hint="default" w:ascii="Times New Roman" w:hAnsi="Times New Roman" w:cs="Times New Roman"/>
          <w:color w:val="auto"/>
          <w:szCs w:val="24"/>
          <w:highlight w:val="none"/>
          <w:lang w:val="en-US" w:eastAsia="zh-CN"/>
        </w:rPr>
        <w:t>1</w:t>
      </w:r>
      <w:r>
        <w:rPr>
          <w:rFonts w:hint="default" w:ascii="Times New Roman" w:hAnsi="Times New Roman" w:cs="Times New Roman"/>
          <w:color w:val="auto"/>
          <w:szCs w:val="24"/>
          <w:highlight w:val="none"/>
        </w:rPr>
        <w:t>。</w:t>
      </w:r>
    </w:p>
    <w:p w14:paraId="606D55F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（2）水环境</w:t>
      </w:r>
    </w:p>
    <w:p w14:paraId="2B40E8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①地表水</w:t>
      </w:r>
    </w:p>
    <w:p w14:paraId="2BC2B6C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本项目地表水评价等级为三级B，根据《环境影响评价技术导则 地表水环境》（HJ2.3-2018），确定本项目地表水环境影响评价范围为污水处理设施的环境可行性分析。</w:t>
      </w:r>
    </w:p>
    <w:p w14:paraId="173A87B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②地下水</w:t>
      </w:r>
    </w:p>
    <w:p w14:paraId="22F120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根据查表法，地下水二级评价的评价范围为6~20km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，必要时可适当扩大范围；本项目地下水评价范围以尾矿库为中心，向地下水上游</w:t>
      </w:r>
      <w:r>
        <w:rPr>
          <w:rFonts w:hint="default" w:ascii="Times New Roman" w:hAnsi="Times New Roman" w:cs="Times New Roman"/>
          <w:color w:val="auto"/>
          <w:highlight w:val="none"/>
          <w:lang w:val="en-US" w:eastAsia="zh-CN"/>
        </w:rPr>
        <w:t>及两侧</w:t>
      </w:r>
      <w:r>
        <w:rPr>
          <w:rFonts w:hint="default" w:ascii="Times New Roman" w:hAnsi="Times New Roman" w:cs="Times New Roman"/>
          <w:color w:val="auto"/>
          <w:highlight w:val="none"/>
        </w:rPr>
        <w:t>延伸1km、下游延伸</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km，项目地下水环境评价范围最终确定为</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16FA9CB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w:t>
      </w:r>
    </w:p>
    <w:p w14:paraId="5D43F31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本项目声环境评价范围为选矿厂、尾矿库、办公生活区边界外1m范围。</w:t>
      </w:r>
    </w:p>
    <w:p w14:paraId="22ED36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（4）土壤环境</w:t>
      </w:r>
    </w:p>
    <w:p w14:paraId="1E5BEF0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本项目选矿厂与尾矿库相距约850m，本项目土壤评价等级为一级，因此评价范围为选矿厂、办公生活区及尾矿库边界外扩1km的包络线范围评价范围为项目区</w:t>
      </w:r>
      <w:r>
        <w:rPr>
          <w:rFonts w:hint="eastAsia" w:cs="Times New Roman"/>
          <w:color w:val="auto"/>
          <w:highlight w:val="none"/>
          <w:lang w:val="en-US" w:eastAsia="zh-CN"/>
        </w:rPr>
        <w:t>选矿厂、办公生活区及尾矿库边界外延</w:t>
      </w:r>
      <w:r>
        <w:rPr>
          <w:rFonts w:hint="default" w:ascii="Times New Roman" w:hAnsi="Times New Roman" w:cs="Times New Roman"/>
          <w:color w:val="auto"/>
          <w:highlight w:val="none"/>
        </w:rPr>
        <w:t>1km范围</w:t>
      </w:r>
      <w:r>
        <w:rPr>
          <w:rFonts w:hint="eastAsia" w:cs="Times New Roman"/>
          <w:color w:val="auto"/>
          <w:highlight w:val="none"/>
          <w:lang w:val="en-US" w:eastAsia="zh-CN"/>
        </w:rPr>
        <w:t>的包络线</w:t>
      </w:r>
      <w:r>
        <w:rPr>
          <w:rFonts w:hint="default" w:ascii="Times New Roman" w:hAnsi="Times New Roman" w:cs="Times New Roman"/>
          <w:color w:val="auto"/>
          <w:highlight w:val="none"/>
        </w:rPr>
        <w:t>。</w:t>
      </w:r>
    </w:p>
    <w:p w14:paraId="139CD59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（5）生态环境</w:t>
      </w:r>
    </w:p>
    <w:p w14:paraId="095037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本项目生态环境评价范围为尾矿库选矿厂边界外延500m、办公生活区边界外延200m范围内。</w:t>
      </w:r>
    </w:p>
    <w:p w14:paraId="5E9CFBC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（6）环境风险：本选厂不使用剧毒或存放可燃、易燃、爆炸性物质，根据风险潜势初判，选矿厂风险潜势为Ⅰ，因此环境风险评价等级为简单分析。主要的环境风险为尾矿库溃坝风险，因此环境风险评价范围为</w:t>
      </w:r>
      <w:r>
        <w:rPr>
          <w:rFonts w:hint="default" w:ascii="Times New Roman" w:hAnsi="Times New Roman" w:cs="Times New Roman"/>
          <w:color w:val="auto"/>
          <w:kern w:val="0"/>
          <w:highlight w:val="none"/>
        </w:rPr>
        <w:t>尾矿库及尾矿库下游不小于80倍坝高，即尾矿库及下游</w:t>
      </w:r>
      <w:r>
        <w:rPr>
          <w:rFonts w:hint="default" w:ascii="Times New Roman" w:hAnsi="Times New Roman" w:cs="Times New Roman"/>
          <w:color w:val="auto"/>
          <w:kern w:val="0"/>
          <w:highlight w:val="none"/>
          <w:lang w:val="en-US" w:eastAsia="zh-CN"/>
        </w:rPr>
        <w:t>1200</w:t>
      </w:r>
      <w:r>
        <w:rPr>
          <w:rFonts w:hint="default" w:ascii="Times New Roman" w:hAnsi="Times New Roman" w:cs="Times New Roman"/>
          <w:color w:val="auto"/>
          <w:kern w:val="0"/>
          <w:highlight w:val="none"/>
        </w:rPr>
        <w:t>m范围的区域</w:t>
      </w:r>
      <w:r>
        <w:rPr>
          <w:rFonts w:hint="default" w:ascii="Times New Roman" w:hAnsi="Times New Roman" w:cs="Times New Roman"/>
          <w:color w:val="auto"/>
          <w:highlight w:val="none"/>
        </w:rPr>
        <w:t>。</w:t>
      </w:r>
    </w:p>
    <w:p w14:paraId="38E33159">
      <w:pPr>
        <w:pStyle w:val="3"/>
        <w:rPr>
          <w:rFonts w:hint="default" w:ascii="Times New Roman" w:hAnsi="Times New Roman" w:cs="Times New Roman"/>
          <w:color w:val="auto"/>
          <w:highlight w:val="none"/>
        </w:rPr>
      </w:pPr>
      <w:bookmarkStart w:id="270" w:name="_Toc8946"/>
      <w:bookmarkStart w:id="271" w:name="_Toc2877"/>
      <w:bookmarkStart w:id="272" w:name="_Toc22576"/>
      <w:bookmarkStart w:id="273" w:name="_Toc25882"/>
      <w:bookmarkStart w:id="274" w:name="_Toc30962"/>
      <w:bookmarkStart w:id="275" w:name="_Toc5734"/>
      <w:bookmarkStart w:id="276" w:name="_Toc844"/>
      <w:bookmarkStart w:id="277" w:name="_Toc24725"/>
      <w:bookmarkStart w:id="278" w:name="_Toc107414650"/>
      <w:bookmarkStart w:id="279" w:name="_Toc107413883"/>
      <w:bookmarkStart w:id="280" w:name="_Toc13137"/>
      <w:bookmarkStart w:id="281" w:name="_Toc14359"/>
      <w:bookmarkStart w:id="282" w:name="_Toc8160"/>
      <w:bookmarkStart w:id="283" w:name="_Toc608"/>
      <w:bookmarkStart w:id="284" w:name="_Toc29172"/>
      <w:bookmarkStart w:id="285" w:name="_Toc345"/>
      <w:bookmarkStart w:id="286" w:name="_Toc27638"/>
      <w:bookmarkStart w:id="287" w:name="_Toc2244"/>
      <w:bookmarkStart w:id="288" w:name="_Toc4212"/>
      <w:r>
        <w:rPr>
          <w:rFonts w:hint="default" w:ascii="Times New Roman" w:hAnsi="Times New Roman" w:cs="Times New Roman"/>
          <w:color w:val="auto"/>
          <w:highlight w:val="none"/>
        </w:rPr>
        <w:t>2.7</w:t>
      </w:r>
      <w:bookmarkEnd w:id="254"/>
      <w:bookmarkEnd w:id="255"/>
      <w:bookmarkEnd w:id="256"/>
      <w:bookmarkEnd w:id="257"/>
      <w:bookmarkEnd w:id="258"/>
      <w:bookmarkEnd w:id="259"/>
      <w:bookmarkEnd w:id="260"/>
      <w:r>
        <w:rPr>
          <w:rFonts w:hint="default" w:ascii="Times New Roman" w:hAnsi="Times New Roman" w:cs="Times New Roman"/>
          <w:color w:val="auto"/>
          <w:highlight w:val="none"/>
        </w:rPr>
        <w:t>评价重点</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61783E0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根据项目区周边自然环境概况和环境质量现状，结合建设项目环境影响识别与评价因子的筛选结果，确定本次评价工作重点为：在工程分析的基础上，</w:t>
      </w:r>
      <w:r>
        <w:rPr>
          <w:rFonts w:hint="default" w:ascii="Times New Roman" w:hAnsi="Times New Roman" w:cs="Times New Roman"/>
          <w:color w:val="auto"/>
          <w:kern w:val="0"/>
          <w:highlight w:val="none"/>
        </w:rPr>
        <w:t>以环境空气预测与影响分析、固体废物处理处置分析、环境风险分析、选址合理性分析</w:t>
      </w:r>
      <w:r>
        <w:rPr>
          <w:rFonts w:hint="default" w:ascii="Times New Roman" w:hAnsi="Times New Roman" w:cs="Times New Roman"/>
          <w:color w:val="auto"/>
          <w:highlight w:val="none"/>
        </w:rPr>
        <w:t>，同时关注影响范围内公众对本项目的意见和建议。</w:t>
      </w:r>
    </w:p>
    <w:p w14:paraId="65BFDF2D">
      <w:pPr>
        <w:pStyle w:val="3"/>
        <w:rPr>
          <w:rFonts w:hint="default" w:ascii="Times New Roman" w:hAnsi="Times New Roman" w:cs="Times New Roman"/>
          <w:color w:val="auto"/>
          <w:highlight w:val="none"/>
        </w:rPr>
      </w:pPr>
      <w:bookmarkStart w:id="289" w:name="_Toc15606"/>
      <w:bookmarkStart w:id="290" w:name="_Toc1768"/>
      <w:bookmarkStart w:id="291" w:name="_Toc1979"/>
      <w:bookmarkStart w:id="292" w:name="_Toc10016"/>
      <w:bookmarkStart w:id="293" w:name="_Toc2971"/>
      <w:bookmarkStart w:id="294" w:name="_Toc15615"/>
      <w:bookmarkStart w:id="295" w:name="_Toc2585"/>
      <w:bookmarkStart w:id="296" w:name="_Toc3493"/>
      <w:bookmarkStart w:id="297" w:name="_Toc107414651"/>
      <w:bookmarkStart w:id="298" w:name="_Toc26798"/>
      <w:bookmarkStart w:id="299" w:name="_Toc13331"/>
      <w:bookmarkStart w:id="300" w:name="_Toc5384"/>
      <w:bookmarkStart w:id="301" w:name="_Toc26918"/>
      <w:bookmarkStart w:id="302" w:name="_Toc493523096"/>
      <w:bookmarkStart w:id="303" w:name="_Toc484105092"/>
      <w:bookmarkStart w:id="304" w:name="_Toc20394"/>
      <w:bookmarkStart w:id="305" w:name="_Toc6410"/>
      <w:bookmarkStart w:id="306" w:name="_Toc107413884"/>
      <w:bookmarkStart w:id="307" w:name="_Toc26901"/>
      <w:bookmarkStart w:id="308" w:name="_Toc31751"/>
      <w:bookmarkStart w:id="309" w:name="_Toc30976"/>
      <w:bookmarkStart w:id="310" w:name="_Toc23105"/>
      <w:bookmarkStart w:id="311" w:name="_Toc32291"/>
      <w:r>
        <w:rPr>
          <w:rFonts w:hint="default" w:ascii="Times New Roman" w:hAnsi="Times New Roman" w:cs="Times New Roman"/>
          <w:color w:val="auto"/>
          <w:highlight w:val="none"/>
        </w:rPr>
        <w:t>2.8主要环境保护目标和环境敏感目标</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07B6CF7">
      <w:pPr>
        <w:pStyle w:val="4"/>
        <w:rPr>
          <w:rFonts w:hint="default" w:ascii="Times New Roman" w:hAnsi="Times New Roman" w:cs="Times New Roman"/>
          <w:color w:val="auto"/>
          <w:highlight w:val="none"/>
        </w:rPr>
      </w:pPr>
      <w:bookmarkStart w:id="312" w:name="_Toc1019"/>
      <w:bookmarkStart w:id="313" w:name="_Toc18437"/>
      <w:bookmarkStart w:id="314" w:name="_Toc12567"/>
      <w:bookmarkStart w:id="315" w:name="_Toc10590"/>
      <w:bookmarkStart w:id="316" w:name="_Toc4199"/>
      <w:bookmarkStart w:id="317" w:name="_Toc1182"/>
      <w:bookmarkStart w:id="318" w:name="_Toc6584"/>
      <w:bookmarkStart w:id="319" w:name="_Toc3084"/>
      <w:bookmarkStart w:id="320" w:name="_Toc22431"/>
      <w:r>
        <w:rPr>
          <w:rFonts w:hint="default" w:ascii="Times New Roman" w:hAnsi="Times New Roman" w:cs="Times New Roman"/>
          <w:color w:val="auto"/>
          <w:highlight w:val="none"/>
        </w:rPr>
        <w:t>2.8.1主要环境保护目标</w:t>
      </w:r>
      <w:bookmarkEnd w:id="312"/>
      <w:bookmarkEnd w:id="313"/>
      <w:bookmarkEnd w:id="314"/>
      <w:bookmarkEnd w:id="315"/>
      <w:bookmarkEnd w:id="316"/>
      <w:bookmarkEnd w:id="317"/>
      <w:bookmarkEnd w:id="318"/>
      <w:bookmarkEnd w:id="319"/>
      <w:bookmarkEnd w:id="320"/>
    </w:p>
    <w:p w14:paraId="4EBB996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（1）大气环境</w:t>
      </w:r>
    </w:p>
    <w:p w14:paraId="1BA1ED9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项目区环境空气质量满足《环境空气质量标准》（GB3095-20</w:t>
      </w:r>
      <w:r>
        <w:rPr>
          <w:rFonts w:hint="default" w:cs="Times New Roman"/>
          <w:color w:val="auto"/>
          <w:highlight w:val="none"/>
          <w:lang w:val="en-US" w:eastAsia="zh-CN"/>
        </w:rPr>
        <w:t>26</w:t>
      </w:r>
      <w:r>
        <w:rPr>
          <w:rFonts w:hint="default" w:ascii="Times New Roman" w:hAnsi="Times New Roman" w:cs="Times New Roman"/>
          <w:color w:val="auto"/>
          <w:highlight w:val="none"/>
        </w:rPr>
        <w:t>）中二级标准要求，或不因项目建设而降低现状环境空气质量，确保评价区域内的大气环境质量不受本项目排放大气污染物的明显影响。</w:t>
      </w:r>
    </w:p>
    <w:p w14:paraId="2C87261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（2）地表水环境</w:t>
      </w:r>
    </w:p>
    <w:p w14:paraId="0A75572A">
      <w:pPr>
        <w:overflowPunct w:val="0"/>
        <w:topLinePunct/>
        <w:ind w:firstLine="480"/>
        <w:rPr>
          <w:rFonts w:hint="default" w:ascii="Times New Roman" w:hAnsi="Times New Roman" w:cs="Times New Roman"/>
          <w:color w:val="auto"/>
          <w:highlight w:val="none"/>
        </w:rPr>
      </w:pPr>
      <w:r>
        <w:rPr>
          <w:rFonts w:hint="default" w:cs="Times New Roman"/>
          <w:color w:val="auto"/>
          <w:szCs w:val="24"/>
          <w:highlight w:val="none"/>
        </w:rPr>
        <w:t>本项目</w:t>
      </w:r>
      <w:r>
        <w:rPr>
          <w:rFonts w:hint="default" w:cs="Times New Roman"/>
          <w:color w:val="auto"/>
          <w:szCs w:val="24"/>
          <w:highlight w:val="none"/>
          <w:lang w:val="en-US" w:eastAsia="zh-CN"/>
        </w:rPr>
        <w:t>尾矿库北距</w:t>
      </w:r>
      <w:r>
        <w:rPr>
          <w:rFonts w:hint="default" w:ascii="Times New Roman" w:hAnsi="Times New Roman" w:cs="Times New Roman"/>
          <w:color w:val="auto"/>
          <w:highlight w:val="none"/>
        </w:rPr>
        <w:t>Ⅱ</w:t>
      </w:r>
      <w:r>
        <w:rPr>
          <w:rFonts w:hint="default" w:cs="Times New Roman"/>
          <w:color w:val="auto"/>
          <w:szCs w:val="24"/>
          <w:highlight w:val="none"/>
          <w:lang w:eastAsia="zh-CN"/>
        </w:rPr>
        <w:t>类水体喀拉通克河</w:t>
      </w:r>
      <w:r>
        <w:rPr>
          <w:rFonts w:hint="default" w:cs="Times New Roman"/>
          <w:color w:val="auto"/>
          <w:szCs w:val="24"/>
          <w:highlight w:val="none"/>
          <w:lang w:val="en-US" w:eastAsia="zh-CN"/>
        </w:rPr>
        <w:t>左支一河</w:t>
      </w:r>
      <w:r>
        <w:rPr>
          <w:rFonts w:cs="Times New Roman"/>
          <w:color w:val="auto"/>
          <w:szCs w:val="24"/>
          <w:highlight w:val="none"/>
        </w:rPr>
        <w:t>约</w:t>
      </w:r>
      <w:r>
        <w:rPr>
          <w:rFonts w:hint="default" w:cs="Times New Roman"/>
          <w:color w:val="auto"/>
          <w:szCs w:val="24"/>
          <w:highlight w:val="none"/>
          <w:lang w:val="en-US" w:eastAsia="zh-CN"/>
        </w:rPr>
        <w:t>1.02</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rPr>
        <w:t>东</w:t>
      </w:r>
      <w:r>
        <w:rPr>
          <w:rFonts w:hint="default" w:cs="Times New Roman"/>
          <w:color w:val="auto"/>
          <w:szCs w:val="24"/>
          <w:highlight w:val="none"/>
          <w:lang w:val="en-US" w:eastAsia="zh-CN"/>
        </w:rPr>
        <w:t>北</w:t>
      </w:r>
      <w:r>
        <w:rPr>
          <w:rFonts w:hint="default" w:cs="Times New Roman"/>
          <w:color w:val="auto"/>
          <w:szCs w:val="24"/>
          <w:highlight w:val="none"/>
        </w:rPr>
        <w:t>距</w:t>
      </w:r>
      <w:r>
        <w:rPr>
          <w:rFonts w:hint="default" w:ascii="Times New Roman" w:hAnsi="Times New Roman" w:cs="Times New Roman"/>
          <w:color w:val="auto"/>
          <w:highlight w:val="none"/>
        </w:rPr>
        <w:t>Ⅱ</w:t>
      </w:r>
      <w:r>
        <w:rPr>
          <w:rFonts w:hint="default" w:cs="Times New Roman"/>
          <w:color w:val="auto"/>
          <w:szCs w:val="24"/>
          <w:highlight w:val="none"/>
          <w:lang w:eastAsia="zh-CN"/>
        </w:rPr>
        <w:t>类水体喀拉通克河</w:t>
      </w:r>
      <w:r>
        <w:rPr>
          <w:rFonts w:cs="Times New Roman"/>
          <w:color w:val="auto"/>
          <w:szCs w:val="24"/>
          <w:highlight w:val="none"/>
        </w:rPr>
        <w:t>约</w:t>
      </w:r>
      <w:r>
        <w:rPr>
          <w:rFonts w:hint="default" w:cs="Times New Roman"/>
          <w:color w:val="auto"/>
          <w:szCs w:val="24"/>
          <w:highlight w:val="none"/>
          <w:lang w:val="en-US" w:eastAsia="zh-CN"/>
        </w:rPr>
        <w:t>3.79</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lang w:val="en-US" w:eastAsia="zh-CN"/>
        </w:rPr>
        <w:t>选矿厂北距</w:t>
      </w:r>
      <w:r>
        <w:rPr>
          <w:rFonts w:hint="default" w:ascii="Times New Roman" w:hAnsi="Times New Roman" w:cs="Times New Roman"/>
          <w:color w:val="auto"/>
          <w:highlight w:val="none"/>
        </w:rPr>
        <w:t>Ⅱ</w:t>
      </w:r>
      <w:r>
        <w:rPr>
          <w:rFonts w:hint="default" w:cs="Times New Roman"/>
          <w:color w:val="auto"/>
          <w:szCs w:val="24"/>
          <w:highlight w:val="none"/>
          <w:lang w:eastAsia="zh-CN"/>
        </w:rPr>
        <w:t>类水体喀拉通克河</w:t>
      </w:r>
      <w:r>
        <w:rPr>
          <w:rFonts w:hint="default" w:cs="Times New Roman"/>
          <w:color w:val="auto"/>
          <w:szCs w:val="24"/>
          <w:highlight w:val="none"/>
          <w:lang w:val="en-US" w:eastAsia="zh-CN"/>
        </w:rPr>
        <w:t>左支一河</w:t>
      </w:r>
      <w:r>
        <w:rPr>
          <w:rFonts w:cs="Times New Roman"/>
          <w:color w:val="auto"/>
          <w:szCs w:val="24"/>
          <w:highlight w:val="none"/>
        </w:rPr>
        <w:t>约</w:t>
      </w:r>
      <w:r>
        <w:rPr>
          <w:rFonts w:hint="default" w:cs="Times New Roman"/>
          <w:color w:val="auto"/>
          <w:szCs w:val="24"/>
          <w:highlight w:val="none"/>
          <w:lang w:val="en-US" w:eastAsia="zh-CN"/>
        </w:rPr>
        <w:t>2.45</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rPr>
        <w:t>东</w:t>
      </w:r>
      <w:r>
        <w:rPr>
          <w:rFonts w:hint="default" w:cs="Times New Roman"/>
          <w:color w:val="auto"/>
          <w:szCs w:val="24"/>
          <w:highlight w:val="none"/>
          <w:lang w:val="en-US" w:eastAsia="zh-CN"/>
        </w:rPr>
        <w:t>北</w:t>
      </w:r>
      <w:r>
        <w:rPr>
          <w:rFonts w:hint="default" w:cs="Times New Roman"/>
          <w:color w:val="auto"/>
          <w:szCs w:val="24"/>
          <w:highlight w:val="none"/>
        </w:rPr>
        <w:t>距</w:t>
      </w:r>
      <w:r>
        <w:rPr>
          <w:rFonts w:hint="default" w:ascii="Times New Roman" w:hAnsi="Times New Roman" w:cs="Times New Roman"/>
          <w:color w:val="auto"/>
          <w:highlight w:val="none"/>
        </w:rPr>
        <w:t>Ⅱ</w:t>
      </w:r>
      <w:r>
        <w:rPr>
          <w:rFonts w:hint="default" w:cs="Times New Roman"/>
          <w:color w:val="auto"/>
          <w:szCs w:val="24"/>
          <w:highlight w:val="none"/>
          <w:lang w:eastAsia="zh-CN"/>
        </w:rPr>
        <w:t>类水体喀拉通克河</w:t>
      </w:r>
      <w:r>
        <w:rPr>
          <w:rFonts w:cs="Times New Roman"/>
          <w:color w:val="auto"/>
          <w:szCs w:val="24"/>
          <w:highlight w:val="none"/>
        </w:rPr>
        <w:t>约</w:t>
      </w:r>
      <w:r>
        <w:rPr>
          <w:rFonts w:hint="default" w:cs="Times New Roman"/>
          <w:color w:val="auto"/>
          <w:szCs w:val="24"/>
          <w:highlight w:val="none"/>
          <w:lang w:val="en-US" w:eastAsia="zh-CN"/>
        </w:rPr>
        <w:t>4.16</w:t>
      </w:r>
      <w:r>
        <w:rPr>
          <w:rFonts w:hint="default" w:cs="Times New Roman"/>
          <w:color w:val="auto"/>
          <w:szCs w:val="24"/>
          <w:highlight w:val="none"/>
        </w:rPr>
        <w:t>km</w:t>
      </w:r>
      <w:r>
        <w:rPr>
          <w:rFonts w:hint="default" w:ascii="Times New Roman" w:hAnsi="Times New Roman" w:cs="Times New Roman"/>
          <w:color w:val="auto"/>
          <w:highlight w:val="none"/>
        </w:rPr>
        <w:t>。根据《新疆水环境功能区划》，</w:t>
      </w:r>
      <w:r>
        <w:rPr>
          <w:rFonts w:hint="default" w:cs="Times New Roman"/>
          <w:color w:val="auto"/>
          <w:szCs w:val="24"/>
          <w:highlight w:val="none"/>
          <w:lang w:eastAsia="zh-CN"/>
        </w:rPr>
        <w:t>喀拉通克河</w:t>
      </w:r>
      <w:r>
        <w:rPr>
          <w:rFonts w:hint="default" w:ascii="Times New Roman" w:hAnsi="Times New Roman" w:cs="Times New Roman"/>
          <w:color w:val="auto"/>
          <w:highlight w:val="none"/>
        </w:rPr>
        <w:t>的地表水环境功能区划属Ⅱ类功能区，确保不因本项目而降低区域地表水质量现状级别——《地表水环境质量标准》（GB3838-2002）Ⅱ类标准。</w:t>
      </w:r>
    </w:p>
    <w:p w14:paraId="036371F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（3）地下水环境</w:t>
      </w:r>
    </w:p>
    <w:p w14:paraId="4E0584D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保护厂址上游及下游区域地下水水质，保证不因本项目而降低区域地下水环境质量现状级别——《地下水质量标准》（GB/T14848-2017）Ⅲ类标准。</w:t>
      </w:r>
    </w:p>
    <w:p w14:paraId="40D7369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（4）声环境</w:t>
      </w:r>
    </w:p>
    <w:p w14:paraId="098FC4D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控制厂界噪声满足《工业企业厂界环境噪声排放标准》（GB12348-2008）中2类标准。确保本项目区域声环境依旧满足《声环境质量标准》（GB3096-2008）中的2类区要求。</w:t>
      </w:r>
    </w:p>
    <w:p w14:paraId="78C849E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（5）土壤环境</w:t>
      </w:r>
    </w:p>
    <w:p w14:paraId="1BE026A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保护工程区域土壤中各污染物含量低于《土壤环境质量建设用地土壤污染风险管控标准（试行）》（GB36600-2018）第二类用地风险筛选值要求；工程用地范围外非建设用地各污染物含量低于《土壤环境质量 农用地土壤污染风险管控标准（试行）》（GB15618-2018）表1农用地土壤环境污染风险筛选值。</w:t>
      </w:r>
    </w:p>
    <w:p w14:paraId="2FFB240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（6）环境风险保护目标</w:t>
      </w:r>
    </w:p>
    <w:p w14:paraId="148A306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降低环境风险发生概率，保证环境风险发生时能够得到及时控制，保护选厂办公生活区人员，降低事故状态下对区域地表水质量的影响。</w:t>
      </w:r>
    </w:p>
    <w:p w14:paraId="4165028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（7）生态环境</w:t>
      </w:r>
    </w:p>
    <w:p w14:paraId="17EC770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bCs/>
          <w:color w:val="auto"/>
          <w:kern w:val="0"/>
          <w:szCs w:val="21"/>
          <w:highlight w:val="none"/>
        </w:rPr>
        <w:t>保护区域水源涵养、生物多样性，</w:t>
      </w:r>
      <w:r>
        <w:rPr>
          <w:rFonts w:hint="default" w:ascii="Times New Roman" w:hAnsi="Times New Roman" w:cs="Times New Roman"/>
          <w:color w:val="auto"/>
          <w:highlight w:val="none"/>
        </w:rPr>
        <w:t>维持区域生态功能，将生态环境影响降低到最小；保护项目区</w:t>
      </w:r>
      <w:r>
        <w:rPr>
          <w:rFonts w:hint="default" w:ascii="Times New Roman" w:hAnsi="Times New Roman" w:cs="Times New Roman"/>
          <w:bCs/>
          <w:color w:val="auto"/>
          <w:kern w:val="0"/>
          <w:szCs w:val="21"/>
          <w:highlight w:val="none"/>
        </w:rPr>
        <w:t>地表植被、动物、土壤</w:t>
      </w:r>
      <w:r>
        <w:rPr>
          <w:rFonts w:hint="default" w:ascii="Times New Roman" w:hAnsi="Times New Roman" w:cs="Times New Roman"/>
          <w:color w:val="auto"/>
          <w:highlight w:val="none"/>
        </w:rPr>
        <w:t>环境，</w:t>
      </w:r>
      <w:r>
        <w:rPr>
          <w:rFonts w:hint="default" w:ascii="Times New Roman" w:hAnsi="Times New Roman" w:cs="Times New Roman"/>
          <w:bCs/>
          <w:color w:val="auto"/>
          <w:kern w:val="0"/>
          <w:szCs w:val="21"/>
          <w:highlight w:val="none"/>
        </w:rPr>
        <w:t>保护生态系统结构和功能的完整性、稳定性，防止水土流失。</w:t>
      </w:r>
    </w:p>
    <w:p w14:paraId="67942A2A">
      <w:pPr>
        <w:pStyle w:val="4"/>
        <w:rPr>
          <w:rFonts w:hint="default" w:ascii="Times New Roman" w:hAnsi="Times New Roman" w:cs="Times New Roman"/>
          <w:color w:val="auto"/>
          <w:highlight w:val="none"/>
        </w:rPr>
      </w:pPr>
      <w:bookmarkStart w:id="321" w:name="_Toc14964"/>
      <w:bookmarkStart w:id="322" w:name="_Toc6951"/>
      <w:bookmarkStart w:id="323" w:name="_Toc23801"/>
      <w:bookmarkStart w:id="324" w:name="_Toc25672"/>
      <w:bookmarkStart w:id="325" w:name="_Toc9345"/>
      <w:bookmarkStart w:id="326" w:name="_Toc20745"/>
      <w:bookmarkStart w:id="327" w:name="_Toc5013"/>
      <w:bookmarkStart w:id="328" w:name="_Toc12398"/>
      <w:bookmarkStart w:id="329" w:name="_Toc14966"/>
      <w:r>
        <w:rPr>
          <w:rFonts w:hint="default" w:ascii="Times New Roman" w:hAnsi="Times New Roman" w:cs="Times New Roman"/>
          <w:color w:val="auto"/>
          <w:highlight w:val="none"/>
        </w:rPr>
        <w:t>2.8.2环境敏感目标分布</w:t>
      </w:r>
      <w:bookmarkEnd w:id="321"/>
      <w:bookmarkEnd w:id="322"/>
      <w:bookmarkEnd w:id="323"/>
      <w:bookmarkEnd w:id="324"/>
      <w:bookmarkEnd w:id="325"/>
      <w:bookmarkEnd w:id="326"/>
      <w:bookmarkEnd w:id="327"/>
      <w:bookmarkEnd w:id="328"/>
      <w:bookmarkEnd w:id="329"/>
    </w:p>
    <w:p w14:paraId="7AD7B5C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本项目环境敏感目标</w:t>
      </w:r>
      <w:r>
        <w:rPr>
          <w:rFonts w:hint="default" w:ascii="Times New Roman" w:hAnsi="Times New Roman" w:cs="Times New Roman"/>
          <w:color w:val="auto"/>
          <w:highlight w:val="none"/>
          <w:lang w:val="en-US" w:eastAsia="zh-CN"/>
        </w:rPr>
        <w:t>分布</w:t>
      </w:r>
      <w:r>
        <w:rPr>
          <w:rFonts w:hint="default" w:ascii="Times New Roman" w:hAnsi="Times New Roman" w:cs="Times New Roman"/>
          <w:color w:val="auto"/>
          <w:highlight w:val="none"/>
        </w:rPr>
        <w:t>见表2.8-1</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图2.8-1</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2.8-2</w:t>
      </w:r>
      <w:r>
        <w:rPr>
          <w:rFonts w:hint="default" w:ascii="Times New Roman" w:hAnsi="Times New Roman" w:cs="Times New Roman"/>
          <w:color w:val="auto"/>
          <w:highlight w:val="none"/>
        </w:rPr>
        <w:t>。</w:t>
      </w:r>
    </w:p>
    <w:p w14:paraId="69A48B8E">
      <w:pPr>
        <w:pStyle w:val="47"/>
        <w:widowControl w:val="0"/>
        <w:rPr>
          <w:rFonts w:hint="default" w:ascii="Times New Roman" w:hAnsi="Times New Roman" w:eastAsia="宋体" w:cs="Times New Roman"/>
          <w:color w:val="auto"/>
          <w:szCs w:val="32"/>
          <w:highlight w:val="none"/>
          <w:lang w:val="en-US" w:eastAsia="zh-CN"/>
        </w:rPr>
      </w:pPr>
      <w:r>
        <w:rPr>
          <w:rFonts w:hint="default" w:ascii="Times New Roman" w:hAnsi="Times New Roman" w:cs="Times New Roman"/>
          <w:color w:val="auto"/>
          <w:szCs w:val="32"/>
          <w:highlight w:val="none"/>
          <w:lang w:val="zh-CN"/>
        </w:rPr>
        <w:t>表</w:t>
      </w:r>
      <w:r>
        <w:rPr>
          <w:rFonts w:hint="default" w:ascii="Times New Roman" w:hAnsi="Times New Roman" w:cs="Times New Roman"/>
          <w:color w:val="auto"/>
          <w:szCs w:val="32"/>
          <w:highlight w:val="none"/>
        </w:rPr>
        <w:t>2</w:t>
      </w:r>
      <w:r>
        <w:rPr>
          <w:rFonts w:hint="default" w:ascii="Times New Roman" w:hAnsi="Times New Roman" w:cs="Times New Roman"/>
          <w:color w:val="auto"/>
          <w:szCs w:val="32"/>
          <w:highlight w:val="none"/>
          <w:lang w:val="zh-CN"/>
        </w:rPr>
        <w:t>.</w:t>
      </w:r>
      <w:r>
        <w:rPr>
          <w:rFonts w:hint="default" w:ascii="Times New Roman" w:hAnsi="Times New Roman" w:cs="Times New Roman"/>
          <w:color w:val="auto"/>
          <w:szCs w:val="32"/>
          <w:highlight w:val="none"/>
        </w:rPr>
        <w:t>8</w:t>
      </w:r>
      <w:r>
        <w:rPr>
          <w:rFonts w:hint="default" w:ascii="Times New Roman" w:hAnsi="Times New Roman" w:cs="Times New Roman"/>
          <w:color w:val="auto"/>
          <w:szCs w:val="32"/>
          <w:highlight w:val="none"/>
          <w:lang w:val="zh-CN"/>
        </w:rPr>
        <w:t>-1</w:t>
      </w:r>
      <w:r>
        <w:rPr>
          <w:rFonts w:hint="default"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lang w:val="zh-CN"/>
        </w:rPr>
        <w:t>本项目的环境敏感目标</w:t>
      </w:r>
      <w:r>
        <w:rPr>
          <w:rFonts w:hint="default" w:ascii="Times New Roman" w:hAnsi="Times New Roman" w:cs="Times New Roman"/>
          <w:color w:val="auto"/>
          <w:szCs w:val="32"/>
          <w:highlight w:val="none"/>
          <w:lang w:val="en-US" w:eastAsia="zh-CN"/>
        </w:rPr>
        <w:t>分布一览表</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77"/>
        <w:gridCol w:w="946"/>
        <w:gridCol w:w="989"/>
        <w:gridCol w:w="1831"/>
        <w:gridCol w:w="2619"/>
      </w:tblGrid>
      <w:tr w14:paraId="35A7E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tblHeader/>
          <w:jc w:val="center"/>
        </w:trPr>
        <w:tc>
          <w:tcPr>
            <w:tcW w:w="857" w:type="dxa"/>
            <w:vMerge w:val="restart"/>
            <w:vAlign w:val="center"/>
          </w:tcPr>
          <w:p w14:paraId="6BC885E8">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环境</w:t>
            </w:r>
          </w:p>
          <w:p w14:paraId="55311E0E">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要素</w:t>
            </w:r>
          </w:p>
        </w:tc>
        <w:tc>
          <w:tcPr>
            <w:tcW w:w="1277" w:type="dxa"/>
            <w:vMerge w:val="restart"/>
            <w:vAlign w:val="center"/>
          </w:tcPr>
          <w:p w14:paraId="27EB5962">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保护对象</w:t>
            </w:r>
          </w:p>
        </w:tc>
        <w:tc>
          <w:tcPr>
            <w:tcW w:w="1935" w:type="dxa"/>
            <w:gridSpan w:val="2"/>
            <w:vAlign w:val="center"/>
          </w:tcPr>
          <w:p w14:paraId="2BCED11A">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相对本项目</w:t>
            </w:r>
          </w:p>
        </w:tc>
        <w:tc>
          <w:tcPr>
            <w:tcW w:w="1831" w:type="dxa"/>
            <w:vMerge w:val="restart"/>
            <w:vAlign w:val="center"/>
          </w:tcPr>
          <w:p w14:paraId="6A9D5E73">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保护内容</w:t>
            </w:r>
          </w:p>
        </w:tc>
        <w:tc>
          <w:tcPr>
            <w:tcW w:w="2619" w:type="dxa"/>
            <w:vMerge w:val="restart"/>
            <w:vAlign w:val="center"/>
          </w:tcPr>
          <w:p w14:paraId="0E9664C5">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保护目标</w:t>
            </w:r>
          </w:p>
        </w:tc>
      </w:tr>
      <w:tr w14:paraId="1DF43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blHeader/>
          <w:jc w:val="center"/>
        </w:trPr>
        <w:tc>
          <w:tcPr>
            <w:tcW w:w="857" w:type="dxa"/>
            <w:vMerge w:val="continue"/>
            <w:vAlign w:val="center"/>
          </w:tcPr>
          <w:p w14:paraId="5A8522E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277" w:type="dxa"/>
            <w:vMerge w:val="continue"/>
            <w:vAlign w:val="center"/>
          </w:tcPr>
          <w:p w14:paraId="51C57D9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946" w:type="dxa"/>
            <w:vAlign w:val="center"/>
          </w:tcPr>
          <w:p w14:paraId="09E0DE8C">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方位</w:t>
            </w:r>
          </w:p>
        </w:tc>
        <w:tc>
          <w:tcPr>
            <w:tcW w:w="989" w:type="dxa"/>
            <w:vAlign w:val="center"/>
          </w:tcPr>
          <w:p w14:paraId="4514F72B">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距离（m）</w:t>
            </w:r>
          </w:p>
        </w:tc>
        <w:tc>
          <w:tcPr>
            <w:tcW w:w="1831" w:type="dxa"/>
            <w:vMerge w:val="continue"/>
            <w:vAlign w:val="center"/>
          </w:tcPr>
          <w:p w14:paraId="1618FD8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2619" w:type="dxa"/>
            <w:vMerge w:val="continue"/>
            <w:vAlign w:val="center"/>
          </w:tcPr>
          <w:p w14:paraId="70BEB50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r>
      <w:tr w14:paraId="7ED7C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57" w:type="dxa"/>
            <w:vAlign w:val="center"/>
          </w:tcPr>
          <w:p w14:paraId="746658F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地表水</w:t>
            </w:r>
          </w:p>
        </w:tc>
        <w:tc>
          <w:tcPr>
            <w:tcW w:w="1277" w:type="dxa"/>
            <w:vAlign w:val="center"/>
          </w:tcPr>
          <w:p w14:paraId="496FC7AD">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喀拉通克河左支一河</w:t>
            </w:r>
          </w:p>
        </w:tc>
        <w:tc>
          <w:tcPr>
            <w:tcW w:w="946" w:type="dxa"/>
            <w:vAlign w:val="center"/>
          </w:tcPr>
          <w:p w14:paraId="296FF13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val="en-US" w:eastAsia="zh-CN"/>
              </w:rPr>
              <w:t>N</w:t>
            </w:r>
            <w:r>
              <w:rPr>
                <w:rFonts w:hint="default" w:ascii="Times New Roman" w:hAnsi="Times New Roman" w:cs="Times New Roman"/>
                <w:bCs/>
                <w:color w:val="auto"/>
                <w:kern w:val="0"/>
                <w:szCs w:val="21"/>
                <w:highlight w:val="none"/>
              </w:rPr>
              <w:t>E</w:t>
            </w:r>
          </w:p>
        </w:tc>
        <w:tc>
          <w:tcPr>
            <w:tcW w:w="989" w:type="dxa"/>
            <w:vAlign w:val="center"/>
          </w:tcPr>
          <w:p w14:paraId="70146260">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1020</w:t>
            </w:r>
          </w:p>
        </w:tc>
        <w:tc>
          <w:tcPr>
            <w:tcW w:w="1831" w:type="dxa"/>
            <w:vAlign w:val="center"/>
          </w:tcPr>
          <w:p w14:paraId="2884AB4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地表水环境质量</w:t>
            </w:r>
          </w:p>
        </w:tc>
        <w:tc>
          <w:tcPr>
            <w:tcW w:w="2619" w:type="dxa"/>
            <w:vAlign w:val="center"/>
          </w:tcPr>
          <w:p w14:paraId="2578363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《地表水环境质量标准》（GB3838-2002）Ⅱ类标准</w:t>
            </w:r>
          </w:p>
        </w:tc>
      </w:tr>
      <w:tr w14:paraId="612DC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57" w:type="dxa"/>
            <w:vAlign w:val="center"/>
          </w:tcPr>
          <w:p w14:paraId="7B9C8F2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地下水</w:t>
            </w:r>
          </w:p>
        </w:tc>
        <w:tc>
          <w:tcPr>
            <w:tcW w:w="1277" w:type="dxa"/>
            <w:vAlign w:val="center"/>
          </w:tcPr>
          <w:p w14:paraId="724ECF6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项目区</w:t>
            </w:r>
          </w:p>
          <w:p w14:paraId="3743CA6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地下水</w:t>
            </w:r>
          </w:p>
        </w:tc>
        <w:tc>
          <w:tcPr>
            <w:tcW w:w="946" w:type="dxa"/>
            <w:vAlign w:val="center"/>
          </w:tcPr>
          <w:p w14:paraId="47F26C6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c>
          <w:tcPr>
            <w:tcW w:w="989" w:type="dxa"/>
            <w:vAlign w:val="center"/>
          </w:tcPr>
          <w:p w14:paraId="5E33267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c>
          <w:tcPr>
            <w:tcW w:w="1831" w:type="dxa"/>
            <w:vAlign w:val="center"/>
          </w:tcPr>
          <w:p w14:paraId="6774FCA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选矿厂、尾矿库周边地下水水量和水质</w:t>
            </w:r>
          </w:p>
        </w:tc>
        <w:tc>
          <w:tcPr>
            <w:tcW w:w="2619" w:type="dxa"/>
            <w:vAlign w:val="center"/>
          </w:tcPr>
          <w:p w14:paraId="284EE73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《地下水质量标准》（GB/T14848-2017）Ⅲ类</w:t>
            </w:r>
          </w:p>
        </w:tc>
      </w:tr>
      <w:tr w14:paraId="6B640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57" w:type="dxa"/>
            <w:vAlign w:val="center"/>
          </w:tcPr>
          <w:p w14:paraId="2D8A7EC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w:t>
            </w:r>
          </w:p>
          <w:p w14:paraId="0F93F04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空气</w:t>
            </w:r>
          </w:p>
        </w:tc>
        <w:tc>
          <w:tcPr>
            <w:tcW w:w="1277" w:type="dxa"/>
            <w:vAlign w:val="center"/>
          </w:tcPr>
          <w:p w14:paraId="4A39BAFA">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cs="Times New Roman"/>
                <w:bCs/>
                <w:color w:val="auto"/>
                <w:kern w:val="0"/>
                <w:szCs w:val="21"/>
                <w:highlight w:val="none"/>
                <w:lang w:val="en-US" w:eastAsia="zh-CN"/>
              </w:rPr>
              <w:t>项目区大气环境</w:t>
            </w:r>
          </w:p>
        </w:tc>
        <w:tc>
          <w:tcPr>
            <w:tcW w:w="1935" w:type="dxa"/>
            <w:gridSpan w:val="2"/>
            <w:vAlign w:val="center"/>
          </w:tcPr>
          <w:p w14:paraId="0AC841D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cs="Times New Roman"/>
                <w:color w:val="auto"/>
                <w:szCs w:val="21"/>
                <w:highlight w:val="none"/>
                <w:lang w:val="en-US" w:eastAsia="zh-CN"/>
              </w:rPr>
              <w:t>项目区周边</w:t>
            </w:r>
          </w:p>
        </w:tc>
        <w:tc>
          <w:tcPr>
            <w:tcW w:w="1831" w:type="dxa"/>
            <w:vAlign w:val="center"/>
          </w:tcPr>
          <w:p w14:paraId="075AE388">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cs="Times New Roman"/>
                <w:bCs/>
                <w:color w:val="auto"/>
                <w:kern w:val="0"/>
                <w:szCs w:val="21"/>
                <w:highlight w:val="none"/>
                <w:lang w:val="en-US" w:eastAsia="zh-CN"/>
              </w:rPr>
              <w:t>项目区大气环境质量</w:t>
            </w:r>
          </w:p>
        </w:tc>
        <w:tc>
          <w:tcPr>
            <w:tcW w:w="2619" w:type="dxa"/>
            <w:vAlign w:val="center"/>
          </w:tcPr>
          <w:p w14:paraId="0C8D968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《环境空气质量标准》（GB3095-20</w:t>
            </w:r>
            <w:r>
              <w:rPr>
                <w:rFonts w:hint="default" w:cs="Times New Roman"/>
                <w:bCs/>
                <w:color w:val="auto"/>
                <w:kern w:val="0"/>
                <w:szCs w:val="21"/>
                <w:highlight w:val="none"/>
                <w:lang w:val="en-US" w:eastAsia="zh-CN"/>
              </w:rPr>
              <w:t>26</w:t>
            </w:r>
            <w:r>
              <w:rPr>
                <w:rFonts w:hint="default" w:ascii="Times New Roman" w:hAnsi="Times New Roman" w:cs="Times New Roman"/>
                <w:bCs/>
                <w:color w:val="auto"/>
                <w:kern w:val="0"/>
                <w:szCs w:val="21"/>
                <w:highlight w:val="none"/>
              </w:rPr>
              <w:t>）</w:t>
            </w:r>
          </w:p>
        </w:tc>
      </w:tr>
      <w:tr w14:paraId="45341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7" w:type="dxa"/>
            <w:vAlign w:val="center"/>
          </w:tcPr>
          <w:p w14:paraId="494F3E5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声环境</w:t>
            </w:r>
          </w:p>
        </w:tc>
        <w:tc>
          <w:tcPr>
            <w:tcW w:w="3212" w:type="dxa"/>
            <w:gridSpan w:val="3"/>
            <w:vAlign w:val="center"/>
          </w:tcPr>
          <w:p w14:paraId="20F1E3F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项目区厂界外1m</w:t>
            </w:r>
          </w:p>
        </w:tc>
        <w:tc>
          <w:tcPr>
            <w:tcW w:w="1831" w:type="dxa"/>
            <w:vAlign w:val="center"/>
          </w:tcPr>
          <w:p w14:paraId="0E8777CF">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cs="Times New Roman"/>
                <w:bCs/>
                <w:color w:val="auto"/>
                <w:kern w:val="0"/>
                <w:szCs w:val="21"/>
                <w:highlight w:val="none"/>
                <w:lang w:val="en-US" w:eastAsia="zh-CN"/>
              </w:rPr>
              <w:t>项目区声环境质量</w:t>
            </w:r>
          </w:p>
        </w:tc>
        <w:tc>
          <w:tcPr>
            <w:tcW w:w="2619" w:type="dxa"/>
            <w:vAlign w:val="center"/>
          </w:tcPr>
          <w:p w14:paraId="18D3999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《声环境质量标准》（GB3096-2008）2类</w:t>
            </w:r>
          </w:p>
        </w:tc>
      </w:tr>
      <w:tr w14:paraId="59E28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7" w:type="dxa"/>
            <w:vMerge w:val="restart"/>
            <w:vAlign w:val="center"/>
          </w:tcPr>
          <w:p w14:paraId="00E45AB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土壤</w:t>
            </w:r>
          </w:p>
          <w:p w14:paraId="6BE43B9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w:t>
            </w:r>
          </w:p>
        </w:tc>
        <w:tc>
          <w:tcPr>
            <w:tcW w:w="1277" w:type="dxa"/>
            <w:vAlign w:val="center"/>
          </w:tcPr>
          <w:p w14:paraId="418DAA52">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color w:val="auto"/>
                <w:szCs w:val="21"/>
                <w:highlight w:val="none"/>
                <w:lang w:val="en-US" w:eastAsia="zh-CN"/>
              </w:rPr>
              <w:t>耕地</w:t>
            </w:r>
          </w:p>
        </w:tc>
        <w:tc>
          <w:tcPr>
            <w:tcW w:w="946" w:type="dxa"/>
            <w:vAlign w:val="center"/>
          </w:tcPr>
          <w:p w14:paraId="1CCB9668">
            <w:pPr>
              <w:pStyle w:val="32"/>
              <w:spacing w:after="0" w:line="360" w:lineRule="exact"/>
              <w:ind w:left="0" w:leftChars="0"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E</w:t>
            </w:r>
          </w:p>
        </w:tc>
        <w:tc>
          <w:tcPr>
            <w:tcW w:w="989" w:type="dxa"/>
            <w:vAlign w:val="center"/>
          </w:tcPr>
          <w:p w14:paraId="7E8B9E7A">
            <w:pPr>
              <w:pStyle w:val="32"/>
              <w:spacing w:after="0" w:line="360" w:lineRule="exact"/>
              <w:ind w:left="0" w:leftChars="0"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320</w:t>
            </w:r>
          </w:p>
        </w:tc>
        <w:tc>
          <w:tcPr>
            <w:tcW w:w="1831" w:type="dxa"/>
            <w:vMerge w:val="restart"/>
            <w:vAlign w:val="center"/>
          </w:tcPr>
          <w:p w14:paraId="14D798E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val="en-US" w:eastAsia="zh-CN"/>
              </w:rPr>
              <w:t>土壤质量</w:t>
            </w:r>
            <w:r>
              <w:rPr>
                <w:rFonts w:hint="default" w:ascii="Times New Roman" w:hAnsi="Times New Roman" w:cs="Times New Roman"/>
                <w:bCs/>
                <w:color w:val="auto"/>
                <w:kern w:val="0"/>
                <w:szCs w:val="21"/>
                <w:highlight w:val="none"/>
              </w:rPr>
              <w:t>不受明显影响</w:t>
            </w:r>
          </w:p>
        </w:tc>
        <w:tc>
          <w:tcPr>
            <w:tcW w:w="2619" w:type="dxa"/>
            <w:vMerge w:val="restart"/>
            <w:vAlign w:val="center"/>
          </w:tcPr>
          <w:p w14:paraId="503E3FD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 w:val="21"/>
                <w:szCs w:val="21"/>
                <w:highlight w:val="none"/>
              </w:rPr>
              <w:t>《土壤环境质量 农用地土壤污染风险管控标准（试行）》（GB15618-2018）</w:t>
            </w:r>
          </w:p>
        </w:tc>
      </w:tr>
      <w:tr w14:paraId="38E7B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7" w:type="dxa"/>
            <w:vMerge w:val="continue"/>
            <w:vAlign w:val="center"/>
          </w:tcPr>
          <w:p w14:paraId="1F17CC3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277" w:type="dxa"/>
            <w:vAlign w:val="center"/>
          </w:tcPr>
          <w:p w14:paraId="77674475">
            <w:pPr>
              <w:pStyle w:val="32"/>
              <w:spacing w:after="0" w:line="360" w:lineRule="exact"/>
              <w:ind w:left="0" w:leftChars="0" w:firstLine="0" w:firstLineChars="0"/>
              <w:jc w:val="center"/>
              <w:rPr>
                <w:rFonts w:hint="default" w:ascii="Times New Roman" w:hAnsi="Times New Roman" w:cs="Times New Roman"/>
                <w:color w:val="auto"/>
                <w:szCs w:val="21"/>
                <w:highlight w:val="none"/>
                <w:lang w:val="en-US" w:eastAsia="zh-CN"/>
              </w:rPr>
            </w:pPr>
            <w:r>
              <w:rPr>
                <w:rFonts w:hint="default" w:cs="Times New Roman"/>
                <w:color w:val="auto"/>
                <w:szCs w:val="21"/>
                <w:highlight w:val="none"/>
                <w:lang w:val="en-US" w:eastAsia="zh-CN"/>
              </w:rPr>
              <w:t>牧草地</w:t>
            </w:r>
          </w:p>
        </w:tc>
        <w:tc>
          <w:tcPr>
            <w:tcW w:w="1935" w:type="dxa"/>
            <w:gridSpan w:val="2"/>
            <w:vAlign w:val="center"/>
          </w:tcPr>
          <w:p w14:paraId="7C99A178">
            <w:pPr>
              <w:pStyle w:val="32"/>
              <w:spacing w:after="0" w:line="360" w:lineRule="exact"/>
              <w:ind w:left="0" w:leftChars="0" w:firstLine="0" w:firstLineChars="0"/>
              <w:jc w:val="center"/>
              <w:rPr>
                <w:rFonts w:hint="default" w:ascii="Times New Roman" w:hAnsi="Times New Roman" w:cs="Times New Roman"/>
                <w:color w:val="auto"/>
                <w:szCs w:val="21"/>
                <w:highlight w:val="none"/>
                <w:lang w:val="en-US" w:eastAsia="zh-CN"/>
              </w:rPr>
            </w:pPr>
            <w:r>
              <w:rPr>
                <w:rFonts w:hint="default" w:cs="Times New Roman"/>
                <w:color w:val="auto"/>
                <w:szCs w:val="21"/>
                <w:highlight w:val="none"/>
                <w:lang w:val="en-US" w:eastAsia="zh-CN"/>
              </w:rPr>
              <w:t>项目区</w:t>
            </w:r>
            <w:r>
              <w:rPr>
                <w:rFonts w:hint="eastAsia" w:cs="Times New Roman"/>
                <w:color w:val="auto"/>
                <w:szCs w:val="21"/>
                <w:highlight w:val="none"/>
                <w:lang w:val="en-US" w:eastAsia="zh-CN"/>
              </w:rPr>
              <w:t>及</w:t>
            </w:r>
            <w:r>
              <w:rPr>
                <w:rFonts w:hint="default" w:cs="Times New Roman"/>
                <w:color w:val="auto"/>
                <w:szCs w:val="21"/>
                <w:highlight w:val="none"/>
                <w:lang w:val="en-US" w:eastAsia="zh-CN"/>
              </w:rPr>
              <w:t>周边</w:t>
            </w:r>
            <w:r>
              <w:rPr>
                <w:rFonts w:hint="eastAsia" w:cs="Times New Roman"/>
                <w:color w:val="auto"/>
                <w:szCs w:val="21"/>
                <w:highlight w:val="none"/>
                <w:lang w:val="en-US" w:eastAsia="zh-CN"/>
              </w:rPr>
              <w:t>区域</w:t>
            </w:r>
          </w:p>
        </w:tc>
        <w:tc>
          <w:tcPr>
            <w:tcW w:w="1831" w:type="dxa"/>
            <w:vMerge w:val="continue"/>
            <w:vAlign w:val="center"/>
          </w:tcPr>
          <w:p w14:paraId="71BFB91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lang w:val="en-US" w:eastAsia="zh-CN"/>
              </w:rPr>
            </w:pPr>
          </w:p>
        </w:tc>
        <w:tc>
          <w:tcPr>
            <w:tcW w:w="2619" w:type="dxa"/>
            <w:vMerge w:val="continue"/>
            <w:vAlign w:val="center"/>
          </w:tcPr>
          <w:p w14:paraId="7827CAE6">
            <w:pPr>
              <w:pStyle w:val="32"/>
              <w:spacing w:after="0" w:line="360" w:lineRule="exact"/>
              <w:ind w:left="0" w:leftChars="0" w:firstLine="0" w:firstLineChars="0"/>
              <w:jc w:val="center"/>
              <w:rPr>
                <w:rFonts w:hint="default" w:ascii="Times New Roman" w:hAnsi="Times New Roman" w:cs="Times New Roman"/>
                <w:color w:val="auto"/>
                <w:sz w:val="21"/>
                <w:szCs w:val="21"/>
                <w:highlight w:val="none"/>
              </w:rPr>
            </w:pPr>
          </w:p>
        </w:tc>
      </w:tr>
      <w:tr w14:paraId="4E5FE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dxa"/>
            <w:vAlign w:val="center"/>
          </w:tcPr>
          <w:p w14:paraId="3F3EFAF7">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生态</w:t>
            </w:r>
          </w:p>
        </w:tc>
        <w:tc>
          <w:tcPr>
            <w:tcW w:w="3212" w:type="dxa"/>
            <w:gridSpan w:val="3"/>
            <w:vAlign w:val="center"/>
          </w:tcPr>
          <w:p w14:paraId="64AA0196">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尾矿库、选矿厂边界外延500m、办公生活区边界外延200m</w:t>
            </w:r>
          </w:p>
        </w:tc>
        <w:tc>
          <w:tcPr>
            <w:tcW w:w="1831" w:type="dxa"/>
            <w:vAlign w:val="center"/>
          </w:tcPr>
          <w:p w14:paraId="2A99D4D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地表植被、动物、土壤</w:t>
            </w:r>
          </w:p>
        </w:tc>
        <w:tc>
          <w:tcPr>
            <w:tcW w:w="2619" w:type="dxa"/>
            <w:vAlign w:val="center"/>
          </w:tcPr>
          <w:p w14:paraId="0FC2991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保护生态系统结构和功能的完整性、稳定性；防止水土流失。</w:t>
            </w:r>
          </w:p>
        </w:tc>
      </w:tr>
      <w:tr w14:paraId="1C27B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7" w:type="dxa"/>
            <w:vMerge w:val="restart"/>
            <w:vAlign w:val="center"/>
          </w:tcPr>
          <w:p w14:paraId="6301230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w:t>
            </w:r>
          </w:p>
          <w:p w14:paraId="11A7084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风险</w:t>
            </w:r>
          </w:p>
        </w:tc>
        <w:tc>
          <w:tcPr>
            <w:tcW w:w="1277" w:type="dxa"/>
            <w:vAlign w:val="center"/>
          </w:tcPr>
          <w:p w14:paraId="0B2F7C7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选矿生活区</w:t>
            </w:r>
          </w:p>
        </w:tc>
        <w:tc>
          <w:tcPr>
            <w:tcW w:w="1935" w:type="dxa"/>
            <w:gridSpan w:val="2"/>
            <w:vAlign w:val="center"/>
          </w:tcPr>
          <w:p w14:paraId="0A0D222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选厂</w:t>
            </w:r>
            <w:r>
              <w:rPr>
                <w:rFonts w:hint="default" w:ascii="Times New Roman" w:hAnsi="Times New Roman" w:cs="Times New Roman"/>
                <w:bCs/>
                <w:color w:val="auto"/>
                <w:kern w:val="0"/>
                <w:szCs w:val="21"/>
                <w:highlight w:val="none"/>
                <w:lang w:val="en-US" w:eastAsia="zh-CN"/>
              </w:rPr>
              <w:t>南</w:t>
            </w:r>
            <w:r>
              <w:rPr>
                <w:rFonts w:hint="default" w:ascii="Times New Roman" w:hAnsi="Times New Roman" w:cs="Times New Roman"/>
                <w:bCs/>
                <w:color w:val="auto"/>
                <w:kern w:val="0"/>
                <w:szCs w:val="21"/>
                <w:highlight w:val="none"/>
              </w:rPr>
              <w:t>侧</w:t>
            </w:r>
          </w:p>
        </w:tc>
        <w:tc>
          <w:tcPr>
            <w:tcW w:w="4450" w:type="dxa"/>
            <w:gridSpan w:val="2"/>
            <w:vAlign w:val="center"/>
          </w:tcPr>
          <w:p w14:paraId="2D00957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不受风险事故明显影响</w:t>
            </w:r>
          </w:p>
        </w:tc>
      </w:tr>
      <w:tr w14:paraId="7C81C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7" w:type="dxa"/>
            <w:vMerge w:val="continue"/>
            <w:vAlign w:val="center"/>
          </w:tcPr>
          <w:p w14:paraId="727EFAE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3212" w:type="dxa"/>
            <w:gridSpan w:val="3"/>
            <w:vAlign w:val="center"/>
          </w:tcPr>
          <w:p w14:paraId="0B0AAA8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尾矿库</w:t>
            </w:r>
          </w:p>
        </w:tc>
        <w:tc>
          <w:tcPr>
            <w:tcW w:w="1831" w:type="dxa"/>
            <w:vAlign w:val="center"/>
          </w:tcPr>
          <w:p w14:paraId="395DEE8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防止溃坝</w:t>
            </w:r>
          </w:p>
        </w:tc>
        <w:tc>
          <w:tcPr>
            <w:tcW w:w="2619" w:type="dxa"/>
            <w:vAlign w:val="center"/>
          </w:tcPr>
          <w:p w14:paraId="71083CF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环境风险可控</w:t>
            </w:r>
          </w:p>
        </w:tc>
      </w:tr>
    </w:tbl>
    <w:p w14:paraId="74929C11">
      <w:pPr>
        <w:ind w:firstLine="480"/>
        <w:rPr>
          <w:rFonts w:hint="default" w:ascii="Times New Roman" w:hAnsi="Times New Roman" w:cs="Times New Roman"/>
          <w:color w:val="auto"/>
          <w:highlight w:val="none"/>
        </w:rPr>
      </w:pPr>
    </w:p>
    <w:p w14:paraId="62641D3D">
      <w:pPr>
        <w:pStyle w:val="41"/>
        <w:ind w:firstLine="480"/>
        <w:rPr>
          <w:rFonts w:hint="default" w:ascii="Times New Roman" w:hAnsi="Times New Roman" w:cs="Times New Roman"/>
          <w:color w:val="auto"/>
          <w:szCs w:val="24"/>
          <w:highlight w:val="none"/>
        </w:rPr>
        <w:sectPr>
          <w:pgSz w:w="11906" w:h="16838"/>
          <w:pgMar w:top="1440" w:right="1800" w:bottom="1440" w:left="1800" w:header="851" w:footer="992" w:gutter="0"/>
          <w:cols w:space="425" w:num="1"/>
          <w:docGrid w:type="lines" w:linePitch="312" w:charSpace="0"/>
        </w:sectPr>
      </w:pPr>
    </w:p>
    <w:p w14:paraId="1B62865A">
      <w:pPr>
        <w:pStyle w:val="2"/>
        <w:spacing w:line="720" w:lineRule="exact"/>
        <w:rPr>
          <w:rFonts w:hint="default" w:ascii="Times New Roman" w:hAnsi="Times New Roman" w:cs="Times New Roman"/>
          <w:color w:val="auto"/>
          <w:highlight w:val="none"/>
        </w:rPr>
      </w:pPr>
      <w:bookmarkStart w:id="330" w:name="_Toc107413885"/>
      <w:bookmarkStart w:id="331" w:name="_Toc8167"/>
      <w:bookmarkStart w:id="332" w:name="_Toc107414652"/>
      <w:bookmarkStart w:id="333" w:name="_Toc19143"/>
      <w:bookmarkStart w:id="334" w:name="_Toc7126"/>
      <w:bookmarkStart w:id="335" w:name="_Toc24602"/>
      <w:bookmarkStart w:id="336" w:name="_Toc28574"/>
      <w:r>
        <w:rPr>
          <w:rFonts w:hint="default" w:ascii="Times New Roman" w:hAnsi="Times New Roman" w:cs="Times New Roman"/>
          <w:color w:val="auto"/>
          <w:highlight w:val="none"/>
        </w:rPr>
        <w:t>3建设项目工程分析</w:t>
      </w:r>
      <w:bookmarkEnd w:id="330"/>
      <w:bookmarkEnd w:id="331"/>
      <w:bookmarkEnd w:id="332"/>
      <w:bookmarkEnd w:id="333"/>
      <w:bookmarkEnd w:id="334"/>
      <w:bookmarkEnd w:id="335"/>
      <w:bookmarkEnd w:id="336"/>
    </w:p>
    <w:p w14:paraId="65C21B53">
      <w:pPr>
        <w:pStyle w:val="3"/>
        <w:spacing w:line="560" w:lineRule="atLeast"/>
        <w:rPr>
          <w:rFonts w:hint="default" w:ascii="Times New Roman" w:hAnsi="Times New Roman" w:cs="Times New Roman"/>
          <w:color w:val="auto"/>
          <w:highlight w:val="none"/>
        </w:rPr>
      </w:pPr>
      <w:bookmarkStart w:id="337" w:name="_Toc1236"/>
      <w:bookmarkStart w:id="338" w:name="_Toc13762"/>
      <w:bookmarkStart w:id="339" w:name="_Toc107413887"/>
      <w:bookmarkStart w:id="340" w:name="_Toc31573"/>
      <w:bookmarkStart w:id="341" w:name="_Toc20486"/>
      <w:bookmarkStart w:id="342" w:name="_Toc4438"/>
      <w:bookmarkStart w:id="343" w:name="_Toc107414654"/>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本项目概况</w:t>
      </w:r>
      <w:bookmarkEnd w:id="337"/>
      <w:bookmarkEnd w:id="338"/>
      <w:bookmarkEnd w:id="339"/>
      <w:bookmarkEnd w:id="340"/>
      <w:bookmarkEnd w:id="341"/>
      <w:bookmarkEnd w:id="342"/>
      <w:bookmarkEnd w:id="343"/>
    </w:p>
    <w:p w14:paraId="4CFF7E19">
      <w:pPr>
        <w:pStyle w:val="4"/>
        <w:rPr>
          <w:rFonts w:hint="default" w:ascii="Times New Roman" w:hAnsi="Times New Roman" w:cs="Times New Roman"/>
          <w:color w:val="auto"/>
          <w:highlight w:val="none"/>
        </w:rPr>
      </w:pPr>
      <w:bookmarkStart w:id="344" w:name="_Toc27767"/>
      <w:bookmarkStart w:id="345" w:name="_Toc9874"/>
      <w:bookmarkStart w:id="346" w:name="_Toc1959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.1本项目基本情况</w:t>
      </w:r>
      <w:bookmarkEnd w:id="344"/>
      <w:bookmarkEnd w:id="345"/>
      <w:bookmarkEnd w:id="346"/>
    </w:p>
    <w:p w14:paraId="1A9FCB14">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项目名称：新疆富蕴县阿克塔斯矿区金矿选矿及尾矿库项目</w:t>
      </w:r>
    </w:p>
    <w:p w14:paraId="705D1822">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建设单位：新疆江诣矿业有限公司</w:t>
      </w:r>
    </w:p>
    <w:p w14:paraId="239094E3">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建设性质：新建</w:t>
      </w:r>
    </w:p>
    <w:p w14:paraId="3E5DED8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国民经济行业类型：0921金矿采选</w:t>
      </w:r>
    </w:p>
    <w:p w14:paraId="7FED44A1">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生产规模：选矿厂年处理</w:t>
      </w:r>
      <w:r>
        <w:rPr>
          <w:rFonts w:hint="default" w:ascii="Times New Roman" w:hAnsi="Times New Roman" w:cs="Times New Roman"/>
          <w:color w:val="auto"/>
          <w:szCs w:val="24"/>
          <w:highlight w:val="none"/>
          <w:lang w:eastAsia="zh-CN"/>
        </w:rPr>
        <w:t>金矿</w:t>
      </w:r>
      <w:r>
        <w:rPr>
          <w:rFonts w:hint="default" w:ascii="Times New Roman" w:hAnsi="Times New Roman" w:cs="Times New Roman"/>
          <w:color w:val="auto"/>
          <w:szCs w:val="24"/>
          <w:highlight w:val="none"/>
        </w:rPr>
        <w:t>原矿</w:t>
      </w:r>
      <w:r>
        <w:rPr>
          <w:rFonts w:hint="default" w:ascii="Times New Roman" w:hAnsi="Times New Roman" w:cs="Times New Roman"/>
          <w:color w:val="auto"/>
          <w:szCs w:val="24"/>
          <w:highlight w:val="none"/>
          <w:lang w:val="en-US" w:eastAsia="zh-CN"/>
        </w:rPr>
        <w:t>15</w:t>
      </w:r>
      <w:r>
        <w:rPr>
          <w:rFonts w:hint="default" w:ascii="Times New Roman" w:hAnsi="Times New Roman" w:cs="Times New Roman"/>
          <w:color w:val="auto"/>
          <w:szCs w:val="24"/>
          <w:highlight w:val="none"/>
        </w:rPr>
        <w:t>万t/a</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625t/d</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w:t>
      </w:r>
    </w:p>
    <w:p w14:paraId="7533F525">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建设地点：本项目位于</w:t>
      </w:r>
      <w:r>
        <w:rPr>
          <w:rFonts w:hint="default" w:ascii="Times New Roman" w:hAnsi="Times New Roman" w:cs="Times New Roman"/>
          <w:color w:val="auto"/>
          <w:highlight w:val="none"/>
          <w:lang w:val="en-US" w:eastAsia="zh-CN"/>
        </w:rPr>
        <w:t>富蕴</w:t>
      </w:r>
      <w:r>
        <w:rPr>
          <w:rFonts w:hint="default" w:ascii="Times New Roman" w:hAnsi="Times New Roman" w:cs="Times New Roman"/>
          <w:color w:val="auto"/>
          <w:highlight w:val="none"/>
        </w:rPr>
        <w:t>县城东南144°方位</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40km处，行政区划属于富蕴县喀拉通克镇管辖。本次新建选矿厂</w:t>
      </w:r>
      <w:r>
        <w:rPr>
          <w:rFonts w:hint="default" w:ascii="Times New Roman" w:hAnsi="Times New Roman" w:cs="Times New Roman"/>
          <w:color w:val="auto"/>
          <w:szCs w:val="24"/>
          <w:highlight w:val="none"/>
          <w:lang w:val="en-US" w:eastAsia="zh-CN"/>
        </w:rPr>
        <w:t>西南距</w:t>
      </w:r>
      <w:r>
        <w:rPr>
          <w:rFonts w:hint="default" w:ascii="Times New Roman" w:hAnsi="Times New Roman" w:cs="Times New Roman"/>
          <w:color w:val="auto"/>
          <w:highlight w:val="none"/>
        </w:rPr>
        <w:t>采矿工程</w:t>
      </w:r>
      <w:r>
        <w:rPr>
          <w:rFonts w:hint="default" w:ascii="Times New Roman" w:hAnsi="Times New Roman" w:cs="Times New Roman"/>
          <w:color w:val="auto"/>
          <w:szCs w:val="24"/>
          <w:highlight w:val="none"/>
        </w:rPr>
        <w:t>约</w:t>
      </w:r>
      <w:r>
        <w:rPr>
          <w:rFonts w:hint="eastAsia" w:cs="Times New Roman"/>
          <w:color w:val="auto"/>
          <w:szCs w:val="24"/>
          <w:highlight w:val="none"/>
          <w:lang w:val="en-US" w:eastAsia="zh-CN"/>
        </w:rPr>
        <w:t>66</w:t>
      </w:r>
      <w:r>
        <w:rPr>
          <w:rFonts w:hint="default" w:ascii="Times New Roman" w:hAnsi="Times New Roman" w:cs="Times New Roman"/>
          <w:color w:val="auto"/>
          <w:szCs w:val="24"/>
          <w:highlight w:val="none"/>
          <w:lang w:val="en-US" w:eastAsia="zh-CN"/>
        </w:rPr>
        <w:t>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办公生活区紧邻选矿厂南侧，尾矿库南距</w:t>
      </w:r>
      <w:r>
        <w:rPr>
          <w:rFonts w:hint="eastAsia" w:ascii="Times New Roman" w:hAnsi="Times New Roman" w:cs="Times New Roman"/>
          <w:color w:val="auto"/>
          <w:highlight w:val="none"/>
          <w:lang w:val="en-US" w:eastAsia="zh-CN"/>
        </w:rPr>
        <w:t>选矿</w:t>
      </w:r>
      <w:r>
        <w:rPr>
          <w:rFonts w:hint="default" w:ascii="Times New Roman" w:hAnsi="Times New Roman" w:cs="Times New Roman"/>
          <w:color w:val="auto"/>
          <w:highlight w:val="none"/>
        </w:rPr>
        <w:t>工程</w:t>
      </w:r>
      <w:r>
        <w:rPr>
          <w:rFonts w:hint="default" w:ascii="Times New Roman" w:hAnsi="Times New Roman" w:cs="Times New Roman"/>
          <w:color w:val="auto"/>
          <w:szCs w:val="24"/>
          <w:highlight w:val="none"/>
        </w:rPr>
        <w:t>约</w:t>
      </w:r>
      <w:r>
        <w:rPr>
          <w:rFonts w:hint="eastAsia" w:ascii="Times New Roman" w:hAnsi="Times New Roman" w:cs="Times New Roman"/>
          <w:color w:val="auto"/>
          <w:szCs w:val="24"/>
          <w:highlight w:val="none"/>
          <w:lang w:val="en-US" w:eastAsia="zh-CN"/>
        </w:rPr>
        <w:t>850</w:t>
      </w:r>
      <w:r>
        <w:rPr>
          <w:rFonts w:hint="default" w:ascii="Times New Roman" w:hAnsi="Times New Roman" w:cs="Times New Roman"/>
          <w:color w:val="auto"/>
          <w:szCs w:val="24"/>
          <w:highlight w:val="none"/>
        </w:rPr>
        <w:t>m</w:t>
      </w: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南距</w:t>
      </w:r>
      <w:r>
        <w:rPr>
          <w:rFonts w:hint="default" w:ascii="Times New Roman" w:hAnsi="Times New Roman" w:cs="Times New Roman"/>
          <w:color w:val="auto"/>
          <w:highlight w:val="none"/>
        </w:rPr>
        <w:t>采矿工程</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1.</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rPr>
        <w:t>km</w:t>
      </w:r>
      <w:r>
        <w:rPr>
          <w:rFonts w:hint="default" w:ascii="Times New Roman" w:hAnsi="Times New Roman" w:cs="Times New Roman"/>
          <w:color w:val="auto"/>
          <w:highlight w:val="none"/>
        </w:rPr>
        <w:t>。本项目地理位置见图3.</w:t>
      </w:r>
      <w:r>
        <w:rPr>
          <w:rFonts w:hint="default" w:cs="Times New Roman"/>
          <w:color w:val="auto"/>
          <w:highlight w:val="none"/>
          <w:lang w:val="en-US" w:eastAsia="zh-CN"/>
        </w:rPr>
        <w:t>1</w:t>
      </w:r>
      <w:r>
        <w:rPr>
          <w:rFonts w:hint="default" w:ascii="Times New Roman" w:hAnsi="Times New Roman" w:cs="Times New Roman"/>
          <w:color w:val="auto"/>
          <w:highlight w:val="none"/>
        </w:rPr>
        <w:t>-1、区域位置图见图3.</w:t>
      </w:r>
      <w:r>
        <w:rPr>
          <w:rFonts w:hint="default" w:cs="Times New Roman"/>
          <w:color w:val="auto"/>
          <w:highlight w:val="none"/>
          <w:lang w:val="en-US" w:eastAsia="zh-CN"/>
        </w:rPr>
        <w:t>1</w:t>
      </w:r>
      <w:r>
        <w:rPr>
          <w:rFonts w:hint="default" w:ascii="Times New Roman" w:hAnsi="Times New Roman" w:cs="Times New Roman"/>
          <w:color w:val="auto"/>
          <w:highlight w:val="none"/>
        </w:rPr>
        <w:t>-2。</w:t>
      </w:r>
    </w:p>
    <w:p w14:paraId="69C565A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服务年限：选矿厂、尾矿库服务年限为</w:t>
      </w:r>
      <w:r>
        <w:rPr>
          <w:rFonts w:hint="default" w:cs="Times New Roman"/>
          <w:color w:val="auto"/>
          <w:highlight w:val="none"/>
          <w:lang w:val="en-US" w:eastAsia="zh-CN"/>
        </w:rPr>
        <w:t>25</w:t>
      </w:r>
      <w:r>
        <w:rPr>
          <w:rFonts w:hint="default" w:ascii="Times New Roman" w:hAnsi="Times New Roman" w:cs="Times New Roman"/>
          <w:color w:val="auto"/>
          <w:highlight w:val="none"/>
        </w:rPr>
        <w:t>年。</w:t>
      </w:r>
    </w:p>
    <w:p w14:paraId="6489DC4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项目建设周期：计划开工时间为202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年4月，计划建设周期为</w:t>
      </w: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.5年（</w:t>
      </w:r>
      <w:r>
        <w:rPr>
          <w:rFonts w:hint="default" w:cs="Times New Roman"/>
          <w:color w:val="auto"/>
          <w:highlight w:val="none"/>
          <w:lang w:val="en-US" w:eastAsia="zh-CN"/>
        </w:rPr>
        <w:t>18</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w:t>
      </w:r>
    </w:p>
    <w:p w14:paraId="688BD6E6">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项目投资：</w:t>
      </w:r>
      <w:r>
        <w:rPr>
          <w:rFonts w:hint="default" w:ascii="Times New Roman" w:hAnsi="Times New Roman" w:cs="Times New Roman"/>
          <w:color w:val="auto"/>
          <w:highlight w:val="none"/>
          <w:lang w:val="en-US" w:eastAsia="zh-CN"/>
        </w:rPr>
        <w:t>本项目总投资</w:t>
      </w:r>
      <w:r>
        <w:rPr>
          <w:rFonts w:hint="default" w:cs="Times New Roman"/>
          <w:color w:val="auto"/>
          <w:highlight w:val="none"/>
          <w:lang w:val="en-US" w:eastAsia="zh-CN"/>
        </w:rPr>
        <w:t>18744.36</w:t>
      </w:r>
      <w:r>
        <w:rPr>
          <w:rFonts w:hint="default" w:ascii="Times New Roman" w:hAnsi="Times New Roman" w:cs="Times New Roman"/>
          <w:color w:val="auto"/>
          <w:highlight w:val="none"/>
        </w:rPr>
        <w:t>万元，其中</w:t>
      </w:r>
      <w:r>
        <w:rPr>
          <w:rFonts w:hint="default" w:ascii="Times New Roman" w:hAnsi="Times New Roman" w:cs="Times New Roman"/>
          <w:color w:val="auto"/>
          <w:highlight w:val="none"/>
          <w:lang w:val="en-US" w:eastAsia="zh-CN"/>
        </w:rPr>
        <w:t>环保投资</w:t>
      </w:r>
      <w:r>
        <w:rPr>
          <w:rFonts w:hint="default" w:cs="Times New Roman"/>
          <w:color w:val="auto"/>
          <w:highlight w:val="none"/>
          <w:lang w:val="en-US" w:eastAsia="zh-CN"/>
        </w:rPr>
        <w:t>1733</w:t>
      </w:r>
      <w:r>
        <w:rPr>
          <w:rFonts w:hint="default" w:ascii="Times New Roman" w:hAnsi="Times New Roman" w:cs="Times New Roman"/>
          <w:color w:val="auto"/>
          <w:highlight w:val="none"/>
        </w:rPr>
        <w:t>万元，</w:t>
      </w:r>
      <w:r>
        <w:rPr>
          <w:rFonts w:hint="default" w:ascii="Times New Roman" w:hAnsi="Times New Roman" w:cs="Times New Roman"/>
          <w:color w:val="auto"/>
          <w:highlight w:val="none"/>
          <w:lang w:val="en-US" w:eastAsia="zh-CN"/>
        </w:rPr>
        <w:t>占总投资的</w:t>
      </w:r>
      <w:r>
        <w:rPr>
          <w:rFonts w:hint="default" w:cs="Times New Roman"/>
          <w:color w:val="auto"/>
          <w:highlight w:val="none"/>
          <w:lang w:val="en-US" w:eastAsia="zh-CN"/>
        </w:rPr>
        <w:t>9.25</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。均为企业自筹。</w:t>
      </w:r>
    </w:p>
    <w:p w14:paraId="67120DB0">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工作制度：选矿厂的工作制度为连续工作制。全年运转</w:t>
      </w:r>
      <w:r>
        <w:rPr>
          <w:rFonts w:hint="default" w:ascii="Times New Roman" w:hAnsi="Times New Roman" w:cs="Times New Roman"/>
          <w:color w:val="auto"/>
          <w:szCs w:val="24"/>
          <w:highlight w:val="none"/>
          <w:lang w:val="en-US" w:eastAsia="zh-CN"/>
        </w:rPr>
        <w:t>5760</w:t>
      </w:r>
      <w:r>
        <w:rPr>
          <w:rFonts w:hint="default" w:ascii="Times New Roman" w:hAnsi="Times New Roman" w:cs="Times New Roman"/>
          <w:color w:val="auto"/>
          <w:szCs w:val="24"/>
          <w:highlight w:val="none"/>
        </w:rPr>
        <w:t>小时，相当于年工作</w:t>
      </w:r>
      <w:r>
        <w:rPr>
          <w:rFonts w:hint="default" w:ascii="Times New Roman" w:hAnsi="Times New Roman" w:cs="Times New Roman"/>
          <w:color w:val="auto"/>
          <w:szCs w:val="24"/>
          <w:highlight w:val="none"/>
          <w:lang w:val="en-US" w:eastAsia="zh-CN"/>
        </w:rPr>
        <w:t>240</w:t>
      </w:r>
      <w:r>
        <w:rPr>
          <w:rFonts w:hint="default" w:ascii="Times New Roman" w:hAnsi="Times New Roman" w:cs="Times New Roman"/>
          <w:color w:val="auto"/>
          <w:szCs w:val="24"/>
          <w:highlight w:val="none"/>
        </w:rPr>
        <w:t>天，每天3班，每班8小时。</w:t>
      </w:r>
    </w:p>
    <w:p w14:paraId="50DAFF07">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劳动定员：</w:t>
      </w:r>
      <w:r>
        <w:rPr>
          <w:rFonts w:hint="default" w:ascii="Times New Roman" w:hAnsi="Times New Roman" w:cs="Times New Roman"/>
          <w:color w:val="auto"/>
          <w:szCs w:val="24"/>
          <w:highlight w:val="none"/>
          <w:lang w:val="en-US" w:eastAsia="zh-CN"/>
        </w:rPr>
        <w:t>本项目劳动定员共计</w:t>
      </w:r>
      <w:r>
        <w:rPr>
          <w:rFonts w:hint="default" w:ascii="Times New Roman" w:hAnsi="Times New Roman" w:cs="Times New Roman"/>
          <w:color w:val="auto"/>
          <w:highlight w:val="none"/>
          <w:lang w:val="en-US" w:eastAsia="zh-CN"/>
        </w:rPr>
        <w:t>103</w:t>
      </w:r>
      <w:r>
        <w:rPr>
          <w:rFonts w:hint="default" w:ascii="Times New Roman" w:hAnsi="Times New Roman" w:cs="Times New Roman"/>
          <w:color w:val="auto"/>
          <w:highlight w:val="none"/>
        </w:rPr>
        <w:t>人，其中</w:t>
      </w:r>
      <w:r>
        <w:rPr>
          <w:rFonts w:hint="default" w:ascii="Times New Roman" w:hAnsi="Times New Roman" w:cs="Times New Roman"/>
          <w:color w:val="auto"/>
          <w:highlight w:val="none"/>
          <w:lang w:val="en-US" w:eastAsia="zh-CN"/>
        </w:rPr>
        <w:t>选矿厂</w:t>
      </w:r>
      <w:r>
        <w:rPr>
          <w:rFonts w:hint="default" w:ascii="Times New Roman" w:hAnsi="Times New Roman" w:cs="Times New Roman"/>
          <w:color w:val="auto"/>
          <w:highlight w:val="none"/>
        </w:rPr>
        <w:t>生产人员</w:t>
      </w:r>
      <w:r>
        <w:rPr>
          <w:rFonts w:hint="default" w:ascii="Times New Roman" w:hAnsi="Times New Roman" w:cs="Times New Roman"/>
          <w:color w:val="auto"/>
          <w:highlight w:val="none"/>
          <w:lang w:val="en-US" w:eastAsia="zh-CN"/>
        </w:rPr>
        <w:t>59人，尾矿库</w:t>
      </w:r>
      <w:r>
        <w:rPr>
          <w:rFonts w:hint="default" w:ascii="Times New Roman" w:hAnsi="Times New Roman" w:cs="Times New Roman"/>
          <w:color w:val="auto"/>
          <w:highlight w:val="none"/>
        </w:rPr>
        <w:t>生产人员</w:t>
      </w:r>
      <w:r>
        <w:rPr>
          <w:rFonts w:hint="default" w:ascii="Times New Roman" w:hAnsi="Times New Roman" w:cs="Times New Roman"/>
          <w:color w:val="auto"/>
          <w:highlight w:val="none"/>
          <w:lang w:val="en-US" w:eastAsia="zh-CN"/>
        </w:rPr>
        <w:t>44人</w:t>
      </w:r>
      <w:r>
        <w:rPr>
          <w:rFonts w:hint="default" w:ascii="Times New Roman" w:hAnsi="Times New Roman" w:cs="Times New Roman"/>
          <w:color w:val="auto"/>
          <w:highlight w:val="none"/>
        </w:rPr>
        <w:t>。</w:t>
      </w:r>
    </w:p>
    <w:p w14:paraId="57E69E4A">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本项目占地：</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选矿厂占地面积为</w:t>
      </w:r>
      <w:r>
        <w:rPr>
          <w:rFonts w:hint="eastAsia" w:cs="Times New Roman"/>
          <w:color w:val="auto"/>
          <w:highlight w:val="none"/>
          <w:lang w:val="en-US" w:eastAsia="zh-CN"/>
        </w:rPr>
        <w:t>5.57</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eastAsia" w:cs="Times New Roman"/>
          <w:color w:val="auto"/>
          <w:highlight w:val="none"/>
          <w:vertAlign w:val="baseline"/>
          <w:lang w:val="en-US" w:eastAsia="zh-CN"/>
        </w:rPr>
        <w:t>85</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，尾矿库占地面积</w:t>
      </w:r>
      <w:r>
        <w:rPr>
          <w:rFonts w:hint="default" w:cs="Times New Roman"/>
          <w:color w:val="auto"/>
          <w:highlight w:val="none"/>
          <w:lang w:val="en-US" w:eastAsia="zh-CN"/>
        </w:rPr>
        <w:t>2</w:t>
      </w:r>
      <w:r>
        <w:rPr>
          <w:rFonts w:hint="eastAsia" w:cs="Times New Roman"/>
          <w:color w:val="auto"/>
          <w:highlight w:val="none"/>
          <w:lang w:val="en-US" w:eastAsia="zh-CN"/>
        </w:rPr>
        <w:t>6.0</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eastAsia" w:cs="Times New Roman"/>
          <w:color w:val="auto"/>
          <w:highlight w:val="none"/>
          <w:vertAlign w:val="baseline"/>
          <w:lang w:val="en-US" w:eastAsia="zh-CN"/>
        </w:rPr>
        <w:t>390</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，生活办公区占地面积为</w:t>
      </w:r>
      <w:r>
        <w:rPr>
          <w:rFonts w:hint="default" w:ascii="Times New Roman" w:hAnsi="Times New Roman" w:cs="Times New Roman"/>
          <w:color w:val="auto"/>
          <w:highlight w:val="none"/>
          <w:lang w:val="en-US" w:eastAsia="zh-CN"/>
        </w:rPr>
        <w:t>1.3</w:t>
      </w:r>
      <w:r>
        <w:rPr>
          <w:rFonts w:hint="eastAsia" w:cs="Times New Roman"/>
          <w:color w:val="auto"/>
          <w:highlight w:val="none"/>
          <w:lang w:val="en-US" w:eastAsia="zh-CN"/>
        </w:rPr>
        <w:t>3</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eastAsia" w:cs="Times New Roman"/>
          <w:color w:val="auto"/>
          <w:highlight w:val="none"/>
          <w:vertAlign w:val="baseline"/>
          <w:lang w:val="en-US" w:eastAsia="zh-CN"/>
        </w:rPr>
        <w:t>20</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lang w:val="en-US" w:eastAsia="zh-CN"/>
        </w:rPr>
        <w:t>道路占地0.7</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default" w:cs="Times New Roman"/>
          <w:color w:val="auto"/>
          <w:highlight w:val="none"/>
          <w:vertAlign w:val="baseline"/>
          <w:lang w:val="en-US" w:eastAsia="zh-CN"/>
        </w:rPr>
        <w:t>10.5</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。本项目占地面积</w:t>
      </w:r>
      <w:r>
        <w:rPr>
          <w:rFonts w:hint="default" w:ascii="Times New Roman" w:hAnsi="Times New Roman" w:cs="Times New Roman"/>
          <w:color w:val="auto"/>
          <w:highlight w:val="none"/>
          <w:lang w:val="en-US" w:eastAsia="zh-CN"/>
        </w:rPr>
        <w:t>合计</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3.6</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，占地类型均为天然牧草地。</w:t>
      </w:r>
    </w:p>
    <w:p w14:paraId="774EA79A">
      <w:pPr>
        <w:pStyle w:val="4"/>
        <w:rPr>
          <w:rFonts w:hint="default" w:ascii="Times New Roman" w:hAnsi="Times New Roman" w:cs="Times New Roman"/>
          <w:color w:val="auto"/>
          <w:highlight w:val="none"/>
        </w:rPr>
      </w:pPr>
      <w:bookmarkStart w:id="347" w:name="_Toc21246"/>
      <w:bookmarkStart w:id="348" w:name="_Toc15707"/>
      <w:bookmarkStart w:id="349" w:name="_Toc23848"/>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.2本项目建设规模及产品方案</w:t>
      </w:r>
      <w:bookmarkEnd w:id="347"/>
      <w:bookmarkEnd w:id="348"/>
      <w:bookmarkEnd w:id="349"/>
    </w:p>
    <w:p w14:paraId="243871DC">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建设规模：选矿厂年处理矿石</w:t>
      </w:r>
      <w:r>
        <w:rPr>
          <w:rFonts w:hint="default" w:ascii="Times New Roman" w:hAnsi="Times New Roman" w:cs="Times New Roman"/>
          <w:color w:val="auto"/>
          <w:szCs w:val="24"/>
          <w:highlight w:val="none"/>
          <w:lang w:val="en-US" w:eastAsia="zh-CN"/>
        </w:rPr>
        <w:t>15</w:t>
      </w:r>
      <w:r>
        <w:rPr>
          <w:rFonts w:hint="default" w:ascii="Times New Roman" w:hAnsi="Times New Roman" w:cs="Times New Roman"/>
          <w:color w:val="auto"/>
          <w:szCs w:val="24"/>
          <w:highlight w:val="none"/>
        </w:rPr>
        <w:t>万吨，日处理量</w:t>
      </w:r>
      <w:r>
        <w:rPr>
          <w:rFonts w:hint="default" w:ascii="Times New Roman" w:hAnsi="Times New Roman" w:cs="Times New Roman"/>
          <w:color w:val="auto"/>
          <w:szCs w:val="24"/>
          <w:highlight w:val="none"/>
          <w:lang w:val="en-US" w:eastAsia="zh-CN"/>
        </w:rPr>
        <w:t>625</w:t>
      </w:r>
      <w:r>
        <w:rPr>
          <w:rFonts w:hint="default" w:ascii="Times New Roman" w:hAnsi="Times New Roman" w:cs="Times New Roman"/>
          <w:color w:val="auto"/>
          <w:szCs w:val="24"/>
          <w:highlight w:val="none"/>
        </w:rPr>
        <w:t>t/d</w:t>
      </w:r>
      <w:r>
        <w:rPr>
          <w:rFonts w:hint="default" w:ascii="Times New Roman" w:hAnsi="Times New Roman" w:cs="Times New Roman"/>
          <w:color w:val="auto"/>
          <w:highlight w:val="none"/>
          <w:lang w:eastAsia="zh-CN"/>
        </w:rPr>
        <w:t>。</w:t>
      </w:r>
    </w:p>
    <w:p w14:paraId="6ADF42D9">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本项目选矿产品方案为金精矿。</w:t>
      </w:r>
    </w:p>
    <w:p w14:paraId="10A3CF2A">
      <w:pPr>
        <w:pStyle w:val="41"/>
        <w:overflowPunct w:val="0"/>
        <w:topLinePunct/>
        <w:spacing w:line="480" w:lineRule="exact"/>
        <w:ind w:firstLine="480"/>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lang w:val="zh-CN"/>
        </w:rPr>
        <w:t>本项目产品指标见表</w:t>
      </w:r>
      <w:r>
        <w:rPr>
          <w:rFonts w:hint="default" w:ascii="Times New Roman" w:hAnsi="Times New Roman" w:cs="Times New Roman"/>
          <w:bCs/>
          <w:color w:val="auto"/>
          <w:szCs w:val="32"/>
          <w:highlight w:val="none"/>
        </w:rPr>
        <w:t>3.</w:t>
      </w:r>
      <w:r>
        <w:rPr>
          <w:rFonts w:hint="default" w:ascii="Times New Roman" w:hAnsi="Times New Roman" w:cs="Times New Roman"/>
          <w:bCs/>
          <w:color w:val="auto"/>
          <w:szCs w:val="32"/>
          <w:highlight w:val="none"/>
          <w:lang w:val="en-US" w:eastAsia="zh-CN"/>
        </w:rPr>
        <w:t>1</w:t>
      </w:r>
      <w:r>
        <w:rPr>
          <w:rFonts w:hint="default" w:ascii="Times New Roman" w:hAnsi="Times New Roman" w:cs="Times New Roman"/>
          <w:bCs/>
          <w:color w:val="auto"/>
          <w:szCs w:val="32"/>
          <w:highlight w:val="none"/>
        </w:rPr>
        <w:t>-2。</w:t>
      </w:r>
    </w:p>
    <w:p w14:paraId="151A466B">
      <w:pPr>
        <w:pStyle w:val="47"/>
        <w:widowControl w:val="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lang w:val="zh-CN"/>
        </w:rPr>
        <w:t>表</w:t>
      </w:r>
      <w:r>
        <w:rPr>
          <w:rFonts w:hint="default" w:ascii="Times New Roman" w:hAnsi="Times New Roman" w:cs="Times New Roman"/>
          <w:color w:val="auto"/>
          <w:szCs w:val="32"/>
          <w:highlight w:val="none"/>
        </w:rPr>
        <w:t>3</w:t>
      </w:r>
      <w:r>
        <w:rPr>
          <w:rFonts w:hint="default" w:ascii="Times New Roman" w:hAnsi="Times New Roman" w:cs="Times New Roman"/>
          <w:color w:val="auto"/>
          <w:szCs w:val="32"/>
          <w:highlight w:val="none"/>
          <w:lang w:val="zh-CN"/>
        </w:rPr>
        <w:t>.</w:t>
      </w:r>
      <w:r>
        <w:rPr>
          <w:rFonts w:hint="default" w:ascii="Times New Roman" w:hAnsi="Times New Roman" w:cs="Times New Roman"/>
          <w:color w:val="auto"/>
          <w:szCs w:val="32"/>
          <w:highlight w:val="none"/>
          <w:lang w:val="en-US" w:eastAsia="zh-CN"/>
        </w:rPr>
        <w:t>1</w:t>
      </w:r>
      <w:r>
        <w:rPr>
          <w:rFonts w:hint="default" w:ascii="Times New Roman" w:hAnsi="Times New Roman" w:cs="Times New Roman"/>
          <w:color w:val="auto"/>
          <w:szCs w:val="32"/>
          <w:highlight w:val="none"/>
          <w:lang w:val="zh-CN"/>
        </w:rPr>
        <w:t>-</w:t>
      </w:r>
      <w:r>
        <w:rPr>
          <w:rFonts w:hint="default" w:ascii="Times New Roman" w:hAnsi="Times New Roman" w:cs="Times New Roman"/>
          <w:color w:val="auto"/>
          <w:szCs w:val="32"/>
          <w:highlight w:val="none"/>
        </w:rPr>
        <w:t xml:space="preserve">2    </w:t>
      </w:r>
      <w:r>
        <w:rPr>
          <w:rFonts w:hint="default" w:ascii="Times New Roman" w:hAnsi="Times New Roman" w:cs="Times New Roman"/>
          <w:bCs/>
          <w:color w:val="auto"/>
          <w:szCs w:val="32"/>
          <w:highlight w:val="none"/>
          <w:lang w:val="zh-CN"/>
        </w:rPr>
        <w:t>本项目产品指标</w:t>
      </w:r>
      <w:r>
        <w:rPr>
          <w:rFonts w:hint="default" w:ascii="Times New Roman" w:hAnsi="Times New Roman" w:cs="Times New Roman"/>
          <w:bCs/>
          <w:color w:val="auto"/>
          <w:szCs w:val="32"/>
          <w:highlight w:val="none"/>
        </w:rPr>
        <w:t>一览表</w:t>
      </w:r>
    </w:p>
    <w:tbl>
      <w:tblPr>
        <w:tblStyle w:val="3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45"/>
        <w:gridCol w:w="1859"/>
        <w:gridCol w:w="1411"/>
        <w:gridCol w:w="1411"/>
        <w:gridCol w:w="1438"/>
        <w:gridCol w:w="1720"/>
      </w:tblGrid>
      <w:tr w14:paraId="160AB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37" w:type="pct"/>
            <w:tcBorders>
              <w:tl2br w:val="nil"/>
              <w:tr2bl w:val="nil"/>
            </w:tcBorders>
            <w:vAlign w:val="center"/>
          </w:tcPr>
          <w:p w14:paraId="033372D0">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产品名称</w:t>
            </w:r>
          </w:p>
        </w:tc>
        <w:tc>
          <w:tcPr>
            <w:tcW w:w="1034" w:type="pct"/>
            <w:tcBorders>
              <w:tl2br w:val="nil"/>
              <w:tr2bl w:val="nil"/>
            </w:tcBorders>
            <w:vAlign w:val="center"/>
          </w:tcPr>
          <w:p w14:paraId="11E2F355">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年产量（t</w:t>
            </w:r>
            <w:r>
              <w:rPr>
                <w:rFonts w:hint="default" w:ascii="Times New Roman" w:hAnsi="Times New Roman" w:cs="Times New Roman"/>
                <w:b/>
                <w:bCs/>
                <w:color w:val="auto"/>
                <w:spacing w:val="-3"/>
                <w:sz w:val="21"/>
                <w:szCs w:val="21"/>
                <w:highlight w:val="none"/>
              </w:rPr>
              <w:t>/年）</w:t>
            </w:r>
          </w:p>
        </w:tc>
        <w:tc>
          <w:tcPr>
            <w:tcW w:w="785" w:type="pct"/>
            <w:tcBorders>
              <w:tl2br w:val="nil"/>
              <w:tr2bl w:val="nil"/>
            </w:tcBorders>
            <w:vAlign w:val="center"/>
          </w:tcPr>
          <w:p w14:paraId="1782CC65">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4"/>
                <w:sz w:val="21"/>
                <w:szCs w:val="21"/>
                <w:highlight w:val="none"/>
              </w:rPr>
              <w:t>产量（t/d）</w:t>
            </w:r>
          </w:p>
        </w:tc>
        <w:tc>
          <w:tcPr>
            <w:tcW w:w="785" w:type="pct"/>
            <w:tcBorders>
              <w:tl2br w:val="nil"/>
              <w:tr2bl w:val="nil"/>
            </w:tcBorders>
            <w:vAlign w:val="center"/>
          </w:tcPr>
          <w:p w14:paraId="7C66DCC6">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4"/>
                <w:sz w:val="21"/>
                <w:szCs w:val="21"/>
                <w:highlight w:val="none"/>
              </w:rPr>
              <w:t>产量（t/h）</w:t>
            </w:r>
          </w:p>
        </w:tc>
        <w:tc>
          <w:tcPr>
            <w:tcW w:w="800" w:type="pct"/>
            <w:tcBorders>
              <w:tl2br w:val="nil"/>
              <w:tr2bl w:val="nil"/>
            </w:tcBorders>
            <w:vAlign w:val="center"/>
          </w:tcPr>
          <w:p w14:paraId="3937D284">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3"/>
                <w:sz w:val="21"/>
                <w:szCs w:val="21"/>
                <w:highlight w:val="none"/>
              </w:rPr>
              <w:t>品位</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g/t</w:t>
            </w:r>
            <w:r>
              <w:rPr>
                <w:rFonts w:hint="default" w:ascii="Times New Roman" w:hAnsi="Times New Roman" w:cs="Times New Roman"/>
                <w:b/>
                <w:bCs/>
                <w:color w:val="auto"/>
                <w:sz w:val="21"/>
                <w:szCs w:val="21"/>
                <w:highlight w:val="none"/>
              </w:rPr>
              <w:t>）</w:t>
            </w:r>
          </w:p>
        </w:tc>
        <w:tc>
          <w:tcPr>
            <w:tcW w:w="957" w:type="pct"/>
            <w:tcBorders>
              <w:tl2br w:val="nil"/>
              <w:tr2bl w:val="nil"/>
            </w:tcBorders>
            <w:vAlign w:val="center"/>
          </w:tcPr>
          <w:p w14:paraId="1F491280">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回收率（%）</w:t>
            </w:r>
          </w:p>
        </w:tc>
      </w:tr>
      <w:tr w14:paraId="235F7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7" w:type="pct"/>
            <w:tcBorders>
              <w:tl2br w:val="nil"/>
              <w:tr2bl w:val="nil"/>
            </w:tcBorders>
            <w:vAlign w:val="center"/>
          </w:tcPr>
          <w:p w14:paraId="56A3C7E9">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金精矿</w:t>
            </w:r>
          </w:p>
        </w:tc>
        <w:tc>
          <w:tcPr>
            <w:tcW w:w="1034" w:type="pct"/>
            <w:tcBorders>
              <w:tl2br w:val="nil"/>
              <w:tr2bl w:val="nil"/>
            </w:tcBorders>
            <w:vAlign w:val="center"/>
          </w:tcPr>
          <w:p w14:paraId="3D95C9D7">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4234.09</w:t>
            </w:r>
          </w:p>
        </w:tc>
        <w:tc>
          <w:tcPr>
            <w:tcW w:w="785" w:type="pct"/>
            <w:tcBorders>
              <w:tl2br w:val="nil"/>
              <w:tr2bl w:val="nil"/>
            </w:tcBorders>
            <w:vAlign w:val="center"/>
          </w:tcPr>
          <w:p w14:paraId="46481301">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17.64</w:t>
            </w:r>
          </w:p>
        </w:tc>
        <w:tc>
          <w:tcPr>
            <w:tcW w:w="785" w:type="pct"/>
            <w:tcBorders>
              <w:tl2br w:val="nil"/>
              <w:tr2bl w:val="nil"/>
            </w:tcBorders>
            <w:vAlign w:val="center"/>
          </w:tcPr>
          <w:p w14:paraId="7306630A">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74</w:t>
            </w:r>
          </w:p>
        </w:tc>
        <w:tc>
          <w:tcPr>
            <w:tcW w:w="800" w:type="pct"/>
            <w:tcBorders>
              <w:tl2br w:val="nil"/>
              <w:tr2bl w:val="nil"/>
            </w:tcBorders>
            <w:vAlign w:val="center"/>
          </w:tcPr>
          <w:p w14:paraId="7BFDE178">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88</w:t>
            </w:r>
          </w:p>
        </w:tc>
        <w:tc>
          <w:tcPr>
            <w:tcW w:w="957" w:type="pct"/>
            <w:tcBorders>
              <w:tl2br w:val="nil"/>
              <w:tr2bl w:val="nil"/>
            </w:tcBorders>
            <w:vAlign w:val="center"/>
          </w:tcPr>
          <w:p w14:paraId="024D2CE2">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r>
    </w:tbl>
    <w:p w14:paraId="3526F7BF">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原矿主要化学成分分析结果见表3.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-3。</w:t>
      </w:r>
    </w:p>
    <w:p w14:paraId="754CDD5E">
      <w:pPr>
        <w:pStyle w:val="41"/>
        <w:spacing w:line="480" w:lineRule="exact"/>
        <w:ind w:firstLine="0" w:firstLineChars="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表3.</w:t>
      </w:r>
      <w:r>
        <w:rPr>
          <w:rFonts w:hint="default" w:ascii="Times New Roman" w:hAnsi="Times New Roman" w:cs="Times New Roman"/>
          <w:b/>
          <w:bCs/>
          <w:color w:val="auto"/>
          <w:szCs w:val="24"/>
          <w:highlight w:val="none"/>
          <w:lang w:val="en-US" w:eastAsia="zh-CN"/>
        </w:rPr>
        <w:t>1</w:t>
      </w:r>
      <w:r>
        <w:rPr>
          <w:rFonts w:hint="default" w:ascii="Times New Roman" w:hAnsi="Times New Roman" w:cs="Times New Roman"/>
          <w:b/>
          <w:bCs/>
          <w:color w:val="auto"/>
          <w:szCs w:val="24"/>
          <w:highlight w:val="none"/>
        </w:rPr>
        <w:t>-3    矿石成分表</w:t>
      </w:r>
    </w:p>
    <w:tbl>
      <w:tblPr>
        <w:tblStyle w:val="33"/>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947"/>
        <w:gridCol w:w="1103"/>
        <w:gridCol w:w="1046"/>
        <w:gridCol w:w="1046"/>
        <w:gridCol w:w="1070"/>
        <w:gridCol w:w="1046"/>
        <w:gridCol w:w="1038"/>
      </w:tblGrid>
      <w:tr w14:paraId="5BE03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20" w:type="pct"/>
            <w:shd w:val="clear" w:color="auto" w:fill="auto"/>
            <w:vAlign w:val="center"/>
          </w:tcPr>
          <w:p w14:paraId="5359863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16" w:type="pct"/>
            <w:shd w:val="clear" w:color="auto" w:fill="auto"/>
            <w:vAlign w:val="center"/>
          </w:tcPr>
          <w:p w14:paraId="2C7DCE1C">
            <w:pPr>
              <w:spacing w:line="240" w:lineRule="auto"/>
              <w:ind w:firstLine="0" w:firstLineChars="0"/>
              <w:jc w:val="center"/>
              <w:rPr>
                <w:rFonts w:hint="default" w:ascii="Times New Roman" w:hAnsi="Times New Roman" w:cs="Times New Roman"/>
                <w:b/>
                <w:bCs/>
                <w:color w:val="auto"/>
                <w:sz w:val="21"/>
                <w:szCs w:val="21"/>
                <w:highlight w:val="none"/>
              </w:rPr>
            </w:pPr>
            <w:bookmarkStart w:id="350" w:name="_Hlk192600599"/>
            <w:r>
              <w:rPr>
                <w:rFonts w:hint="default" w:ascii="Times New Roman" w:hAnsi="Times New Roman" w:cs="Times New Roman"/>
                <w:b/>
                <w:bCs/>
                <w:color w:val="auto"/>
                <w:sz w:val="21"/>
                <w:szCs w:val="21"/>
                <w:highlight w:val="none"/>
              </w:rPr>
              <w:t>SiO</w:t>
            </w:r>
            <w:r>
              <w:rPr>
                <w:rFonts w:hint="default" w:ascii="Times New Roman" w:hAnsi="Times New Roman" w:cs="Times New Roman"/>
                <w:b/>
                <w:bCs/>
                <w:color w:val="auto"/>
                <w:sz w:val="21"/>
                <w:szCs w:val="21"/>
                <w:highlight w:val="none"/>
                <w:vertAlign w:val="subscript"/>
              </w:rPr>
              <w:t>2</w:t>
            </w:r>
            <w:bookmarkEnd w:id="350"/>
          </w:p>
        </w:tc>
        <w:tc>
          <w:tcPr>
            <w:tcW w:w="601" w:type="pct"/>
            <w:shd w:val="clear" w:color="auto" w:fill="auto"/>
            <w:vAlign w:val="center"/>
          </w:tcPr>
          <w:p w14:paraId="7158C682">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Al</w:t>
            </w:r>
            <w:r>
              <w:rPr>
                <w:rFonts w:hint="default" w:ascii="Times New Roman" w:hAnsi="Times New Roman" w:cs="Times New Roman"/>
                <w:b/>
                <w:bCs/>
                <w:color w:val="auto"/>
                <w:sz w:val="21"/>
                <w:szCs w:val="21"/>
                <w:highlight w:val="none"/>
                <w:vertAlign w:val="subscript"/>
              </w:rPr>
              <w:t>2</w:t>
            </w:r>
            <w:r>
              <w:rPr>
                <w:rFonts w:hint="default" w:ascii="Times New Roman" w:hAnsi="Times New Roman" w:cs="Times New Roman"/>
                <w:b/>
                <w:bCs/>
                <w:color w:val="auto"/>
                <w:sz w:val="21"/>
                <w:szCs w:val="21"/>
                <w:highlight w:val="none"/>
              </w:rPr>
              <w:t>O</w:t>
            </w:r>
            <w:r>
              <w:rPr>
                <w:rFonts w:hint="default" w:ascii="Times New Roman" w:hAnsi="Times New Roman" w:cs="Times New Roman"/>
                <w:b/>
                <w:bCs/>
                <w:color w:val="auto"/>
                <w:sz w:val="21"/>
                <w:szCs w:val="21"/>
                <w:highlight w:val="none"/>
                <w:vertAlign w:val="subscript"/>
              </w:rPr>
              <w:t>3</w:t>
            </w:r>
          </w:p>
        </w:tc>
        <w:tc>
          <w:tcPr>
            <w:tcW w:w="570" w:type="pct"/>
            <w:shd w:val="clear" w:color="auto" w:fill="auto"/>
            <w:vAlign w:val="center"/>
          </w:tcPr>
          <w:p w14:paraId="75C46E3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CaO</w:t>
            </w:r>
          </w:p>
        </w:tc>
        <w:tc>
          <w:tcPr>
            <w:tcW w:w="570" w:type="pct"/>
            <w:shd w:val="clear" w:color="auto" w:fill="auto"/>
            <w:vAlign w:val="center"/>
          </w:tcPr>
          <w:p w14:paraId="0BC56A6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w:t>
            </w:r>
            <w:r>
              <w:rPr>
                <w:rFonts w:hint="default" w:ascii="Times New Roman" w:hAnsi="Times New Roman" w:cs="Times New Roman"/>
                <w:b/>
                <w:bCs/>
                <w:color w:val="auto"/>
                <w:sz w:val="21"/>
                <w:szCs w:val="21"/>
                <w:highlight w:val="none"/>
                <w:vertAlign w:val="subscript"/>
              </w:rPr>
              <w:t>2</w:t>
            </w:r>
            <w:r>
              <w:rPr>
                <w:rFonts w:hint="default" w:ascii="Times New Roman" w:hAnsi="Times New Roman" w:cs="Times New Roman"/>
                <w:b/>
                <w:bCs/>
                <w:color w:val="auto"/>
                <w:sz w:val="21"/>
                <w:szCs w:val="21"/>
                <w:highlight w:val="none"/>
              </w:rPr>
              <w:t>O</w:t>
            </w:r>
          </w:p>
        </w:tc>
        <w:tc>
          <w:tcPr>
            <w:tcW w:w="583" w:type="pct"/>
            <w:shd w:val="clear" w:color="auto" w:fill="auto"/>
            <w:vAlign w:val="center"/>
          </w:tcPr>
          <w:p w14:paraId="2F90E331">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Na</w:t>
            </w:r>
            <w:r>
              <w:rPr>
                <w:rFonts w:hint="default" w:ascii="Times New Roman" w:hAnsi="Times New Roman" w:cs="Times New Roman"/>
                <w:b/>
                <w:bCs/>
                <w:color w:val="auto"/>
                <w:sz w:val="21"/>
                <w:szCs w:val="21"/>
                <w:highlight w:val="none"/>
                <w:vertAlign w:val="subscript"/>
              </w:rPr>
              <w:t>2</w:t>
            </w:r>
            <w:r>
              <w:rPr>
                <w:rFonts w:hint="default" w:ascii="Times New Roman" w:hAnsi="Times New Roman" w:cs="Times New Roman"/>
                <w:b/>
                <w:bCs/>
                <w:color w:val="auto"/>
                <w:sz w:val="21"/>
                <w:szCs w:val="21"/>
                <w:highlight w:val="none"/>
              </w:rPr>
              <w:t>O</w:t>
            </w:r>
          </w:p>
        </w:tc>
        <w:tc>
          <w:tcPr>
            <w:tcW w:w="570" w:type="pct"/>
            <w:shd w:val="clear" w:color="auto" w:fill="auto"/>
            <w:vAlign w:val="center"/>
          </w:tcPr>
          <w:p w14:paraId="6468917C">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WO</w:t>
            </w:r>
            <w:r>
              <w:rPr>
                <w:rFonts w:hint="default" w:ascii="Times New Roman" w:hAnsi="Times New Roman" w:cs="Times New Roman"/>
                <w:b/>
                <w:bCs/>
                <w:color w:val="auto"/>
                <w:sz w:val="21"/>
                <w:szCs w:val="21"/>
                <w:highlight w:val="none"/>
                <w:vertAlign w:val="subscript"/>
              </w:rPr>
              <w:t>3</w:t>
            </w:r>
          </w:p>
        </w:tc>
        <w:tc>
          <w:tcPr>
            <w:tcW w:w="565" w:type="pct"/>
            <w:shd w:val="clear" w:color="auto" w:fill="auto"/>
            <w:vAlign w:val="center"/>
          </w:tcPr>
          <w:p w14:paraId="1AA2353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MgO</w:t>
            </w:r>
          </w:p>
        </w:tc>
      </w:tr>
      <w:tr w14:paraId="0792F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0" w:type="pct"/>
            <w:shd w:val="clear" w:color="auto" w:fill="auto"/>
            <w:vAlign w:val="center"/>
          </w:tcPr>
          <w:p w14:paraId="4407D82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含量（%）</w:t>
            </w:r>
          </w:p>
        </w:tc>
        <w:tc>
          <w:tcPr>
            <w:tcW w:w="516" w:type="pct"/>
            <w:shd w:val="clear" w:color="auto" w:fill="auto"/>
            <w:vAlign w:val="center"/>
          </w:tcPr>
          <w:p w14:paraId="7BFC039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49.3</w:t>
            </w:r>
          </w:p>
        </w:tc>
        <w:tc>
          <w:tcPr>
            <w:tcW w:w="601" w:type="pct"/>
            <w:shd w:val="clear" w:color="auto" w:fill="auto"/>
            <w:vAlign w:val="center"/>
          </w:tcPr>
          <w:p w14:paraId="0E21C2B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14.08</w:t>
            </w:r>
          </w:p>
        </w:tc>
        <w:tc>
          <w:tcPr>
            <w:tcW w:w="570" w:type="pct"/>
            <w:shd w:val="clear" w:color="auto" w:fill="auto"/>
            <w:vAlign w:val="center"/>
          </w:tcPr>
          <w:p w14:paraId="4038D09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9.64</w:t>
            </w:r>
          </w:p>
        </w:tc>
        <w:tc>
          <w:tcPr>
            <w:tcW w:w="570" w:type="pct"/>
            <w:shd w:val="clear" w:color="auto" w:fill="auto"/>
            <w:vAlign w:val="center"/>
          </w:tcPr>
          <w:p w14:paraId="5EA7C57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2.11</w:t>
            </w:r>
          </w:p>
        </w:tc>
        <w:tc>
          <w:tcPr>
            <w:tcW w:w="583" w:type="pct"/>
            <w:shd w:val="clear" w:color="auto" w:fill="auto"/>
            <w:vAlign w:val="center"/>
          </w:tcPr>
          <w:p w14:paraId="65503DE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3.28</w:t>
            </w:r>
          </w:p>
        </w:tc>
        <w:tc>
          <w:tcPr>
            <w:tcW w:w="570" w:type="pct"/>
            <w:shd w:val="clear" w:color="auto" w:fill="auto"/>
            <w:vAlign w:val="center"/>
          </w:tcPr>
          <w:p w14:paraId="52648E0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0.004</w:t>
            </w:r>
          </w:p>
        </w:tc>
        <w:tc>
          <w:tcPr>
            <w:tcW w:w="565" w:type="pct"/>
            <w:shd w:val="clear" w:color="auto" w:fill="auto"/>
            <w:vAlign w:val="center"/>
          </w:tcPr>
          <w:p w14:paraId="76AA8A9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3.98</w:t>
            </w:r>
          </w:p>
        </w:tc>
      </w:tr>
      <w:tr w14:paraId="01FC6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20" w:type="pct"/>
            <w:shd w:val="clear" w:color="auto" w:fill="auto"/>
            <w:vAlign w:val="center"/>
          </w:tcPr>
          <w:p w14:paraId="2CB1218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16" w:type="pct"/>
            <w:shd w:val="clear" w:color="auto" w:fill="auto"/>
            <w:vAlign w:val="center"/>
          </w:tcPr>
          <w:p w14:paraId="2260F4B1">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w:t>
            </w:r>
          </w:p>
        </w:tc>
        <w:tc>
          <w:tcPr>
            <w:tcW w:w="601" w:type="pct"/>
            <w:shd w:val="clear" w:color="auto" w:fill="auto"/>
            <w:vAlign w:val="center"/>
          </w:tcPr>
          <w:p w14:paraId="7C97F54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Fe</w:t>
            </w:r>
          </w:p>
        </w:tc>
        <w:tc>
          <w:tcPr>
            <w:tcW w:w="570" w:type="pct"/>
            <w:shd w:val="clear" w:color="auto" w:fill="auto"/>
            <w:vAlign w:val="center"/>
          </w:tcPr>
          <w:p w14:paraId="6CAA845B">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w:t>
            </w:r>
          </w:p>
        </w:tc>
        <w:tc>
          <w:tcPr>
            <w:tcW w:w="570" w:type="pct"/>
            <w:shd w:val="clear" w:color="auto" w:fill="auto"/>
            <w:vAlign w:val="center"/>
          </w:tcPr>
          <w:p w14:paraId="64A47AC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Cu</w:t>
            </w:r>
          </w:p>
        </w:tc>
        <w:tc>
          <w:tcPr>
            <w:tcW w:w="583" w:type="pct"/>
            <w:shd w:val="clear" w:color="auto" w:fill="auto"/>
            <w:vAlign w:val="center"/>
          </w:tcPr>
          <w:p w14:paraId="1507683C">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Zn</w:t>
            </w:r>
          </w:p>
        </w:tc>
        <w:tc>
          <w:tcPr>
            <w:tcW w:w="570" w:type="pct"/>
            <w:shd w:val="clear" w:color="auto" w:fill="auto"/>
            <w:vAlign w:val="center"/>
          </w:tcPr>
          <w:p w14:paraId="583678E6">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Pb</w:t>
            </w:r>
          </w:p>
        </w:tc>
        <w:tc>
          <w:tcPr>
            <w:tcW w:w="565" w:type="pct"/>
            <w:shd w:val="clear" w:color="auto" w:fill="auto"/>
            <w:vAlign w:val="center"/>
          </w:tcPr>
          <w:p w14:paraId="3CC8E4C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S</w:t>
            </w:r>
          </w:p>
        </w:tc>
      </w:tr>
      <w:tr w14:paraId="699F2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20" w:type="pct"/>
            <w:shd w:val="clear" w:color="auto" w:fill="auto"/>
            <w:vAlign w:val="center"/>
          </w:tcPr>
          <w:p w14:paraId="4A30B8F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含量（%）</w:t>
            </w:r>
          </w:p>
        </w:tc>
        <w:tc>
          <w:tcPr>
            <w:tcW w:w="516" w:type="pct"/>
            <w:shd w:val="clear" w:color="auto" w:fill="auto"/>
            <w:vAlign w:val="center"/>
          </w:tcPr>
          <w:p w14:paraId="4A34460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0.17</w:t>
            </w:r>
          </w:p>
        </w:tc>
        <w:tc>
          <w:tcPr>
            <w:tcW w:w="601" w:type="pct"/>
            <w:shd w:val="clear" w:color="auto" w:fill="auto"/>
            <w:vAlign w:val="center"/>
          </w:tcPr>
          <w:p w14:paraId="526E6B4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7.1</w:t>
            </w:r>
          </w:p>
        </w:tc>
        <w:tc>
          <w:tcPr>
            <w:tcW w:w="570" w:type="pct"/>
            <w:shd w:val="clear" w:color="auto" w:fill="auto"/>
            <w:vAlign w:val="center"/>
          </w:tcPr>
          <w:p w14:paraId="7116779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w:t>
            </w:r>
          </w:p>
        </w:tc>
        <w:tc>
          <w:tcPr>
            <w:tcW w:w="570" w:type="pct"/>
            <w:shd w:val="clear" w:color="auto" w:fill="auto"/>
            <w:vAlign w:val="center"/>
          </w:tcPr>
          <w:p w14:paraId="05F755F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0.018</w:t>
            </w:r>
          </w:p>
        </w:tc>
        <w:tc>
          <w:tcPr>
            <w:tcW w:w="583" w:type="pct"/>
            <w:shd w:val="clear" w:color="auto" w:fill="auto"/>
            <w:vAlign w:val="center"/>
          </w:tcPr>
          <w:p w14:paraId="7CA9CAD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0.011</w:t>
            </w:r>
          </w:p>
        </w:tc>
        <w:tc>
          <w:tcPr>
            <w:tcW w:w="570" w:type="pct"/>
            <w:shd w:val="clear" w:color="auto" w:fill="auto"/>
            <w:vAlign w:val="center"/>
          </w:tcPr>
          <w:p w14:paraId="18D8238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c>
          <w:tcPr>
            <w:tcW w:w="565" w:type="pct"/>
            <w:shd w:val="clear" w:color="auto" w:fill="auto"/>
            <w:vAlign w:val="center"/>
          </w:tcPr>
          <w:p w14:paraId="36D6CDB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0.86</w:t>
            </w:r>
          </w:p>
        </w:tc>
      </w:tr>
      <w:tr w14:paraId="2DE85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20" w:type="pct"/>
            <w:shd w:val="clear" w:color="auto" w:fill="auto"/>
            <w:vAlign w:val="center"/>
          </w:tcPr>
          <w:p w14:paraId="196C6E31">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16" w:type="pct"/>
            <w:shd w:val="clear" w:color="auto" w:fill="auto"/>
            <w:vAlign w:val="center"/>
          </w:tcPr>
          <w:p w14:paraId="6FCC173A">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Mo</w:t>
            </w:r>
          </w:p>
        </w:tc>
        <w:tc>
          <w:tcPr>
            <w:tcW w:w="601" w:type="pct"/>
            <w:shd w:val="clear" w:color="auto" w:fill="auto"/>
            <w:vAlign w:val="center"/>
          </w:tcPr>
          <w:p w14:paraId="03A40C94">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Mn</w:t>
            </w:r>
          </w:p>
        </w:tc>
        <w:tc>
          <w:tcPr>
            <w:tcW w:w="570" w:type="pct"/>
            <w:shd w:val="clear" w:color="auto" w:fill="auto"/>
            <w:vAlign w:val="center"/>
          </w:tcPr>
          <w:p w14:paraId="47832AA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Co</w:t>
            </w:r>
          </w:p>
        </w:tc>
        <w:tc>
          <w:tcPr>
            <w:tcW w:w="570" w:type="pct"/>
            <w:shd w:val="clear" w:color="auto" w:fill="auto"/>
            <w:vAlign w:val="center"/>
          </w:tcPr>
          <w:p w14:paraId="0E086545">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Sb*</w:t>
            </w:r>
          </w:p>
        </w:tc>
        <w:tc>
          <w:tcPr>
            <w:tcW w:w="583" w:type="pct"/>
            <w:shd w:val="clear" w:color="auto" w:fill="auto"/>
            <w:vAlign w:val="center"/>
          </w:tcPr>
          <w:p w14:paraId="7321D3AB">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As*</w:t>
            </w:r>
          </w:p>
        </w:tc>
        <w:tc>
          <w:tcPr>
            <w:tcW w:w="570" w:type="pct"/>
            <w:shd w:val="clear" w:color="auto" w:fill="auto"/>
            <w:vAlign w:val="center"/>
          </w:tcPr>
          <w:p w14:paraId="73C22B86">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Ag*</w:t>
            </w:r>
          </w:p>
        </w:tc>
        <w:tc>
          <w:tcPr>
            <w:tcW w:w="565" w:type="pct"/>
            <w:shd w:val="clear" w:color="auto" w:fill="auto"/>
            <w:vAlign w:val="center"/>
          </w:tcPr>
          <w:p w14:paraId="7B0C9CC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Au*</w:t>
            </w:r>
          </w:p>
        </w:tc>
      </w:tr>
      <w:tr w14:paraId="1AA07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020" w:type="pct"/>
            <w:shd w:val="clear" w:color="auto" w:fill="auto"/>
            <w:vAlign w:val="center"/>
          </w:tcPr>
          <w:p w14:paraId="46851CF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含量（%）</w:t>
            </w:r>
          </w:p>
        </w:tc>
        <w:tc>
          <w:tcPr>
            <w:tcW w:w="516" w:type="pct"/>
            <w:shd w:val="clear" w:color="auto" w:fill="auto"/>
            <w:vAlign w:val="center"/>
          </w:tcPr>
          <w:p w14:paraId="7BB41A5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601" w:type="pct"/>
            <w:shd w:val="clear" w:color="auto" w:fill="auto"/>
            <w:vAlign w:val="center"/>
          </w:tcPr>
          <w:p w14:paraId="4762B4A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0.14</w:t>
            </w:r>
          </w:p>
        </w:tc>
        <w:tc>
          <w:tcPr>
            <w:tcW w:w="570" w:type="pct"/>
            <w:shd w:val="clear" w:color="auto" w:fill="auto"/>
            <w:vAlign w:val="center"/>
          </w:tcPr>
          <w:p w14:paraId="30B91D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0.003</w:t>
            </w:r>
          </w:p>
        </w:tc>
        <w:tc>
          <w:tcPr>
            <w:tcW w:w="570" w:type="pct"/>
            <w:shd w:val="clear" w:color="auto" w:fill="auto"/>
            <w:vAlign w:val="center"/>
          </w:tcPr>
          <w:p w14:paraId="48B503E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6.67</w:t>
            </w:r>
          </w:p>
        </w:tc>
        <w:tc>
          <w:tcPr>
            <w:tcW w:w="583" w:type="pct"/>
            <w:shd w:val="clear" w:color="auto" w:fill="auto"/>
            <w:vAlign w:val="center"/>
          </w:tcPr>
          <w:p w14:paraId="63630D9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11.37</w:t>
            </w:r>
          </w:p>
        </w:tc>
        <w:tc>
          <w:tcPr>
            <w:tcW w:w="570" w:type="pct"/>
            <w:shd w:val="clear" w:color="auto" w:fill="auto"/>
            <w:vAlign w:val="center"/>
          </w:tcPr>
          <w:p w14:paraId="6A0CD91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565" w:type="pct"/>
            <w:shd w:val="clear" w:color="auto" w:fill="auto"/>
            <w:vAlign w:val="center"/>
          </w:tcPr>
          <w:p w14:paraId="09F1C1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p>
        </w:tc>
      </w:tr>
    </w:tbl>
    <w:p w14:paraId="6B119F03">
      <w:pPr>
        <w:pStyle w:val="41"/>
        <w:spacing w:line="480" w:lineRule="exact"/>
        <w:ind w:firstLine="0" w:firstLineChars="0"/>
        <w:jc w:val="both"/>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（注：标“*”号的元素含量单位为g/t。）</w:t>
      </w:r>
    </w:p>
    <w:p w14:paraId="710E126F">
      <w:pPr>
        <w:pStyle w:val="53"/>
        <w:overflowPunct w:val="0"/>
        <w:topLinePunct/>
        <w:snapToGrid w:val="0"/>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w:t>
      </w:r>
      <w:r>
        <w:rPr>
          <w:rFonts w:hint="default" w:ascii="Times New Roman" w:hAnsi="Times New Roman" w:cs="Times New Roman"/>
          <w:color w:val="auto"/>
          <w:szCs w:val="24"/>
          <w:highlight w:val="none"/>
          <w:lang w:val="en-US" w:eastAsia="zh-CN"/>
        </w:rPr>
        <w:t>上表</w:t>
      </w:r>
      <w:r>
        <w:rPr>
          <w:rFonts w:hint="default" w:ascii="Times New Roman" w:hAnsi="Times New Roman" w:cs="Times New Roman"/>
          <w:color w:val="auto"/>
          <w:szCs w:val="24"/>
          <w:highlight w:val="none"/>
        </w:rPr>
        <w:t>可知，原矿有价回收元素为金，其余有价元素含量低，未达到综合回收标准。</w:t>
      </w:r>
    </w:p>
    <w:p w14:paraId="48E42865">
      <w:pPr>
        <w:pStyle w:val="4"/>
        <w:rPr>
          <w:rFonts w:hint="default" w:ascii="Times New Roman" w:hAnsi="Times New Roman" w:cs="Times New Roman"/>
          <w:color w:val="auto"/>
          <w:highlight w:val="none"/>
        </w:rPr>
      </w:pPr>
      <w:bookmarkStart w:id="351" w:name="_Toc2471"/>
      <w:bookmarkStart w:id="352" w:name="_Toc2301"/>
      <w:bookmarkStart w:id="353" w:name="_Toc10631"/>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.3建设内容及依托矿山基本情况</w:t>
      </w:r>
      <w:bookmarkEnd w:id="351"/>
      <w:bookmarkEnd w:id="352"/>
      <w:bookmarkEnd w:id="353"/>
    </w:p>
    <w:p w14:paraId="2B70548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.3.1建设内容</w:t>
      </w:r>
    </w:p>
    <w:p w14:paraId="168011A0">
      <w:pPr>
        <w:pStyle w:val="53"/>
        <w:overflowPunct w:val="0"/>
        <w:topLinePunct/>
        <w:snapToGrid w:val="0"/>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本项目由选矿厂工业场地、尾矿库及</w:t>
      </w:r>
      <w:r>
        <w:rPr>
          <w:rFonts w:hint="default" w:ascii="Times New Roman" w:hAnsi="Times New Roman" w:eastAsia="宋体" w:cs="Times New Roman"/>
          <w:color w:val="auto"/>
          <w:szCs w:val="24"/>
          <w:highlight w:val="none"/>
          <w:lang w:val="en-US" w:eastAsia="zh-CN"/>
        </w:rPr>
        <w:t>办公</w:t>
      </w:r>
      <w:r>
        <w:rPr>
          <w:rFonts w:hint="default" w:ascii="Times New Roman" w:hAnsi="Times New Roman" w:eastAsia="宋体" w:cs="Times New Roman"/>
          <w:color w:val="auto"/>
          <w:szCs w:val="24"/>
          <w:highlight w:val="none"/>
        </w:rPr>
        <w:t>生活区等部分组成</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选矿规模</w:t>
      </w:r>
      <w:r>
        <w:rPr>
          <w:rFonts w:hint="default" w:ascii="Times New Roman" w:hAnsi="Times New Roman" w:eastAsia="宋体" w:cs="Times New Roman"/>
          <w:color w:val="auto"/>
          <w:szCs w:val="24"/>
          <w:highlight w:val="none"/>
          <w:lang w:val="en-US" w:eastAsia="zh-CN"/>
        </w:rPr>
        <w:t>15</w:t>
      </w:r>
      <w:r>
        <w:rPr>
          <w:rFonts w:hint="default" w:ascii="Times New Roman" w:hAnsi="Times New Roman" w:eastAsia="宋体" w:cs="Times New Roman"/>
          <w:color w:val="auto"/>
          <w:szCs w:val="24"/>
          <w:highlight w:val="none"/>
        </w:rPr>
        <w:t>万t/a（</w:t>
      </w:r>
      <w:r>
        <w:rPr>
          <w:rFonts w:hint="default" w:ascii="Times New Roman" w:hAnsi="Times New Roman" w:eastAsia="宋体" w:cs="Times New Roman"/>
          <w:color w:val="auto"/>
          <w:szCs w:val="24"/>
          <w:highlight w:val="none"/>
          <w:lang w:val="en-US" w:eastAsia="zh-CN"/>
        </w:rPr>
        <w:t>625</w:t>
      </w:r>
      <w:r>
        <w:rPr>
          <w:rFonts w:hint="default" w:ascii="Times New Roman" w:hAnsi="Times New Roman" w:eastAsia="宋体" w:cs="Times New Roman"/>
          <w:color w:val="auto"/>
          <w:szCs w:val="24"/>
          <w:highlight w:val="none"/>
        </w:rPr>
        <w:t>t/d）。</w:t>
      </w:r>
      <w:r>
        <w:rPr>
          <w:rFonts w:hint="default" w:ascii="Times New Roman" w:hAnsi="Times New Roman" w:eastAsia="宋体" w:cs="Times New Roman"/>
          <w:color w:val="auto"/>
          <w:szCs w:val="24"/>
          <w:highlight w:val="none"/>
          <w:lang w:eastAsia="zh-CN"/>
        </w:rPr>
        <w:t>选矿厂</w:t>
      </w:r>
      <w:r>
        <w:rPr>
          <w:rFonts w:hint="default" w:ascii="Times New Roman" w:hAnsi="Times New Roman" w:eastAsia="宋体" w:cs="Times New Roman"/>
          <w:color w:val="auto"/>
          <w:szCs w:val="24"/>
          <w:highlight w:val="none"/>
        </w:rPr>
        <w:t>碎磨工艺流程为</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三段一闭路破碎筛分+两段闭路磨矿”，选别工艺流程为“一粗二扫三精浮选+浮选精矿浓缩、压滤脱水</w:t>
      </w:r>
      <w:r>
        <w:rPr>
          <w:rFonts w:hint="default" w:ascii="Times New Roman" w:hAnsi="Times New Roman" w:eastAsia="宋体" w:cs="Times New Roman"/>
          <w:color w:val="auto"/>
          <w:szCs w:val="24"/>
          <w:highlight w:val="none"/>
          <w:lang w:eastAsia="zh-CN"/>
        </w:rPr>
        <w:t>”；尾矿经脱水浓缩后，采用湿排方式，经管道运输至尾矿库堆存。</w:t>
      </w:r>
      <w:r>
        <w:rPr>
          <w:rFonts w:hint="default" w:ascii="Times New Roman" w:hAnsi="Times New Roman" w:eastAsia="宋体" w:cs="Times New Roman"/>
          <w:color w:val="auto"/>
          <w:szCs w:val="24"/>
          <w:highlight w:val="none"/>
        </w:rPr>
        <w:t>公辅工程主要包括供水系统、排水系统、供电系统、供热系统、运输系统和办公生活区。</w:t>
      </w:r>
    </w:p>
    <w:p w14:paraId="4870A92B">
      <w:pPr>
        <w:pStyle w:val="54"/>
        <w:overflowPunct w:val="0"/>
        <w:topLinePunct/>
        <w:spacing w:line="480" w:lineRule="exact"/>
        <w:ind w:firstLine="480"/>
        <w:rPr>
          <w:rFonts w:hint="default" w:ascii="Times New Roman" w:hAnsi="Times New Roman" w:cs="Times New Roman"/>
          <w:color w:val="auto"/>
          <w:sz w:val="24"/>
          <w:highlight w:val="none"/>
        </w:rPr>
        <w:sectPr>
          <w:headerReference r:id="rId13" w:type="default"/>
          <w:footerReference r:id="rId15" w:type="default"/>
          <w:headerReference r:id="rId14" w:type="even"/>
          <w:footerReference r:id="rId16" w:type="even"/>
          <w:pgSz w:w="11906" w:h="16838"/>
          <w:pgMar w:top="1474" w:right="1474" w:bottom="1474" w:left="1474" w:header="850" w:footer="1134" w:gutter="0"/>
          <w:cols w:space="720" w:num="1"/>
          <w:docGrid w:linePitch="312" w:charSpace="0"/>
        </w:sectPr>
      </w:pPr>
      <w:r>
        <w:rPr>
          <w:rFonts w:hint="default" w:ascii="Times New Roman" w:hAnsi="Times New Roman" w:cs="Times New Roman"/>
          <w:color w:val="auto"/>
          <w:sz w:val="24"/>
          <w:highlight w:val="none"/>
        </w:rPr>
        <w:t>本项目组成情况见表3.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-4。</w:t>
      </w:r>
    </w:p>
    <w:p w14:paraId="632FE394">
      <w:pPr>
        <w:ind w:firstLine="0" w:firstLineChars="0"/>
        <w:jc w:val="center"/>
        <w:rPr>
          <w:rFonts w:hint="default" w:ascii="Times New Roman" w:hAnsi="Times New Roman" w:cs="Times New Roman"/>
          <w:b/>
          <w:color w:val="auto"/>
          <w:kern w:val="0"/>
          <w:szCs w:val="24"/>
          <w:highlight w:val="none"/>
          <w:lang w:val="zh-CN"/>
        </w:rPr>
      </w:pPr>
      <w:bookmarkStart w:id="354" w:name="_Toc27306_WPSOffice_Level2"/>
      <w:r>
        <w:rPr>
          <w:rFonts w:hint="default" w:ascii="Times New Roman" w:hAnsi="Times New Roman" w:cs="Times New Roman"/>
          <w:b/>
          <w:color w:val="auto"/>
          <w:kern w:val="0"/>
          <w:szCs w:val="24"/>
          <w:highlight w:val="none"/>
          <w:lang w:val="zh-CN"/>
        </w:rPr>
        <w:t>表</w:t>
      </w:r>
      <w:r>
        <w:rPr>
          <w:rFonts w:hint="default" w:ascii="Times New Roman" w:hAnsi="Times New Roman" w:cs="Times New Roman"/>
          <w:b/>
          <w:color w:val="auto"/>
          <w:kern w:val="0"/>
          <w:szCs w:val="24"/>
          <w:highlight w:val="none"/>
        </w:rPr>
        <w:t>3.1</w:t>
      </w:r>
      <w:r>
        <w:rPr>
          <w:rFonts w:hint="default" w:ascii="Times New Roman" w:hAnsi="Times New Roman" w:cs="Times New Roman"/>
          <w:b/>
          <w:color w:val="auto"/>
          <w:kern w:val="0"/>
          <w:szCs w:val="24"/>
          <w:highlight w:val="none"/>
          <w:lang w:val="zh-CN"/>
        </w:rPr>
        <w:t>-</w:t>
      </w:r>
      <w:r>
        <w:rPr>
          <w:rFonts w:hint="default" w:ascii="Times New Roman" w:hAnsi="Times New Roman" w:cs="Times New Roman"/>
          <w:b/>
          <w:color w:val="auto"/>
          <w:kern w:val="0"/>
          <w:szCs w:val="24"/>
          <w:highlight w:val="none"/>
        </w:rPr>
        <w:t>2</w:t>
      </w:r>
      <w:r>
        <w:rPr>
          <w:rFonts w:hint="default" w:ascii="Times New Roman" w:hAnsi="Times New Roman" w:cs="Times New Roman"/>
          <w:b/>
          <w:color w:val="auto"/>
          <w:kern w:val="0"/>
          <w:szCs w:val="24"/>
          <w:highlight w:val="none"/>
          <w:lang w:val="zh-CN"/>
        </w:rPr>
        <w:t xml:space="preserve"> </w:t>
      </w:r>
      <w:r>
        <w:rPr>
          <w:rFonts w:hint="default" w:ascii="Times New Roman" w:hAnsi="Times New Roman" w:cs="Times New Roman"/>
          <w:b/>
          <w:color w:val="auto"/>
          <w:kern w:val="0"/>
          <w:szCs w:val="24"/>
          <w:highlight w:val="none"/>
        </w:rPr>
        <w:t xml:space="preserve">  </w:t>
      </w:r>
      <w:r>
        <w:rPr>
          <w:rFonts w:hint="default" w:ascii="Times New Roman" w:hAnsi="Times New Roman" w:cs="Times New Roman"/>
          <w:b/>
          <w:color w:val="auto"/>
          <w:kern w:val="0"/>
          <w:szCs w:val="24"/>
          <w:highlight w:val="none"/>
          <w:lang w:val="zh-CN"/>
        </w:rPr>
        <w:t xml:space="preserve"> 项目组成一览表</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905"/>
        <w:gridCol w:w="1706"/>
        <w:gridCol w:w="9871"/>
        <w:gridCol w:w="809"/>
      </w:tblGrid>
      <w:tr w14:paraId="3C527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211" w:type="pct"/>
            <w:gridSpan w:val="3"/>
            <w:tcBorders>
              <w:tl2br w:val="nil"/>
              <w:tr2bl w:val="nil"/>
            </w:tcBorders>
            <w:noWrap w:val="0"/>
            <w:vAlign w:val="center"/>
          </w:tcPr>
          <w:p w14:paraId="32B3375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工程名称</w:t>
            </w:r>
          </w:p>
        </w:tc>
        <w:tc>
          <w:tcPr>
            <w:tcW w:w="3500" w:type="pct"/>
            <w:tcBorders>
              <w:tl2br w:val="nil"/>
              <w:tr2bl w:val="nil"/>
            </w:tcBorders>
            <w:noWrap w:val="0"/>
            <w:vAlign w:val="center"/>
          </w:tcPr>
          <w:p w14:paraId="4449A75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工程内容</w:t>
            </w:r>
          </w:p>
        </w:tc>
        <w:tc>
          <w:tcPr>
            <w:tcW w:w="287" w:type="pct"/>
            <w:tcBorders>
              <w:tl2br w:val="nil"/>
              <w:tr2bl w:val="nil"/>
            </w:tcBorders>
            <w:noWrap w:val="0"/>
            <w:vAlign w:val="center"/>
          </w:tcPr>
          <w:p w14:paraId="759F86A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备注</w:t>
            </w:r>
          </w:p>
        </w:tc>
      </w:tr>
      <w:tr w14:paraId="33B83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restart"/>
            <w:tcBorders>
              <w:tl2br w:val="nil"/>
              <w:tr2bl w:val="nil"/>
            </w:tcBorders>
            <w:noWrap w:val="0"/>
            <w:vAlign w:val="center"/>
          </w:tcPr>
          <w:p w14:paraId="0B56440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主体工程</w:t>
            </w:r>
          </w:p>
        </w:tc>
        <w:tc>
          <w:tcPr>
            <w:tcW w:w="321" w:type="pct"/>
            <w:vMerge w:val="restart"/>
            <w:tcBorders>
              <w:tl2br w:val="nil"/>
              <w:tr2bl w:val="nil"/>
            </w:tcBorders>
            <w:noWrap w:val="0"/>
            <w:vAlign w:val="center"/>
          </w:tcPr>
          <w:p w14:paraId="39F5504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选矿厂</w:t>
            </w:r>
          </w:p>
        </w:tc>
        <w:tc>
          <w:tcPr>
            <w:tcW w:w="605" w:type="pct"/>
            <w:tcBorders>
              <w:tl2br w:val="nil"/>
              <w:tr2bl w:val="nil"/>
            </w:tcBorders>
            <w:noWrap w:val="0"/>
            <w:vAlign w:val="center"/>
          </w:tcPr>
          <w:p w14:paraId="44CCC4E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粗碎厂房</w:t>
            </w:r>
          </w:p>
        </w:tc>
        <w:tc>
          <w:tcPr>
            <w:tcW w:w="3500" w:type="pct"/>
            <w:tcBorders>
              <w:tl2br w:val="nil"/>
              <w:tr2bl w:val="nil"/>
            </w:tcBorders>
            <w:noWrap w:val="0"/>
            <w:vAlign w:val="center"/>
          </w:tcPr>
          <w:p w14:paraId="0493E4E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设一间</w:t>
            </w:r>
            <w:r>
              <w:rPr>
                <w:rFonts w:hint="default" w:ascii="Times New Roman" w:hAnsi="Times New Roman" w:cs="Times New Roman"/>
                <w:color w:val="auto"/>
                <w:sz w:val="21"/>
                <w:highlight w:val="none"/>
              </w:rPr>
              <w:t>粗碎</w:t>
            </w:r>
            <w:r>
              <w:rPr>
                <w:rFonts w:hint="default" w:ascii="Times New Roman" w:hAnsi="Times New Roman" w:cs="Times New Roman"/>
                <w:color w:val="auto"/>
                <w:sz w:val="21"/>
                <w:highlight w:val="none"/>
                <w:lang w:eastAsia="zh-CN"/>
              </w:rPr>
              <w:t>厂房，</w:t>
            </w:r>
            <w:r>
              <w:rPr>
                <w:rFonts w:hint="default" w:ascii="Times New Roman" w:hAnsi="Times New Roman" w:cs="Times New Roman"/>
                <w:color w:val="auto"/>
                <w:sz w:val="21"/>
                <w:highlight w:val="none"/>
              </w:rPr>
              <w:t>为地上式钢构厂房，</w:t>
            </w:r>
            <w:r>
              <w:rPr>
                <w:rFonts w:hint="default" w:ascii="Times New Roman" w:hAnsi="Times New Roman" w:cs="Times New Roman"/>
                <w:color w:val="auto"/>
                <w:sz w:val="21"/>
                <w:highlight w:val="none"/>
                <w:lang w:eastAsia="zh-CN"/>
              </w:rPr>
              <w:t>内部</w:t>
            </w:r>
            <w:r>
              <w:rPr>
                <w:rFonts w:hint="default" w:ascii="Times New Roman" w:hAnsi="Times New Roman" w:cs="Times New Roman"/>
                <w:color w:val="auto"/>
                <w:sz w:val="21"/>
                <w:highlight w:val="none"/>
              </w:rPr>
              <w:t>配置颚式破碎机</w:t>
            </w:r>
            <w:r>
              <w:rPr>
                <w:rFonts w:hint="default" w:ascii="Times New Roman" w:hAnsi="Times New Roman" w:cs="Times New Roman"/>
                <w:color w:val="auto"/>
                <w:sz w:val="21"/>
                <w:highlight w:val="none"/>
                <w:lang w:eastAsia="zh-CN"/>
              </w:rPr>
              <w:t>，输送皮带</w:t>
            </w:r>
            <w:r>
              <w:rPr>
                <w:rFonts w:hint="default" w:cs="Times New Roman"/>
                <w:color w:val="auto"/>
                <w:sz w:val="21"/>
                <w:highlight w:val="none"/>
                <w:lang w:eastAsia="zh-CN"/>
              </w:rPr>
              <w:t>，</w:t>
            </w:r>
            <w:r>
              <w:rPr>
                <w:rFonts w:hint="default" w:cs="Times New Roman"/>
                <w:color w:val="auto"/>
                <w:sz w:val="21"/>
                <w:highlight w:val="none"/>
                <w:lang w:val="en-US" w:eastAsia="zh-CN"/>
              </w:rPr>
              <w:t>占地面积108m</w:t>
            </w:r>
            <w:r>
              <w:rPr>
                <w:rFonts w:hint="default"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287" w:type="pct"/>
            <w:tcBorders>
              <w:tl2br w:val="nil"/>
              <w:tr2bl w:val="nil"/>
            </w:tcBorders>
            <w:noWrap w:val="0"/>
            <w:vAlign w:val="center"/>
          </w:tcPr>
          <w:p w14:paraId="115CF15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67D14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1ACCC70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53EF043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noWrap w:val="0"/>
            <w:vAlign w:val="center"/>
          </w:tcPr>
          <w:p w14:paraId="2A2F181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中细碎厂房</w:t>
            </w:r>
          </w:p>
        </w:tc>
        <w:tc>
          <w:tcPr>
            <w:tcW w:w="3500" w:type="pct"/>
            <w:tcBorders>
              <w:tl2br w:val="nil"/>
              <w:tr2bl w:val="nil"/>
            </w:tcBorders>
            <w:noWrap w:val="0"/>
            <w:vAlign w:val="center"/>
          </w:tcPr>
          <w:p w14:paraId="46262AC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设一间</w:t>
            </w:r>
            <w:r>
              <w:rPr>
                <w:rFonts w:hint="default" w:ascii="Times New Roman" w:hAnsi="Times New Roman" w:cs="Times New Roman"/>
                <w:color w:val="auto"/>
                <w:sz w:val="21"/>
                <w:highlight w:val="none"/>
                <w:lang w:val="en-US" w:eastAsia="zh-CN"/>
              </w:rPr>
              <w:t>中细碎厂房</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为地上式钢构厂房，</w:t>
            </w:r>
            <w:r>
              <w:rPr>
                <w:rFonts w:hint="default" w:ascii="Times New Roman" w:hAnsi="Times New Roman" w:cs="Times New Roman"/>
                <w:color w:val="auto"/>
                <w:sz w:val="21"/>
                <w:highlight w:val="none"/>
                <w:lang w:eastAsia="zh-CN"/>
              </w:rPr>
              <w:t>内部</w:t>
            </w:r>
            <w:r>
              <w:rPr>
                <w:rFonts w:hint="default" w:ascii="Times New Roman" w:hAnsi="Times New Roman" w:cs="Times New Roman"/>
                <w:color w:val="auto"/>
                <w:sz w:val="21"/>
                <w:highlight w:val="none"/>
              </w:rPr>
              <w:t>配置圆锥破碎机</w:t>
            </w:r>
            <w:r>
              <w:rPr>
                <w:rFonts w:hint="default" w:ascii="Times New Roman" w:hAnsi="Times New Roman" w:cs="Times New Roman"/>
                <w:color w:val="auto"/>
                <w:sz w:val="21"/>
                <w:highlight w:val="none"/>
                <w:lang w:eastAsia="zh-CN"/>
              </w:rPr>
              <w:t>，输送皮带</w:t>
            </w:r>
            <w:r>
              <w:rPr>
                <w:rFonts w:hint="default" w:cs="Times New Roman"/>
                <w:color w:val="auto"/>
                <w:sz w:val="21"/>
                <w:highlight w:val="none"/>
                <w:lang w:eastAsia="zh-CN"/>
              </w:rPr>
              <w:t>，</w:t>
            </w:r>
            <w:r>
              <w:rPr>
                <w:rFonts w:hint="default" w:cs="Times New Roman"/>
                <w:color w:val="auto"/>
                <w:sz w:val="21"/>
                <w:highlight w:val="none"/>
                <w:lang w:val="en-US" w:eastAsia="zh-CN"/>
              </w:rPr>
              <w:t>占地面积270m</w:t>
            </w:r>
            <w:r>
              <w:rPr>
                <w:rFonts w:hint="default"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287" w:type="pct"/>
            <w:tcBorders>
              <w:tl2br w:val="nil"/>
              <w:tr2bl w:val="nil"/>
            </w:tcBorders>
            <w:noWrap w:val="0"/>
            <w:vAlign w:val="center"/>
          </w:tcPr>
          <w:p w14:paraId="3FEE6BF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16F3E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75699F4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7EA6175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noWrap w:val="0"/>
            <w:vAlign w:val="center"/>
          </w:tcPr>
          <w:p w14:paraId="191A33E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筛分厂房</w:t>
            </w:r>
          </w:p>
        </w:tc>
        <w:tc>
          <w:tcPr>
            <w:tcW w:w="3500" w:type="pct"/>
            <w:tcBorders>
              <w:tl2br w:val="nil"/>
              <w:tr2bl w:val="nil"/>
            </w:tcBorders>
            <w:noWrap w:val="0"/>
            <w:vAlign w:val="center"/>
          </w:tcPr>
          <w:p w14:paraId="5C4759B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设一间</w:t>
            </w:r>
            <w:r>
              <w:rPr>
                <w:rFonts w:hint="default" w:ascii="Times New Roman" w:hAnsi="Times New Roman" w:cs="Times New Roman"/>
                <w:color w:val="auto"/>
                <w:sz w:val="21"/>
                <w:highlight w:val="none"/>
              </w:rPr>
              <w:t>粗碎</w:t>
            </w:r>
            <w:r>
              <w:rPr>
                <w:rFonts w:hint="default" w:ascii="Times New Roman" w:hAnsi="Times New Roman" w:cs="Times New Roman"/>
                <w:color w:val="auto"/>
                <w:sz w:val="21"/>
                <w:highlight w:val="none"/>
                <w:lang w:eastAsia="zh-CN"/>
              </w:rPr>
              <w:t>厂房，</w:t>
            </w:r>
            <w:r>
              <w:rPr>
                <w:rFonts w:hint="default" w:ascii="Times New Roman" w:hAnsi="Times New Roman" w:cs="Times New Roman"/>
                <w:color w:val="auto"/>
                <w:sz w:val="21"/>
                <w:highlight w:val="none"/>
              </w:rPr>
              <w:t>为地上式钢构厂房，</w:t>
            </w:r>
            <w:r>
              <w:rPr>
                <w:rFonts w:hint="default" w:ascii="Times New Roman" w:hAnsi="Times New Roman" w:cs="Times New Roman"/>
                <w:color w:val="auto"/>
                <w:sz w:val="21"/>
                <w:highlight w:val="none"/>
                <w:lang w:eastAsia="zh-CN"/>
              </w:rPr>
              <w:t>内部</w:t>
            </w:r>
            <w:r>
              <w:rPr>
                <w:rFonts w:hint="default" w:ascii="Times New Roman" w:hAnsi="Times New Roman" w:cs="Times New Roman"/>
                <w:color w:val="auto"/>
                <w:sz w:val="21"/>
                <w:highlight w:val="none"/>
              </w:rPr>
              <w:t>配置</w:t>
            </w:r>
            <w:r>
              <w:rPr>
                <w:rFonts w:hint="default" w:ascii="Times New Roman" w:hAnsi="Times New Roman" w:cs="Times New Roman"/>
                <w:color w:val="auto"/>
                <w:sz w:val="21"/>
                <w:highlight w:val="none"/>
                <w:lang w:val="en-US" w:eastAsia="zh-CN"/>
              </w:rPr>
              <w:t>筛分机</w:t>
            </w:r>
            <w:r>
              <w:rPr>
                <w:rFonts w:hint="default" w:ascii="Times New Roman" w:hAnsi="Times New Roman" w:cs="Times New Roman"/>
                <w:color w:val="auto"/>
                <w:sz w:val="21"/>
                <w:highlight w:val="none"/>
                <w:lang w:eastAsia="zh-CN"/>
              </w:rPr>
              <w:t>，输送皮带</w:t>
            </w:r>
            <w:r>
              <w:rPr>
                <w:rFonts w:hint="default" w:cs="Times New Roman"/>
                <w:color w:val="auto"/>
                <w:sz w:val="21"/>
                <w:highlight w:val="none"/>
                <w:lang w:eastAsia="zh-CN"/>
              </w:rPr>
              <w:t>，</w:t>
            </w:r>
            <w:r>
              <w:rPr>
                <w:rFonts w:hint="default" w:cs="Times New Roman"/>
                <w:color w:val="auto"/>
                <w:sz w:val="21"/>
                <w:highlight w:val="none"/>
                <w:lang w:val="en-US" w:eastAsia="zh-CN"/>
              </w:rPr>
              <w:t>占地面积216m</w:t>
            </w:r>
            <w:r>
              <w:rPr>
                <w:rFonts w:hint="default"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287" w:type="pct"/>
            <w:tcBorders>
              <w:tl2br w:val="nil"/>
              <w:tr2bl w:val="nil"/>
            </w:tcBorders>
            <w:noWrap w:val="0"/>
            <w:vAlign w:val="center"/>
          </w:tcPr>
          <w:p w14:paraId="0AD8411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0BEB0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4CC945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796D9A3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noWrap w:val="0"/>
            <w:vAlign w:val="center"/>
          </w:tcPr>
          <w:p w14:paraId="03A1E83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磨矿</w:t>
            </w:r>
            <w:r>
              <w:rPr>
                <w:rFonts w:hint="default" w:ascii="Times New Roman" w:hAnsi="Times New Roman" w:cs="Times New Roman"/>
                <w:color w:val="auto"/>
                <w:sz w:val="21"/>
                <w:highlight w:val="none"/>
                <w:lang w:val="en-US" w:eastAsia="zh-CN"/>
              </w:rPr>
              <w:t>分级</w:t>
            </w:r>
            <w:r>
              <w:rPr>
                <w:rFonts w:hint="default" w:ascii="Times New Roman" w:hAnsi="Times New Roman" w:cs="Times New Roman"/>
                <w:color w:val="auto"/>
                <w:sz w:val="21"/>
                <w:highlight w:val="none"/>
                <w:lang w:eastAsia="zh-CN"/>
              </w:rPr>
              <w:t>厂房</w:t>
            </w:r>
          </w:p>
        </w:tc>
        <w:tc>
          <w:tcPr>
            <w:tcW w:w="3500" w:type="pct"/>
            <w:tcBorders>
              <w:tl2br w:val="nil"/>
              <w:tr2bl w:val="nil"/>
            </w:tcBorders>
            <w:noWrap w:val="0"/>
            <w:vAlign w:val="center"/>
          </w:tcPr>
          <w:p w14:paraId="2A64345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磨矿、选别、精矿脱水集合于一个建筑内，</w:t>
            </w:r>
            <w:r>
              <w:rPr>
                <w:rFonts w:hint="default" w:ascii="Times New Roman" w:hAnsi="Times New Roman" w:cs="Times New Roman"/>
                <w:color w:val="auto"/>
                <w:sz w:val="21"/>
                <w:highlight w:val="none"/>
              </w:rPr>
              <w:t>为地上式钢构厂房，</w:t>
            </w:r>
            <w:r>
              <w:rPr>
                <w:rFonts w:hint="default" w:ascii="Times New Roman" w:hAnsi="Times New Roman" w:cs="Times New Roman"/>
                <w:color w:val="auto"/>
                <w:sz w:val="21"/>
                <w:highlight w:val="none"/>
                <w:lang w:eastAsia="zh-CN"/>
              </w:rPr>
              <w:t>内部</w:t>
            </w:r>
            <w:r>
              <w:rPr>
                <w:rFonts w:hint="default" w:ascii="Times New Roman" w:hAnsi="Times New Roman" w:cs="Times New Roman"/>
                <w:color w:val="auto"/>
                <w:sz w:val="21"/>
                <w:highlight w:val="none"/>
              </w:rPr>
              <w:t>配置</w:t>
            </w:r>
            <w:r>
              <w:rPr>
                <w:rFonts w:hint="default" w:ascii="Times New Roman" w:hAnsi="Times New Roman" w:cs="Times New Roman"/>
                <w:color w:val="auto"/>
                <w:sz w:val="21"/>
                <w:highlight w:val="none"/>
                <w:lang w:val="en-US" w:eastAsia="zh-CN"/>
              </w:rPr>
              <w:t>球磨机及水力旋流器</w:t>
            </w:r>
            <w:r>
              <w:rPr>
                <w:rFonts w:hint="default" w:ascii="Times New Roman" w:hAnsi="Times New Roman" w:cs="Times New Roman"/>
                <w:color w:val="auto"/>
                <w:sz w:val="21"/>
                <w:highlight w:val="none"/>
                <w:lang w:eastAsia="zh-CN"/>
              </w:rPr>
              <w:t>，输送皮带</w:t>
            </w:r>
            <w:r>
              <w:rPr>
                <w:rFonts w:hint="default" w:cs="Times New Roman"/>
                <w:color w:val="auto"/>
                <w:sz w:val="21"/>
                <w:highlight w:val="none"/>
                <w:lang w:eastAsia="zh-CN"/>
              </w:rPr>
              <w:t>，</w:t>
            </w:r>
            <w:r>
              <w:rPr>
                <w:rFonts w:hint="default" w:cs="Times New Roman"/>
                <w:color w:val="auto"/>
                <w:sz w:val="21"/>
                <w:highlight w:val="none"/>
                <w:lang w:val="en-US" w:eastAsia="zh-CN"/>
              </w:rPr>
              <w:t>占地面积756m</w:t>
            </w:r>
            <w:r>
              <w:rPr>
                <w:rFonts w:hint="default"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287" w:type="pct"/>
            <w:tcBorders>
              <w:tl2br w:val="nil"/>
              <w:tr2bl w:val="nil"/>
            </w:tcBorders>
            <w:noWrap w:val="0"/>
            <w:vAlign w:val="center"/>
          </w:tcPr>
          <w:p w14:paraId="3C1664F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232E9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7106C42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04CCF44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noWrap w:val="0"/>
            <w:vAlign w:val="center"/>
          </w:tcPr>
          <w:p w14:paraId="2A713C6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浮选厂房</w:t>
            </w:r>
          </w:p>
        </w:tc>
        <w:tc>
          <w:tcPr>
            <w:tcW w:w="3500" w:type="pct"/>
            <w:tcBorders>
              <w:tl2br w:val="nil"/>
              <w:tr2bl w:val="nil"/>
            </w:tcBorders>
            <w:noWrap w:val="0"/>
            <w:vAlign w:val="center"/>
          </w:tcPr>
          <w:p w14:paraId="58336FE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磨矿、选别、精矿脱水集合于一个建筑内，</w:t>
            </w:r>
            <w:r>
              <w:rPr>
                <w:rFonts w:hint="default" w:ascii="Times New Roman" w:hAnsi="Times New Roman" w:cs="Times New Roman"/>
                <w:color w:val="auto"/>
                <w:sz w:val="21"/>
                <w:highlight w:val="none"/>
              </w:rPr>
              <w:t>为地上式钢构厂房，</w:t>
            </w:r>
            <w:r>
              <w:rPr>
                <w:rFonts w:hint="default" w:ascii="Times New Roman" w:hAnsi="Times New Roman" w:cs="Times New Roman"/>
                <w:color w:val="auto"/>
                <w:sz w:val="21"/>
                <w:highlight w:val="none"/>
                <w:lang w:eastAsia="zh-CN"/>
              </w:rPr>
              <w:t>内部</w:t>
            </w:r>
            <w:r>
              <w:rPr>
                <w:rFonts w:hint="default" w:ascii="Times New Roman" w:hAnsi="Times New Roman" w:cs="Times New Roman"/>
                <w:color w:val="auto"/>
                <w:sz w:val="21"/>
                <w:highlight w:val="none"/>
              </w:rPr>
              <w:t>配置</w:t>
            </w:r>
            <w:r>
              <w:rPr>
                <w:rFonts w:hint="default" w:ascii="Times New Roman" w:hAnsi="Times New Roman" w:cs="Times New Roman"/>
                <w:color w:val="auto"/>
                <w:sz w:val="21"/>
                <w:highlight w:val="none"/>
                <w:lang w:val="en-US" w:eastAsia="zh-CN"/>
              </w:rPr>
              <w:t>浮选机</w:t>
            </w:r>
            <w:r>
              <w:rPr>
                <w:rFonts w:hint="default" w:cs="Times New Roman"/>
                <w:color w:val="auto"/>
                <w:sz w:val="21"/>
                <w:highlight w:val="none"/>
                <w:lang w:eastAsia="zh-CN"/>
              </w:rPr>
              <w:t>，</w:t>
            </w:r>
            <w:r>
              <w:rPr>
                <w:rFonts w:hint="default" w:cs="Times New Roman"/>
                <w:color w:val="auto"/>
                <w:sz w:val="21"/>
                <w:highlight w:val="none"/>
                <w:lang w:val="en-US" w:eastAsia="zh-CN"/>
              </w:rPr>
              <w:t>占地面积432m</w:t>
            </w:r>
            <w:r>
              <w:rPr>
                <w:rFonts w:hint="default"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287" w:type="pct"/>
            <w:tcBorders>
              <w:tl2br w:val="nil"/>
              <w:tr2bl w:val="nil"/>
            </w:tcBorders>
            <w:noWrap w:val="0"/>
            <w:vAlign w:val="center"/>
          </w:tcPr>
          <w:p w14:paraId="7E45BAD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20E87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615BEC3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4A4C762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noWrap w:val="0"/>
            <w:vAlign w:val="center"/>
          </w:tcPr>
          <w:p w14:paraId="6029F90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精矿脱水厂房</w:t>
            </w:r>
          </w:p>
        </w:tc>
        <w:tc>
          <w:tcPr>
            <w:tcW w:w="3500" w:type="pct"/>
            <w:tcBorders>
              <w:tl2br w:val="nil"/>
              <w:tr2bl w:val="nil"/>
            </w:tcBorders>
            <w:noWrap w:val="0"/>
            <w:vAlign w:val="center"/>
          </w:tcPr>
          <w:p w14:paraId="5C8243F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磨矿、选别、精矿脱水集合于一个建筑内，</w:t>
            </w:r>
            <w:r>
              <w:rPr>
                <w:rFonts w:hint="default" w:ascii="Times New Roman" w:hAnsi="Times New Roman" w:cs="Times New Roman"/>
                <w:color w:val="auto"/>
                <w:sz w:val="21"/>
                <w:highlight w:val="none"/>
              </w:rPr>
              <w:t>为地上式钢构厂房，</w:t>
            </w:r>
            <w:r>
              <w:rPr>
                <w:rFonts w:hint="default" w:ascii="Times New Roman" w:hAnsi="Times New Roman" w:cs="Times New Roman"/>
                <w:color w:val="auto"/>
                <w:sz w:val="21"/>
                <w:highlight w:val="none"/>
                <w:lang w:eastAsia="zh-CN"/>
              </w:rPr>
              <w:t>内部</w:t>
            </w:r>
            <w:r>
              <w:rPr>
                <w:rFonts w:hint="default" w:ascii="Times New Roman" w:hAnsi="Times New Roman" w:cs="Times New Roman"/>
                <w:color w:val="auto"/>
                <w:sz w:val="21"/>
                <w:highlight w:val="none"/>
              </w:rPr>
              <w:t>配置</w:t>
            </w:r>
            <w:r>
              <w:rPr>
                <w:rFonts w:hint="default" w:ascii="Times New Roman" w:hAnsi="Times New Roman" w:cs="Times New Roman"/>
                <w:color w:val="auto"/>
                <w:sz w:val="21"/>
                <w:highlight w:val="none"/>
                <w:lang w:val="en-US" w:eastAsia="zh-CN"/>
              </w:rPr>
              <w:t>液压浓缩机及压滤机</w:t>
            </w:r>
            <w:r>
              <w:rPr>
                <w:rFonts w:hint="default" w:cs="Times New Roman"/>
                <w:color w:val="auto"/>
                <w:sz w:val="21"/>
                <w:highlight w:val="none"/>
                <w:lang w:eastAsia="zh-CN"/>
              </w:rPr>
              <w:t>，</w:t>
            </w:r>
            <w:r>
              <w:rPr>
                <w:rFonts w:hint="default" w:cs="Times New Roman"/>
                <w:color w:val="auto"/>
                <w:sz w:val="21"/>
                <w:highlight w:val="none"/>
                <w:lang w:val="en-US" w:eastAsia="zh-CN"/>
              </w:rPr>
              <w:t>占地面积432m</w:t>
            </w:r>
            <w:r>
              <w:rPr>
                <w:rFonts w:hint="default"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287" w:type="pct"/>
            <w:tcBorders>
              <w:tl2br w:val="nil"/>
              <w:tr2bl w:val="nil"/>
            </w:tcBorders>
            <w:noWrap w:val="0"/>
            <w:vAlign w:val="center"/>
          </w:tcPr>
          <w:p w14:paraId="421934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014E1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2024373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restart"/>
            <w:tcBorders>
              <w:tl2br w:val="nil"/>
              <w:tr2bl w:val="nil"/>
            </w:tcBorders>
            <w:noWrap w:val="0"/>
            <w:vAlign w:val="center"/>
          </w:tcPr>
          <w:p w14:paraId="2C82C4C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w:t>
            </w:r>
          </w:p>
        </w:tc>
        <w:tc>
          <w:tcPr>
            <w:tcW w:w="605" w:type="pct"/>
            <w:tcBorders>
              <w:tl2br w:val="nil"/>
              <w:tr2bl w:val="nil"/>
            </w:tcBorders>
            <w:noWrap w:val="0"/>
            <w:vAlign w:val="center"/>
          </w:tcPr>
          <w:p w14:paraId="6380B34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尾矿库结构</w:t>
            </w:r>
          </w:p>
        </w:tc>
        <w:tc>
          <w:tcPr>
            <w:tcW w:w="3500" w:type="pct"/>
            <w:tcBorders>
              <w:tl2br w:val="nil"/>
              <w:tr2bl w:val="nil"/>
            </w:tcBorders>
            <w:noWrap w:val="0"/>
            <w:vAlign w:val="center"/>
          </w:tcPr>
          <w:p w14:paraId="520555B2">
            <w:pPr>
              <w:keepNext w:val="0"/>
              <w:keepLines w:val="0"/>
              <w:pageBreakBefore w:val="0"/>
              <w:widowControl/>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kern w:val="0"/>
                <w:sz w:val="21"/>
                <w:szCs w:val="21"/>
                <w:highlight w:val="none"/>
                <w:lang w:val="en-US" w:eastAsia="zh-CN" w:bidi="ar"/>
              </w:rPr>
              <w:t>尾矿库</w:t>
            </w:r>
            <w:r>
              <w:rPr>
                <w:rFonts w:hint="default" w:ascii="Times New Roman" w:hAnsi="Times New Roman" w:cs="Times New Roman"/>
                <w:color w:val="auto"/>
                <w:sz w:val="21"/>
                <w:szCs w:val="21"/>
                <w:highlight w:val="none"/>
                <w:lang w:val="en-US" w:eastAsia="zh-CN"/>
              </w:rPr>
              <w:t>布置于选矿工业场地北侧约</w:t>
            </w:r>
            <w:r>
              <w:rPr>
                <w:rFonts w:hint="eastAsia" w:cs="Times New Roman"/>
                <w:color w:val="auto"/>
                <w:sz w:val="21"/>
                <w:szCs w:val="21"/>
                <w:highlight w:val="none"/>
                <w:lang w:val="en-US" w:eastAsia="zh-CN"/>
              </w:rPr>
              <w:t>0.86</w:t>
            </w:r>
            <w:r>
              <w:rPr>
                <w:rFonts w:hint="default" w:ascii="Times New Roman" w:hAnsi="Times New Roman" w:cs="Times New Roman"/>
                <w:color w:val="auto"/>
                <w:sz w:val="21"/>
                <w:szCs w:val="21"/>
                <w:highlight w:val="none"/>
                <w:lang w:val="en-US" w:eastAsia="zh-CN"/>
              </w:rPr>
              <w:t>km处。尾矿库占地面积约26万m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，总库容为</w:t>
            </w:r>
            <w:r>
              <w:rPr>
                <w:rFonts w:hint="default" w:cs="Times New Roman"/>
                <w:color w:val="auto"/>
                <w:sz w:val="21"/>
                <w:szCs w:val="21"/>
                <w:highlight w:val="none"/>
                <w:lang w:val="en-US" w:eastAsia="zh-CN"/>
              </w:rPr>
              <w:t>130.5</w:t>
            </w:r>
            <w:r>
              <w:rPr>
                <w:rFonts w:hint="default" w:ascii="Times New Roman" w:hAnsi="Times New Roman" w:cs="Times New Roman"/>
                <w:color w:val="auto"/>
                <w:sz w:val="21"/>
                <w:szCs w:val="21"/>
                <w:highlight w:val="none"/>
                <w:lang w:val="en-US" w:eastAsia="zh-CN"/>
              </w:rPr>
              <w:t>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，有效库容为</w:t>
            </w:r>
            <w:r>
              <w:rPr>
                <w:rFonts w:hint="default" w:cs="Times New Roman"/>
                <w:color w:val="auto"/>
                <w:sz w:val="21"/>
                <w:szCs w:val="21"/>
                <w:highlight w:val="none"/>
                <w:lang w:val="en-US" w:eastAsia="zh-CN"/>
              </w:rPr>
              <w:t>104.4</w:t>
            </w:r>
            <w:r>
              <w:rPr>
                <w:rFonts w:hint="default" w:ascii="Times New Roman" w:hAnsi="Times New Roman" w:cs="Times New Roman"/>
                <w:color w:val="auto"/>
                <w:sz w:val="21"/>
                <w:szCs w:val="21"/>
                <w:highlight w:val="none"/>
                <w:lang w:val="en-US" w:eastAsia="zh-CN"/>
              </w:rPr>
              <w:t>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服务年限</w:t>
            </w:r>
            <w:r>
              <w:rPr>
                <w:rFonts w:hint="default"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val="en-US" w:eastAsia="zh-CN"/>
              </w:rPr>
              <w:t>。尾矿</w:t>
            </w:r>
            <w:r>
              <w:rPr>
                <w:rFonts w:hint="default" w:ascii="Times New Roman" w:hAnsi="Times New Roman" w:cs="Times New Roman"/>
                <w:color w:val="auto"/>
                <w:kern w:val="0"/>
                <w:sz w:val="21"/>
                <w:szCs w:val="21"/>
                <w:highlight w:val="none"/>
                <w:lang w:val="en-US" w:eastAsia="zh-CN" w:bidi="ar"/>
              </w:rPr>
              <w:t>采用湿式排放，为四等库</w:t>
            </w:r>
            <w:r>
              <w:rPr>
                <w:rFonts w:hint="default" w:ascii="Times New Roman" w:hAnsi="Times New Roman" w:cs="Times New Roman"/>
                <w:color w:val="auto"/>
                <w:sz w:val="21"/>
                <w:szCs w:val="21"/>
                <w:highlight w:val="none"/>
              </w:rPr>
              <w:t>。</w:t>
            </w:r>
          </w:p>
        </w:tc>
        <w:tc>
          <w:tcPr>
            <w:tcW w:w="287" w:type="pct"/>
            <w:tcBorders>
              <w:tl2br w:val="nil"/>
              <w:tr2bl w:val="nil"/>
            </w:tcBorders>
            <w:noWrap w:val="0"/>
            <w:vAlign w:val="center"/>
          </w:tcPr>
          <w:p w14:paraId="6DB411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62457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626641D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0D505AF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noWrap w:val="0"/>
            <w:vAlign w:val="center"/>
          </w:tcPr>
          <w:p w14:paraId="56513EF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尾矿坝</w:t>
            </w:r>
          </w:p>
        </w:tc>
        <w:tc>
          <w:tcPr>
            <w:tcW w:w="3500" w:type="pct"/>
            <w:tcBorders>
              <w:tl2br w:val="nil"/>
              <w:tr2bl w:val="nil"/>
            </w:tcBorders>
            <w:noWrap w:val="0"/>
            <w:vAlign w:val="center"/>
          </w:tcPr>
          <w:p w14:paraId="6D78C01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kern w:val="0"/>
                <w:sz w:val="21"/>
                <w:highlight w:val="none"/>
                <w:lang w:eastAsia="zh-CN" w:bidi="ar"/>
              </w:rPr>
            </w:pPr>
            <w:r>
              <w:rPr>
                <w:rFonts w:hint="default" w:ascii="Times New Roman" w:hAnsi="Times New Roman" w:cs="Times New Roman"/>
                <w:color w:val="auto"/>
                <w:kern w:val="0"/>
                <w:sz w:val="21"/>
                <w:highlight w:val="none"/>
                <w:lang w:bidi="ar"/>
              </w:rPr>
              <w:t>采用</w:t>
            </w:r>
            <w:r>
              <w:rPr>
                <w:rFonts w:hint="default" w:ascii="Times New Roman" w:hAnsi="Times New Roman" w:cs="Times New Roman"/>
                <w:color w:val="auto"/>
                <w:kern w:val="0"/>
                <w:sz w:val="21"/>
                <w:highlight w:val="none"/>
                <w:lang w:val="en-US" w:eastAsia="zh-CN" w:bidi="ar"/>
              </w:rPr>
              <w:t>一次性</w:t>
            </w:r>
            <w:r>
              <w:rPr>
                <w:rFonts w:hint="default" w:ascii="Times New Roman" w:hAnsi="Times New Roman" w:cs="Times New Roman"/>
                <w:color w:val="auto"/>
                <w:kern w:val="0"/>
                <w:sz w:val="21"/>
                <w:highlight w:val="none"/>
                <w:lang w:bidi="ar"/>
              </w:rPr>
              <w:t>筑坝，逐层碾压。</w:t>
            </w:r>
            <w:r>
              <w:rPr>
                <w:rFonts w:hint="default" w:ascii="Times New Roman" w:hAnsi="Times New Roman" w:cs="Times New Roman"/>
                <w:color w:val="auto"/>
                <w:kern w:val="0"/>
                <w:sz w:val="21"/>
                <w:highlight w:val="none"/>
                <w:lang w:eastAsia="zh-CN" w:bidi="ar"/>
              </w:rPr>
              <w:t>坝高为15m，坝顶标高为110</w:t>
            </w:r>
            <w:r>
              <w:rPr>
                <w:rFonts w:hint="default" w:cs="Times New Roman"/>
                <w:color w:val="auto"/>
                <w:kern w:val="0"/>
                <w:sz w:val="21"/>
                <w:highlight w:val="none"/>
                <w:lang w:val="en-US" w:eastAsia="zh-CN" w:bidi="ar"/>
              </w:rPr>
              <w:t>4</w:t>
            </w:r>
            <w:r>
              <w:rPr>
                <w:rFonts w:hint="default" w:ascii="Times New Roman" w:hAnsi="Times New Roman" w:cs="Times New Roman"/>
                <w:color w:val="auto"/>
                <w:kern w:val="0"/>
                <w:sz w:val="21"/>
                <w:highlight w:val="none"/>
                <w:lang w:eastAsia="zh-CN" w:bidi="ar"/>
              </w:rPr>
              <w:t>m，坝顶宽5m，内坡比为1:2.0，外坡比为1:2.0。坝体内坡采用400g/m</w:t>
            </w:r>
            <w:r>
              <w:rPr>
                <w:rFonts w:hint="default" w:ascii="Times New Roman" w:hAnsi="Times New Roman" w:cs="Times New Roman"/>
                <w:color w:val="auto"/>
                <w:kern w:val="0"/>
                <w:sz w:val="21"/>
                <w:highlight w:val="none"/>
                <w:vertAlign w:val="superscript"/>
                <w:lang w:eastAsia="zh-CN" w:bidi="ar"/>
              </w:rPr>
              <w:t>2</w:t>
            </w:r>
            <w:r>
              <w:rPr>
                <w:rFonts w:hint="default" w:ascii="Times New Roman" w:hAnsi="Times New Roman" w:cs="Times New Roman"/>
                <w:color w:val="auto"/>
                <w:kern w:val="0"/>
                <w:sz w:val="21"/>
                <w:highlight w:val="none"/>
                <w:lang w:eastAsia="zh-CN" w:bidi="ar"/>
              </w:rPr>
              <w:t>土工布+1.5mmHDPE土工膜+400g/m</w:t>
            </w:r>
            <w:r>
              <w:rPr>
                <w:rFonts w:hint="default" w:ascii="Times New Roman" w:hAnsi="Times New Roman" w:cs="Times New Roman"/>
                <w:color w:val="auto"/>
                <w:kern w:val="0"/>
                <w:sz w:val="21"/>
                <w:highlight w:val="none"/>
                <w:vertAlign w:val="superscript"/>
                <w:lang w:eastAsia="zh-CN" w:bidi="ar"/>
              </w:rPr>
              <w:t>2</w:t>
            </w:r>
            <w:r>
              <w:rPr>
                <w:rFonts w:hint="default" w:ascii="Times New Roman" w:hAnsi="Times New Roman" w:cs="Times New Roman"/>
                <w:color w:val="auto"/>
                <w:kern w:val="0"/>
                <w:sz w:val="21"/>
                <w:highlight w:val="none"/>
                <w:lang w:eastAsia="zh-CN" w:bidi="ar"/>
              </w:rPr>
              <w:t>土工布作为防渗层。</w:t>
            </w:r>
          </w:p>
          <w:p w14:paraId="4EE76AD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1"/>
                <w:highlight w:val="none"/>
                <w:lang w:val="en-US" w:eastAsia="zh-CN" w:bidi="ar"/>
              </w:rPr>
              <w:t>最大坝高位于西侧，坝高15m，坝长约295m；最小坝高位于东侧，坝高4m，坝长约295m；北侧坝体坝长约445m；南侧坝体坝长约445m。总坝长</w:t>
            </w:r>
            <w:r>
              <w:rPr>
                <w:rFonts w:hint="default" w:cs="Times New Roman"/>
                <w:color w:val="auto"/>
                <w:kern w:val="0"/>
                <w:sz w:val="21"/>
                <w:highlight w:val="none"/>
                <w:lang w:val="en-US" w:eastAsia="zh-CN" w:bidi="ar"/>
              </w:rPr>
              <w:t>约</w:t>
            </w:r>
            <w:r>
              <w:rPr>
                <w:rFonts w:hint="default" w:ascii="Times New Roman" w:hAnsi="Times New Roman" w:cs="Times New Roman"/>
                <w:color w:val="auto"/>
                <w:kern w:val="0"/>
                <w:sz w:val="21"/>
                <w:highlight w:val="none"/>
                <w:lang w:val="en-US" w:eastAsia="zh-CN" w:bidi="ar"/>
              </w:rPr>
              <w:t>1480m。</w:t>
            </w:r>
          </w:p>
        </w:tc>
        <w:tc>
          <w:tcPr>
            <w:tcW w:w="287" w:type="pct"/>
            <w:tcBorders>
              <w:tl2br w:val="nil"/>
              <w:tr2bl w:val="nil"/>
            </w:tcBorders>
            <w:noWrap w:val="0"/>
            <w:vAlign w:val="center"/>
          </w:tcPr>
          <w:p w14:paraId="5BC2661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ED13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162787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56E2B77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vMerge w:val="restart"/>
            <w:tcBorders>
              <w:tl2br w:val="nil"/>
              <w:tr2bl w:val="nil"/>
            </w:tcBorders>
            <w:noWrap w:val="0"/>
            <w:vAlign w:val="center"/>
          </w:tcPr>
          <w:p w14:paraId="550EE8A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防洪系统</w:t>
            </w:r>
          </w:p>
        </w:tc>
        <w:tc>
          <w:tcPr>
            <w:tcW w:w="3500" w:type="pct"/>
            <w:tcBorders>
              <w:tl2br w:val="nil"/>
              <w:tr2bl w:val="nil"/>
            </w:tcBorders>
            <w:noWrap w:val="0"/>
            <w:vAlign w:val="center"/>
          </w:tcPr>
          <w:p w14:paraId="602FCD3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highlight w:val="none"/>
                <w:lang w:eastAsia="zh-CN" w:bidi="ar"/>
              </w:rPr>
            </w:pPr>
            <w:r>
              <w:rPr>
                <w:rFonts w:hint="default" w:ascii="Times New Roman" w:hAnsi="Times New Roman" w:cs="Times New Roman"/>
                <w:color w:val="auto"/>
                <w:sz w:val="21"/>
                <w:szCs w:val="21"/>
                <w:highlight w:val="none"/>
              </w:rPr>
              <w:t>从尾矿库外围设置截洪引流明渠，东侧断面为梯形断面顶宽3m，底宽2m，高2m。浆砌石结构壁厚400mm。南侧和北侧为倒梯形断面宽2m，底宽1.5m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高1.5m。浆砌石结构壁厚400mm</w:t>
            </w:r>
            <w:r>
              <w:rPr>
                <w:rFonts w:hint="default" w:ascii="Times New Roman" w:hAnsi="Times New Roman" w:cs="Times New Roman"/>
                <w:color w:val="auto"/>
                <w:sz w:val="21"/>
                <w:szCs w:val="21"/>
                <w:highlight w:val="none"/>
                <w:lang w:eastAsia="zh-CN"/>
              </w:rPr>
              <w:t>。</w:t>
            </w:r>
          </w:p>
        </w:tc>
        <w:tc>
          <w:tcPr>
            <w:tcW w:w="287" w:type="pct"/>
            <w:tcBorders>
              <w:tl2br w:val="nil"/>
              <w:tr2bl w:val="nil"/>
            </w:tcBorders>
            <w:noWrap w:val="0"/>
            <w:vAlign w:val="center"/>
          </w:tcPr>
          <w:p w14:paraId="71F42DF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0EB5A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A0CB5E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59978C0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vMerge w:val="continue"/>
            <w:tcBorders>
              <w:tl2br w:val="nil"/>
              <w:tr2bl w:val="nil"/>
            </w:tcBorders>
            <w:noWrap w:val="0"/>
            <w:vAlign w:val="center"/>
          </w:tcPr>
          <w:p w14:paraId="7DAEA40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500" w:type="pct"/>
            <w:tcBorders>
              <w:tl2br w:val="nil"/>
              <w:tr2bl w:val="nil"/>
            </w:tcBorders>
            <w:noWrap w:val="0"/>
            <w:vAlign w:val="center"/>
          </w:tcPr>
          <w:p w14:paraId="7C98C88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库内：</w:t>
            </w:r>
            <w:r>
              <w:rPr>
                <w:rFonts w:hint="default" w:ascii="Times New Roman" w:hAnsi="Times New Roman" w:cs="Times New Roman"/>
                <w:color w:val="auto"/>
                <w:sz w:val="21"/>
                <w:szCs w:val="21"/>
                <w:highlight w:val="none"/>
                <w:lang w:val="en-US" w:eastAsia="zh-CN"/>
              </w:rPr>
              <w:t>库区排洪方式采用溢洪道-明渠系统，尾矿库的溢洪道-明渠系统位于库区的东北侧，溢洪道-明渠系统由进水口、泄槽、消力池及库外明渠段组成。溢洪道进水标高110</w:t>
            </w:r>
            <w:r>
              <w:rPr>
                <w:rFonts w:hint="default"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m，溢洪道进口宽度为1.2m，C25钢筋混凝土结构；泄槽段断面尺寸为B×H=1.2×1.0m，C25钢筋混凝土结构</w:t>
            </w:r>
            <w:r>
              <w:rPr>
                <w:rFonts w:hint="default"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消力池尺寸为5.0×5.0×2.0m。C25钢筋混凝土结构带防水；库外明渠段为C25钢筋混凝土结构，矩形断面，断面尺寸B×H=1.0×1.0m。明渠段布置底坡i≥0.01，排水明渠末端汇流至集水池。</w:t>
            </w:r>
          </w:p>
        </w:tc>
        <w:tc>
          <w:tcPr>
            <w:tcW w:w="287" w:type="pct"/>
            <w:tcBorders>
              <w:tl2br w:val="nil"/>
              <w:tr2bl w:val="nil"/>
            </w:tcBorders>
            <w:noWrap w:val="0"/>
            <w:vAlign w:val="center"/>
          </w:tcPr>
          <w:p w14:paraId="0B3ED85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08A1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7200485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035D6F1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noWrap w:val="0"/>
            <w:vAlign w:val="center"/>
          </w:tcPr>
          <w:p w14:paraId="306DAA5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kern w:val="0"/>
                <w:sz w:val="21"/>
                <w:highlight w:val="none"/>
                <w:lang w:bidi="ar"/>
              </w:rPr>
            </w:pPr>
            <w:r>
              <w:rPr>
                <w:rFonts w:hint="default" w:ascii="Times New Roman" w:hAnsi="Times New Roman" w:cs="Times New Roman"/>
                <w:color w:val="auto"/>
                <w:kern w:val="0"/>
                <w:sz w:val="21"/>
                <w:highlight w:val="none"/>
                <w:lang w:bidi="ar"/>
              </w:rPr>
              <w:t>防渗系统</w:t>
            </w:r>
          </w:p>
        </w:tc>
        <w:tc>
          <w:tcPr>
            <w:tcW w:w="3500" w:type="pct"/>
            <w:tcBorders>
              <w:tl2br w:val="nil"/>
              <w:tr2bl w:val="nil"/>
            </w:tcBorders>
            <w:noWrap w:val="0"/>
            <w:vAlign w:val="center"/>
          </w:tcPr>
          <w:p w14:paraId="36E52DB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kern w:val="0"/>
                <w:sz w:val="21"/>
                <w:highlight w:val="none"/>
                <w:lang w:bidi="ar"/>
              </w:rPr>
            </w:pPr>
            <w:r>
              <w:rPr>
                <w:rFonts w:hint="default" w:ascii="Times New Roman" w:hAnsi="Times New Roman" w:cs="Times New Roman"/>
                <w:color w:val="auto"/>
                <w:kern w:val="0"/>
                <w:sz w:val="21"/>
                <w:highlight w:val="none"/>
                <w:lang w:bidi="ar"/>
              </w:rPr>
              <w:t>尾矿坝为碾压式土石坝，</w:t>
            </w:r>
            <w:r>
              <w:rPr>
                <w:rFonts w:hint="default" w:ascii="Times New Roman" w:hAnsi="Times New Roman" w:cs="Times New Roman"/>
                <w:color w:val="auto"/>
                <w:kern w:val="0"/>
                <w:sz w:val="21"/>
                <w:highlight w:val="none"/>
                <w:lang w:eastAsia="zh-CN" w:bidi="ar"/>
              </w:rPr>
              <w:t>坝体内坡采用400g/m</w:t>
            </w:r>
            <w:r>
              <w:rPr>
                <w:rFonts w:hint="default" w:ascii="Times New Roman" w:hAnsi="Times New Roman" w:cs="Times New Roman"/>
                <w:color w:val="auto"/>
                <w:kern w:val="0"/>
                <w:sz w:val="21"/>
                <w:highlight w:val="none"/>
                <w:vertAlign w:val="superscript"/>
                <w:lang w:eastAsia="zh-CN" w:bidi="ar"/>
              </w:rPr>
              <w:t>2</w:t>
            </w:r>
            <w:r>
              <w:rPr>
                <w:rFonts w:hint="default" w:ascii="Times New Roman" w:hAnsi="Times New Roman" w:cs="Times New Roman"/>
                <w:color w:val="auto"/>
                <w:kern w:val="0"/>
                <w:sz w:val="21"/>
                <w:highlight w:val="none"/>
                <w:lang w:eastAsia="zh-CN" w:bidi="ar"/>
              </w:rPr>
              <w:t>土工布+1.5mmHDPE土工膜+400g/m</w:t>
            </w:r>
            <w:r>
              <w:rPr>
                <w:rFonts w:hint="default" w:ascii="Times New Roman" w:hAnsi="Times New Roman" w:cs="Times New Roman"/>
                <w:color w:val="auto"/>
                <w:kern w:val="0"/>
                <w:sz w:val="21"/>
                <w:highlight w:val="none"/>
                <w:vertAlign w:val="superscript"/>
                <w:lang w:eastAsia="zh-CN" w:bidi="ar"/>
              </w:rPr>
              <w:t>2</w:t>
            </w:r>
            <w:r>
              <w:rPr>
                <w:rFonts w:hint="default" w:ascii="Times New Roman" w:hAnsi="Times New Roman" w:cs="Times New Roman"/>
                <w:color w:val="auto"/>
                <w:kern w:val="0"/>
                <w:sz w:val="21"/>
                <w:highlight w:val="none"/>
                <w:lang w:eastAsia="zh-CN" w:bidi="ar"/>
              </w:rPr>
              <w:t>土工布作为防渗层。</w:t>
            </w:r>
          </w:p>
        </w:tc>
        <w:tc>
          <w:tcPr>
            <w:tcW w:w="287" w:type="pct"/>
            <w:tcBorders>
              <w:tl2br w:val="nil"/>
              <w:tr2bl w:val="nil"/>
            </w:tcBorders>
            <w:noWrap w:val="0"/>
            <w:vAlign w:val="center"/>
          </w:tcPr>
          <w:p w14:paraId="68F6F58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kern w:val="0"/>
                <w:sz w:val="21"/>
                <w:highlight w:val="none"/>
                <w:lang w:bidi="ar"/>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2FD6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D71B07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58C6176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4D0104A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尾矿输送</w:t>
            </w:r>
          </w:p>
        </w:tc>
        <w:tc>
          <w:tcPr>
            <w:tcW w:w="3500" w:type="pct"/>
            <w:tcBorders>
              <w:tl2br w:val="nil"/>
              <w:tr2bl w:val="nil"/>
            </w:tcBorders>
            <w:shd w:val="clear" w:color="auto" w:fill="auto"/>
            <w:noWrap w:val="0"/>
            <w:vAlign w:val="center"/>
          </w:tcPr>
          <w:p w14:paraId="58C9A6C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0"/>
                <w:sz w:val="21"/>
                <w:highlight w:val="none"/>
                <w:lang w:bidi="ar"/>
              </w:rPr>
              <w:t>尾矿采用</w:t>
            </w:r>
            <w:r>
              <w:rPr>
                <w:rFonts w:hint="default" w:ascii="Times New Roman" w:hAnsi="Times New Roman" w:cs="Times New Roman"/>
                <w:color w:val="auto"/>
                <w:kern w:val="0"/>
                <w:sz w:val="21"/>
                <w:highlight w:val="none"/>
                <w:lang w:eastAsia="zh-CN" w:bidi="ar"/>
              </w:rPr>
              <w:t>湿</w:t>
            </w:r>
            <w:r>
              <w:rPr>
                <w:rFonts w:hint="default" w:ascii="Times New Roman" w:hAnsi="Times New Roman" w:cs="Times New Roman"/>
                <w:color w:val="auto"/>
                <w:kern w:val="0"/>
                <w:sz w:val="21"/>
                <w:highlight w:val="none"/>
                <w:lang w:bidi="ar"/>
              </w:rPr>
              <w:t>排方式，尾矿经</w:t>
            </w:r>
            <w:r>
              <w:rPr>
                <w:rFonts w:hint="default" w:ascii="Times New Roman" w:hAnsi="Times New Roman" w:cs="Times New Roman"/>
                <w:color w:val="auto"/>
                <w:kern w:val="0"/>
                <w:sz w:val="21"/>
                <w:highlight w:val="none"/>
                <w:lang w:eastAsia="zh-CN" w:bidi="ar"/>
              </w:rPr>
              <w:t>脱水</w:t>
            </w:r>
            <w:r>
              <w:rPr>
                <w:rFonts w:hint="default" w:ascii="Times New Roman" w:hAnsi="Times New Roman" w:cs="Times New Roman"/>
                <w:color w:val="auto"/>
                <w:kern w:val="0"/>
                <w:sz w:val="21"/>
                <w:highlight w:val="none"/>
                <w:lang w:bidi="ar"/>
              </w:rPr>
              <w:t>后</w:t>
            </w:r>
            <w:r>
              <w:rPr>
                <w:rFonts w:hint="default" w:ascii="Times New Roman" w:hAnsi="Times New Roman" w:cs="Times New Roman"/>
                <w:color w:val="auto"/>
                <w:kern w:val="0"/>
                <w:sz w:val="21"/>
                <w:highlight w:val="none"/>
                <w:lang w:eastAsia="zh-CN" w:bidi="ar"/>
              </w:rPr>
              <w:t>由</w:t>
            </w:r>
            <w:r>
              <w:rPr>
                <w:rFonts w:hint="default" w:ascii="Times New Roman" w:hAnsi="Times New Roman" w:cs="Times New Roman"/>
                <w:color w:val="auto"/>
                <w:kern w:val="0"/>
                <w:sz w:val="21"/>
                <w:highlight w:val="none"/>
                <w:lang w:bidi="ar"/>
              </w:rPr>
              <w:t>D</w:t>
            </w:r>
            <w:r>
              <w:rPr>
                <w:rFonts w:hint="default" w:ascii="Times New Roman" w:hAnsi="Times New Roman" w:cs="Times New Roman"/>
                <w:color w:val="auto"/>
                <w:kern w:val="0"/>
                <w:sz w:val="21"/>
                <w:highlight w:val="none"/>
                <w:lang w:val="en-US" w:eastAsia="zh-CN" w:bidi="ar"/>
              </w:rPr>
              <w:t>N125</w:t>
            </w:r>
            <w:r>
              <w:rPr>
                <w:rFonts w:hint="default" w:ascii="Times New Roman" w:hAnsi="Times New Roman" w:cs="Times New Roman"/>
                <w:color w:val="auto"/>
                <w:kern w:val="0"/>
                <w:sz w:val="21"/>
                <w:highlight w:val="none"/>
                <w:lang w:bidi="ar"/>
              </w:rPr>
              <w:t>耐磨管</w:t>
            </w:r>
            <w:r>
              <w:rPr>
                <w:rFonts w:hint="default" w:ascii="Times New Roman" w:hAnsi="Times New Roman" w:cs="Times New Roman"/>
                <w:color w:val="auto"/>
                <w:kern w:val="0"/>
                <w:sz w:val="21"/>
                <w:highlight w:val="none"/>
                <w:lang w:eastAsia="zh-CN" w:bidi="ar"/>
              </w:rPr>
              <w:t>管道输送至尾矿库内，</w:t>
            </w:r>
            <w:r>
              <w:rPr>
                <w:rFonts w:hint="default" w:ascii="Times New Roman" w:hAnsi="Times New Roman" w:cs="Times New Roman"/>
                <w:color w:val="auto"/>
                <w:kern w:val="0"/>
                <w:sz w:val="21"/>
                <w:highlight w:val="none"/>
                <w:lang w:bidi="ar"/>
              </w:rPr>
              <w:t>运输距离约</w:t>
            </w:r>
            <w:r>
              <w:rPr>
                <w:rFonts w:hint="eastAsia" w:cs="Times New Roman"/>
                <w:color w:val="auto"/>
                <w:kern w:val="0"/>
                <w:sz w:val="21"/>
                <w:highlight w:val="none"/>
                <w:lang w:val="en-US" w:eastAsia="zh-CN" w:bidi="ar"/>
              </w:rPr>
              <w:t>2.1</w:t>
            </w:r>
            <w:r>
              <w:rPr>
                <w:rFonts w:hint="default" w:ascii="Times New Roman" w:hAnsi="Times New Roman" w:cs="Times New Roman"/>
                <w:color w:val="auto"/>
                <w:kern w:val="0"/>
                <w:sz w:val="21"/>
                <w:highlight w:val="none"/>
                <w:lang w:val="en-US" w:eastAsia="zh-CN" w:bidi="ar"/>
              </w:rPr>
              <w:t>k</w:t>
            </w:r>
            <w:r>
              <w:rPr>
                <w:rFonts w:hint="default" w:ascii="Times New Roman" w:hAnsi="Times New Roman" w:cs="Times New Roman"/>
                <w:color w:val="auto"/>
                <w:kern w:val="0"/>
                <w:sz w:val="21"/>
                <w:highlight w:val="none"/>
                <w:lang w:bidi="ar"/>
              </w:rPr>
              <w:t>m。为防止管道检修和输送堵管事故影响生产，设置D</w:t>
            </w:r>
            <w:r>
              <w:rPr>
                <w:rFonts w:hint="default" w:ascii="Times New Roman" w:hAnsi="Times New Roman" w:cs="Times New Roman"/>
                <w:color w:val="auto"/>
                <w:kern w:val="0"/>
                <w:sz w:val="21"/>
                <w:highlight w:val="none"/>
                <w:lang w:val="en-US" w:eastAsia="zh-CN" w:bidi="ar"/>
              </w:rPr>
              <w:t>N125</w:t>
            </w:r>
            <w:r>
              <w:rPr>
                <w:rFonts w:hint="default" w:ascii="Times New Roman" w:hAnsi="Times New Roman" w:cs="Times New Roman"/>
                <w:color w:val="auto"/>
                <w:kern w:val="0"/>
                <w:sz w:val="21"/>
                <w:highlight w:val="none"/>
                <w:lang w:bidi="ar"/>
              </w:rPr>
              <w:t>耐磨管作为备用管，输送管道采用沿地面管墩敷设方式。</w:t>
            </w:r>
          </w:p>
        </w:tc>
        <w:tc>
          <w:tcPr>
            <w:tcW w:w="287" w:type="pct"/>
            <w:tcBorders>
              <w:tl2br w:val="nil"/>
              <w:tr2bl w:val="nil"/>
            </w:tcBorders>
            <w:noWrap w:val="0"/>
            <w:vAlign w:val="center"/>
          </w:tcPr>
          <w:p w14:paraId="2A39D9F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67B2E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A2C7ED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192578C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6874F16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回水系统</w:t>
            </w:r>
          </w:p>
        </w:tc>
        <w:tc>
          <w:tcPr>
            <w:tcW w:w="3500" w:type="pct"/>
            <w:tcBorders>
              <w:tl2br w:val="nil"/>
              <w:tr2bl w:val="nil"/>
            </w:tcBorders>
            <w:shd w:val="clear" w:color="auto" w:fill="auto"/>
            <w:noWrap w:val="0"/>
            <w:vAlign w:val="center"/>
          </w:tcPr>
          <w:p w14:paraId="6309A34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0"/>
                <w:sz w:val="21"/>
                <w:highlight w:val="none"/>
                <w:lang w:bidi="ar"/>
              </w:rPr>
              <w:t>尾矿库采用库内浮船回水，尾矿库中的澄清水通过水泵泵送至选矿厂高位水池，回水管为D108×4无缝钢管，40mm厚聚氨酯保温，架空安装。</w:t>
            </w:r>
          </w:p>
        </w:tc>
        <w:tc>
          <w:tcPr>
            <w:tcW w:w="287" w:type="pct"/>
            <w:tcBorders>
              <w:tl2br w:val="nil"/>
              <w:tr2bl w:val="nil"/>
            </w:tcBorders>
            <w:noWrap w:val="0"/>
            <w:vAlign w:val="center"/>
          </w:tcPr>
          <w:p w14:paraId="6789AF4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49ED1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restart"/>
            <w:tcBorders>
              <w:tl2br w:val="nil"/>
              <w:tr2bl w:val="nil"/>
            </w:tcBorders>
            <w:shd w:val="clear" w:color="auto" w:fill="auto"/>
            <w:noWrap w:val="0"/>
            <w:vAlign w:val="center"/>
          </w:tcPr>
          <w:p w14:paraId="1D4D6DA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辅助工程</w:t>
            </w:r>
          </w:p>
        </w:tc>
        <w:tc>
          <w:tcPr>
            <w:tcW w:w="926" w:type="pct"/>
            <w:gridSpan w:val="2"/>
            <w:tcBorders>
              <w:tl2br w:val="nil"/>
              <w:tr2bl w:val="nil"/>
            </w:tcBorders>
            <w:shd w:val="clear" w:color="auto" w:fill="auto"/>
            <w:noWrap w:val="0"/>
            <w:vAlign w:val="center"/>
          </w:tcPr>
          <w:p w14:paraId="0CFFB2E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办公生活区</w:t>
            </w:r>
          </w:p>
        </w:tc>
        <w:tc>
          <w:tcPr>
            <w:tcW w:w="3500" w:type="pct"/>
            <w:tcBorders>
              <w:tl2br w:val="nil"/>
              <w:tr2bl w:val="nil"/>
            </w:tcBorders>
            <w:shd w:val="clear" w:color="auto" w:fill="auto"/>
            <w:noWrap w:val="0"/>
            <w:vAlign w:val="center"/>
          </w:tcPr>
          <w:p w14:paraId="4C73523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布置于选矿</w:t>
            </w:r>
            <w:r>
              <w:rPr>
                <w:rFonts w:hint="default" w:ascii="Times New Roman" w:hAnsi="Times New Roman" w:cs="Times New Roman"/>
                <w:color w:val="auto"/>
                <w:sz w:val="21"/>
                <w:highlight w:val="none"/>
                <w:lang w:val="en-US" w:eastAsia="zh-CN"/>
              </w:rPr>
              <w:t>场</w:t>
            </w:r>
            <w:r>
              <w:rPr>
                <w:rFonts w:hint="default" w:ascii="Times New Roman" w:hAnsi="Times New Roman" w:cs="Times New Roman"/>
                <w:color w:val="auto"/>
                <w:sz w:val="21"/>
                <w:highlight w:val="none"/>
                <w:lang w:eastAsia="zh-CN"/>
              </w:rPr>
              <w:t>南</w:t>
            </w:r>
            <w:r>
              <w:rPr>
                <w:rFonts w:hint="default" w:ascii="Times New Roman" w:hAnsi="Times New Roman" w:cs="Times New Roman"/>
                <w:color w:val="auto"/>
                <w:sz w:val="21"/>
                <w:highlight w:val="none"/>
              </w:rPr>
              <w:t>侧，包括一栋办公楼</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带食堂</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两</w:t>
            </w:r>
            <w:r>
              <w:rPr>
                <w:rFonts w:hint="default" w:cs="Times New Roman"/>
                <w:color w:val="auto"/>
                <w:sz w:val="21"/>
                <w:highlight w:val="none"/>
                <w:lang w:val="en-US" w:eastAsia="zh-CN"/>
              </w:rPr>
              <w:t>栋</w:t>
            </w:r>
            <w:r>
              <w:rPr>
                <w:rFonts w:hint="default" w:ascii="Times New Roman" w:hAnsi="Times New Roman" w:cs="Times New Roman"/>
                <w:color w:val="auto"/>
                <w:sz w:val="21"/>
                <w:highlight w:val="none"/>
              </w:rPr>
              <w:t>宿舍楼</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占地面积</w:t>
            </w:r>
            <w:r>
              <w:rPr>
                <w:rFonts w:hint="default" w:ascii="Times New Roman" w:hAnsi="Times New Roman" w:cs="Times New Roman"/>
                <w:color w:val="auto"/>
                <w:sz w:val="21"/>
                <w:highlight w:val="none"/>
                <w:lang w:val="en-US" w:eastAsia="zh-CN"/>
              </w:rPr>
              <w:t>2</w:t>
            </w:r>
            <w:r>
              <w:rPr>
                <w:rFonts w:hint="default" w:ascii="Times New Roman" w:hAnsi="Times New Roman" w:cs="Times New Roman"/>
                <w:color w:val="auto"/>
                <w:sz w:val="21"/>
                <w:highlight w:val="none"/>
                <w:lang w:eastAsia="zh-CN"/>
              </w:rPr>
              <w:t>万</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2</w:t>
            </w:r>
            <w:r>
              <w:rPr>
                <w:rFonts w:hint="default" w:ascii="Times New Roman" w:hAnsi="Times New Roman" w:cs="Times New Roman"/>
                <w:color w:val="auto"/>
                <w:sz w:val="21"/>
                <w:highlight w:val="none"/>
              </w:rPr>
              <w:t>。</w:t>
            </w:r>
          </w:p>
        </w:tc>
        <w:tc>
          <w:tcPr>
            <w:tcW w:w="287" w:type="pct"/>
            <w:tcBorders>
              <w:tl2br w:val="nil"/>
              <w:tr2bl w:val="nil"/>
            </w:tcBorders>
            <w:noWrap w:val="0"/>
            <w:vAlign w:val="center"/>
          </w:tcPr>
          <w:p w14:paraId="2B6D096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18D0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4734F25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14291FC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辅助设施</w:t>
            </w:r>
          </w:p>
        </w:tc>
        <w:tc>
          <w:tcPr>
            <w:tcW w:w="3500" w:type="pct"/>
            <w:tcBorders>
              <w:tl2br w:val="nil"/>
              <w:tr2bl w:val="nil"/>
            </w:tcBorders>
            <w:shd w:val="clear" w:color="auto" w:fill="auto"/>
            <w:noWrap w:val="0"/>
            <w:vAlign w:val="center"/>
          </w:tcPr>
          <w:p w14:paraId="3F33E4F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包括变配电室、药剂制备间、备品备件库、材料库、药剂库、化验室、沉淀池、回水池等生产辅助设施</w:t>
            </w:r>
          </w:p>
        </w:tc>
        <w:tc>
          <w:tcPr>
            <w:tcW w:w="287" w:type="pct"/>
            <w:tcBorders>
              <w:tl2br w:val="nil"/>
              <w:tr2bl w:val="nil"/>
            </w:tcBorders>
            <w:noWrap w:val="0"/>
            <w:vAlign w:val="center"/>
          </w:tcPr>
          <w:p w14:paraId="4F58FA5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2F2CE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restart"/>
            <w:tcBorders>
              <w:tl2br w:val="nil"/>
              <w:tr2bl w:val="nil"/>
            </w:tcBorders>
            <w:shd w:val="clear" w:color="auto" w:fill="auto"/>
            <w:noWrap w:val="0"/>
            <w:vAlign w:val="center"/>
          </w:tcPr>
          <w:p w14:paraId="067C8BE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公用工程</w:t>
            </w:r>
          </w:p>
        </w:tc>
        <w:tc>
          <w:tcPr>
            <w:tcW w:w="926" w:type="pct"/>
            <w:gridSpan w:val="2"/>
            <w:tcBorders>
              <w:tl2br w:val="nil"/>
              <w:tr2bl w:val="nil"/>
            </w:tcBorders>
            <w:shd w:val="clear" w:color="auto" w:fill="auto"/>
            <w:noWrap w:val="0"/>
            <w:vAlign w:val="center"/>
          </w:tcPr>
          <w:p w14:paraId="24F742A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供水系统</w:t>
            </w:r>
          </w:p>
        </w:tc>
        <w:tc>
          <w:tcPr>
            <w:tcW w:w="3500" w:type="pct"/>
            <w:tcBorders>
              <w:tl2br w:val="nil"/>
              <w:tr2bl w:val="nil"/>
            </w:tcBorders>
            <w:shd w:val="clear" w:color="auto" w:fill="auto"/>
            <w:noWrap w:val="0"/>
            <w:vAlign w:val="center"/>
          </w:tcPr>
          <w:p w14:paraId="78CC5A2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矿区</w:t>
            </w:r>
            <w:r>
              <w:rPr>
                <w:rFonts w:hint="eastAsia" w:cs="Times New Roman"/>
                <w:color w:val="auto"/>
                <w:sz w:val="21"/>
                <w:szCs w:val="21"/>
                <w:highlight w:val="none"/>
                <w:lang w:val="en-US" w:eastAsia="zh-CN"/>
              </w:rPr>
              <w:t>生活</w:t>
            </w:r>
            <w:r>
              <w:rPr>
                <w:rFonts w:hint="default" w:ascii="Times New Roman" w:hAnsi="Times New Roman" w:eastAsia="宋体" w:cs="Times New Roman"/>
                <w:color w:val="auto"/>
                <w:sz w:val="21"/>
                <w:szCs w:val="21"/>
                <w:highlight w:val="none"/>
                <w:lang w:val="en-US" w:eastAsia="zh-CN"/>
              </w:rPr>
              <w:t>用水选择在其东北约6km的白杨沟村引用，该村已通自来水，且该村东部修建有水库，该村水源可满足矿区用水需求。</w:t>
            </w:r>
            <w:r>
              <w:rPr>
                <w:rFonts w:hint="default" w:ascii="Times New Roman" w:hAnsi="Times New Roman" w:cs="Times New Roman"/>
                <w:color w:val="auto"/>
                <w:sz w:val="21"/>
                <w:szCs w:val="21"/>
                <w:highlight w:val="none"/>
                <w:lang w:val="en-US" w:eastAsia="zh-CN"/>
              </w:rPr>
              <w:t>生产用水优先采取矿井涌水补充，不足之处引用</w:t>
            </w:r>
            <w:r>
              <w:rPr>
                <w:rFonts w:hint="eastAsia" w:cs="Times New Roman"/>
                <w:color w:val="auto"/>
                <w:sz w:val="21"/>
                <w:szCs w:val="21"/>
                <w:highlight w:val="none"/>
                <w:lang w:val="en-US" w:eastAsia="zh-CN"/>
              </w:rPr>
              <w:t>工业园区工业用水补充</w:t>
            </w:r>
            <w:r>
              <w:rPr>
                <w:rFonts w:hint="default" w:ascii="Times New Roman" w:hAnsi="Times New Roman" w:eastAsia="宋体" w:cs="Times New Roman"/>
                <w:color w:val="auto"/>
                <w:sz w:val="21"/>
                <w:szCs w:val="21"/>
                <w:highlight w:val="none"/>
                <w:lang w:val="en-US" w:eastAsia="zh-CN"/>
              </w:rPr>
              <w:t>。</w:t>
            </w:r>
          </w:p>
        </w:tc>
        <w:tc>
          <w:tcPr>
            <w:tcW w:w="287" w:type="pct"/>
            <w:tcBorders>
              <w:tl2br w:val="nil"/>
              <w:tr2bl w:val="nil"/>
            </w:tcBorders>
            <w:shd w:val="clear" w:color="auto" w:fill="auto"/>
            <w:noWrap w:val="0"/>
            <w:vAlign w:val="center"/>
          </w:tcPr>
          <w:p w14:paraId="1B1A54C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9A54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7B157D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vMerge w:val="restart"/>
            <w:tcBorders>
              <w:tl2br w:val="nil"/>
              <w:tr2bl w:val="nil"/>
            </w:tcBorders>
            <w:shd w:val="clear" w:color="auto" w:fill="auto"/>
            <w:noWrap w:val="0"/>
            <w:vAlign w:val="center"/>
          </w:tcPr>
          <w:p w14:paraId="78330A5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排水系统</w:t>
            </w:r>
          </w:p>
        </w:tc>
        <w:tc>
          <w:tcPr>
            <w:tcW w:w="3500" w:type="pct"/>
            <w:tcBorders>
              <w:tl2br w:val="nil"/>
              <w:tr2bl w:val="nil"/>
            </w:tcBorders>
            <w:shd w:val="clear" w:color="auto" w:fill="auto"/>
            <w:noWrap w:val="0"/>
            <w:vAlign w:val="center"/>
          </w:tcPr>
          <w:p w14:paraId="76500B28">
            <w:pPr>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选矿生产废水排入</w:t>
            </w:r>
            <w:r>
              <w:rPr>
                <w:rFonts w:hint="default" w:ascii="Times New Roman" w:hAnsi="Times New Roman" w:cs="Times New Roman"/>
                <w:b w:val="0"/>
                <w:bCs w:val="0"/>
                <w:color w:val="auto"/>
                <w:sz w:val="21"/>
                <w:szCs w:val="21"/>
                <w:highlight w:val="none"/>
                <w:lang w:val="en-US" w:eastAsia="zh-CN"/>
              </w:rPr>
              <w:t>400</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生产回水池</w:t>
            </w:r>
            <w:r>
              <w:rPr>
                <w:rFonts w:hint="default" w:ascii="Times New Roman" w:hAnsi="Times New Roman" w:eastAsia="宋体" w:cs="Times New Roman"/>
                <w:b w:val="0"/>
                <w:bCs w:val="0"/>
                <w:color w:val="auto"/>
                <w:sz w:val="21"/>
                <w:szCs w:val="21"/>
                <w:highlight w:val="none"/>
                <w:lang w:val="en-US" w:eastAsia="zh-CN"/>
              </w:rPr>
              <w:t>用于选矿生产用水。</w:t>
            </w:r>
          </w:p>
        </w:tc>
        <w:tc>
          <w:tcPr>
            <w:tcW w:w="287" w:type="pct"/>
            <w:tcBorders>
              <w:tl2br w:val="nil"/>
              <w:tr2bl w:val="nil"/>
            </w:tcBorders>
            <w:shd w:val="clear" w:color="auto" w:fill="auto"/>
            <w:noWrap w:val="0"/>
            <w:vAlign w:val="center"/>
          </w:tcPr>
          <w:p w14:paraId="579DC74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1716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6D5E228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vMerge w:val="continue"/>
            <w:tcBorders>
              <w:tl2br w:val="nil"/>
              <w:tr2bl w:val="nil"/>
            </w:tcBorders>
            <w:noWrap w:val="0"/>
            <w:vAlign w:val="center"/>
          </w:tcPr>
          <w:p w14:paraId="4E82A5B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500" w:type="pct"/>
            <w:tcBorders>
              <w:tl2br w:val="nil"/>
              <w:tr2bl w:val="nil"/>
            </w:tcBorders>
            <w:shd w:val="clear" w:color="auto" w:fill="auto"/>
            <w:noWrap w:val="0"/>
            <w:vAlign w:val="center"/>
          </w:tcPr>
          <w:p w14:paraId="5B4D4075">
            <w:pPr>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生活污水排放至地埋式一体化污水处理设施中，处理达标后</w:t>
            </w:r>
            <w:r>
              <w:rPr>
                <w:rFonts w:hint="default" w:ascii="Times New Roman" w:hAnsi="Times New Roman" w:cs="Times New Roman"/>
                <w:b w:val="0"/>
                <w:bCs w:val="0"/>
                <w:color w:val="auto"/>
                <w:kern w:val="2"/>
                <w:sz w:val="21"/>
                <w:szCs w:val="21"/>
                <w:highlight w:val="none"/>
                <w:lang w:val="en-US" w:eastAsia="zh-CN" w:bidi="ar-SA"/>
              </w:rPr>
              <w:t>回用于厂区</w:t>
            </w:r>
            <w:r>
              <w:rPr>
                <w:rFonts w:hint="default" w:ascii="Times New Roman" w:hAnsi="Times New Roman" w:eastAsia="宋体" w:cs="Times New Roman"/>
                <w:b w:val="0"/>
                <w:bCs w:val="0"/>
                <w:color w:val="auto"/>
                <w:kern w:val="2"/>
                <w:sz w:val="21"/>
                <w:szCs w:val="21"/>
                <w:highlight w:val="none"/>
                <w:lang w:val="en-US" w:eastAsia="zh-CN" w:bidi="ar-SA"/>
              </w:rPr>
              <w:t>，不外排。</w:t>
            </w:r>
          </w:p>
        </w:tc>
        <w:tc>
          <w:tcPr>
            <w:tcW w:w="287" w:type="pct"/>
            <w:tcBorders>
              <w:tl2br w:val="nil"/>
              <w:tr2bl w:val="nil"/>
            </w:tcBorders>
            <w:shd w:val="clear" w:color="auto" w:fill="auto"/>
            <w:noWrap w:val="0"/>
            <w:vAlign w:val="center"/>
          </w:tcPr>
          <w:p w14:paraId="7E810DF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新建</w:t>
            </w:r>
          </w:p>
        </w:tc>
      </w:tr>
      <w:tr w14:paraId="66605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65A812A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6B5CAD5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供电系统</w:t>
            </w:r>
          </w:p>
        </w:tc>
        <w:tc>
          <w:tcPr>
            <w:tcW w:w="3500" w:type="pct"/>
            <w:tcBorders>
              <w:tl2br w:val="nil"/>
              <w:tr2bl w:val="nil"/>
            </w:tcBorders>
            <w:shd w:val="clear" w:color="auto" w:fill="auto"/>
            <w:noWrap w:val="0"/>
            <w:vAlign w:val="center"/>
          </w:tcPr>
          <w:p w14:paraId="22A41CE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项目</w:t>
            </w:r>
            <w:r>
              <w:rPr>
                <w:rFonts w:hint="default" w:ascii="Times New Roman" w:hAnsi="Times New Roman" w:cs="Times New Roman"/>
                <w:color w:val="auto"/>
                <w:sz w:val="21"/>
                <w:highlight w:val="none"/>
                <w:lang w:eastAsia="zh-CN"/>
              </w:rPr>
              <w:t>区</w:t>
            </w:r>
            <w:r>
              <w:rPr>
                <w:rFonts w:hint="default" w:ascii="Times New Roman" w:hAnsi="Times New Roman" w:cs="Times New Roman"/>
                <w:color w:val="auto"/>
                <w:sz w:val="21"/>
                <w:highlight w:val="none"/>
              </w:rPr>
              <w:t>拟在选矿厂新建35/10kV变电站一座，35kV电源引自矿区西侧喀拉通克铜镍矿35/10kV变电站。</w:t>
            </w:r>
          </w:p>
        </w:tc>
        <w:tc>
          <w:tcPr>
            <w:tcW w:w="287" w:type="pct"/>
            <w:tcBorders>
              <w:tl2br w:val="nil"/>
              <w:tr2bl w:val="nil"/>
            </w:tcBorders>
            <w:shd w:val="clear" w:color="auto" w:fill="auto"/>
            <w:noWrap w:val="0"/>
            <w:vAlign w:val="center"/>
          </w:tcPr>
          <w:p w14:paraId="50E7EDE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4D0C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4CBFA0A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47006CD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供暖系统</w:t>
            </w:r>
          </w:p>
        </w:tc>
        <w:tc>
          <w:tcPr>
            <w:tcW w:w="3500" w:type="pct"/>
            <w:tcBorders>
              <w:tl2br w:val="nil"/>
              <w:tr2bl w:val="nil"/>
            </w:tcBorders>
            <w:shd w:val="clear" w:color="auto" w:fill="auto"/>
            <w:noWrap w:val="0"/>
            <w:vAlign w:val="center"/>
          </w:tcPr>
          <w:p w14:paraId="196DDCD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采用电热水锅炉供热。</w:t>
            </w:r>
          </w:p>
        </w:tc>
        <w:tc>
          <w:tcPr>
            <w:tcW w:w="287" w:type="pct"/>
            <w:tcBorders>
              <w:tl2br w:val="nil"/>
              <w:tr2bl w:val="nil"/>
            </w:tcBorders>
            <w:shd w:val="clear" w:color="auto" w:fill="auto"/>
            <w:noWrap w:val="0"/>
            <w:vAlign w:val="center"/>
          </w:tcPr>
          <w:p w14:paraId="082E173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0359A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restart"/>
            <w:tcBorders>
              <w:tl2br w:val="nil"/>
              <w:tr2bl w:val="nil"/>
            </w:tcBorders>
            <w:shd w:val="clear" w:color="auto" w:fill="auto"/>
            <w:noWrap w:val="0"/>
            <w:vAlign w:val="center"/>
          </w:tcPr>
          <w:p w14:paraId="47AD3BE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储运工程</w:t>
            </w:r>
          </w:p>
        </w:tc>
        <w:tc>
          <w:tcPr>
            <w:tcW w:w="926" w:type="pct"/>
            <w:gridSpan w:val="2"/>
            <w:tcBorders>
              <w:tl2br w:val="nil"/>
              <w:tr2bl w:val="nil"/>
            </w:tcBorders>
            <w:shd w:val="clear" w:color="auto" w:fill="auto"/>
            <w:noWrap w:val="0"/>
            <w:vAlign w:val="center"/>
          </w:tcPr>
          <w:p w14:paraId="579AE25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原料堆场</w:t>
            </w:r>
          </w:p>
        </w:tc>
        <w:tc>
          <w:tcPr>
            <w:tcW w:w="3500" w:type="pct"/>
            <w:tcBorders>
              <w:tl2br w:val="nil"/>
              <w:tr2bl w:val="nil"/>
            </w:tcBorders>
            <w:shd w:val="clear" w:color="auto" w:fill="auto"/>
            <w:noWrap w:val="0"/>
            <w:vAlign w:val="center"/>
          </w:tcPr>
          <w:p w14:paraId="1936055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占地面积约7200m</w:t>
            </w:r>
            <w:r>
              <w:rPr>
                <w:rFonts w:hint="default" w:ascii="Times New Roman" w:hAnsi="Times New Roman" w:cs="Times New Roman"/>
                <w:color w:val="auto"/>
                <w:sz w:val="21"/>
                <w:highlight w:val="none"/>
                <w:vertAlign w:val="superscript"/>
                <w:lang w:val="en-US" w:eastAsia="zh-CN"/>
              </w:rPr>
              <w:t>2</w:t>
            </w:r>
            <w:r>
              <w:rPr>
                <w:rFonts w:hint="default" w:ascii="Times New Roman" w:hAnsi="Times New Roman" w:cs="Times New Roman"/>
                <w:color w:val="auto"/>
                <w:sz w:val="21"/>
                <w:highlight w:val="none"/>
                <w:lang w:val="en-US" w:eastAsia="zh-CN"/>
              </w:rPr>
              <w:t>，</w:t>
            </w:r>
            <w:r>
              <w:rPr>
                <w:rFonts w:hint="default" w:ascii="Times New Roman" w:hAnsi="Times New Roman" w:cs="Times New Roman"/>
                <w:color w:val="auto"/>
                <w:sz w:val="21"/>
                <w:highlight w:val="none"/>
              </w:rPr>
              <w:t>原矿</w:t>
            </w:r>
            <w:r>
              <w:rPr>
                <w:rFonts w:hint="default" w:ascii="Times New Roman" w:hAnsi="Times New Roman" w:cs="Times New Roman"/>
                <w:color w:val="auto"/>
                <w:sz w:val="21"/>
                <w:highlight w:val="none"/>
                <w:lang w:val="en-US" w:eastAsia="zh-CN"/>
              </w:rPr>
              <w:t>从采矿场由</w:t>
            </w:r>
            <w:r>
              <w:rPr>
                <w:rFonts w:hint="default" w:ascii="Times New Roman" w:hAnsi="Times New Roman" w:cs="Times New Roman"/>
                <w:color w:val="auto"/>
                <w:sz w:val="21"/>
                <w:highlight w:val="none"/>
              </w:rPr>
              <w:t>自卸式汽车运至原矿</w:t>
            </w:r>
            <w:r>
              <w:rPr>
                <w:rFonts w:hint="default" w:ascii="Times New Roman" w:hAnsi="Times New Roman" w:cs="Times New Roman"/>
                <w:color w:val="auto"/>
                <w:sz w:val="21"/>
                <w:highlight w:val="none"/>
                <w:lang w:val="en-US" w:eastAsia="zh-CN"/>
              </w:rPr>
              <w:t>堆场</w:t>
            </w:r>
            <w:r>
              <w:rPr>
                <w:rFonts w:hint="default" w:cs="Times New Roman"/>
                <w:color w:val="auto"/>
                <w:sz w:val="21"/>
                <w:highlight w:val="none"/>
                <w:lang w:val="en-US" w:eastAsia="zh-CN"/>
              </w:rPr>
              <w:t>。</w:t>
            </w:r>
          </w:p>
        </w:tc>
        <w:tc>
          <w:tcPr>
            <w:tcW w:w="287" w:type="pct"/>
            <w:tcBorders>
              <w:tl2br w:val="nil"/>
              <w:tr2bl w:val="nil"/>
            </w:tcBorders>
            <w:shd w:val="clear" w:color="auto" w:fill="auto"/>
            <w:noWrap w:val="0"/>
            <w:vAlign w:val="center"/>
          </w:tcPr>
          <w:p w14:paraId="34C52AB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7A011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6A64BD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1528425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材料堆场</w:t>
            </w:r>
          </w:p>
        </w:tc>
        <w:tc>
          <w:tcPr>
            <w:tcW w:w="3500" w:type="pct"/>
            <w:tcBorders>
              <w:tl2br w:val="nil"/>
              <w:tr2bl w:val="nil"/>
            </w:tcBorders>
            <w:shd w:val="clear" w:color="auto" w:fill="auto"/>
            <w:noWrap w:val="0"/>
            <w:vAlign w:val="center"/>
          </w:tcPr>
          <w:p w14:paraId="7385FCF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占地面积约</w:t>
            </w:r>
            <w:r>
              <w:rPr>
                <w:rFonts w:hint="default" w:ascii="Times New Roman" w:hAnsi="Times New Roman" w:cs="Times New Roman"/>
                <w:color w:val="auto"/>
                <w:sz w:val="21"/>
                <w:highlight w:val="none"/>
                <w:lang w:val="en-US" w:eastAsia="zh-CN"/>
              </w:rPr>
              <w:t>20</w:t>
            </w:r>
            <w:r>
              <w:rPr>
                <w:rFonts w:hint="default" w:cs="Times New Roman"/>
                <w:color w:val="auto"/>
                <w:sz w:val="21"/>
                <w:highlight w:val="none"/>
                <w:lang w:val="en-US" w:eastAsia="zh-CN"/>
              </w:rPr>
              <w:t>00</w:t>
            </w:r>
            <w:r>
              <w:rPr>
                <w:rFonts w:hint="default" w:ascii="Times New Roman" w:hAnsi="Times New Roman" w:cs="Times New Roman"/>
                <w:color w:val="auto"/>
                <w:sz w:val="21"/>
                <w:highlight w:val="none"/>
                <w:lang w:val="en-US" w:eastAsia="zh-CN"/>
              </w:rPr>
              <w:t>m</w:t>
            </w:r>
            <w:r>
              <w:rPr>
                <w:rFonts w:hint="default" w:ascii="Times New Roman" w:hAnsi="Times New Roman" w:cs="Times New Roman"/>
                <w:color w:val="auto"/>
                <w:sz w:val="21"/>
                <w:highlight w:val="none"/>
                <w:vertAlign w:val="superscript"/>
                <w:lang w:val="en-US" w:eastAsia="zh-CN"/>
              </w:rPr>
              <w:t>2</w:t>
            </w:r>
            <w:r>
              <w:rPr>
                <w:rFonts w:hint="default" w:cs="Times New Roman"/>
                <w:color w:val="auto"/>
                <w:sz w:val="21"/>
                <w:highlight w:val="none"/>
                <w:lang w:val="en-US" w:eastAsia="zh-CN"/>
              </w:rPr>
              <w:t>，临时堆放大件物流运输材料，设置雨棚。</w:t>
            </w:r>
          </w:p>
        </w:tc>
        <w:tc>
          <w:tcPr>
            <w:tcW w:w="287" w:type="pct"/>
            <w:tcBorders>
              <w:tl2br w:val="nil"/>
              <w:tr2bl w:val="nil"/>
            </w:tcBorders>
            <w:shd w:val="clear" w:color="auto" w:fill="auto"/>
            <w:noWrap w:val="0"/>
            <w:vAlign w:val="center"/>
          </w:tcPr>
          <w:p w14:paraId="19DE508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7D3AC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4B10817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64BC4E7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原矿</w:t>
            </w:r>
            <w:r>
              <w:rPr>
                <w:rFonts w:hint="default" w:ascii="Times New Roman" w:hAnsi="Times New Roman" w:cs="Times New Roman"/>
                <w:color w:val="auto"/>
                <w:sz w:val="21"/>
                <w:highlight w:val="none"/>
                <w:lang w:eastAsia="zh-CN"/>
              </w:rPr>
              <w:t>仓</w:t>
            </w:r>
          </w:p>
        </w:tc>
        <w:tc>
          <w:tcPr>
            <w:tcW w:w="3500" w:type="pct"/>
            <w:tcBorders>
              <w:tl2br w:val="nil"/>
              <w:tr2bl w:val="nil"/>
            </w:tcBorders>
            <w:shd w:val="clear" w:color="auto" w:fill="auto"/>
            <w:noWrap w:val="0"/>
            <w:vAlign w:val="center"/>
          </w:tcPr>
          <w:p w14:paraId="6CA14EC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有效容积为</w:t>
            </w:r>
            <w:r>
              <w:rPr>
                <w:rFonts w:hint="default" w:ascii="Times New Roman" w:hAnsi="Times New Roman" w:cs="Times New Roman"/>
                <w:color w:val="auto"/>
                <w:sz w:val="21"/>
                <w:highlight w:val="none"/>
                <w:lang w:val="en-US" w:eastAsia="zh-CN"/>
              </w:rPr>
              <w:t>320m</w:t>
            </w:r>
            <w:r>
              <w:rPr>
                <w:rFonts w:hint="default" w:ascii="Times New Roman" w:hAnsi="Times New Roman" w:cs="Times New Roman"/>
                <w:color w:val="auto"/>
                <w:sz w:val="21"/>
                <w:highlight w:val="none"/>
                <w:vertAlign w:val="superscript"/>
                <w:lang w:val="en-US" w:eastAsia="zh-CN"/>
              </w:rPr>
              <w:t>3</w:t>
            </w:r>
            <w:r>
              <w:rPr>
                <w:rFonts w:hint="default" w:ascii="Times New Roman" w:hAnsi="Times New Roman" w:cs="Times New Roman"/>
                <w:color w:val="auto"/>
                <w:sz w:val="21"/>
                <w:highlight w:val="none"/>
                <w:lang w:val="en-US" w:eastAsia="zh-CN"/>
              </w:rPr>
              <w:t>，贮矿量为600t，</w:t>
            </w:r>
            <w:r>
              <w:rPr>
                <w:rFonts w:hint="default" w:ascii="Times New Roman" w:hAnsi="Times New Roman" w:cs="Times New Roman"/>
                <w:color w:val="auto"/>
                <w:sz w:val="21"/>
                <w:highlight w:val="none"/>
              </w:rPr>
              <w:t>原矿</w:t>
            </w:r>
            <w:r>
              <w:rPr>
                <w:rFonts w:hint="default" w:ascii="Times New Roman" w:hAnsi="Times New Roman" w:cs="Times New Roman"/>
                <w:color w:val="auto"/>
                <w:sz w:val="21"/>
                <w:highlight w:val="none"/>
                <w:lang w:val="en-US" w:eastAsia="zh-CN"/>
              </w:rPr>
              <w:t>从</w:t>
            </w:r>
            <w:r>
              <w:rPr>
                <w:rFonts w:hint="default" w:ascii="Times New Roman" w:hAnsi="Times New Roman" w:cs="Times New Roman"/>
                <w:color w:val="auto"/>
                <w:sz w:val="21"/>
                <w:highlight w:val="none"/>
              </w:rPr>
              <w:t>原矿</w:t>
            </w:r>
            <w:r>
              <w:rPr>
                <w:rFonts w:hint="default" w:ascii="Times New Roman" w:hAnsi="Times New Roman" w:cs="Times New Roman"/>
                <w:color w:val="auto"/>
                <w:sz w:val="21"/>
                <w:highlight w:val="none"/>
                <w:lang w:val="en-US" w:eastAsia="zh-CN"/>
              </w:rPr>
              <w:t>堆场由</w:t>
            </w:r>
            <w:r>
              <w:rPr>
                <w:rFonts w:hint="default" w:ascii="Times New Roman" w:hAnsi="Times New Roman" w:cs="Times New Roman"/>
                <w:color w:val="auto"/>
                <w:sz w:val="21"/>
                <w:highlight w:val="none"/>
              </w:rPr>
              <w:t>自卸式汽车运至原矿</w:t>
            </w:r>
            <w:r>
              <w:rPr>
                <w:rFonts w:hint="default" w:ascii="Times New Roman" w:hAnsi="Times New Roman" w:cs="Times New Roman"/>
                <w:color w:val="auto"/>
                <w:sz w:val="21"/>
                <w:highlight w:val="none"/>
                <w:lang w:val="en-US" w:eastAsia="zh-CN"/>
              </w:rPr>
              <w:t>仓。</w:t>
            </w:r>
          </w:p>
        </w:tc>
        <w:tc>
          <w:tcPr>
            <w:tcW w:w="287" w:type="pct"/>
            <w:tcBorders>
              <w:tl2br w:val="nil"/>
              <w:tr2bl w:val="nil"/>
            </w:tcBorders>
            <w:shd w:val="clear" w:color="auto" w:fill="auto"/>
            <w:noWrap w:val="0"/>
            <w:vAlign w:val="center"/>
          </w:tcPr>
          <w:p w14:paraId="2792AC8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1387B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32C35C6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3D75B7E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中细碎缓冲仓</w:t>
            </w:r>
          </w:p>
        </w:tc>
        <w:tc>
          <w:tcPr>
            <w:tcW w:w="3500" w:type="pct"/>
            <w:tcBorders>
              <w:tl2br w:val="nil"/>
              <w:tr2bl w:val="nil"/>
            </w:tcBorders>
            <w:shd w:val="clear" w:color="auto" w:fill="auto"/>
            <w:noWrap w:val="0"/>
            <w:vAlign w:val="center"/>
          </w:tcPr>
          <w:p w14:paraId="095D6EC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中碎缓冲仓</w:t>
            </w:r>
            <w:r>
              <w:rPr>
                <w:rFonts w:hint="default" w:ascii="Times New Roman" w:hAnsi="Times New Roman" w:cs="Times New Roman"/>
                <w:color w:val="auto"/>
                <w:sz w:val="21"/>
                <w:highlight w:val="none"/>
                <w:lang w:eastAsia="zh-CN"/>
              </w:rPr>
              <w:t>有效容积为</w:t>
            </w:r>
            <w:r>
              <w:rPr>
                <w:rFonts w:hint="default" w:ascii="Times New Roman" w:hAnsi="Times New Roman" w:cs="Times New Roman"/>
                <w:color w:val="auto"/>
                <w:sz w:val="21"/>
                <w:highlight w:val="none"/>
                <w:lang w:val="en-US" w:eastAsia="zh-CN"/>
              </w:rPr>
              <w:t>56m</w:t>
            </w:r>
            <w:r>
              <w:rPr>
                <w:rFonts w:hint="default" w:ascii="Times New Roman" w:hAnsi="Times New Roman" w:cs="Times New Roman"/>
                <w:color w:val="auto"/>
                <w:sz w:val="21"/>
                <w:highlight w:val="none"/>
                <w:vertAlign w:val="superscript"/>
                <w:lang w:val="en-US" w:eastAsia="zh-CN"/>
              </w:rPr>
              <w:t>3</w:t>
            </w:r>
            <w:r>
              <w:rPr>
                <w:rFonts w:hint="default" w:ascii="Times New Roman" w:hAnsi="Times New Roman" w:cs="Times New Roman"/>
                <w:color w:val="auto"/>
                <w:sz w:val="21"/>
                <w:highlight w:val="none"/>
                <w:lang w:val="en-US" w:eastAsia="zh-CN"/>
              </w:rPr>
              <w:t>，贮矿量为105t；细碎缓冲仓</w:t>
            </w:r>
            <w:r>
              <w:rPr>
                <w:rFonts w:hint="default" w:ascii="Times New Roman" w:hAnsi="Times New Roman" w:cs="Times New Roman"/>
                <w:color w:val="auto"/>
                <w:sz w:val="21"/>
                <w:highlight w:val="none"/>
                <w:lang w:eastAsia="zh-CN"/>
              </w:rPr>
              <w:t>有效容积为</w:t>
            </w:r>
            <w:r>
              <w:rPr>
                <w:rFonts w:hint="default" w:ascii="Times New Roman" w:hAnsi="Times New Roman" w:cs="Times New Roman"/>
                <w:color w:val="auto"/>
                <w:sz w:val="21"/>
                <w:highlight w:val="none"/>
                <w:lang w:val="en-US" w:eastAsia="zh-CN"/>
              </w:rPr>
              <w:t>56m</w:t>
            </w:r>
            <w:r>
              <w:rPr>
                <w:rFonts w:hint="default" w:ascii="Times New Roman" w:hAnsi="Times New Roman" w:cs="Times New Roman"/>
                <w:color w:val="auto"/>
                <w:sz w:val="21"/>
                <w:highlight w:val="none"/>
                <w:vertAlign w:val="superscript"/>
                <w:lang w:val="en-US" w:eastAsia="zh-CN"/>
              </w:rPr>
              <w:t>3</w:t>
            </w:r>
            <w:r>
              <w:rPr>
                <w:rFonts w:hint="default" w:ascii="Times New Roman" w:hAnsi="Times New Roman" w:cs="Times New Roman"/>
                <w:color w:val="auto"/>
                <w:sz w:val="21"/>
                <w:highlight w:val="none"/>
                <w:lang w:val="en-US" w:eastAsia="zh-CN"/>
              </w:rPr>
              <w:t>，贮矿量为105t</w:t>
            </w:r>
          </w:p>
        </w:tc>
        <w:tc>
          <w:tcPr>
            <w:tcW w:w="287" w:type="pct"/>
            <w:tcBorders>
              <w:tl2br w:val="nil"/>
              <w:tr2bl w:val="nil"/>
            </w:tcBorders>
            <w:shd w:val="clear" w:color="auto" w:fill="auto"/>
            <w:noWrap w:val="0"/>
            <w:vAlign w:val="center"/>
          </w:tcPr>
          <w:p w14:paraId="02FA2FC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6FF2D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2791DC3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01FB414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粉矿仓</w:t>
            </w:r>
          </w:p>
        </w:tc>
        <w:tc>
          <w:tcPr>
            <w:tcW w:w="3500" w:type="pct"/>
            <w:tcBorders>
              <w:tl2br w:val="nil"/>
              <w:tr2bl w:val="nil"/>
            </w:tcBorders>
            <w:shd w:val="clear" w:color="auto" w:fill="auto"/>
            <w:noWrap w:val="0"/>
            <w:vAlign w:val="center"/>
          </w:tcPr>
          <w:p w14:paraId="5742D33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有效容积为</w:t>
            </w:r>
            <w:r>
              <w:rPr>
                <w:rFonts w:hint="default" w:ascii="Times New Roman" w:hAnsi="Times New Roman" w:cs="Times New Roman"/>
                <w:color w:val="auto"/>
                <w:sz w:val="21"/>
                <w:highlight w:val="none"/>
                <w:lang w:val="en-US" w:eastAsia="zh-CN"/>
              </w:rPr>
              <w:t>570m</w:t>
            </w:r>
            <w:r>
              <w:rPr>
                <w:rFonts w:hint="default" w:ascii="Times New Roman" w:hAnsi="Times New Roman" w:cs="Times New Roman"/>
                <w:color w:val="auto"/>
                <w:sz w:val="21"/>
                <w:highlight w:val="none"/>
                <w:vertAlign w:val="superscript"/>
                <w:lang w:val="en-US" w:eastAsia="zh-CN"/>
              </w:rPr>
              <w:t>3</w:t>
            </w:r>
            <w:r>
              <w:rPr>
                <w:rFonts w:hint="default" w:ascii="Times New Roman" w:hAnsi="Times New Roman" w:cs="Times New Roman"/>
                <w:color w:val="auto"/>
                <w:sz w:val="21"/>
                <w:highlight w:val="none"/>
                <w:lang w:val="en-US" w:eastAsia="zh-CN"/>
              </w:rPr>
              <w:t>，贮矿量为1065t。</w:t>
            </w:r>
          </w:p>
        </w:tc>
        <w:tc>
          <w:tcPr>
            <w:tcW w:w="287" w:type="pct"/>
            <w:tcBorders>
              <w:tl2br w:val="nil"/>
              <w:tr2bl w:val="nil"/>
            </w:tcBorders>
            <w:shd w:val="clear" w:color="auto" w:fill="auto"/>
            <w:noWrap w:val="0"/>
            <w:vAlign w:val="center"/>
          </w:tcPr>
          <w:p w14:paraId="3128EDD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11385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73DA97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7DB154A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精矿库</w:t>
            </w:r>
          </w:p>
        </w:tc>
        <w:tc>
          <w:tcPr>
            <w:tcW w:w="3500" w:type="pct"/>
            <w:tcBorders>
              <w:tl2br w:val="nil"/>
              <w:tr2bl w:val="nil"/>
            </w:tcBorders>
            <w:shd w:val="clear" w:color="auto" w:fill="auto"/>
            <w:noWrap w:val="0"/>
            <w:vAlign w:val="center"/>
          </w:tcPr>
          <w:p w14:paraId="0D9DF167">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有效容积为</w:t>
            </w:r>
            <w:r>
              <w:rPr>
                <w:rFonts w:hint="default" w:ascii="Times New Roman" w:hAnsi="Times New Roman" w:cs="Times New Roman"/>
                <w:color w:val="auto"/>
                <w:sz w:val="21"/>
                <w:highlight w:val="none"/>
                <w:lang w:val="en-US" w:eastAsia="zh-CN"/>
              </w:rPr>
              <w:t>840m</w:t>
            </w:r>
            <w:r>
              <w:rPr>
                <w:rFonts w:hint="default" w:ascii="Times New Roman" w:hAnsi="Times New Roman" w:cs="Times New Roman"/>
                <w:color w:val="auto"/>
                <w:sz w:val="21"/>
                <w:highlight w:val="none"/>
                <w:vertAlign w:val="superscript"/>
                <w:lang w:val="en-US" w:eastAsia="zh-CN"/>
              </w:rPr>
              <w:t>3</w:t>
            </w:r>
            <w:r>
              <w:rPr>
                <w:rFonts w:hint="default" w:ascii="Times New Roman" w:hAnsi="Times New Roman" w:cs="Times New Roman"/>
                <w:color w:val="auto"/>
                <w:sz w:val="21"/>
                <w:highlight w:val="none"/>
                <w:lang w:val="en-US" w:eastAsia="zh-CN"/>
              </w:rPr>
              <w:t>，贮矿量为1573t。</w:t>
            </w:r>
          </w:p>
        </w:tc>
        <w:tc>
          <w:tcPr>
            <w:tcW w:w="287" w:type="pct"/>
            <w:tcBorders>
              <w:tl2br w:val="nil"/>
              <w:tr2bl w:val="nil"/>
            </w:tcBorders>
            <w:shd w:val="clear" w:color="auto" w:fill="auto"/>
            <w:noWrap w:val="0"/>
            <w:vAlign w:val="center"/>
          </w:tcPr>
          <w:p w14:paraId="739BEC0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172EC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460353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64714C2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eastAsia="zh-CN"/>
              </w:rPr>
              <w:t>危废贮存点</w:t>
            </w:r>
          </w:p>
        </w:tc>
        <w:tc>
          <w:tcPr>
            <w:tcW w:w="3500" w:type="pct"/>
            <w:tcBorders>
              <w:tl2br w:val="nil"/>
              <w:tr2bl w:val="nil"/>
            </w:tcBorders>
            <w:shd w:val="clear" w:color="auto" w:fill="auto"/>
            <w:noWrap w:val="0"/>
            <w:vAlign w:val="center"/>
          </w:tcPr>
          <w:p w14:paraId="2BC95AB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环评要求在</w:t>
            </w:r>
            <w:r>
              <w:rPr>
                <w:rFonts w:hint="default" w:ascii="Times New Roman" w:hAnsi="Times New Roman" w:cs="Times New Roman"/>
                <w:color w:val="auto"/>
                <w:sz w:val="21"/>
                <w:highlight w:val="none"/>
                <w:lang w:eastAsia="zh-CN"/>
              </w:rPr>
              <w:t>选矿</w:t>
            </w:r>
            <w:r>
              <w:rPr>
                <w:rFonts w:hint="default" w:ascii="Times New Roman" w:hAnsi="Times New Roman" w:cs="Times New Roman"/>
                <w:color w:val="auto"/>
                <w:sz w:val="21"/>
                <w:highlight w:val="none"/>
                <w:lang w:val="en-US" w:eastAsia="zh-CN"/>
              </w:rPr>
              <w:t>厂</w:t>
            </w:r>
            <w:r>
              <w:rPr>
                <w:rFonts w:hint="default" w:ascii="Times New Roman" w:hAnsi="Times New Roman" w:cs="Times New Roman"/>
                <w:color w:val="auto"/>
                <w:sz w:val="21"/>
                <w:highlight w:val="none"/>
                <w:lang w:eastAsia="zh-CN"/>
              </w:rPr>
              <w:t>设置</w:t>
            </w:r>
            <w:r>
              <w:rPr>
                <w:rFonts w:hint="default" w:cs="Times New Roman"/>
                <w:color w:val="auto"/>
                <w:sz w:val="21"/>
                <w:highlight w:val="none"/>
                <w:lang w:eastAsia="zh-CN"/>
              </w:rPr>
              <w:t>危废贮存点</w:t>
            </w:r>
            <w:r>
              <w:rPr>
                <w:rFonts w:hint="default" w:ascii="Times New Roman" w:hAnsi="Times New Roman" w:cs="Times New Roman"/>
                <w:color w:val="auto"/>
                <w:sz w:val="21"/>
                <w:highlight w:val="none"/>
              </w:rPr>
              <w:t>，基础做防渗，防渗层为至少1m粘土层（渗透系数小于等于10</w:t>
            </w:r>
            <w:r>
              <w:rPr>
                <w:rFonts w:hint="default" w:ascii="Times New Roman" w:hAnsi="Times New Roman" w:cs="Times New Roman"/>
                <w:color w:val="auto"/>
                <w:sz w:val="21"/>
                <w:highlight w:val="none"/>
                <w:vertAlign w:val="superscript"/>
              </w:rPr>
              <w:t>-10</w:t>
            </w:r>
            <w:r>
              <w:rPr>
                <w:rFonts w:hint="default" w:ascii="Times New Roman" w:hAnsi="Times New Roman" w:cs="Times New Roman"/>
                <w:color w:val="auto"/>
                <w:sz w:val="21"/>
                <w:highlight w:val="none"/>
              </w:rPr>
              <w:t>cm/s），符合</w:t>
            </w:r>
            <w:r>
              <w:rPr>
                <w:rFonts w:hint="default" w:ascii="Times New Roman" w:hAnsi="Times New Roman" w:cs="Times New Roman"/>
                <w:color w:val="auto"/>
                <w:sz w:val="21"/>
                <w:highlight w:val="none"/>
                <w:lang w:eastAsia="zh-CN"/>
              </w:rPr>
              <w:t>《危险废物贮存污染控制标准》（GB18597-20</w:t>
            </w:r>
            <w:r>
              <w:rPr>
                <w:rFonts w:hint="default" w:ascii="Times New Roman" w:hAnsi="Times New Roman" w:cs="Times New Roman"/>
                <w:color w:val="auto"/>
                <w:sz w:val="21"/>
                <w:highlight w:val="none"/>
                <w:lang w:val="en-US" w:eastAsia="zh-CN"/>
              </w:rPr>
              <w:t>23</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中有关规定。</w:t>
            </w:r>
          </w:p>
        </w:tc>
        <w:tc>
          <w:tcPr>
            <w:tcW w:w="287" w:type="pct"/>
            <w:tcBorders>
              <w:tl2br w:val="nil"/>
              <w:tr2bl w:val="nil"/>
            </w:tcBorders>
            <w:shd w:val="clear" w:color="auto" w:fill="auto"/>
            <w:noWrap w:val="0"/>
            <w:vAlign w:val="center"/>
          </w:tcPr>
          <w:p w14:paraId="327A362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5F603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380B0BE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35EDFF5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厂内道路</w:t>
            </w:r>
          </w:p>
        </w:tc>
        <w:tc>
          <w:tcPr>
            <w:tcW w:w="3500" w:type="pct"/>
            <w:tcBorders>
              <w:tl2br w:val="nil"/>
              <w:tr2bl w:val="nil"/>
            </w:tcBorders>
            <w:shd w:val="clear" w:color="auto" w:fill="auto"/>
            <w:noWrap w:val="0"/>
            <w:vAlign w:val="center"/>
          </w:tcPr>
          <w:p w14:paraId="0751B70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本项目新建厂内运输道路2.2km，道路按矿山三级道路标准设计，路基宽7m，路面宽6m，水泥混凝土路面，最大纵坡8%，最小平曲线半径9m。</w:t>
            </w:r>
          </w:p>
        </w:tc>
        <w:tc>
          <w:tcPr>
            <w:tcW w:w="287" w:type="pct"/>
            <w:tcBorders>
              <w:tl2br w:val="nil"/>
              <w:tr2bl w:val="nil"/>
            </w:tcBorders>
            <w:shd w:val="clear" w:color="auto" w:fill="auto"/>
            <w:noWrap w:val="0"/>
            <w:vAlign w:val="center"/>
          </w:tcPr>
          <w:p w14:paraId="4D582BB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1DA28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232576D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926" w:type="pct"/>
            <w:gridSpan w:val="2"/>
            <w:tcBorders>
              <w:tl2br w:val="nil"/>
              <w:tr2bl w:val="nil"/>
            </w:tcBorders>
            <w:shd w:val="clear" w:color="auto" w:fill="auto"/>
            <w:noWrap w:val="0"/>
            <w:vAlign w:val="center"/>
          </w:tcPr>
          <w:p w14:paraId="4405FAE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运输系统</w:t>
            </w:r>
          </w:p>
        </w:tc>
        <w:tc>
          <w:tcPr>
            <w:tcW w:w="3500" w:type="pct"/>
            <w:tcBorders>
              <w:tl2br w:val="nil"/>
              <w:tr2bl w:val="nil"/>
            </w:tcBorders>
            <w:shd w:val="clear" w:color="auto" w:fill="auto"/>
            <w:noWrap w:val="0"/>
            <w:vAlign w:val="center"/>
          </w:tcPr>
          <w:p w14:paraId="3C1F4E3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（1）</w:t>
            </w:r>
            <w:r>
              <w:rPr>
                <w:rFonts w:hint="default" w:ascii="Times New Roman" w:hAnsi="Times New Roman" w:cs="Times New Roman"/>
                <w:color w:val="auto"/>
                <w:sz w:val="21"/>
                <w:highlight w:val="none"/>
                <w:lang w:val="en-US" w:eastAsia="zh-CN"/>
              </w:rPr>
              <w:t>原料运输：由矿山经自卸卡车运至原矿堆场。（2）</w:t>
            </w:r>
            <w:r>
              <w:rPr>
                <w:rFonts w:hint="default" w:ascii="Times New Roman" w:hAnsi="Times New Roman" w:cs="Times New Roman"/>
                <w:color w:val="auto"/>
                <w:sz w:val="21"/>
                <w:highlight w:val="none"/>
                <w:lang w:eastAsia="zh-CN"/>
              </w:rPr>
              <w:t>产品</w:t>
            </w:r>
            <w:r>
              <w:rPr>
                <w:rFonts w:hint="default" w:ascii="Times New Roman" w:hAnsi="Times New Roman" w:cs="Times New Roman"/>
                <w:color w:val="auto"/>
                <w:sz w:val="21"/>
                <w:highlight w:val="none"/>
              </w:rPr>
              <w:t>运输：</w:t>
            </w:r>
            <w:r>
              <w:rPr>
                <w:rFonts w:hint="default" w:ascii="Times New Roman" w:hAnsi="Times New Roman" w:cs="Times New Roman"/>
                <w:color w:val="auto"/>
                <w:sz w:val="21"/>
                <w:highlight w:val="none"/>
                <w:lang w:eastAsia="zh-CN"/>
              </w:rPr>
              <w:t>产品</w:t>
            </w:r>
            <w:r>
              <w:rPr>
                <w:rFonts w:hint="default" w:ascii="Times New Roman" w:hAnsi="Times New Roman" w:cs="Times New Roman"/>
                <w:color w:val="auto"/>
                <w:sz w:val="21"/>
                <w:highlight w:val="none"/>
              </w:rPr>
              <w:t>由自卸汽车运至厂家。（</w:t>
            </w:r>
            <w:r>
              <w:rPr>
                <w:rFonts w:hint="default" w:ascii="Times New Roman" w:hAnsi="Times New Roman" w:cs="Times New Roman"/>
                <w:color w:val="auto"/>
                <w:sz w:val="21"/>
                <w:highlight w:val="none"/>
                <w:lang w:val="en-US" w:eastAsia="zh-CN"/>
              </w:rPr>
              <w:t>3</w:t>
            </w:r>
            <w:r>
              <w:rPr>
                <w:rFonts w:hint="default" w:ascii="Times New Roman" w:hAnsi="Times New Roman" w:cs="Times New Roman"/>
                <w:color w:val="auto"/>
                <w:sz w:val="21"/>
                <w:highlight w:val="none"/>
              </w:rPr>
              <w:t>）尾矿运输：选矿厂尾矿通过</w:t>
            </w:r>
            <w:r>
              <w:rPr>
                <w:rFonts w:hint="default" w:ascii="Times New Roman" w:hAnsi="Times New Roman" w:cs="Times New Roman"/>
                <w:color w:val="auto"/>
                <w:sz w:val="21"/>
                <w:highlight w:val="none"/>
                <w:lang w:eastAsia="zh-CN"/>
              </w:rPr>
              <w:t>管道</w:t>
            </w:r>
            <w:r>
              <w:rPr>
                <w:rFonts w:hint="default" w:ascii="Times New Roman" w:hAnsi="Times New Roman" w:cs="Times New Roman"/>
                <w:color w:val="auto"/>
                <w:sz w:val="21"/>
                <w:highlight w:val="none"/>
              </w:rPr>
              <w:t>输送至尾矿库。（</w:t>
            </w:r>
            <w:r>
              <w:rPr>
                <w:rFonts w:hint="default" w:ascii="Times New Roman" w:hAnsi="Times New Roman" w:cs="Times New Roman"/>
                <w:color w:val="auto"/>
                <w:sz w:val="21"/>
                <w:highlight w:val="none"/>
                <w:lang w:val="en-US" w:eastAsia="zh-CN"/>
              </w:rPr>
              <w:t>4</w:t>
            </w:r>
            <w:r>
              <w:rPr>
                <w:rFonts w:hint="default" w:ascii="Times New Roman" w:hAnsi="Times New Roman" w:cs="Times New Roman"/>
                <w:color w:val="auto"/>
                <w:sz w:val="21"/>
                <w:highlight w:val="none"/>
              </w:rPr>
              <w:t>）辅助材料运输：选矿厂所需的原材料、备品、备件等的运输，均由厂家运送或外委车辆运输。</w:t>
            </w:r>
          </w:p>
        </w:tc>
        <w:tc>
          <w:tcPr>
            <w:tcW w:w="287" w:type="pct"/>
            <w:tcBorders>
              <w:tl2br w:val="nil"/>
              <w:tr2bl w:val="nil"/>
            </w:tcBorders>
            <w:shd w:val="clear" w:color="auto" w:fill="auto"/>
            <w:noWrap w:val="0"/>
            <w:vAlign w:val="center"/>
          </w:tcPr>
          <w:p w14:paraId="1EA16D2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14CA7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restart"/>
            <w:tcBorders>
              <w:tl2br w:val="nil"/>
              <w:tr2bl w:val="nil"/>
            </w:tcBorders>
            <w:noWrap w:val="0"/>
            <w:vAlign w:val="center"/>
          </w:tcPr>
          <w:p w14:paraId="3F40172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环保工程</w:t>
            </w:r>
          </w:p>
        </w:tc>
        <w:tc>
          <w:tcPr>
            <w:tcW w:w="321" w:type="pct"/>
            <w:vMerge w:val="restart"/>
            <w:tcBorders>
              <w:tl2br w:val="nil"/>
              <w:tr2bl w:val="nil"/>
            </w:tcBorders>
            <w:shd w:val="clear" w:color="auto" w:fill="auto"/>
            <w:noWrap w:val="0"/>
            <w:vAlign w:val="center"/>
          </w:tcPr>
          <w:p w14:paraId="53B8CC0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废气</w:t>
            </w:r>
          </w:p>
        </w:tc>
        <w:tc>
          <w:tcPr>
            <w:tcW w:w="605" w:type="pct"/>
            <w:tcBorders>
              <w:tl2br w:val="nil"/>
              <w:tr2bl w:val="nil"/>
            </w:tcBorders>
            <w:shd w:val="clear" w:color="auto" w:fill="auto"/>
            <w:noWrap w:val="0"/>
            <w:vAlign w:val="center"/>
          </w:tcPr>
          <w:p w14:paraId="484D475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破碎废气</w:t>
            </w:r>
          </w:p>
        </w:tc>
        <w:tc>
          <w:tcPr>
            <w:tcW w:w="3500" w:type="pct"/>
            <w:tcBorders>
              <w:tl2br w:val="nil"/>
              <w:tr2bl w:val="nil"/>
            </w:tcBorders>
            <w:shd w:val="clear" w:color="auto" w:fill="auto"/>
            <w:noWrap w:val="0"/>
            <w:vAlign w:val="center"/>
          </w:tcPr>
          <w:p w14:paraId="570CA10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对</w:t>
            </w:r>
            <w:r>
              <w:rPr>
                <w:rFonts w:hint="default" w:ascii="Times New Roman" w:hAnsi="Times New Roman" w:cs="Times New Roman"/>
                <w:color w:val="auto"/>
                <w:sz w:val="21"/>
                <w:highlight w:val="none"/>
                <w:lang w:eastAsia="zh-CN"/>
              </w:rPr>
              <w:t>破碎</w:t>
            </w:r>
            <w:r>
              <w:rPr>
                <w:rFonts w:hint="default" w:ascii="Times New Roman" w:hAnsi="Times New Roman" w:cs="Times New Roman"/>
                <w:color w:val="auto"/>
                <w:sz w:val="21"/>
                <w:highlight w:val="none"/>
                <w:lang w:val="en-US" w:eastAsia="zh-CN"/>
              </w:rPr>
              <w:t>筛分</w:t>
            </w:r>
            <w:r>
              <w:rPr>
                <w:rFonts w:hint="default" w:ascii="Times New Roman" w:hAnsi="Times New Roman" w:cs="Times New Roman"/>
                <w:color w:val="auto"/>
                <w:sz w:val="21"/>
                <w:highlight w:val="none"/>
                <w:lang w:eastAsia="zh-CN"/>
              </w:rPr>
              <w:t>厂房</w:t>
            </w:r>
            <w:r>
              <w:rPr>
                <w:rFonts w:hint="default" w:ascii="Times New Roman" w:hAnsi="Times New Roman" w:cs="Times New Roman"/>
                <w:color w:val="auto"/>
                <w:sz w:val="21"/>
                <w:highlight w:val="none"/>
              </w:rPr>
              <w:t>进行全封闭设计，</w:t>
            </w:r>
            <w:r>
              <w:rPr>
                <w:rFonts w:hint="default" w:ascii="Times New Roman" w:hAnsi="Times New Roman" w:cs="Times New Roman"/>
                <w:color w:val="auto"/>
                <w:sz w:val="21"/>
                <w:highlight w:val="none"/>
                <w:lang w:val="en-US" w:eastAsia="zh-CN"/>
              </w:rPr>
              <w:t>在产尘点（包括缓冲仓）</w:t>
            </w:r>
            <w:r>
              <w:rPr>
                <w:rFonts w:hint="default" w:ascii="Times New Roman" w:hAnsi="Times New Roman" w:cs="Times New Roman"/>
                <w:color w:val="auto"/>
                <w:sz w:val="21"/>
                <w:highlight w:val="none"/>
              </w:rPr>
              <w:t>设置集气罩+</w:t>
            </w:r>
            <w:r>
              <w:rPr>
                <w:rFonts w:hint="default" w:ascii="Times New Roman" w:hAnsi="Times New Roman" w:cs="Times New Roman"/>
                <w:color w:val="auto"/>
                <w:sz w:val="21"/>
                <w:highlight w:val="none"/>
                <w:lang w:eastAsia="zh-CN"/>
              </w:rPr>
              <w:t>袋式除尘器</w:t>
            </w:r>
            <w:r>
              <w:rPr>
                <w:rFonts w:hint="default" w:ascii="Times New Roman" w:hAnsi="Times New Roman" w:cs="Times New Roman"/>
                <w:color w:val="auto"/>
                <w:sz w:val="21"/>
                <w:highlight w:val="none"/>
              </w:rPr>
              <w:t>+15m高排气筒，破碎废气经处理后达标排放。</w:t>
            </w:r>
          </w:p>
        </w:tc>
        <w:tc>
          <w:tcPr>
            <w:tcW w:w="287" w:type="pct"/>
            <w:tcBorders>
              <w:tl2br w:val="nil"/>
              <w:tr2bl w:val="nil"/>
            </w:tcBorders>
            <w:shd w:val="clear" w:color="auto" w:fill="auto"/>
            <w:noWrap w:val="0"/>
            <w:vAlign w:val="center"/>
          </w:tcPr>
          <w:p w14:paraId="2B37665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07104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4781EB6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6B7DE21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51485CA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粉矿仓废气</w:t>
            </w:r>
          </w:p>
        </w:tc>
        <w:tc>
          <w:tcPr>
            <w:tcW w:w="3500" w:type="pct"/>
            <w:tcBorders>
              <w:tl2br w:val="nil"/>
              <w:tr2bl w:val="nil"/>
            </w:tcBorders>
            <w:shd w:val="clear" w:color="auto" w:fill="auto"/>
            <w:noWrap w:val="0"/>
            <w:vAlign w:val="center"/>
          </w:tcPr>
          <w:p w14:paraId="52D0E6E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粉矿仓</w:t>
            </w:r>
            <w:r>
              <w:rPr>
                <w:rFonts w:hint="default" w:ascii="Times New Roman" w:hAnsi="Times New Roman" w:cs="Times New Roman"/>
                <w:color w:val="auto"/>
                <w:sz w:val="21"/>
                <w:highlight w:val="none"/>
              </w:rPr>
              <w:t>全封闭设计，设置集气罩+</w:t>
            </w:r>
            <w:r>
              <w:rPr>
                <w:rFonts w:hint="default" w:ascii="Times New Roman" w:hAnsi="Times New Roman" w:cs="Times New Roman"/>
                <w:color w:val="auto"/>
                <w:sz w:val="21"/>
                <w:highlight w:val="none"/>
                <w:lang w:eastAsia="zh-CN"/>
              </w:rPr>
              <w:t>袋式除尘器</w:t>
            </w:r>
            <w:r>
              <w:rPr>
                <w:rFonts w:hint="default" w:ascii="Times New Roman" w:hAnsi="Times New Roman" w:cs="Times New Roman"/>
                <w:color w:val="auto"/>
                <w:sz w:val="21"/>
                <w:highlight w:val="none"/>
              </w:rPr>
              <w:t>，废气经处理后达标排放。</w:t>
            </w:r>
          </w:p>
        </w:tc>
        <w:tc>
          <w:tcPr>
            <w:tcW w:w="287" w:type="pct"/>
            <w:tcBorders>
              <w:tl2br w:val="nil"/>
              <w:tr2bl w:val="nil"/>
            </w:tcBorders>
            <w:shd w:val="clear" w:color="auto" w:fill="auto"/>
            <w:noWrap w:val="0"/>
            <w:vAlign w:val="center"/>
          </w:tcPr>
          <w:p w14:paraId="4884793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56C71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12489A5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6DB69EB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375CE27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原矿堆场</w:t>
            </w:r>
          </w:p>
        </w:tc>
        <w:tc>
          <w:tcPr>
            <w:tcW w:w="3500" w:type="pct"/>
            <w:tcBorders>
              <w:tl2br w:val="nil"/>
              <w:tr2bl w:val="nil"/>
            </w:tcBorders>
            <w:shd w:val="clear" w:color="auto" w:fill="auto"/>
            <w:noWrap w:val="0"/>
            <w:vAlign w:val="center"/>
          </w:tcPr>
          <w:p w14:paraId="134C14B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原矿</w:t>
            </w:r>
            <w:r>
              <w:rPr>
                <w:rFonts w:hint="default" w:ascii="Times New Roman" w:hAnsi="Times New Roman" w:cs="Times New Roman"/>
                <w:color w:val="auto"/>
                <w:sz w:val="21"/>
                <w:highlight w:val="none"/>
                <w:lang w:val="en-US" w:eastAsia="zh-CN"/>
              </w:rPr>
              <w:t>堆场设置防风抑尘网，</w:t>
            </w:r>
            <w:r>
              <w:rPr>
                <w:rFonts w:hint="default" w:ascii="Times New Roman" w:hAnsi="Times New Roman" w:cs="Times New Roman"/>
                <w:color w:val="auto"/>
                <w:sz w:val="21"/>
                <w:highlight w:val="none"/>
              </w:rPr>
              <w:t>定期进行洒水降尘。</w:t>
            </w:r>
          </w:p>
        </w:tc>
        <w:tc>
          <w:tcPr>
            <w:tcW w:w="287" w:type="pct"/>
            <w:tcBorders>
              <w:tl2br w:val="nil"/>
              <w:tr2bl w:val="nil"/>
            </w:tcBorders>
            <w:shd w:val="clear" w:color="auto" w:fill="auto"/>
            <w:noWrap w:val="0"/>
            <w:vAlign w:val="center"/>
          </w:tcPr>
          <w:p w14:paraId="156B20C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4EB9E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A02C23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22E8CDB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755E455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材料堆场</w:t>
            </w:r>
          </w:p>
        </w:tc>
        <w:tc>
          <w:tcPr>
            <w:tcW w:w="3500" w:type="pct"/>
            <w:tcBorders>
              <w:tl2br w:val="nil"/>
              <w:tr2bl w:val="nil"/>
            </w:tcBorders>
            <w:shd w:val="clear" w:color="auto" w:fill="auto"/>
            <w:noWrap w:val="0"/>
            <w:vAlign w:val="center"/>
          </w:tcPr>
          <w:p w14:paraId="494D804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材料</w:t>
            </w:r>
            <w:r>
              <w:rPr>
                <w:rFonts w:hint="default" w:ascii="Times New Roman" w:hAnsi="Times New Roman" w:cs="Times New Roman"/>
                <w:color w:val="auto"/>
                <w:sz w:val="21"/>
                <w:highlight w:val="none"/>
                <w:lang w:val="en-US" w:eastAsia="zh-CN"/>
              </w:rPr>
              <w:t>堆场设置防风抑尘网，</w:t>
            </w:r>
            <w:r>
              <w:rPr>
                <w:rFonts w:hint="default" w:ascii="Times New Roman" w:hAnsi="Times New Roman" w:cs="Times New Roman"/>
                <w:color w:val="auto"/>
                <w:sz w:val="21"/>
                <w:highlight w:val="none"/>
              </w:rPr>
              <w:t>定期进行洒水降尘。</w:t>
            </w:r>
          </w:p>
        </w:tc>
        <w:tc>
          <w:tcPr>
            <w:tcW w:w="287" w:type="pct"/>
            <w:tcBorders>
              <w:tl2br w:val="nil"/>
              <w:tr2bl w:val="nil"/>
            </w:tcBorders>
            <w:shd w:val="clear" w:color="auto" w:fill="auto"/>
            <w:noWrap w:val="0"/>
            <w:vAlign w:val="center"/>
          </w:tcPr>
          <w:p w14:paraId="15FA6DB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771FC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3C0B243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3E39B0B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701298B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筒仓</w:t>
            </w:r>
            <w:r>
              <w:rPr>
                <w:rFonts w:hint="default" w:ascii="Times New Roman" w:hAnsi="Times New Roman" w:cs="Times New Roman"/>
                <w:color w:val="auto"/>
                <w:sz w:val="21"/>
                <w:highlight w:val="none"/>
              </w:rPr>
              <w:t>扬尘</w:t>
            </w:r>
          </w:p>
        </w:tc>
        <w:tc>
          <w:tcPr>
            <w:tcW w:w="3500" w:type="pct"/>
            <w:tcBorders>
              <w:tl2br w:val="nil"/>
              <w:tr2bl w:val="nil"/>
            </w:tcBorders>
            <w:shd w:val="clear" w:color="auto" w:fill="auto"/>
            <w:noWrap w:val="0"/>
            <w:vAlign w:val="center"/>
          </w:tcPr>
          <w:p w14:paraId="46D389F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原矿</w:t>
            </w:r>
            <w:r>
              <w:rPr>
                <w:rFonts w:hint="default" w:ascii="Times New Roman" w:hAnsi="Times New Roman" w:cs="Times New Roman"/>
                <w:color w:val="auto"/>
                <w:sz w:val="21"/>
                <w:highlight w:val="none"/>
                <w:lang w:eastAsia="zh-CN"/>
              </w:rPr>
              <w:t>仓</w:t>
            </w:r>
            <w:r>
              <w:rPr>
                <w:rFonts w:hint="default" w:ascii="Times New Roman" w:hAnsi="Times New Roman" w:cs="Times New Roman"/>
                <w:color w:val="auto"/>
                <w:sz w:val="21"/>
                <w:highlight w:val="none"/>
              </w:rPr>
              <w:t>物料定期进行洒水降尘。</w:t>
            </w:r>
          </w:p>
        </w:tc>
        <w:tc>
          <w:tcPr>
            <w:tcW w:w="287" w:type="pct"/>
            <w:tcBorders>
              <w:tl2br w:val="nil"/>
              <w:tr2bl w:val="nil"/>
            </w:tcBorders>
            <w:shd w:val="clear" w:color="auto" w:fill="auto"/>
            <w:noWrap w:val="0"/>
            <w:vAlign w:val="center"/>
          </w:tcPr>
          <w:p w14:paraId="7086B03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4D12E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79F4BC9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3EF37DE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2381E8C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尾矿库扬尘</w:t>
            </w:r>
          </w:p>
        </w:tc>
        <w:tc>
          <w:tcPr>
            <w:tcW w:w="3500" w:type="pct"/>
            <w:tcBorders>
              <w:tl2br w:val="nil"/>
              <w:tr2bl w:val="nil"/>
            </w:tcBorders>
            <w:shd w:val="clear" w:color="auto" w:fill="auto"/>
            <w:noWrap w:val="0"/>
            <w:vAlign w:val="center"/>
          </w:tcPr>
          <w:p w14:paraId="78AA236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采用喷洒高效抑尘措施可有效抑制扬尘。</w:t>
            </w:r>
          </w:p>
        </w:tc>
        <w:tc>
          <w:tcPr>
            <w:tcW w:w="287" w:type="pct"/>
            <w:tcBorders>
              <w:tl2br w:val="nil"/>
              <w:tr2bl w:val="nil"/>
            </w:tcBorders>
            <w:shd w:val="clear" w:color="auto" w:fill="auto"/>
            <w:noWrap w:val="0"/>
            <w:vAlign w:val="center"/>
          </w:tcPr>
          <w:p w14:paraId="15C17DB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2529A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13CB70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661B507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76D5C2A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装卸扬尘</w:t>
            </w:r>
          </w:p>
        </w:tc>
        <w:tc>
          <w:tcPr>
            <w:tcW w:w="3500" w:type="pct"/>
            <w:tcBorders>
              <w:tl2br w:val="nil"/>
              <w:tr2bl w:val="nil"/>
            </w:tcBorders>
            <w:shd w:val="clear" w:color="auto" w:fill="auto"/>
            <w:noWrap w:val="0"/>
            <w:vAlign w:val="center"/>
          </w:tcPr>
          <w:p w14:paraId="5345FD4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采取降低作业高度，定期洒水降尘，微风情况下装卸措施后可有效减少粉尘排放。</w:t>
            </w:r>
          </w:p>
        </w:tc>
        <w:tc>
          <w:tcPr>
            <w:tcW w:w="287" w:type="pct"/>
            <w:tcBorders>
              <w:tl2br w:val="nil"/>
              <w:tr2bl w:val="nil"/>
            </w:tcBorders>
            <w:shd w:val="clear" w:color="auto" w:fill="auto"/>
            <w:noWrap w:val="0"/>
            <w:vAlign w:val="center"/>
          </w:tcPr>
          <w:p w14:paraId="7A09FD9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56D94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2E7CF0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2A9525E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7FF36F1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运输扬尘</w:t>
            </w:r>
          </w:p>
        </w:tc>
        <w:tc>
          <w:tcPr>
            <w:tcW w:w="3500" w:type="pct"/>
            <w:tcBorders>
              <w:tl2br w:val="nil"/>
              <w:tr2bl w:val="nil"/>
            </w:tcBorders>
            <w:shd w:val="clear" w:color="auto" w:fill="auto"/>
            <w:noWrap w:val="0"/>
            <w:vAlign w:val="center"/>
          </w:tcPr>
          <w:p w14:paraId="57FB833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路面进行硬化，并定期进行洒水降尘。</w:t>
            </w:r>
          </w:p>
        </w:tc>
        <w:tc>
          <w:tcPr>
            <w:tcW w:w="287" w:type="pct"/>
            <w:tcBorders>
              <w:tl2br w:val="nil"/>
              <w:tr2bl w:val="nil"/>
            </w:tcBorders>
            <w:shd w:val="clear" w:color="auto" w:fill="auto"/>
            <w:noWrap w:val="0"/>
            <w:vAlign w:val="center"/>
          </w:tcPr>
          <w:p w14:paraId="28D62AD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F416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60FAE42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restart"/>
            <w:tcBorders>
              <w:tl2br w:val="nil"/>
              <w:tr2bl w:val="nil"/>
            </w:tcBorders>
            <w:shd w:val="clear" w:color="auto" w:fill="auto"/>
            <w:noWrap w:val="0"/>
            <w:vAlign w:val="center"/>
          </w:tcPr>
          <w:p w14:paraId="04460EE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废水</w:t>
            </w:r>
          </w:p>
        </w:tc>
        <w:tc>
          <w:tcPr>
            <w:tcW w:w="605" w:type="pct"/>
            <w:tcBorders>
              <w:tl2br w:val="nil"/>
              <w:tr2bl w:val="nil"/>
            </w:tcBorders>
            <w:shd w:val="clear" w:color="auto" w:fill="auto"/>
            <w:noWrap w:val="0"/>
            <w:vAlign w:val="center"/>
          </w:tcPr>
          <w:p w14:paraId="6D49CBE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选矿废水</w:t>
            </w:r>
          </w:p>
        </w:tc>
        <w:tc>
          <w:tcPr>
            <w:tcW w:w="3500" w:type="pct"/>
            <w:tcBorders>
              <w:tl2br w:val="nil"/>
              <w:tr2bl w:val="nil"/>
            </w:tcBorders>
            <w:shd w:val="clear" w:color="auto" w:fill="auto"/>
            <w:noWrap w:val="0"/>
            <w:vAlign w:val="center"/>
          </w:tcPr>
          <w:p w14:paraId="6DFF8F1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选矿废水排入</w:t>
            </w:r>
            <w:r>
              <w:rPr>
                <w:rFonts w:hint="default" w:ascii="Times New Roman" w:hAnsi="Times New Roman" w:cs="Times New Roman"/>
                <w:color w:val="auto"/>
                <w:sz w:val="21"/>
                <w:highlight w:val="none"/>
                <w:lang w:val="en-US" w:eastAsia="zh-CN"/>
              </w:rPr>
              <w:t>400</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vertAlign w:val="baseline"/>
                <w:lang w:eastAsia="zh-CN"/>
              </w:rPr>
              <w:t>生产</w:t>
            </w:r>
            <w:r>
              <w:rPr>
                <w:rFonts w:hint="default" w:ascii="Times New Roman" w:hAnsi="Times New Roman" w:cs="Times New Roman"/>
                <w:color w:val="auto"/>
                <w:sz w:val="21"/>
                <w:highlight w:val="none"/>
              </w:rPr>
              <w:t>回水池后，通过</w:t>
            </w:r>
            <w:r>
              <w:rPr>
                <w:rFonts w:hint="default" w:ascii="Times New Roman" w:hAnsi="Times New Roman" w:cs="Times New Roman"/>
                <w:color w:val="auto"/>
                <w:sz w:val="21"/>
                <w:highlight w:val="none"/>
                <w:lang w:eastAsia="zh-CN"/>
              </w:rPr>
              <w:t>回水泵</w:t>
            </w:r>
            <w:r>
              <w:rPr>
                <w:rFonts w:hint="default" w:ascii="Times New Roman" w:hAnsi="Times New Roman" w:cs="Times New Roman"/>
                <w:color w:val="auto"/>
                <w:sz w:val="21"/>
                <w:highlight w:val="none"/>
              </w:rPr>
              <w:t>回用于</w:t>
            </w:r>
            <w:r>
              <w:rPr>
                <w:rFonts w:hint="default" w:ascii="Times New Roman" w:hAnsi="Times New Roman" w:cs="Times New Roman"/>
                <w:color w:val="auto"/>
                <w:sz w:val="21"/>
                <w:highlight w:val="none"/>
                <w:lang w:eastAsia="zh-CN"/>
              </w:rPr>
              <w:t>选矿</w:t>
            </w:r>
            <w:r>
              <w:rPr>
                <w:rFonts w:hint="default" w:ascii="Times New Roman" w:hAnsi="Times New Roman" w:cs="Times New Roman"/>
                <w:color w:val="auto"/>
                <w:sz w:val="21"/>
                <w:highlight w:val="none"/>
              </w:rPr>
              <w:t>生产，不外排。</w:t>
            </w:r>
          </w:p>
        </w:tc>
        <w:tc>
          <w:tcPr>
            <w:tcW w:w="287" w:type="pct"/>
            <w:tcBorders>
              <w:tl2br w:val="nil"/>
              <w:tr2bl w:val="nil"/>
            </w:tcBorders>
            <w:shd w:val="clear" w:color="auto" w:fill="auto"/>
            <w:noWrap w:val="0"/>
            <w:vAlign w:val="center"/>
          </w:tcPr>
          <w:p w14:paraId="579B404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0C680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260823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54B3E48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350C1E1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w:t>
            </w:r>
            <w:r>
              <w:rPr>
                <w:rFonts w:hint="default" w:ascii="Times New Roman" w:hAnsi="Times New Roman" w:cs="Times New Roman"/>
                <w:color w:val="auto"/>
                <w:sz w:val="21"/>
                <w:highlight w:val="none"/>
                <w:lang w:eastAsia="zh-CN"/>
              </w:rPr>
              <w:t>脱水</w:t>
            </w:r>
            <w:r>
              <w:rPr>
                <w:rFonts w:hint="default" w:ascii="Times New Roman" w:hAnsi="Times New Roman" w:cs="Times New Roman"/>
                <w:color w:val="auto"/>
                <w:sz w:val="21"/>
                <w:highlight w:val="none"/>
              </w:rPr>
              <w:t>废水</w:t>
            </w:r>
          </w:p>
        </w:tc>
        <w:tc>
          <w:tcPr>
            <w:tcW w:w="3500" w:type="pct"/>
            <w:tcBorders>
              <w:tl2br w:val="nil"/>
              <w:tr2bl w:val="nil"/>
            </w:tcBorders>
            <w:shd w:val="clear" w:color="auto" w:fill="auto"/>
            <w:noWrap w:val="0"/>
            <w:vAlign w:val="center"/>
          </w:tcPr>
          <w:p w14:paraId="0284641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w:t>
            </w:r>
            <w:r>
              <w:rPr>
                <w:rFonts w:hint="default" w:ascii="Times New Roman" w:hAnsi="Times New Roman" w:cs="Times New Roman"/>
                <w:color w:val="auto"/>
                <w:sz w:val="21"/>
                <w:highlight w:val="none"/>
                <w:lang w:eastAsia="zh-CN"/>
              </w:rPr>
              <w:t>脱水后</w:t>
            </w:r>
            <w:r>
              <w:rPr>
                <w:rFonts w:hint="default" w:ascii="Times New Roman" w:hAnsi="Times New Roman" w:cs="Times New Roman"/>
                <w:color w:val="auto"/>
                <w:sz w:val="21"/>
                <w:highlight w:val="none"/>
              </w:rPr>
              <w:t>废水排入</w:t>
            </w:r>
            <w:r>
              <w:rPr>
                <w:rFonts w:hint="default" w:ascii="Times New Roman" w:hAnsi="Times New Roman" w:cs="Times New Roman"/>
                <w:color w:val="auto"/>
                <w:sz w:val="21"/>
                <w:highlight w:val="none"/>
                <w:lang w:val="en-US" w:eastAsia="zh-CN"/>
              </w:rPr>
              <w:t>400</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vertAlign w:val="baseline"/>
                <w:lang w:eastAsia="zh-CN"/>
              </w:rPr>
              <w:t>生产</w:t>
            </w:r>
            <w:r>
              <w:rPr>
                <w:rFonts w:hint="default" w:ascii="Times New Roman" w:hAnsi="Times New Roman" w:cs="Times New Roman"/>
                <w:color w:val="auto"/>
                <w:sz w:val="21"/>
                <w:highlight w:val="none"/>
              </w:rPr>
              <w:t>回水池后，通过</w:t>
            </w:r>
            <w:r>
              <w:rPr>
                <w:rFonts w:hint="default" w:ascii="Times New Roman" w:hAnsi="Times New Roman" w:cs="Times New Roman"/>
                <w:color w:val="auto"/>
                <w:sz w:val="21"/>
                <w:highlight w:val="none"/>
                <w:lang w:eastAsia="zh-CN"/>
              </w:rPr>
              <w:t>回水泵</w:t>
            </w:r>
            <w:r>
              <w:rPr>
                <w:rFonts w:hint="default" w:ascii="Times New Roman" w:hAnsi="Times New Roman" w:cs="Times New Roman"/>
                <w:color w:val="auto"/>
                <w:sz w:val="21"/>
                <w:highlight w:val="none"/>
              </w:rPr>
              <w:t>回用于</w:t>
            </w:r>
            <w:r>
              <w:rPr>
                <w:rFonts w:hint="default" w:ascii="Times New Roman" w:hAnsi="Times New Roman" w:cs="Times New Roman"/>
                <w:color w:val="auto"/>
                <w:sz w:val="21"/>
                <w:highlight w:val="none"/>
                <w:lang w:eastAsia="zh-CN"/>
              </w:rPr>
              <w:t>选矿</w:t>
            </w:r>
            <w:r>
              <w:rPr>
                <w:rFonts w:hint="default" w:ascii="Times New Roman" w:hAnsi="Times New Roman" w:cs="Times New Roman"/>
                <w:color w:val="auto"/>
                <w:sz w:val="21"/>
                <w:highlight w:val="none"/>
              </w:rPr>
              <w:t>生产，不外排。</w:t>
            </w:r>
          </w:p>
        </w:tc>
        <w:tc>
          <w:tcPr>
            <w:tcW w:w="287" w:type="pct"/>
            <w:tcBorders>
              <w:tl2br w:val="nil"/>
              <w:tr2bl w:val="nil"/>
            </w:tcBorders>
            <w:shd w:val="clear" w:color="auto" w:fill="auto"/>
            <w:noWrap w:val="0"/>
            <w:vAlign w:val="center"/>
          </w:tcPr>
          <w:p w14:paraId="0C2E0AD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1E66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1CE285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0DDF704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68E5F92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生活污水</w:t>
            </w:r>
          </w:p>
        </w:tc>
        <w:tc>
          <w:tcPr>
            <w:tcW w:w="3500" w:type="pct"/>
            <w:tcBorders>
              <w:tl2br w:val="nil"/>
              <w:tr2bl w:val="nil"/>
            </w:tcBorders>
            <w:shd w:val="clear" w:color="auto" w:fill="auto"/>
            <w:noWrap w:val="0"/>
            <w:vAlign w:val="center"/>
          </w:tcPr>
          <w:p w14:paraId="328D238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生活污水经</w:t>
            </w:r>
            <w:r>
              <w:rPr>
                <w:rFonts w:hint="default" w:ascii="Times New Roman" w:hAnsi="Times New Roman" w:cs="Times New Roman"/>
                <w:color w:val="auto"/>
                <w:sz w:val="21"/>
                <w:highlight w:val="none"/>
                <w:lang w:eastAsia="zh-CN"/>
              </w:rPr>
              <w:t>地埋式一体化污水处理设施处理达标后</w:t>
            </w:r>
            <w:r>
              <w:rPr>
                <w:rFonts w:hint="default" w:ascii="Times New Roman" w:hAnsi="Times New Roman" w:cs="Times New Roman"/>
                <w:color w:val="auto"/>
                <w:sz w:val="21"/>
                <w:highlight w:val="none"/>
                <w:lang w:val="en-US" w:eastAsia="zh-CN"/>
              </w:rPr>
              <w:t>回用于厂区，不外排。</w:t>
            </w:r>
          </w:p>
        </w:tc>
        <w:tc>
          <w:tcPr>
            <w:tcW w:w="287" w:type="pct"/>
            <w:tcBorders>
              <w:tl2br w:val="nil"/>
              <w:tr2bl w:val="nil"/>
            </w:tcBorders>
            <w:shd w:val="clear" w:color="auto" w:fill="auto"/>
            <w:noWrap w:val="0"/>
            <w:vAlign w:val="center"/>
          </w:tcPr>
          <w:p w14:paraId="0FCB41C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1857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4E15367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tcBorders>
              <w:tl2br w:val="nil"/>
              <w:tr2bl w:val="nil"/>
            </w:tcBorders>
            <w:shd w:val="clear" w:color="auto" w:fill="auto"/>
            <w:noWrap w:val="0"/>
            <w:vAlign w:val="center"/>
          </w:tcPr>
          <w:p w14:paraId="7F5D65C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噪声</w:t>
            </w:r>
          </w:p>
        </w:tc>
        <w:tc>
          <w:tcPr>
            <w:tcW w:w="605" w:type="pct"/>
            <w:tcBorders>
              <w:tl2br w:val="nil"/>
              <w:tr2bl w:val="nil"/>
            </w:tcBorders>
            <w:shd w:val="clear" w:color="auto" w:fill="auto"/>
            <w:noWrap w:val="0"/>
            <w:vAlign w:val="center"/>
          </w:tcPr>
          <w:p w14:paraId="5364808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机械设备</w:t>
            </w:r>
          </w:p>
        </w:tc>
        <w:tc>
          <w:tcPr>
            <w:tcW w:w="3500" w:type="pct"/>
            <w:tcBorders>
              <w:tl2br w:val="nil"/>
              <w:tr2bl w:val="nil"/>
            </w:tcBorders>
            <w:shd w:val="clear" w:color="auto" w:fill="auto"/>
            <w:noWrap w:val="0"/>
            <w:vAlign w:val="center"/>
          </w:tcPr>
          <w:p w14:paraId="767C144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采用低噪声设备，隔声、减振、消声、吸声等措施。</w:t>
            </w:r>
          </w:p>
        </w:tc>
        <w:tc>
          <w:tcPr>
            <w:tcW w:w="287" w:type="pct"/>
            <w:tcBorders>
              <w:tl2br w:val="nil"/>
              <w:tr2bl w:val="nil"/>
            </w:tcBorders>
            <w:shd w:val="clear" w:color="auto" w:fill="auto"/>
            <w:noWrap w:val="0"/>
            <w:vAlign w:val="center"/>
          </w:tcPr>
          <w:p w14:paraId="25FE477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0EA67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7AD4A4C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restart"/>
            <w:tcBorders>
              <w:tl2br w:val="nil"/>
              <w:tr2bl w:val="nil"/>
            </w:tcBorders>
            <w:shd w:val="clear" w:color="auto" w:fill="auto"/>
            <w:noWrap w:val="0"/>
            <w:vAlign w:val="center"/>
          </w:tcPr>
          <w:p w14:paraId="5C56CC9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固废</w:t>
            </w:r>
          </w:p>
        </w:tc>
        <w:tc>
          <w:tcPr>
            <w:tcW w:w="605" w:type="pct"/>
            <w:tcBorders>
              <w:tl2br w:val="nil"/>
              <w:tr2bl w:val="nil"/>
            </w:tcBorders>
            <w:shd w:val="clear" w:color="auto" w:fill="auto"/>
            <w:noWrap w:val="0"/>
            <w:vAlign w:val="center"/>
          </w:tcPr>
          <w:p w14:paraId="521754F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w:t>
            </w:r>
          </w:p>
        </w:tc>
        <w:tc>
          <w:tcPr>
            <w:tcW w:w="3500" w:type="pct"/>
            <w:tcBorders>
              <w:tl2br w:val="nil"/>
              <w:tr2bl w:val="nil"/>
            </w:tcBorders>
            <w:shd w:val="clear" w:color="auto" w:fill="auto"/>
            <w:noWrap w:val="0"/>
            <w:vAlign w:val="center"/>
          </w:tcPr>
          <w:p w14:paraId="62B4BC3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尾矿属于</w:t>
            </w:r>
            <w:r>
              <w:rPr>
                <w:rFonts w:hint="default" w:ascii="Times New Roman" w:hAnsi="Times New Roman" w:eastAsia="宋体" w:cs="Times New Roman"/>
                <w:color w:val="auto"/>
                <w:sz w:val="21"/>
                <w:highlight w:val="none"/>
              </w:rPr>
              <w:t>Ⅱ</w:t>
            </w:r>
            <w:r>
              <w:rPr>
                <w:rFonts w:hint="default" w:ascii="Times New Roman" w:hAnsi="Times New Roman" w:cs="Times New Roman"/>
                <w:color w:val="auto"/>
                <w:sz w:val="21"/>
                <w:highlight w:val="none"/>
              </w:rPr>
              <w:t>类一般工业固废。整个库区铺设人工防渗系统，防渗等级可达到</w:t>
            </w:r>
            <w:r>
              <w:rPr>
                <w:rFonts w:hint="default" w:ascii="Times New Roman" w:hAnsi="Times New Roman" w:cs="Times New Roman"/>
                <w:color w:val="auto"/>
                <w:sz w:val="21"/>
                <w:highlight w:val="none"/>
                <w:lang w:val="zh-CN"/>
              </w:rPr>
              <w:t>《一般工业固体废物贮存和填埋污染控制标准》（GB18599-2020）</w:t>
            </w:r>
            <w:r>
              <w:rPr>
                <w:rFonts w:hint="default" w:ascii="Times New Roman" w:hAnsi="Times New Roman" w:eastAsia="宋体" w:cs="Times New Roman"/>
                <w:color w:val="auto"/>
                <w:sz w:val="21"/>
                <w:highlight w:val="none"/>
              </w:rPr>
              <w:t>Ⅱ</w:t>
            </w:r>
            <w:r>
              <w:rPr>
                <w:rFonts w:hint="default" w:ascii="Times New Roman" w:hAnsi="Times New Roman" w:cs="Times New Roman"/>
                <w:color w:val="auto"/>
                <w:sz w:val="21"/>
                <w:highlight w:val="none"/>
              </w:rPr>
              <w:t>类一般工业固废防渗要求，尾矿</w:t>
            </w:r>
            <w:r>
              <w:rPr>
                <w:rFonts w:hint="default" w:ascii="Times New Roman" w:hAnsi="Times New Roman" w:cs="Times New Roman"/>
                <w:color w:val="auto"/>
                <w:sz w:val="21"/>
                <w:highlight w:val="none"/>
                <w:lang w:eastAsia="zh-CN"/>
              </w:rPr>
              <w:t>部分用于回填采坑，</w:t>
            </w:r>
            <w:r>
              <w:rPr>
                <w:rFonts w:hint="default" w:ascii="Times New Roman" w:hAnsi="Times New Roman" w:cs="Times New Roman"/>
                <w:color w:val="auto"/>
                <w:sz w:val="21"/>
                <w:highlight w:val="none"/>
              </w:rPr>
              <w:t>其余堆存至尾矿库内。</w:t>
            </w:r>
          </w:p>
        </w:tc>
        <w:tc>
          <w:tcPr>
            <w:tcW w:w="287" w:type="pct"/>
            <w:tcBorders>
              <w:tl2br w:val="nil"/>
              <w:tr2bl w:val="nil"/>
            </w:tcBorders>
            <w:shd w:val="clear" w:color="auto" w:fill="auto"/>
            <w:noWrap w:val="0"/>
            <w:vAlign w:val="center"/>
          </w:tcPr>
          <w:p w14:paraId="557F4C5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41BA7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6902CDF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50D9AED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0BC4CD4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除尘灰</w:t>
            </w:r>
          </w:p>
        </w:tc>
        <w:tc>
          <w:tcPr>
            <w:tcW w:w="3500" w:type="pct"/>
            <w:tcBorders>
              <w:tl2br w:val="nil"/>
              <w:tr2bl w:val="nil"/>
            </w:tcBorders>
            <w:shd w:val="clear" w:color="auto" w:fill="auto"/>
            <w:noWrap w:val="0"/>
            <w:vAlign w:val="center"/>
          </w:tcPr>
          <w:p w14:paraId="60BF7B7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选矿厂除尘灰回用于生产。</w:t>
            </w:r>
          </w:p>
        </w:tc>
        <w:tc>
          <w:tcPr>
            <w:tcW w:w="287" w:type="pct"/>
            <w:tcBorders>
              <w:tl2br w:val="nil"/>
              <w:tr2bl w:val="nil"/>
            </w:tcBorders>
            <w:shd w:val="clear" w:color="auto" w:fill="auto"/>
            <w:noWrap w:val="0"/>
            <w:vAlign w:val="center"/>
          </w:tcPr>
          <w:p w14:paraId="2A3219E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1076C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609B6E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10ECFB7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6948FA2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废布袋（除尘器）</w:t>
            </w:r>
          </w:p>
        </w:tc>
        <w:tc>
          <w:tcPr>
            <w:tcW w:w="3500" w:type="pct"/>
            <w:tcBorders>
              <w:tl2br w:val="nil"/>
              <w:tr2bl w:val="nil"/>
            </w:tcBorders>
            <w:shd w:val="clear" w:color="auto" w:fill="auto"/>
            <w:noWrap w:val="0"/>
            <w:vAlign w:val="center"/>
          </w:tcPr>
          <w:p w14:paraId="1285155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来源于选厂生产线的除尘器，属于一般固废，集中收集后定期由厂家回收利用。</w:t>
            </w:r>
          </w:p>
        </w:tc>
        <w:tc>
          <w:tcPr>
            <w:tcW w:w="287" w:type="pct"/>
            <w:tcBorders>
              <w:tl2br w:val="nil"/>
              <w:tr2bl w:val="nil"/>
            </w:tcBorders>
            <w:shd w:val="clear" w:color="auto" w:fill="auto"/>
            <w:noWrap w:val="0"/>
            <w:vAlign w:val="center"/>
          </w:tcPr>
          <w:p w14:paraId="373DAA1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199D0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65EC7AE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60D5BEA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5D9A08B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生产回</w:t>
            </w:r>
            <w:r>
              <w:rPr>
                <w:rFonts w:hint="default" w:ascii="Times New Roman" w:hAnsi="Times New Roman" w:cs="Times New Roman"/>
                <w:color w:val="auto"/>
                <w:sz w:val="21"/>
                <w:highlight w:val="none"/>
              </w:rPr>
              <w:t>水池底泥</w:t>
            </w:r>
          </w:p>
        </w:tc>
        <w:tc>
          <w:tcPr>
            <w:tcW w:w="3500" w:type="pct"/>
            <w:tcBorders>
              <w:tl2br w:val="nil"/>
              <w:tr2bl w:val="nil"/>
            </w:tcBorders>
            <w:shd w:val="clear" w:color="auto" w:fill="auto"/>
            <w:noWrap w:val="0"/>
            <w:vAlign w:val="center"/>
          </w:tcPr>
          <w:p w14:paraId="0469DA21">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生产回水池</w:t>
            </w:r>
            <w:r>
              <w:rPr>
                <w:rFonts w:hint="default" w:ascii="Times New Roman" w:hAnsi="Times New Roman" w:cs="Times New Roman"/>
                <w:color w:val="auto"/>
                <w:sz w:val="21"/>
                <w:highlight w:val="none"/>
              </w:rPr>
              <w:t>底泥定期清掏，返回生产工序。</w:t>
            </w:r>
          </w:p>
        </w:tc>
        <w:tc>
          <w:tcPr>
            <w:tcW w:w="287" w:type="pct"/>
            <w:tcBorders>
              <w:tl2br w:val="nil"/>
              <w:tr2bl w:val="nil"/>
            </w:tcBorders>
            <w:shd w:val="clear" w:color="auto" w:fill="auto"/>
            <w:noWrap w:val="0"/>
            <w:vAlign w:val="center"/>
          </w:tcPr>
          <w:p w14:paraId="71C0F6A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B727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7DF0CC6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16E5FAB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6046720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生活污水处理设施底泥</w:t>
            </w:r>
          </w:p>
        </w:tc>
        <w:tc>
          <w:tcPr>
            <w:tcW w:w="3500" w:type="pct"/>
            <w:tcBorders>
              <w:tl2br w:val="nil"/>
              <w:tr2bl w:val="nil"/>
            </w:tcBorders>
            <w:shd w:val="clear" w:color="auto" w:fill="auto"/>
            <w:noWrap w:val="0"/>
            <w:vAlign w:val="center"/>
          </w:tcPr>
          <w:p w14:paraId="481A087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经压滤后（底泥含水率小于60%）定期拉运至</w:t>
            </w:r>
            <w:r>
              <w:rPr>
                <w:rFonts w:hint="default" w:cs="Times New Roman"/>
                <w:color w:val="auto"/>
                <w:sz w:val="21"/>
                <w:szCs w:val="21"/>
                <w:highlight w:val="none"/>
                <w:lang w:val="en-US" w:eastAsia="zh-CN"/>
              </w:rPr>
              <w:t>富蕴县杜热镇生活垃圾填埋场</w:t>
            </w:r>
            <w:r>
              <w:rPr>
                <w:rFonts w:hint="default" w:ascii="Times New Roman" w:hAnsi="Times New Roman" w:eastAsia="宋体" w:cs="Times New Roman"/>
                <w:color w:val="auto"/>
                <w:sz w:val="21"/>
                <w:szCs w:val="21"/>
                <w:highlight w:val="none"/>
                <w:lang w:val="en-US" w:eastAsia="zh-CN"/>
              </w:rPr>
              <w:t>。</w:t>
            </w:r>
          </w:p>
        </w:tc>
        <w:tc>
          <w:tcPr>
            <w:tcW w:w="287" w:type="pct"/>
            <w:tcBorders>
              <w:tl2br w:val="nil"/>
              <w:tr2bl w:val="nil"/>
            </w:tcBorders>
            <w:shd w:val="clear" w:color="auto" w:fill="auto"/>
            <w:noWrap w:val="0"/>
            <w:vAlign w:val="center"/>
          </w:tcPr>
          <w:p w14:paraId="779D55C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新建</w:t>
            </w:r>
          </w:p>
        </w:tc>
      </w:tr>
      <w:tr w14:paraId="59185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6BB087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03B909E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4499E6D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废矿物油</w:t>
            </w:r>
          </w:p>
        </w:tc>
        <w:tc>
          <w:tcPr>
            <w:tcW w:w="3500" w:type="pct"/>
            <w:tcBorders>
              <w:tl2br w:val="nil"/>
              <w:tr2bl w:val="nil"/>
            </w:tcBorders>
            <w:shd w:val="clear" w:color="auto" w:fill="auto"/>
            <w:noWrap w:val="0"/>
            <w:vAlign w:val="center"/>
          </w:tcPr>
          <w:p w14:paraId="1A8EA85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主要包括废矿物油、废油桶，属于危险废物（HW08），暂存于</w:t>
            </w:r>
            <w:r>
              <w:rPr>
                <w:rFonts w:hint="default" w:cs="Times New Roman"/>
                <w:color w:val="auto"/>
                <w:sz w:val="21"/>
                <w:highlight w:val="none"/>
                <w:lang w:eastAsia="zh-CN"/>
              </w:rPr>
              <w:t>危废贮存点</w:t>
            </w:r>
            <w:r>
              <w:rPr>
                <w:rFonts w:hint="default" w:ascii="Times New Roman" w:hAnsi="Times New Roman" w:cs="Times New Roman"/>
                <w:color w:val="auto"/>
                <w:sz w:val="21"/>
                <w:highlight w:val="none"/>
              </w:rPr>
              <w:t>，做到防雨、防渗、防风，委托有资质单位进行处</w:t>
            </w:r>
            <w:r>
              <w:rPr>
                <w:rFonts w:hint="default" w:ascii="Times New Roman" w:hAnsi="Times New Roman" w:cs="Times New Roman"/>
                <w:color w:val="auto"/>
                <w:sz w:val="21"/>
                <w:highlight w:val="none"/>
                <w:lang w:eastAsia="zh-CN"/>
              </w:rPr>
              <w:t>置</w:t>
            </w:r>
            <w:r>
              <w:rPr>
                <w:rFonts w:hint="default" w:ascii="Times New Roman" w:hAnsi="Times New Roman" w:cs="Times New Roman"/>
                <w:color w:val="auto"/>
                <w:sz w:val="21"/>
                <w:highlight w:val="none"/>
              </w:rPr>
              <w:t>。</w:t>
            </w:r>
          </w:p>
        </w:tc>
        <w:tc>
          <w:tcPr>
            <w:tcW w:w="287" w:type="pct"/>
            <w:tcBorders>
              <w:tl2br w:val="nil"/>
              <w:tr2bl w:val="nil"/>
            </w:tcBorders>
            <w:shd w:val="clear" w:color="auto" w:fill="auto"/>
            <w:noWrap w:val="0"/>
            <w:vAlign w:val="center"/>
          </w:tcPr>
          <w:p w14:paraId="6ED4F2D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31A2E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15B3CCF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1F59EE1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6B84F8ED">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生活垃圾</w:t>
            </w:r>
          </w:p>
        </w:tc>
        <w:tc>
          <w:tcPr>
            <w:tcW w:w="3500" w:type="pct"/>
            <w:tcBorders>
              <w:tl2br w:val="nil"/>
              <w:tr2bl w:val="nil"/>
            </w:tcBorders>
            <w:shd w:val="clear" w:color="auto" w:fill="auto"/>
            <w:noWrap w:val="0"/>
            <w:vAlign w:val="center"/>
          </w:tcPr>
          <w:p w14:paraId="4858838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生活垃圾集中收集定期清运至</w:t>
            </w:r>
            <w:r>
              <w:rPr>
                <w:rFonts w:hint="default" w:cs="Times New Roman"/>
                <w:color w:val="auto"/>
                <w:sz w:val="21"/>
                <w:szCs w:val="21"/>
                <w:highlight w:val="none"/>
                <w:lang w:val="en-US" w:eastAsia="zh-CN"/>
              </w:rPr>
              <w:t>富蕴县杜热镇生活垃圾填埋场</w:t>
            </w:r>
            <w:r>
              <w:rPr>
                <w:rFonts w:hint="default" w:ascii="Times New Roman" w:hAnsi="Times New Roman" w:cs="Times New Roman"/>
                <w:color w:val="auto"/>
                <w:spacing w:val="-2"/>
                <w:sz w:val="21"/>
                <w:highlight w:val="none"/>
              </w:rPr>
              <w:t>。</w:t>
            </w:r>
          </w:p>
        </w:tc>
        <w:tc>
          <w:tcPr>
            <w:tcW w:w="287" w:type="pct"/>
            <w:tcBorders>
              <w:tl2br w:val="nil"/>
              <w:tr2bl w:val="nil"/>
            </w:tcBorders>
            <w:shd w:val="clear" w:color="auto" w:fill="auto"/>
            <w:noWrap w:val="0"/>
            <w:vAlign w:val="center"/>
          </w:tcPr>
          <w:p w14:paraId="6795A71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608A0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3871356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restart"/>
            <w:tcBorders>
              <w:tl2br w:val="nil"/>
              <w:tr2bl w:val="nil"/>
            </w:tcBorders>
            <w:shd w:val="clear" w:color="auto" w:fill="auto"/>
            <w:noWrap w:val="0"/>
            <w:vAlign w:val="center"/>
          </w:tcPr>
          <w:p w14:paraId="47819A1E">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生态</w:t>
            </w:r>
          </w:p>
        </w:tc>
        <w:tc>
          <w:tcPr>
            <w:tcW w:w="605" w:type="pct"/>
            <w:tcBorders>
              <w:tl2br w:val="nil"/>
              <w:tr2bl w:val="nil"/>
            </w:tcBorders>
            <w:shd w:val="clear" w:color="auto" w:fill="auto"/>
            <w:noWrap w:val="0"/>
            <w:vAlign w:val="center"/>
          </w:tcPr>
          <w:p w14:paraId="138581F0">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绿化</w:t>
            </w:r>
          </w:p>
        </w:tc>
        <w:tc>
          <w:tcPr>
            <w:tcW w:w="3500" w:type="pct"/>
            <w:tcBorders>
              <w:tl2br w:val="nil"/>
              <w:tr2bl w:val="nil"/>
            </w:tcBorders>
            <w:shd w:val="clear" w:color="auto" w:fill="auto"/>
            <w:noWrap w:val="0"/>
            <w:vAlign w:val="center"/>
          </w:tcPr>
          <w:p w14:paraId="533559F5">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选矿厂内道路两侧及生活区周围进行绿化。</w:t>
            </w:r>
          </w:p>
        </w:tc>
        <w:tc>
          <w:tcPr>
            <w:tcW w:w="287" w:type="pct"/>
            <w:tcBorders>
              <w:tl2br w:val="nil"/>
              <w:tr2bl w:val="nil"/>
            </w:tcBorders>
            <w:shd w:val="clear" w:color="auto" w:fill="auto"/>
            <w:noWrap w:val="0"/>
            <w:vAlign w:val="center"/>
          </w:tcPr>
          <w:p w14:paraId="4A39D5F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2ADB0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00C197D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153F750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0CEE51D3">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土地复垦</w:t>
            </w:r>
          </w:p>
        </w:tc>
        <w:tc>
          <w:tcPr>
            <w:tcW w:w="3500" w:type="pct"/>
            <w:tcBorders>
              <w:tl2br w:val="nil"/>
              <w:tr2bl w:val="nil"/>
            </w:tcBorders>
            <w:shd w:val="clear" w:color="auto" w:fill="auto"/>
            <w:noWrap w:val="0"/>
            <w:vAlign w:val="center"/>
          </w:tcPr>
          <w:p w14:paraId="6361EDD1">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主要为尾矿库，待尾矿库进入退役期后及时进行土地复垦</w:t>
            </w:r>
            <w:r>
              <w:rPr>
                <w:rFonts w:hint="default" w:ascii="Times New Roman" w:hAnsi="Times New Roman" w:cs="Times New Roman"/>
                <w:color w:val="auto"/>
                <w:sz w:val="21"/>
                <w:highlight w:val="none"/>
                <w:lang w:eastAsia="zh-CN"/>
              </w:rPr>
              <w:t>。</w:t>
            </w:r>
          </w:p>
        </w:tc>
        <w:tc>
          <w:tcPr>
            <w:tcW w:w="287" w:type="pct"/>
            <w:tcBorders>
              <w:tl2br w:val="nil"/>
              <w:tr2bl w:val="nil"/>
            </w:tcBorders>
            <w:shd w:val="clear" w:color="auto" w:fill="auto"/>
            <w:noWrap w:val="0"/>
            <w:vAlign w:val="center"/>
          </w:tcPr>
          <w:p w14:paraId="3C9C155F">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7AC59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207BA09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restart"/>
            <w:tcBorders>
              <w:tl2br w:val="nil"/>
              <w:tr2bl w:val="nil"/>
            </w:tcBorders>
            <w:shd w:val="clear" w:color="auto" w:fill="auto"/>
            <w:noWrap w:val="0"/>
            <w:vAlign w:val="center"/>
          </w:tcPr>
          <w:p w14:paraId="7D14BD2F">
            <w:pPr>
              <w:spacing w:line="360" w:lineRule="exact"/>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地下水</w:t>
            </w:r>
          </w:p>
        </w:tc>
        <w:tc>
          <w:tcPr>
            <w:tcW w:w="605" w:type="pct"/>
            <w:tcBorders>
              <w:tl2br w:val="nil"/>
              <w:tr2bl w:val="nil"/>
            </w:tcBorders>
            <w:shd w:val="clear" w:color="auto" w:fill="auto"/>
            <w:noWrap w:val="0"/>
            <w:vAlign w:val="center"/>
          </w:tcPr>
          <w:p w14:paraId="64E8979B">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尾矿库防渗</w:t>
            </w:r>
          </w:p>
        </w:tc>
        <w:tc>
          <w:tcPr>
            <w:tcW w:w="3500" w:type="pct"/>
            <w:tcBorders>
              <w:tl2br w:val="nil"/>
              <w:tr2bl w:val="nil"/>
            </w:tcBorders>
            <w:shd w:val="clear" w:color="auto" w:fill="auto"/>
            <w:noWrap w:val="0"/>
            <w:vAlign w:val="center"/>
          </w:tcPr>
          <w:p w14:paraId="43B025BF">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highlight w:val="none"/>
                <w:lang w:bidi="ar"/>
              </w:rPr>
              <w:t>尾矿坝为碾压式土石坝，坝体内坡及库底铺设防渗层，采用</w:t>
            </w:r>
            <w:r>
              <w:rPr>
                <w:rFonts w:hint="default" w:ascii="Times New Roman" w:hAnsi="Times New Roman" w:cs="Times New Roman"/>
                <w:color w:val="auto"/>
                <w:kern w:val="0"/>
                <w:sz w:val="21"/>
                <w:highlight w:val="none"/>
                <w:lang w:val="en-US" w:eastAsia="zh-CN" w:bidi="ar"/>
              </w:rPr>
              <w:t>1.5mm</w:t>
            </w:r>
            <w:r>
              <w:rPr>
                <w:rFonts w:hint="default" w:ascii="Times New Roman" w:hAnsi="Times New Roman" w:cs="Times New Roman"/>
                <w:color w:val="auto"/>
                <w:kern w:val="0"/>
                <w:sz w:val="21"/>
                <w:highlight w:val="none"/>
                <w:lang w:bidi="ar"/>
              </w:rPr>
              <w:t>HDPE复合土工膜全库防渗。</w:t>
            </w:r>
          </w:p>
        </w:tc>
        <w:tc>
          <w:tcPr>
            <w:tcW w:w="287" w:type="pct"/>
            <w:tcBorders>
              <w:tl2br w:val="nil"/>
              <w:tr2bl w:val="nil"/>
            </w:tcBorders>
            <w:shd w:val="clear" w:color="auto" w:fill="auto"/>
            <w:noWrap w:val="0"/>
            <w:vAlign w:val="center"/>
          </w:tcPr>
          <w:p w14:paraId="0B34115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6A4F0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D022E4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1CCDA397">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48881260">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工业场地分区防渗</w:t>
            </w:r>
          </w:p>
        </w:tc>
        <w:tc>
          <w:tcPr>
            <w:tcW w:w="3500" w:type="pct"/>
            <w:tcBorders>
              <w:tl2br w:val="nil"/>
              <w:tr2bl w:val="nil"/>
            </w:tcBorders>
            <w:shd w:val="clear" w:color="auto" w:fill="auto"/>
            <w:noWrap w:val="0"/>
            <w:vAlign w:val="center"/>
          </w:tcPr>
          <w:p w14:paraId="1DC7B18C">
            <w:pPr>
              <w:pStyle w:val="131"/>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kern w:val="0"/>
                <w:sz w:val="21"/>
                <w:highlight w:val="none"/>
                <w:lang w:bidi="ar"/>
              </w:rPr>
            </w:pPr>
            <w:r>
              <w:rPr>
                <w:rFonts w:hint="default" w:ascii="Times New Roman" w:hAnsi="Times New Roman" w:cs="Times New Roman"/>
                <w:color w:val="auto"/>
                <w:kern w:val="0"/>
                <w:sz w:val="21"/>
                <w:highlight w:val="none"/>
                <w:lang w:bidi="ar"/>
              </w:rPr>
              <w:t>污染区应按照不同分区要求，采取不同等级的防渗措施，并确保其可靠性和有效性。</w:t>
            </w:r>
          </w:p>
          <w:p w14:paraId="56928D72">
            <w:pPr>
              <w:pStyle w:val="131"/>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kern w:val="0"/>
                <w:sz w:val="21"/>
                <w:highlight w:val="none"/>
                <w:lang w:eastAsia="zh-CN" w:bidi="ar"/>
              </w:rPr>
            </w:pPr>
            <w:r>
              <w:rPr>
                <w:rFonts w:hint="default" w:ascii="Times New Roman" w:hAnsi="Times New Roman" w:cs="Times New Roman"/>
                <w:color w:val="auto"/>
                <w:kern w:val="0"/>
                <w:sz w:val="21"/>
                <w:highlight w:val="none"/>
                <w:lang w:bidi="ar"/>
              </w:rPr>
              <w:t>重点</w:t>
            </w:r>
            <w:r>
              <w:rPr>
                <w:rFonts w:hint="default" w:ascii="Times New Roman" w:hAnsi="Times New Roman" w:cs="Times New Roman"/>
                <w:color w:val="auto"/>
                <w:kern w:val="0"/>
                <w:sz w:val="21"/>
                <w:highlight w:val="none"/>
                <w:lang w:eastAsia="zh-CN" w:bidi="ar"/>
              </w:rPr>
              <w:t>防渗</w:t>
            </w:r>
            <w:r>
              <w:rPr>
                <w:rFonts w:hint="default" w:ascii="Times New Roman" w:hAnsi="Times New Roman" w:cs="Times New Roman"/>
                <w:color w:val="auto"/>
                <w:kern w:val="0"/>
                <w:sz w:val="21"/>
                <w:highlight w:val="none"/>
                <w:lang w:bidi="ar"/>
              </w:rPr>
              <w:t>区主要包括</w:t>
            </w:r>
            <w:r>
              <w:rPr>
                <w:rFonts w:hint="default" w:cs="Times New Roman"/>
                <w:color w:val="auto"/>
                <w:kern w:val="0"/>
                <w:sz w:val="21"/>
                <w:highlight w:val="none"/>
                <w:lang w:eastAsia="zh-CN" w:bidi="ar"/>
              </w:rPr>
              <w:t>危废贮存点</w:t>
            </w:r>
            <w:r>
              <w:rPr>
                <w:rFonts w:hint="default" w:ascii="Times New Roman" w:hAnsi="Times New Roman" w:cs="Times New Roman"/>
                <w:color w:val="auto"/>
                <w:kern w:val="0"/>
                <w:sz w:val="21"/>
                <w:highlight w:val="none"/>
                <w:lang w:bidi="ar"/>
              </w:rPr>
              <w:t>、药剂</w:t>
            </w:r>
            <w:r>
              <w:rPr>
                <w:rFonts w:hint="default" w:ascii="Times New Roman" w:hAnsi="Times New Roman" w:cs="Times New Roman"/>
                <w:color w:val="auto"/>
                <w:kern w:val="0"/>
                <w:sz w:val="21"/>
                <w:highlight w:val="none"/>
                <w:lang w:eastAsia="zh-CN" w:bidi="ar"/>
              </w:rPr>
              <w:t>库、尾矿库、生产回水池、</w:t>
            </w:r>
            <w:r>
              <w:rPr>
                <w:rFonts w:hint="default" w:ascii="Times New Roman" w:hAnsi="Times New Roman" w:cs="Times New Roman"/>
                <w:color w:val="auto"/>
                <w:kern w:val="0"/>
                <w:sz w:val="21"/>
                <w:highlight w:val="none"/>
                <w:lang w:val="en-US" w:eastAsia="zh-CN" w:bidi="ar"/>
              </w:rPr>
              <w:t>生活污水处理设施、</w:t>
            </w:r>
            <w:r>
              <w:rPr>
                <w:rFonts w:hint="default" w:ascii="Times New Roman" w:hAnsi="Times New Roman" w:cs="Times New Roman"/>
                <w:color w:val="auto"/>
                <w:kern w:val="0"/>
                <w:sz w:val="21"/>
                <w:highlight w:val="none"/>
                <w:lang w:eastAsia="zh-CN" w:bidi="ar"/>
              </w:rPr>
              <w:t>磨矿分级厂房、浮选厂房、精矿脱水厂房、</w:t>
            </w:r>
            <w:r>
              <w:rPr>
                <w:rFonts w:hint="default" w:cs="Times New Roman"/>
                <w:color w:val="auto"/>
                <w:kern w:val="0"/>
                <w:sz w:val="21"/>
                <w:highlight w:val="none"/>
                <w:lang w:val="en-US" w:eastAsia="zh-CN" w:bidi="ar"/>
              </w:rPr>
              <w:t>危废贮存点</w:t>
            </w:r>
            <w:r>
              <w:rPr>
                <w:rFonts w:hint="default" w:ascii="Times New Roman" w:hAnsi="Times New Roman" w:cs="Times New Roman"/>
                <w:color w:val="auto"/>
                <w:kern w:val="0"/>
                <w:sz w:val="21"/>
                <w:highlight w:val="none"/>
                <w:lang w:bidi="ar"/>
              </w:rPr>
              <w:t>等</w:t>
            </w:r>
            <w:r>
              <w:rPr>
                <w:rFonts w:hint="default" w:ascii="Times New Roman" w:hAnsi="Times New Roman" w:cs="Times New Roman"/>
                <w:color w:val="auto"/>
                <w:kern w:val="0"/>
                <w:sz w:val="21"/>
                <w:highlight w:val="none"/>
                <w:lang w:eastAsia="zh-CN" w:bidi="ar"/>
              </w:rPr>
              <w:t>；</w:t>
            </w:r>
          </w:p>
          <w:p w14:paraId="5FEB0164">
            <w:pPr>
              <w:pStyle w:val="131"/>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kern w:val="0"/>
                <w:sz w:val="21"/>
                <w:highlight w:val="none"/>
                <w:lang w:eastAsia="zh-CN" w:bidi="ar"/>
              </w:rPr>
            </w:pPr>
            <w:r>
              <w:rPr>
                <w:rFonts w:hint="default" w:ascii="Times New Roman" w:hAnsi="Times New Roman" w:cs="Times New Roman"/>
                <w:color w:val="auto"/>
                <w:kern w:val="0"/>
                <w:sz w:val="21"/>
                <w:highlight w:val="none"/>
                <w:lang w:bidi="ar"/>
              </w:rPr>
              <w:t>一般</w:t>
            </w:r>
            <w:r>
              <w:rPr>
                <w:rFonts w:hint="default" w:ascii="Times New Roman" w:hAnsi="Times New Roman" w:cs="Times New Roman"/>
                <w:color w:val="auto"/>
                <w:kern w:val="0"/>
                <w:sz w:val="21"/>
                <w:highlight w:val="none"/>
                <w:lang w:eastAsia="zh-CN" w:bidi="ar"/>
              </w:rPr>
              <w:t>防渗</w:t>
            </w:r>
            <w:r>
              <w:rPr>
                <w:rFonts w:hint="default" w:ascii="Times New Roman" w:hAnsi="Times New Roman" w:cs="Times New Roman"/>
                <w:color w:val="auto"/>
                <w:kern w:val="0"/>
                <w:sz w:val="21"/>
                <w:highlight w:val="none"/>
                <w:lang w:bidi="ar"/>
              </w:rPr>
              <w:t>区主要包括原矿堆场、原矿仓、</w:t>
            </w:r>
            <w:r>
              <w:rPr>
                <w:rFonts w:hint="default" w:ascii="Times New Roman" w:hAnsi="Times New Roman" w:cs="Times New Roman"/>
                <w:color w:val="auto"/>
                <w:kern w:val="0"/>
                <w:sz w:val="21"/>
                <w:highlight w:val="none"/>
                <w:lang w:eastAsia="zh-CN" w:bidi="ar"/>
              </w:rPr>
              <w:t>粗碎厂房、中细碎厂房、筛分厂房</w:t>
            </w:r>
            <w:r>
              <w:rPr>
                <w:rFonts w:hint="default" w:ascii="Times New Roman" w:hAnsi="Times New Roman" w:cs="Times New Roman"/>
                <w:color w:val="auto"/>
                <w:kern w:val="0"/>
                <w:sz w:val="21"/>
                <w:highlight w:val="none"/>
                <w:lang w:bidi="ar"/>
              </w:rPr>
              <w:t>等</w:t>
            </w:r>
            <w:r>
              <w:rPr>
                <w:rFonts w:hint="default" w:ascii="Times New Roman" w:hAnsi="Times New Roman" w:cs="Times New Roman"/>
                <w:color w:val="auto"/>
                <w:kern w:val="0"/>
                <w:sz w:val="21"/>
                <w:highlight w:val="none"/>
                <w:lang w:eastAsia="zh-CN" w:bidi="ar"/>
              </w:rPr>
              <w:t>；</w:t>
            </w:r>
          </w:p>
          <w:p w14:paraId="051FA211">
            <w:pPr>
              <w:pStyle w:val="131"/>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highlight w:val="none"/>
                <w:lang w:bidi="ar"/>
              </w:rPr>
              <w:t>简单防渗区主要包括办公生活区、</w:t>
            </w:r>
            <w:r>
              <w:rPr>
                <w:rFonts w:hint="default" w:ascii="Times New Roman" w:hAnsi="Times New Roman" w:cs="Times New Roman"/>
                <w:color w:val="auto"/>
                <w:kern w:val="0"/>
                <w:sz w:val="21"/>
                <w:highlight w:val="none"/>
                <w:lang w:eastAsia="zh-CN" w:bidi="ar"/>
              </w:rPr>
              <w:t>厂内道路</w:t>
            </w:r>
            <w:r>
              <w:rPr>
                <w:rFonts w:hint="default" w:ascii="Times New Roman" w:hAnsi="Times New Roman" w:cs="Times New Roman"/>
                <w:color w:val="auto"/>
                <w:kern w:val="0"/>
                <w:sz w:val="21"/>
                <w:highlight w:val="none"/>
                <w:lang w:bidi="ar"/>
              </w:rPr>
              <w:t>等</w:t>
            </w:r>
            <w:r>
              <w:rPr>
                <w:rFonts w:hint="default" w:ascii="Times New Roman" w:hAnsi="Times New Roman" w:cs="Times New Roman"/>
                <w:color w:val="auto"/>
                <w:kern w:val="0"/>
                <w:sz w:val="21"/>
                <w:highlight w:val="none"/>
                <w:lang w:eastAsia="zh-CN" w:bidi="ar"/>
              </w:rPr>
              <w:t>。</w:t>
            </w:r>
          </w:p>
        </w:tc>
        <w:tc>
          <w:tcPr>
            <w:tcW w:w="287" w:type="pct"/>
            <w:tcBorders>
              <w:tl2br w:val="nil"/>
              <w:tr2bl w:val="nil"/>
            </w:tcBorders>
            <w:shd w:val="clear" w:color="auto" w:fill="auto"/>
            <w:noWrap w:val="0"/>
            <w:vAlign w:val="center"/>
          </w:tcPr>
          <w:p w14:paraId="62933A7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新建</w:t>
            </w:r>
          </w:p>
        </w:tc>
      </w:tr>
      <w:tr w14:paraId="0A27A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E9BB7F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0B0D836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1E286913">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地下水监测井</w:t>
            </w:r>
          </w:p>
        </w:tc>
        <w:tc>
          <w:tcPr>
            <w:tcW w:w="3500" w:type="pct"/>
            <w:tcBorders>
              <w:tl2br w:val="nil"/>
              <w:tr2bl w:val="nil"/>
            </w:tcBorders>
            <w:shd w:val="clear" w:color="auto" w:fill="auto"/>
            <w:noWrap w:val="0"/>
            <w:vAlign w:val="center"/>
          </w:tcPr>
          <w:p w14:paraId="5BFFCC95">
            <w:pPr>
              <w:pStyle w:val="131"/>
              <w:keepNext w:val="0"/>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highlight w:val="none"/>
                <w:lang w:bidi="ar"/>
              </w:rPr>
              <w:t>根据《环境影响评价技术导则 地下水环境》（HJ610-2016）及《地下水环境监测技术规范》（HJ164-2020），项目区拟设置</w:t>
            </w:r>
            <w:r>
              <w:rPr>
                <w:rFonts w:hint="default" w:ascii="Times New Roman" w:hAnsi="Times New Roman" w:cs="Times New Roman"/>
                <w:color w:val="auto"/>
                <w:kern w:val="0"/>
                <w:sz w:val="21"/>
                <w:highlight w:val="none"/>
                <w:lang w:val="en-US" w:eastAsia="zh-CN" w:bidi="ar"/>
              </w:rPr>
              <w:t>5</w:t>
            </w:r>
            <w:r>
              <w:rPr>
                <w:rFonts w:hint="default" w:ascii="Times New Roman" w:hAnsi="Times New Roman" w:cs="Times New Roman"/>
                <w:color w:val="auto"/>
                <w:kern w:val="0"/>
                <w:sz w:val="21"/>
                <w:highlight w:val="none"/>
                <w:lang w:bidi="ar"/>
              </w:rPr>
              <w:t>座地下水水质监测井</w:t>
            </w:r>
            <w:r>
              <w:rPr>
                <w:rFonts w:hint="default" w:ascii="Times New Roman" w:hAnsi="Times New Roman" w:cs="Times New Roman"/>
                <w:color w:val="auto"/>
                <w:kern w:val="0"/>
                <w:sz w:val="21"/>
                <w:highlight w:val="none"/>
                <w:lang w:eastAsia="zh-CN" w:bidi="ar"/>
              </w:rPr>
              <w:t>，</w:t>
            </w:r>
            <w:r>
              <w:rPr>
                <w:rFonts w:hint="default" w:ascii="Times New Roman" w:hAnsi="Times New Roman" w:cs="Times New Roman"/>
                <w:color w:val="auto"/>
                <w:kern w:val="0"/>
                <w:sz w:val="21"/>
                <w:highlight w:val="none"/>
                <w:lang w:bidi="ar"/>
              </w:rPr>
              <w:t>监测频率宜为每年2次，监测一旦发现水质发生异常，应及时通知有关管理部门和当地居民，做好应急防范工作，同时应立即查找</w:t>
            </w:r>
            <w:r>
              <w:rPr>
                <w:rFonts w:hint="default" w:ascii="Times New Roman" w:hAnsi="Times New Roman" w:cs="Times New Roman"/>
                <w:color w:val="auto"/>
                <w:kern w:val="0"/>
                <w:sz w:val="21"/>
                <w:highlight w:val="none"/>
                <w:lang w:eastAsia="zh-CN" w:bidi="ar"/>
              </w:rPr>
              <w:t>渗漏</w:t>
            </w:r>
            <w:r>
              <w:rPr>
                <w:rFonts w:hint="default" w:ascii="Times New Roman" w:hAnsi="Times New Roman" w:cs="Times New Roman"/>
                <w:color w:val="auto"/>
                <w:kern w:val="0"/>
                <w:sz w:val="21"/>
                <w:highlight w:val="none"/>
                <w:lang w:bidi="ar"/>
              </w:rPr>
              <w:t>点，进行修补。</w:t>
            </w:r>
          </w:p>
        </w:tc>
        <w:tc>
          <w:tcPr>
            <w:tcW w:w="287" w:type="pct"/>
            <w:tcBorders>
              <w:tl2br w:val="nil"/>
              <w:tr2bl w:val="nil"/>
            </w:tcBorders>
            <w:shd w:val="clear" w:color="auto" w:fill="auto"/>
            <w:noWrap w:val="0"/>
            <w:vAlign w:val="center"/>
          </w:tcPr>
          <w:p w14:paraId="5631B79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新建</w:t>
            </w:r>
          </w:p>
        </w:tc>
      </w:tr>
      <w:tr w14:paraId="3D2F2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4CA74E9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restart"/>
            <w:tcBorders>
              <w:tl2br w:val="nil"/>
              <w:tr2bl w:val="nil"/>
            </w:tcBorders>
            <w:shd w:val="clear" w:color="auto" w:fill="auto"/>
            <w:noWrap w:val="0"/>
            <w:vAlign w:val="center"/>
          </w:tcPr>
          <w:p w14:paraId="3D12D40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环境风险</w:t>
            </w:r>
          </w:p>
        </w:tc>
        <w:tc>
          <w:tcPr>
            <w:tcW w:w="605" w:type="pct"/>
            <w:tcBorders>
              <w:tl2br w:val="nil"/>
              <w:tr2bl w:val="nil"/>
            </w:tcBorders>
            <w:shd w:val="clear" w:color="auto" w:fill="auto"/>
            <w:noWrap w:val="0"/>
            <w:vAlign w:val="center"/>
          </w:tcPr>
          <w:p w14:paraId="13EC4EF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应急事故池</w:t>
            </w:r>
          </w:p>
        </w:tc>
        <w:tc>
          <w:tcPr>
            <w:tcW w:w="3500" w:type="pct"/>
            <w:tcBorders>
              <w:tl2br w:val="nil"/>
              <w:tr2bl w:val="nil"/>
            </w:tcBorders>
            <w:shd w:val="clear" w:color="auto" w:fill="auto"/>
            <w:noWrap w:val="0"/>
            <w:vAlign w:val="center"/>
          </w:tcPr>
          <w:p w14:paraId="2844B6B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选矿厂</w:t>
            </w:r>
            <w:r>
              <w:rPr>
                <w:rFonts w:hint="default" w:cs="Times New Roman"/>
                <w:color w:val="auto"/>
                <w:sz w:val="21"/>
                <w:highlight w:val="none"/>
                <w:lang w:val="en-US" w:eastAsia="zh-CN"/>
              </w:rPr>
              <w:t>浮选机底部基础做深作为选矿厂事</w:t>
            </w:r>
            <w:r>
              <w:rPr>
                <w:rFonts w:hint="default" w:ascii="Times New Roman" w:hAnsi="Times New Roman" w:cs="Times New Roman"/>
                <w:color w:val="auto"/>
                <w:sz w:val="21"/>
                <w:highlight w:val="none"/>
              </w:rPr>
              <w:t>故池</w:t>
            </w:r>
            <w:r>
              <w:rPr>
                <w:rFonts w:hint="default" w:cs="Times New Roman"/>
                <w:color w:val="auto"/>
                <w:sz w:val="21"/>
                <w:highlight w:val="none"/>
                <w:lang w:eastAsia="zh-CN"/>
              </w:rPr>
              <w:t>，</w:t>
            </w:r>
            <w:r>
              <w:rPr>
                <w:rFonts w:hint="default" w:cs="Times New Roman"/>
                <w:color w:val="auto"/>
                <w:sz w:val="21"/>
                <w:highlight w:val="none"/>
                <w:lang w:val="en-US" w:eastAsia="zh-CN"/>
              </w:rPr>
              <w:t>容积为150</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287" w:type="pct"/>
            <w:tcBorders>
              <w:tl2br w:val="nil"/>
              <w:tr2bl w:val="nil"/>
            </w:tcBorders>
            <w:shd w:val="clear" w:color="auto" w:fill="auto"/>
            <w:noWrap w:val="0"/>
            <w:vAlign w:val="center"/>
          </w:tcPr>
          <w:p w14:paraId="6D0416F5">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tr w14:paraId="201FF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5" w:type="pct"/>
            <w:vMerge w:val="continue"/>
            <w:tcBorders>
              <w:tl2br w:val="nil"/>
              <w:tr2bl w:val="nil"/>
            </w:tcBorders>
            <w:noWrap w:val="0"/>
            <w:vAlign w:val="center"/>
          </w:tcPr>
          <w:p w14:paraId="52019D72">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321" w:type="pct"/>
            <w:vMerge w:val="continue"/>
            <w:tcBorders>
              <w:tl2br w:val="nil"/>
              <w:tr2bl w:val="nil"/>
            </w:tcBorders>
            <w:noWrap w:val="0"/>
            <w:vAlign w:val="center"/>
          </w:tcPr>
          <w:p w14:paraId="4BF3DE2C">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05" w:type="pct"/>
            <w:tcBorders>
              <w:tl2br w:val="nil"/>
              <w:tr2bl w:val="nil"/>
            </w:tcBorders>
            <w:shd w:val="clear" w:color="auto" w:fill="auto"/>
            <w:noWrap w:val="0"/>
            <w:vAlign w:val="center"/>
          </w:tcPr>
          <w:p w14:paraId="16407C9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尾矿库防洪系统</w:t>
            </w:r>
          </w:p>
        </w:tc>
        <w:tc>
          <w:tcPr>
            <w:tcW w:w="3500" w:type="pct"/>
            <w:tcBorders>
              <w:tl2br w:val="nil"/>
              <w:tr2bl w:val="nil"/>
            </w:tcBorders>
            <w:shd w:val="clear" w:color="auto" w:fill="auto"/>
            <w:noWrap w:val="0"/>
            <w:vAlign w:val="center"/>
          </w:tcPr>
          <w:p w14:paraId="023B205E">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库外防洪采用在尾矿库堤坝周边布置排水沟及</w:t>
            </w:r>
            <w:r>
              <w:rPr>
                <w:rFonts w:hint="default" w:cs="Times New Roman"/>
                <w:color w:val="auto"/>
                <w:sz w:val="21"/>
                <w:highlight w:val="none"/>
                <w:lang w:val="en-US" w:eastAsia="zh-CN"/>
              </w:rPr>
              <w:t>1</w:t>
            </w:r>
            <w:r>
              <w:rPr>
                <w:rFonts w:hint="default" w:ascii="Times New Roman" w:hAnsi="Times New Roman" w:cs="Times New Roman"/>
                <w:color w:val="auto"/>
                <w:sz w:val="21"/>
                <w:highlight w:val="none"/>
                <w:lang w:val="en-US" w:eastAsia="zh-CN"/>
              </w:rPr>
              <w:t>座</w:t>
            </w:r>
            <w:r>
              <w:rPr>
                <w:rFonts w:hint="default" w:cs="Times New Roman"/>
                <w:color w:val="auto"/>
                <w:sz w:val="21"/>
                <w:highlight w:val="none"/>
                <w:lang w:val="en-US" w:eastAsia="zh-CN"/>
              </w:rPr>
              <w:t>96</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事故池</w:t>
            </w:r>
            <w:r>
              <w:rPr>
                <w:rFonts w:hint="default" w:cs="Times New Roman"/>
                <w:color w:val="auto"/>
                <w:sz w:val="21"/>
                <w:highlight w:val="none"/>
                <w:lang w:eastAsia="zh-CN"/>
              </w:rPr>
              <w:t>（</w:t>
            </w:r>
            <w:r>
              <w:rPr>
                <w:rFonts w:hint="default" w:cs="Times New Roman"/>
                <w:color w:val="auto"/>
                <w:sz w:val="21"/>
                <w:highlight w:val="none"/>
                <w:lang w:val="en-US" w:eastAsia="zh-CN"/>
              </w:rPr>
              <w:t>8m×6m×2m</w:t>
            </w:r>
            <w:r>
              <w:rPr>
                <w:rFonts w:hint="default" w:cs="Times New Roman"/>
                <w:color w:val="auto"/>
                <w:sz w:val="21"/>
                <w:highlight w:val="none"/>
                <w:lang w:eastAsia="zh-CN"/>
              </w:rPr>
              <w:t>）</w:t>
            </w:r>
            <w:r>
              <w:rPr>
                <w:rFonts w:hint="default" w:ascii="Times New Roman" w:hAnsi="Times New Roman" w:cs="Times New Roman"/>
                <w:color w:val="auto"/>
                <w:sz w:val="21"/>
                <w:highlight w:val="none"/>
              </w:rPr>
              <w:t>。</w:t>
            </w:r>
          </w:p>
        </w:tc>
        <w:tc>
          <w:tcPr>
            <w:tcW w:w="287" w:type="pct"/>
            <w:tcBorders>
              <w:tl2br w:val="nil"/>
              <w:tr2bl w:val="nil"/>
            </w:tcBorders>
            <w:shd w:val="clear" w:color="auto" w:fill="auto"/>
            <w:noWrap w:val="0"/>
            <w:vAlign w:val="center"/>
          </w:tcPr>
          <w:p w14:paraId="4B0333E0">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eastAsia="zh-CN"/>
              </w:rPr>
              <w:t>新</w:t>
            </w:r>
            <w:r>
              <w:rPr>
                <w:rFonts w:hint="default" w:ascii="Times New Roman" w:hAnsi="Times New Roman" w:cs="Times New Roman"/>
                <w:color w:val="auto"/>
                <w:sz w:val="21"/>
                <w:highlight w:val="none"/>
              </w:rPr>
              <w:t>建</w:t>
            </w:r>
          </w:p>
        </w:tc>
      </w:tr>
      <w:bookmarkEnd w:id="354"/>
    </w:tbl>
    <w:p w14:paraId="1F2FD3D5">
      <w:pPr>
        <w:pStyle w:val="54"/>
        <w:overflowPunct w:val="0"/>
        <w:topLinePunct/>
        <w:spacing w:line="480" w:lineRule="exact"/>
        <w:ind w:firstLine="480"/>
        <w:rPr>
          <w:rFonts w:hint="default" w:ascii="Times New Roman" w:hAnsi="Times New Roman" w:cs="Times New Roman"/>
          <w:color w:val="auto"/>
          <w:sz w:val="24"/>
          <w:highlight w:val="none"/>
        </w:rPr>
        <w:sectPr>
          <w:pgSz w:w="16838" w:h="11906" w:orient="landscape"/>
          <w:pgMar w:top="1474" w:right="1474" w:bottom="1474" w:left="1474" w:header="850" w:footer="1134" w:gutter="0"/>
          <w:cols w:space="720" w:num="1"/>
          <w:docGrid w:linePitch="312" w:charSpace="0"/>
        </w:sectPr>
      </w:pPr>
    </w:p>
    <w:p w14:paraId="455F724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.3.2依托矿山基本情况</w:t>
      </w:r>
    </w:p>
    <w:p w14:paraId="01FA8CEA">
      <w:pPr>
        <w:pStyle w:val="84"/>
        <w:overflowPunct w:val="0"/>
        <w:topLinePunct/>
        <w:spacing w:beforeLines="0" w:afterLines="0" w:line="480" w:lineRule="exact"/>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（1）矿山基本情况</w:t>
      </w:r>
    </w:p>
    <w:p w14:paraId="361C3C7B">
      <w:pPr>
        <w:pStyle w:val="84"/>
        <w:overflowPunct w:val="0"/>
        <w:topLinePunct/>
        <w:spacing w:beforeLines="0" w:afterLines="0" w:line="480" w:lineRule="exact"/>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新疆江诣矿业有限公司为“新疆富蕴县阿克塔斯铜金矿勘探，勘查许可证号T6500002009044010027986”探矿权持有人，勘查面积9.03km</w:t>
      </w:r>
      <w:r>
        <w:rPr>
          <w:rFonts w:hint="default" w:ascii="Times New Roman" w:hAnsi="Times New Roman" w:eastAsia="宋体" w:cs="Times New Roman"/>
          <w:color w:val="auto"/>
          <w:szCs w:val="24"/>
          <w:highlight w:val="none"/>
          <w:vertAlign w:val="superscript"/>
        </w:rPr>
        <w:t>2</w:t>
      </w:r>
      <w:r>
        <w:rPr>
          <w:rFonts w:hint="default" w:ascii="Times New Roman" w:hAnsi="Times New Roman" w:eastAsia="宋体" w:cs="Times New Roman"/>
          <w:color w:val="auto"/>
          <w:szCs w:val="24"/>
          <w:highlight w:val="none"/>
        </w:rPr>
        <w:t>，有效期限2021年5月31日至2026年5月31日。</w:t>
      </w:r>
    </w:p>
    <w:p w14:paraId="2F3882B1">
      <w:pPr>
        <w:pStyle w:val="84"/>
        <w:overflowPunct w:val="0"/>
        <w:topLinePunct/>
        <w:spacing w:beforeLines="0" w:afterLines="0" w:line="480" w:lineRule="exact"/>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新疆江诣矿业有限公司于2024年在勘查区范围内进行了详查工作，于</w:t>
      </w:r>
      <w:r>
        <w:rPr>
          <w:rFonts w:hint="default" w:ascii="Times New Roman" w:hAnsi="Times New Roman" w:cs="Times New Roman"/>
          <w:color w:val="auto"/>
          <w:szCs w:val="24"/>
          <w:highlight w:val="none"/>
          <w:lang w:eastAsia="zh-CN"/>
        </w:rPr>
        <w:t>2025年5月</w:t>
      </w:r>
      <w:r>
        <w:rPr>
          <w:rFonts w:hint="default" w:ascii="Times New Roman" w:hAnsi="Times New Roman" w:eastAsia="宋体" w:cs="Times New Roman"/>
          <w:color w:val="auto"/>
          <w:szCs w:val="24"/>
          <w:highlight w:val="none"/>
        </w:rPr>
        <w:t>提交了《新疆富蕴县阿克塔斯矿区金矿详查报告》并取得了矿产资源储量评审备案证明的复函（新自然资储备字〔2025〕32号）和矿产资源储量评审意见书（新矿评储字〔2025〕32号）。</w:t>
      </w:r>
    </w:p>
    <w:p w14:paraId="7D852B9D">
      <w:pPr>
        <w:pStyle w:val="84"/>
        <w:overflowPunct w:val="0"/>
        <w:topLinePunct/>
        <w:spacing w:beforeLines="0" w:afterLines="0" w:line="480" w:lineRule="exact"/>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2025年8月</w:t>
      </w:r>
      <w:r>
        <w:rPr>
          <w:rFonts w:hint="default" w:ascii="Times New Roman" w:hAnsi="Times New Roman" w:eastAsia="宋体" w:cs="Times New Roman"/>
          <w:color w:val="auto"/>
          <w:szCs w:val="24"/>
          <w:highlight w:val="none"/>
        </w:rPr>
        <w:t>新疆江诣矿业有限公司委托新疆金纬工程咨询有限公司编制</w:t>
      </w:r>
      <w:r>
        <w:rPr>
          <w:rFonts w:hint="default" w:ascii="Times New Roman" w:hAnsi="Times New Roman" w:eastAsia="宋体" w:cs="Times New Roman"/>
          <w:color w:val="auto"/>
          <w:szCs w:val="24"/>
          <w:highlight w:val="none"/>
          <w:lang w:val="en-US" w:eastAsia="zh-CN"/>
        </w:rPr>
        <w:t>了</w:t>
      </w:r>
      <w:r>
        <w:rPr>
          <w:rFonts w:hint="default" w:ascii="Times New Roman" w:hAnsi="Times New Roman" w:eastAsia="宋体" w:cs="Times New Roman"/>
          <w:color w:val="auto"/>
          <w:szCs w:val="24"/>
          <w:highlight w:val="none"/>
        </w:rPr>
        <w:t>《新疆江诣矿业有限公司新疆富蕴县阿克塔斯矿区金矿矿产资源开发利用与生态保护修复方案》</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并取得了《新疆江诣矿业有限公司新疆富蕴县阿克塔斯矿区金矿矿产资源开发利用与生态保护修复方案》评审意见书</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rPr>
        <w:t>新矿</w:t>
      </w:r>
      <w:r>
        <w:rPr>
          <w:rFonts w:hint="default" w:ascii="Times New Roman" w:hAnsi="Times New Roman" w:cs="Times New Roman"/>
          <w:color w:val="auto"/>
          <w:highlight w:val="none"/>
          <w:lang w:val="en-US" w:eastAsia="zh-CN"/>
        </w:rPr>
        <w:t>三案评</w:t>
      </w:r>
      <w:r>
        <w:rPr>
          <w:rFonts w:hint="default" w:ascii="Times New Roman" w:hAnsi="Times New Roman" w:eastAsia="宋体" w:cs="Times New Roman"/>
          <w:color w:val="auto"/>
          <w:highlight w:val="none"/>
        </w:rPr>
        <w:t>字〔2025〕</w:t>
      </w:r>
      <w:r>
        <w:rPr>
          <w:rFonts w:hint="default" w:ascii="Times New Roman" w:hAnsi="Times New Roman" w:cs="Times New Roman"/>
          <w:color w:val="auto"/>
          <w:highlight w:val="none"/>
          <w:lang w:val="en-US" w:eastAsia="zh-CN"/>
        </w:rPr>
        <w:t>105</w:t>
      </w:r>
      <w:r>
        <w:rPr>
          <w:rFonts w:hint="default" w:ascii="Times New Roman" w:hAnsi="Times New Roman" w:eastAsia="宋体" w:cs="Times New Roman"/>
          <w:color w:val="auto"/>
          <w:highlight w:val="none"/>
        </w:rPr>
        <w:t>号</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szCs w:val="24"/>
          <w:highlight w:val="none"/>
        </w:rPr>
        <w:t>。</w:t>
      </w:r>
    </w:p>
    <w:p w14:paraId="78F8932B">
      <w:pPr>
        <w:pStyle w:val="84"/>
        <w:overflowPunct w:val="0"/>
        <w:topLinePunct/>
        <w:spacing w:beforeLines="0" w:afterLines="0" w:line="480" w:lineRule="exact"/>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目前该矿山已取得采矿证，</w:t>
      </w:r>
      <w:r>
        <w:rPr>
          <w:rFonts w:hint="default" w:ascii="Times New Roman" w:hAnsi="Times New Roman" w:cs="Times New Roman"/>
          <w:color w:val="auto"/>
          <w:spacing w:val="0"/>
          <w:sz w:val="24"/>
          <w:highlight w:val="none"/>
        </w:rPr>
        <w:t>采矿许可证证号为</w:t>
      </w:r>
      <w:r>
        <w:rPr>
          <w:rFonts w:hint="default" w:ascii="Times New Roman" w:hAnsi="Times New Roman" w:cs="Times New Roman"/>
          <w:color w:val="auto"/>
          <w:spacing w:val="0"/>
          <w:sz w:val="24"/>
          <w:highlight w:val="none"/>
          <w:lang w:val="en-US" w:eastAsia="zh-CN"/>
        </w:rPr>
        <w:t>X</w:t>
      </w:r>
      <w:r>
        <w:rPr>
          <w:rFonts w:hint="default" w:ascii="Times New Roman" w:hAnsi="Times New Roman" w:cs="Times New Roman"/>
          <w:color w:val="auto"/>
          <w:spacing w:val="0"/>
          <w:sz w:val="24"/>
          <w:highlight w:val="none"/>
        </w:rPr>
        <w:t>C65000020</w:t>
      </w:r>
      <w:r>
        <w:rPr>
          <w:rFonts w:hint="default" w:ascii="Times New Roman" w:hAnsi="Times New Roman" w:cs="Times New Roman"/>
          <w:color w:val="auto"/>
          <w:spacing w:val="0"/>
          <w:sz w:val="24"/>
          <w:highlight w:val="none"/>
          <w:lang w:val="en-US" w:eastAsia="zh-CN"/>
        </w:rPr>
        <w:t>26034100000157；生产规模为15万t/a；开采方式为地下开采；</w:t>
      </w:r>
      <w:r>
        <w:rPr>
          <w:rFonts w:hint="default" w:ascii="Times New Roman" w:hAnsi="Times New Roman" w:cs="Times New Roman"/>
          <w:color w:val="auto"/>
          <w:sz w:val="24"/>
          <w:highlight w:val="none"/>
        </w:rPr>
        <w:t>矿区面积1.7</w:t>
      </w:r>
      <w:r>
        <w:rPr>
          <w:rFonts w:hint="default" w:ascii="Times New Roman" w:hAnsi="Times New Roman" w:cs="Times New Roman"/>
          <w:color w:val="auto"/>
          <w:sz w:val="24"/>
          <w:highlight w:val="none"/>
          <w:lang w:val="en-US" w:eastAsia="zh-CN"/>
        </w:rPr>
        <w:t>717</w:t>
      </w:r>
      <w:r>
        <w:rPr>
          <w:rFonts w:hint="default" w:ascii="Times New Roman" w:hAnsi="Times New Roman" w:cs="Times New Roman"/>
          <w:color w:val="auto"/>
          <w:sz w:val="24"/>
          <w:highlight w:val="none"/>
        </w:rPr>
        <w:t>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pacing w:val="0"/>
          <w:sz w:val="24"/>
          <w:highlight w:val="none"/>
          <w:lang w:val="en-US" w:eastAsia="zh-CN"/>
        </w:rPr>
        <w:t>，开采标高为1090~765米，</w:t>
      </w:r>
      <w:r>
        <w:rPr>
          <w:rFonts w:hint="default" w:ascii="Times New Roman" w:hAnsi="Times New Roman" w:cs="Times New Roman"/>
          <w:color w:val="auto"/>
          <w:spacing w:val="0"/>
          <w:sz w:val="24"/>
          <w:highlight w:val="none"/>
        </w:rPr>
        <w:t>有效期：自20</w:t>
      </w:r>
      <w:r>
        <w:rPr>
          <w:rFonts w:hint="default" w:ascii="Times New Roman" w:hAnsi="Times New Roman" w:cs="Times New Roman"/>
          <w:color w:val="auto"/>
          <w:spacing w:val="0"/>
          <w:sz w:val="24"/>
          <w:highlight w:val="none"/>
          <w:lang w:val="en-US" w:eastAsia="zh-CN"/>
        </w:rPr>
        <w:t>26</w:t>
      </w:r>
      <w:r>
        <w:rPr>
          <w:rFonts w:hint="default" w:ascii="Times New Roman" w:hAnsi="Times New Roman" w:cs="Times New Roman"/>
          <w:color w:val="auto"/>
          <w:spacing w:val="0"/>
          <w:sz w:val="24"/>
          <w:highlight w:val="none"/>
        </w:rPr>
        <w:t>年</w:t>
      </w:r>
      <w:r>
        <w:rPr>
          <w:rFonts w:hint="default" w:ascii="Times New Roman" w:hAnsi="Times New Roman" w:cs="Times New Roman"/>
          <w:color w:val="auto"/>
          <w:spacing w:val="0"/>
          <w:sz w:val="24"/>
          <w:highlight w:val="none"/>
          <w:lang w:val="en-US" w:eastAsia="zh-CN"/>
        </w:rPr>
        <w:t>03</w:t>
      </w:r>
      <w:r>
        <w:rPr>
          <w:rFonts w:hint="default" w:ascii="Times New Roman" w:hAnsi="Times New Roman" w:cs="Times New Roman"/>
          <w:color w:val="auto"/>
          <w:spacing w:val="0"/>
          <w:sz w:val="24"/>
          <w:highlight w:val="none"/>
        </w:rPr>
        <w:t>月</w:t>
      </w:r>
      <w:r>
        <w:rPr>
          <w:rFonts w:hint="default" w:ascii="Times New Roman" w:hAnsi="Times New Roman" w:cs="Times New Roman"/>
          <w:color w:val="auto"/>
          <w:spacing w:val="0"/>
          <w:sz w:val="24"/>
          <w:highlight w:val="none"/>
          <w:lang w:val="en-US" w:eastAsia="zh-CN"/>
        </w:rPr>
        <w:t>13</w:t>
      </w:r>
      <w:r>
        <w:rPr>
          <w:rFonts w:hint="default" w:ascii="Times New Roman" w:hAnsi="Times New Roman" w:cs="Times New Roman"/>
          <w:color w:val="auto"/>
          <w:spacing w:val="0"/>
          <w:sz w:val="24"/>
          <w:highlight w:val="none"/>
        </w:rPr>
        <w:t>日至20</w:t>
      </w:r>
      <w:r>
        <w:rPr>
          <w:rFonts w:hint="default" w:ascii="Times New Roman" w:hAnsi="Times New Roman" w:cs="Times New Roman"/>
          <w:color w:val="auto"/>
          <w:spacing w:val="0"/>
          <w:sz w:val="24"/>
          <w:highlight w:val="none"/>
          <w:lang w:val="en-US" w:eastAsia="zh-CN"/>
        </w:rPr>
        <w:t>40</w:t>
      </w:r>
      <w:r>
        <w:rPr>
          <w:rFonts w:hint="default" w:ascii="Times New Roman" w:hAnsi="Times New Roman" w:cs="Times New Roman"/>
          <w:color w:val="auto"/>
          <w:spacing w:val="0"/>
          <w:sz w:val="24"/>
          <w:highlight w:val="none"/>
        </w:rPr>
        <w:t>年</w:t>
      </w:r>
      <w:r>
        <w:rPr>
          <w:rFonts w:hint="default" w:ascii="Times New Roman" w:hAnsi="Times New Roman" w:cs="Times New Roman"/>
          <w:color w:val="auto"/>
          <w:spacing w:val="0"/>
          <w:sz w:val="24"/>
          <w:highlight w:val="none"/>
          <w:lang w:val="en-US" w:eastAsia="zh-CN"/>
        </w:rPr>
        <w:t>08</w:t>
      </w:r>
      <w:r>
        <w:rPr>
          <w:rFonts w:hint="default" w:ascii="Times New Roman" w:hAnsi="Times New Roman" w:cs="Times New Roman"/>
          <w:color w:val="auto"/>
          <w:spacing w:val="0"/>
          <w:sz w:val="24"/>
          <w:highlight w:val="none"/>
        </w:rPr>
        <w:t>月</w:t>
      </w:r>
      <w:r>
        <w:rPr>
          <w:rFonts w:hint="default" w:ascii="Times New Roman" w:hAnsi="Times New Roman" w:cs="Times New Roman"/>
          <w:color w:val="auto"/>
          <w:spacing w:val="0"/>
          <w:sz w:val="24"/>
          <w:highlight w:val="none"/>
          <w:lang w:val="en-US" w:eastAsia="zh-CN"/>
        </w:rPr>
        <w:t>13</w:t>
      </w:r>
      <w:r>
        <w:rPr>
          <w:rFonts w:hint="default" w:ascii="Times New Roman" w:hAnsi="Times New Roman" w:cs="Times New Roman"/>
          <w:color w:val="auto"/>
          <w:spacing w:val="0"/>
          <w:sz w:val="24"/>
          <w:highlight w:val="none"/>
        </w:rPr>
        <w:t>日</w:t>
      </w:r>
      <w:r>
        <w:rPr>
          <w:rFonts w:hint="default" w:ascii="Times New Roman" w:hAnsi="Times New Roman" w:cs="Times New Roman"/>
          <w:color w:val="auto"/>
          <w:spacing w:val="0"/>
          <w:sz w:val="24"/>
          <w:highlight w:val="none"/>
          <w:lang w:eastAsia="zh-CN"/>
        </w:rPr>
        <w:t>。</w:t>
      </w:r>
    </w:p>
    <w:p w14:paraId="5F5FA18F">
      <w:pPr>
        <w:overflowPunct w:val="0"/>
        <w:topLinePunct/>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Cs w:val="24"/>
          <w:highlight w:val="none"/>
        </w:rPr>
        <w:t>新疆江诣矿业有限公司</w:t>
      </w:r>
      <w:r>
        <w:rPr>
          <w:rFonts w:hint="default" w:ascii="Times New Roman" w:hAnsi="Times New Roman" w:cs="Times New Roman"/>
          <w:color w:val="auto"/>
          <w:highlight w:val="none"/>
        </w:rPr>
        <w:t>拟投资</w:t>
      </w:r>
      <w:r>
        <w:rPr>
          <w:rFonts w:hint="default" w:ascii="Times New Roman" w:hAnsi="Times New Roman" w:cs="Times New Roman"/>
          <w:color w:val="auto"/>
          <w:highlight w:val="none"/>
          <w:lang w:val="en-US" w:eastAsia="zh-CN"/>
        </w:rPr>
        <w:t>新建新疆富蕴县阿克塔斯矿区金矿</w:t>
      </w:r>
      <w:r>
        <w:rPr>
          <w:rFonts w:hint="default" w:ascii="Times New Roman" w:hAnsi="Times New Roman" w:cs="Times New Roman"/>
          <w:color w:val="auto"/>
          <w:highlight w:val="none"/>
        </w:rPr>
        <w:t>采矿工程。</w:t>
      </w:r>
    </w:p>
    <w:p w14:paraId="61D0E2CA">
      <w:pPr>
        <w:pStyle w:val="84"/>
        <w:overflowPunct w:val="0"/>
        <w:topLinePunct/>
        <w:spacing w:beforeLines="0" w:afterLines="0" w:line="480" w:lineRule="exact"/>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（2）采矿工程</w:t>
      </w:r>
      <w:r>
        <w:rPr>
          <w:rFonts w:hint="default" w:ascii="Times New Roman" w:hAnsi="Times New Roman" w:cs="Times New Roman"/>
          <w:color w:val="auto"/>
          <w:szCs w:val="24"/>
          <w:highlight w:val="none"/>
          <w:lang w:val="en-US" w:eastAsia="zh-CN"/>
        </w:rPr>
        <w:t>建设内容</w:t>
      </w:r>
    </w:p>
    <w:p w14:paraId="5FEC9C2C">
      <w:pPr>
        <w:pStyle w:val="84"/>
        <w:overflowPunct w:val="0"/>
        <w:topLinePunct/>
        <w:spacing w:beforeLines="0" w:afterLines="0" w:line="480" w:lineRule="exact"/>
        <w:jc w:val="both"/>
        <w:rPr>
          <w:rFonts w:hint="default" w:ascii="Times New Roman" w:hAnsi="Times New Roman" w:cs="Times New Roman"/>
          <w:color w:val="auto"/>
          <w:szCs w:val="24"/>
          <w:highlight w:val="none"/>
          <w:lang w:val="en-US"/>
        </w:rPr>
      </w:pPr>
      <w:r>
        <w:rPr>
          <w:rFonts w:hint="default" w:ascii="Times New Roman" w:hAnsi="Times New Roman" w:eastAsia="宋体" w:cs="Times New Roman"/>
          <w:color w:val="auto"/>
          <w:sz w:val="24"/>
          <w:szCs w:val="24"/>
          <w:highlight w:val="none"/>
          <w:lang w:val="en-US" w:eastAsia="zh-CN"/>
        </w:rPr>
        <w:t>设计新建</w:t>
      </w:r>
      <w:r>
        <w:rPr>
          <w:rFonts w:hint="default" w:ascii="Times New Roman" w:hAnsi="Times New Roman"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万t/a</w:t>
      </w:r>
      <w:r>
        <w:rPr>
          <w:rFonts w:hint="default" w:ascii="Times New Roman" w:hAnsi="Times New Roman" w:cs="Times New Roman"/>
          <w:color w:val="auto"/>
          <w:sz w:val="24"/>
          <w:szCs w:val="24"/>
          <w:highlight w:val="none"/>
          <w:lang w:val="en-US" w:eastAsia="zh-CN"/>
        </w:rPr>
        <w:t>采矿工程</w:t>
      </w:r>
      <w:r>
        <w:rPr>
          <w:rFonts w:hint="default" w:ascii="Times New Roman" w:hAnsi="Times New Roman" w:eastAsia="宋体" w:cs="Times New Roman"/>
          <w:color w:val="auto"/>
          <w:sz w:val="24"/>
          <w:szCs w:val="24"/>
          <w:highlight w:val="none"/>
          <w:lang w:val="en-US" w:eastAsia="zh-CN"/>
        </w:rPr>
        <w:t>，新建采矿</w:t>
      </w:r>
      <w:r>
        <w:rPr>
          <w:rFonts w:hint="default" w:ascii="Times New Roman" w:hAnsi="Times New Roman" w:cs="Times New Roman"/>
          <w:color w:val="auto"/>
          <w:sz w:val="24"/>
          <w:szCs w:val="24"/>
          <w:highlight w:val="none"/>
          <w:lang w:val="en-US" w:eastAsia="zh-CN"/>
        </w:rPr>
        <w:t>工程</w:t>
      </w:r>
      <w:r>
        <w:rPr>
          <w:rFonts w:hint="default" w:ascii="Times New Roman" w:hAnsi="Times New Roman" w:eastAsia="宋体" w:cs="Times New Roman"/>
          <w:color w:val="auto"/>
          <w:sz w:val="24"/>
          <w:szCs w:val="24"/>
          <w:highlight w:val="none"/>
          <w:lang w:val="en-US" w:eastAsia="zh-CN"/>
        </w:rPr>
        <w:t>整体位于</w:t>
      </w:r>
      <w:r>
        <w:rPr>
          <w:rFonts w:hint="default" w:ascii="Times New Roman" w:hAnsi="Times New Roman" w:cs="Times New Roman"/>
          <w:color w:val="auto"/>
          <w:sz w:val="24"/>
          <w:szCs w:val="24"/>
          <w:highlight w:val="none"/>
          <w:lang w:val="en-US" w:eastAsia="zh-CN"/>
        </w:rPr>
        <w:t>选矿厂西南侧，采矿方式为地下开采，</w:t>
      </w:r>
      <w:r>
        <w:rPr>
          <w:rFonts w:hint="default" w:ascii="Times New Roman" w:hAnsi="Times New Roman" w:eastAsia="宋体" w:cs="Times New Roman"/>
          <w:color w:val="auto"/>
          <w:szCs w:val="24"/>
          <w:highlight w:val="none"/>
        </w:rPr>
        <w:t>矿区面积1.7</w:t>
      </w:r>
      <w:r>
        <w:rPr>
          <w:rFonts w:hint="default" w:ascii="Times New Roman" w:hAnsi="Times New Roman" w:eastAsia="宋体" w:cs="Times New Roman"/>
          <w:color w:val="auto"/>
          <w:szCs w:val="24"/>
          <w:highlight w:val="none"/>
          <w:lang w:val="en-US" w:eastAsia="zh-CN"/>
        </w:rPr>
        <w:t>7</w:t>
      </w:r>
      <w:r>
        <w:rPr>
          <w:rFonts w:hint="default" w:ascii="Times New Roman" w:hAnsi="Times New Roman" w:eastAsia="宋体" w:cs="Times New Roman"/>
          <w:color w:val="auto"/>
          <w:szCs w:val="24"/>
          <w:highlight w:val="none"/>
        </w:rPr>
        <w:t>km</w:t>
      </w:r>
      <w:r>
        <w:rPr>
          <w:rFonts w:hint="default" w:ascii="Times New Roman" w:hAnsi="Times New Roman" w:eastAsia="宋体" w:cs="Times New Roman"/>
          <w:color w:val="auto"/>
          <w:szCs w:val="24"/>
          <w:highlight w:val="none"/>
          <w:vertAlign w:val="superscript"/>
        </w:rPr>
        <w:t>2</w:t>
      </w:r>
      <w:r>
        <w:rPr>
          <w:rFonts w:hint="default" w:ascii="Times New Roman" w:hAnsi="Times New Roman" w:eastAsia="宋体" w:cs="Times New Roman"/>
          <w:color w:val="auto"/>
          <w:szCs w:val="24"/>
          <w:highlight w:val="none"/>
          <w:vertAlign w:val="baseline"/>
          <w:lang w:eastAsia="zh-CN"/>
        </w:rPr>
        <w:t>，</w:t>
      </w:r>
      <w:r>
        <w:rPr>
          <w:rFonts w:hint="default" w:ascii="Times New Roman" w:hAnsi="Times New Roman" w:eastAsia="宋体" w:cs="Times New Roman"/>
          <w:color w:val="auto"/>
          <w:szCs w:val="24"/>
          <w:highlight w:val="none"/>
          <w:vertAlign w:val="baseline"/>
          <w:lang w:val="en-US" w:eastAsia="zh-CN"/>
        </w:rPr>
        <w:t>开采方式为</w:t>
      </w:r>
      <w:r>
        <w:rPr>
          <w:rFonts w:hint="default" w:ascii="Times New Roman" w:hAnsi="Times New Roman" w:cs="Times New Roman"/>
          <w:color w:val="auto"/>
          <w:highlight w:val="none"/>
          <w:lang w:val="en-US" w:eastAsia="zh-CN"/>
        </w:rPr>
        <w:t>对厚度小于</w:t>
      </w:r>
      <w:r>
        <w:rPr>
          <w:rFonts w:hint="default" w:ascii="Times New Roman" w:hAnsi="Times New Roman" w:cs="Times New Roman"/>
          <w:color w:val="auto"/>
          <w:sz w:val="24"/>
          <w:szCs w:val="24"/>
          <w:highlight w:val="none"/>
          <w:lang w:val="en-US" w:eastAsia="zh-CN"/>
        </w:rPr>
        <w:t>5m的矿体采用留矿全面法</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嗣后尾砂充填</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，对倾角0°到3°的水平矿体，厚度大于5m的采用房柱采矿法</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嗣后尾砂充填）；对倾角大于3°，厚度大于5m的矿体采用上向进路尾砂充填</w:t>
      </w:r>
      <w:r>
        <w:rPr>
          <w:rFonts w:hint="default" w:ascii="Times New Roman" w:hAnsi="Times New Roman" w:cs="Times New Roman"/>
          <w:color w:val="auto"/>
          <w:highlight w:val="none"/>
          <w:lang w:val="en-US" w:eastAsia="zh-CN"/>
        </w:rPr>
        <w:t>采矿法。</w:t>
      </w:r>
      <w:r>
        <w:rPr>
          <w:rFonts w:hint="default" w:ascii="Times New Roman" w:hAnsi="Times New Roman" w:cs="Times New Roman"/>
          <w:color w:val="auto"/>
          <w:kern w:val="144"/>
          <w:sz w:val="24"/>
          <w:highlight w:val="none"/>
        </w:rPr>
        <w:t>采矿工业场地包括</w:t>
      </w:r>
      <w:r>
        <w:rPr>
          <w:rFonts w:hint="default" w:ascii="Times New Roman" w:hAnsi="Times New Roman" w:cs="Times New Roman"/>
          <w:color w:val="auto"/>
          <w:kern w:val="144"/>
          <w:sz w:val="24"/>
          <w:highlight w:val="none"/>
          <w:lang w:val="en-US" w:eastAsia="zh-CN"/>
        </w:rPr>
        <w:t>主井口、副井口、提升机房、空压机房、配电室、值班室、维修车间、材料库、充填站</w:t>
      </w:r>
      <w:r>
        <w:rPr>
          <w:rFonts w:hint="default" w:ascii="Times New Roman" w:hAnsi="Times New Roman" w:cs="Times New Roman"/>
          <w:color w:val="auto"/>
          <w:kern w:val="144"/>
          <w:sz w:val="24"/>
          <w:highlight w:val="none"/>
        </w:rPr>
        <w:t>等</w:t>
      </w:r>
      <w:r>
        <w:rPr>
          <w:rFonts w:hint="default" w:ascii="Times New Roman" w:hAnsi="Times New Roman" w:cs="Times New Roman"/>
          <w:color w:val="auto"/>
          <w:kern w:val="144"/>
          <w:sz w:val="24"/>
          <w:highlight w:val="none"/>
          <w:lang w:val="en-GB"/>
        </w:rPr>
        <w:t>，</w:t>
      </w:r>
      <w:r>
        <w:rPr>
          <w:rFonts w:hint="default" w:ascii="Times New Roman" w:hAnsi="Times New Roman" w:cs="Times New Roman"/>
          <w:color w:val="auto"/>
          <w:highlight w:val="none"/>
          <w:lang w:val="en-US" w:eastAsia="zh-CN"/>
        </w:rPr>
        <w:t>风机及变电所单独设置位于采矿区西侧，地面设施占地共计2.7万m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p>
    <w:p w14:paraId="3B4C5EE4">
      <w:pPr>
        <w:pStyle w:val="84"/>
        <w:overflowPunct w:val="0"/>
        <w:topLinePunct/>
        <w:spacing w:beforeLines="0" w:afterLines="0" w:line="480" w:lineRule="exact"/>
        <w:jc w:val="both"/>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采矿工程</w:t>
      </w:r>
      <w:r>
        <w:rPr>
          <w:rFonts w:hint="default" w:ascii="Times New Roman" w:hAnsi="Times New Roman" w:cs="Times New Roman"/>
          <w:color w:val="auto"/>
          <w:highlight w:val="none"/>
          <w:lang w:val="en-US" w:eastAsia="zh-CN"/>
        </w:rPr>
        <w:t>计划</w:t>
      </w:r>
      <w:r>
        <w:rPr>
          <w:rFonts w:hint="default" w:ascii="Times New Roman" w:hAnsi="Times New Roman" w:cs="Times New Roman"/>
          <w:color w:val="auto"/>
          <w:szCs w:val="24"/>
          <w:highlight w:val="none"/>
        </w:rPr>
        <w:t>与本项目同步开展设计，同步建设、同时投入使用，目前该工程</w:t>
      </w:r>
      <w:r>
        <w:rPr>
          <w:rFonts w:hint="default" w:ascii="Times New Roman" w:hAnsi="Times New Roman" w:cs="Times New Roman"/>
          <w:color w:val="auto"/>
          <w:szCs w:val="24"/>
          <w:highlight w:val="none"/>
          <w:lang w:val="en-US" w:eastAsia="zh-CN"/>
        </w:rPr>
        <w:t>已同步开展环境影响评价工作</w:t>
      </w:r>
      <w:r>
        <w:rPr>
          <w:rFonts w:hint="default" w:ascii="Times New Roman" w:hAnsi="Times New Roman" w:cs="Times New Roman"/>
          <w:color w:val="auto"/>
          <w:highlight w:val="none"/>
        </w:rPr>
        <w:t>，计划于202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年与本项目</w:t>
      </w:r>
      <w:r>
        <w:rPr>
          <w:rFonts w:hint="default" w:ascii="Times New Roman" w:hAnsi="Times New Roman" w:cs="Times New Roman"/>
          <w:color w:val="auto"/>
          <w:highlight w:val="none"/>
          <w:lang w:val="en-US" w:eastAsia="zh-CN"/>
        </w:rPr>
        <w:t>同步</w:t>
      </w:r>
      <w:r>
        <w:rPr>
          <w:rFonts w:hint="default" w:ascii="Times New Roman" w:hAnsi="Times New Roman" w:cs="Times New Roman"/>
          <w:color w:val="auto"/>
          <w:highlight w:val="none"/>
        </w:rPr>
        <w:t>开工</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w:t>
      </w:r>
      <w:r>
        <w:rPr>
          <w:rFonts w:hint="default" w:ascii="Times New Roman" w:hAnsi="Times New Roman" w:cs="Times New Roman"/>
          <w:color w:val="auto"/>
          <w:szCs w:val="24"/>
          <w:highlight w:val="none"/>
        </w:rPr>
        <w:t>待</w:t>
      </w:r>
      <w:r>
        <w:rPr>
          <w:rFonts w:hint="default" w:ascii="Times New Roman" w:hAnsi="Times New Roman" w:cs="Times New Roman"/>
          <w:color w:val="auto"/>
          <w:highlight w:val="none"/>
        </w:rPr>
        <w:t>采矿工程实施后，</w:t>
      </w:r>
      <w:r>
        <w:rPr>
          <w:rFonts w:hint="default" w:ascii="Times New Roman" w:hAnsi="Times New Roman" w:cs="Times New Roman"/>
          <w:color w:val="auto"/>
          <w:szCs w:val="24"/>
          <w:highlight w:val="none"/>
        </w:rPr>
        <w:t>本项目矿石原料来源供应充足，可保障生产。由此可见，</w:t>
      </w:r>
      <w:r>
        <w:rPr>
          <w:rFonts w:hint="default" w:ascii="Times New Roman" w:hAnsi="Times New Roman" w:cs="Times New Roman"/>
          <w:color w:val="auto"/>
          <w:highlight w:val="none"/>
        </w:rPr>
        <w:t>采矿工程依托可行。</w:t>
      </w:r>
    </w:p>
    <w:p w14:paraId="76AD8AA7">
      <w:pPr>
        <w:pStyle w:val="84"/>
        <w:overflowPunct w:val="0"/>
        <w:topLinePunct/>
        <w:spacing w:beforeLines="0" w:afterLines="0" w:line="480" w:lineRule="exact"/>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（3）充填工程</w:t>
      </w:r>
    </w:p>
    <w:p w14:paraId="2AC0A779">
      <w:pPr>
        <w:pStyle w:val="84"/>
        <w:overflowPunct w:val="0"/>
        <w:topLinePunct/>
        <w:spacing w:beforeLines="0" w:afterLines="0" w:line="480" w:lineRule="exact"/>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szCs w:val="24"/>
          <w:highlight w:val="none"/>
          <w:lang w:val="en-US" w:eastAsia="zh-CN"/>
        </w:rPr>
        <w:t>本项目</w:t>
      </w:r>
      <w:r>
        <w:rPr>
          <w:rFonts w:hint="default" w:ascii="Times New Roman" w:hAnsi="Times New Roman" w:cs="Times New Roman"/>
          <w:color w:val="auto"/>
          <w:szCs w:val="24"/>
          <w:highlight w:val="none"/>
          <w:lang w:val="en-US" w:eastAsia="zh-CN"/>
        </w:rPr>
        <w:t>充填工程</w:t>
      </w:r>
      <w:r>
        <w:rPr>
          <w:rFonts w:hint="default" w:ascii="Times New Roman" w:hAnsi="Times New Roman" w:cs="Times New Roman"/>
          <w:color w:val="auto"/>
          <w:szCs w:val="24"/>
          <w:highlight w:val="none"/>
        </w:rPr>
        <w:t>布置于采矿工程工业场地</w:t>
      </w:r>
      <w:r>
        <w:rPr>
          <w:rFonts w:hint="eastAsia" w:ascii="Times New Roman" w:hAnsi="Times New Roman" w:cs="Times New Roman"/>
          <w:color w:val="auto"/>
          <w:szCs w:val="24"/>
          <w:highlight w:val="none"/>
          <w:lang w:val="en-US" w:eastAsia="zh-CN"/>
        </w:rPr>
        <w:t>南侧</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充填站</w:t>
      </w:r>
      <w:r>
        <w:rPr>
          <w:rFonts w:hint="default" w:ascii="Times New Roman" w:hAnsi="Times New Roman" w:cs="Times New Roman"/>
          <w:color w:val="auto"/>
          <w:szCs w:val="24"/>
          <w:highlight w:val="none"/>
        </w:rPr>
        <w:t>的建设</w:t>
      </w:r>
      <w:r>
        <w:rPr>
          <w:rFonts w:hint="default" w:ascii="Times New Roman" w:hAnsi="Times New Roman" w:cs="Times New Roman"/>
          <w:color w:val="auto"/>
          <w:highlight w:val="none"/>
        </w:rPr>
        <w:t>内容已包括在采矿工程评价内容中，</w:t>
      </w:r>
      <w:r>
        <w:rPr>
          <w:rFonts w:hint="default" w:ascii="Times New Roman" w:hAnsi="Times New Roman" w:cs="Times New Roman"/>
          <w:color w:val="auto"/>
          <w:szCs w:val="24"/>
          <w:highlight w:val="none"/>
        </w:rPr>
        <w:t>不纳入本次评价范围</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本次针对充填工程建设内容做简要介绍。</w:t>
      </w:r>
    </w:p>
    <w:p w14:paraId="64E3BAED">
      <w:pPr>
        <w:bidi w:val="0"/>
        <w:rPr>
          <w:rFonts w:hint="default"/>
          <w:color w:val="auto"/>
          <w:lang w:val="en-US" w:eastAsia="zh-CN"/>
        </w:rPr>
      </w:pPr>
      <w:r>
        <w:rPr>
          <w:rFonts w:hint="eastAsia"/>
          <w:color w:val="auto"/>
          <w:lang w:val="en-US" w:eastAsia="zh-CN"/>
        </w:rPr>
        <w:t>①</w:t>
      </w:r>
      <w:r>
        <w:rPr>
          <w:rFonts w:hint="default"/>
          <w:color w:val="auto"/>
          <w:lang w:val="en-US" w:eastAsia="zh-CN"/>
        </w:rPr>
        <w:t>充填工艺流程</w:t>
      </w:r>
    </w:p>
    <w:p w14:paraId="3809C1B6">
      <w:pPr>
        <w:bidi w:val="0"/>
        <w:rPr>
          <w:rFonts w:hint="default"/>
          <w:color w:val="auto"/>
          <w:lang w:val="en-US" w:eastAsia="zh-CN"/>
        </w:rPr>
      </w:pPr>
      <w:r>
        <w:rPr>
          <w:rFonts w:hint="default"/>
          <w:color w:val="auto"/>
          <w:lang w:val="en-US" w:eastAsia="zh-CN"/>
        </w:rPr>
        <w:t>选厂产出的全尾砂由渣浆泵输送至充填站的砂仓内，尾砂在砂仓内进行脱水沉淀，溢流水进入选厂回水池后，最终返回生产流程。进入砂仓的尾砂沉淀后的尾砂浓度达到80%左右，再进行造浆放砂，通过放砂管自流到搅拌槽内。同时，水泥仓内的水泥通过螺旋给料机给到搅拌槽内，与尾砂、水一同搅拌均匀，浓度控制在75%。浓度达到要求后，通过充填钻孔对井下空区进行充填。</w:t>
      </w:r>
    </w:p>
    <w:p w14:paraId="70497943">
      <w:pPr>
        <w:bidi w:val="0"/>
        <w:rPr>
          <w:rFonts w:hint="default"/>
          <w:color w:val="auto"/>
          <w:lang w:val="en-US" w:eastAsia="zh-CN"/>
        </w:rPr>
      </w:pPr>
      <w:r>
        <w:rPr>
          <w:rFonts w:hint="default"/>
          <w:color w:val="auto"/>
          <w:lang w:val="en-US" w:eastAsia="zh-CN"/>
        </w:rPr>
        <w:t>充填材料充填骨料为选厂产出的全尾砂，通过渣浆泵输送至充填站，胶结材料暂定为水泥。</w:t>
      </w:r>
    </w:p>
    <w:p w14:paraId="55ECBF80">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②</w:t>
      </w:r>
      <w:r>
        <w:rPr>
          <w:rFonts w:hint="default" w:ascii="Times New Roman" w:hAnsi="Times New Roman" w:eastAsia="宋体" w:cs="Times New Roman"/>
          <w:color w:val="auto"/>
          <w:sz w:val="24"/>
          <w:szCs w:val="28"/>
          <w:highlight w:val="none"/>
          <w:lang w:val="en-US" w:eastAsia="zh-CN"/>
        </w:rPr>
        <w:t>充填能力及工作制度</w:t>
      </w:r>
    </w:p>
    <w:p w14:paraId="041E9BAC">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A.</w:t>
      </w:r>
      <w:r>
        <w:rPr>
          <w:rFonts w:hint="default" w:ascii="Times New Roman" w:hAnsi="Times New Roman" w:eastAsia="宋体" w:cs="Times New Roman"/>
          <w:color w:val="auto"/>
          <w:sz w:val="24"/>
          <w:szCs w:val="28"/>
          <w:highlight w:val="none"/>
          <w:lang w:val="en-US" w:eastAsia="zh-CN"/>
        </w:rPr>
        <w:t>矿山年平均充填量</w:t>
      </w:r>
    </w:p>
    <w:p w14:paraId="0B30C547">
      <w:pPr>
        <w:adjustRightInd/>
        <w:snapToGrid/>
        <w:spacing w:line="480" w:lineRule="exact"/>
        <w:ind w:firstLine="480" w:firstLineChars="200"/>
        <w:rPr>
          <w:rFonts w:hint="default" w:ascii="Times New Roman" w:hAnsi="Times New Roman" w:eastAsia="宋体" w:cs="Times New Roman"/>
          <w:color w:val="auto"/>
          <w:sz w:val="24"/>
          <w:szCs w:val="28"/>
          <w:highlight w:val="none"/>
          <w:lang w:val="en-US" w:eastAsia="zh-CN"/>
        </w:rPr>
      </w:pPr>
      <w:r>
        <w:rPr>
          <w:rStyle w:val="140"/>
          <w:rFonts w:hint="default" w:ascii="Times New Roman" w:hAnsi="Times New Roman" w:eastAsia="宋体" w:cs="Times New Roman"/>
          <w:color w:val="auto"/>
          <w:spacing w:val="0"/>
          <w:szCs w:val="24"/>
          <w:highlight w:val="none"/>
          <w:lang w:val="en-US" w:eastAsia="zh-CN"/>
        </w:rPr>
        <w:t>地下开采规模为</w:t>
      </w:r>
      <w:r>
        <w:rPr>
          <w:rStyle w:val="140"/>
          <w:rFonts w:hint="default" w:ascii="Times New Roman" w:hAnsi="Times New Roman" w:cs="Times New Roman"/>
          <w:color w:val="auto"/>
          <w:spacing w:val="0"/>
          <w:szCs w:val="24"/>
          <w:highlight w:val="none"/>
          <w:lang w:val="en-US" w:eastAsia="zh-CN"/>
        </w:rPr>
        <w:t>500</w:t>
      </w:r>
      <w:r>
        <w:rPr>
          <w:rStyle w:val="140"/>
          <w:rFonts w:hint="default" w:ascii="Times New Roman" w:hAnsi="Times New Roman" w:eastAsia="宋体" w:cs="Times New Roman"/>
          <w:color w:val="auto"/>
          <w:spacing w:val="0"/>
          <w:szCs w:val="24"/>
          <w:highlight w:val="none"/>
          <w:lang w:val="en-US" w:eastAsia="zh-CN"/>
        </w:rPr>
        <w:t>t/d</w:t>
      </w:r>
      <w:r>
        <w:rPr>
          <w:rStyle w:val="140"/>
          <w:rFonts w:hint="default" w:ascii="Times New Roman" w:hAnsi="Times New Roman" w:cs="Times New Roman"/>
          <w:color w:val="auto"/>
          <w:spacing w:val="0"/>
          <w:szCs w:val="24"/>
          <w:highlight w:val="none"/>
          <w:lang w:val="en-US" w:eastAsia="zh-CN"/>
        </w:rPr>
        <w:t>（15000</w:t>
      </w:r>
      <w:r>
        <w:rPr>
          <w:rStyle w:val="140"/>
          <w:rFonts w:hint="default" w:ascii="Times New Roman" w:cs="Times New Roman"/>
          <w:color w:val="auto"/>
          <w:spacing w:val="0"/>
          <w:szCs w:val="24"/>
          <w:highlight w:val="none"/>
          <w:lang w:val="en-US" w:eastAsia="zh-CN"/>
        </w:rPr>
        <w:t>0</w:t>
      </w:r>
      <w:r>
        <w:rPr>
          <w:rStyle w:val="140"/>
          <w:rFonts w:hint="default" w:ascii="Times New Roman" w:hAnsi="Times New Roman" w:cs="Times New Roman"/>
          <w:color w:val="auto"/>
          <w:spacing w:val="0"/>
          <w:szCs w:val="24"/>
          <w:highlight w:val="none"/>
          <w:lang w:val="en-US" w:eastAsia="zh-CN"/>
        </w:rPr>
        <w:t>t/a）</w:t>
      </w:r>
      <w:r>
        <w:rPr>
          <w:rStyle w:val="140"/>
          <w:rFonts w:hint="default" w:ascii="Times New Roman" w:hAnsi="Times New Roman" w:eastAsia="宋体" w:cs="Times New Roman"/>
          <w:color w:val="auto"/>
          <w:spacing w:val="0"/>
          <w:szCs w:val="24"/>
          <w:highlight w:val="none"/>
          <w:lang w:val="en-US" w:eastAsia="zh-CN"/>
        </w:rPr>
        <w:t>，单日充填量</w:t>
      </w:r>
      <w:r>
        <w:rPr>
          <w:rStyle w:val="140"/>
          <w:rFonts w:hint="eastAsia" w:cs="Times New Roman"/>
          <w:color w:val="auto"/>
          <w:spacing w:val="0"/>
          <w:szCs w:val="24"/>
          <w:highlight w:val="none"/>
          <w:lang w:val="en-US" w:eastAsia="zh-CN"/>
        </w:rPr>
        <w:t>平均</w:t>
      </w:r>
      <w:r>
        <w:rPr>
          <w:rStyle w:val="140"/>
          <w:rFonts w:hint="default" w:ascii="Times New Roman" w:hAnsi="Times New Roman" w:eastAsia="宋体" w:cs="Times New Roman"/>
          <w:color w:val="auto"/>
          <w:spacing w:val="0"/>
          <w:szCs w:val="24"/>
          <w:highlight w:val="none"/>
          <w:lang w:val="en-US" w:eastAsia="zh-CN"/>
        </w:rPr>
        <w:t>为</w:t>
      </w:r>
      <w:r>
        <w:rPr>
          <w:rStyle w:val="140"/>
          <w:rFonts w:hint="default" w:ascii="Times New Roman" w:cs="Times New Roman"/>
          <w:color w:val="auto"/>
          <w:spacing w:val="0"/>
          <w:szCs w:val="24"/>
          <w:highlight w:val="none"/>
          <w:lang w:val="en-US" w:eastAsia="zh-CN"/>
        </w:rPr>
        <w:t>224.2</w:t>
      </w:r>
      <w:r>
        <w:rPr>
          <w:rStyle w:val="140"/>
          <w:rFonts w:hint="default" w:ascii="Times New Roman" w:hAnsi="Times New Roman" w:eastAsia="宋体" w:cs="Times New Roman"/>
          <w:color w:val="auto"/>
          <w:spacing w:val="0"/>
          <w:szCs w:val="24"/>
          <w:highlight w:val="none"/>
          <w:lang w:val="en-US" w:eastAsia="zh-CN"/>
        </w:rPr>
        <w:t>m</w:t>
      </w:r>
      <w:r>
        <w:rPr>
          <w:rStyle w:val="140"/>
          <w:rFonts w:hint="default" w:ascii="Times New Roman" w:hAnsi="Times New Roman" w:eastAsia="宋体" w:cs="Times New Roman"/>
          <w:color w:val="auto"/>
          <w:spacing w:val="0"/>
          <w:szCs w:val="24"/>
          <w:highlight w:val="none"/>
          <w:vertAlign w:val="superscript"/>
          <w:lang w:val="en-US" w:eastAsia="zh-CN"/>
        </w:rPr>
        <w:t>3</w:t>
      </w:r>
      <w:r>
        <w:rPr>
          <w:rStyle w:val="140"/>
          <w:rFonts w:hint="default" w:ascii="Times New Roman" w:hAnsi="Times New Roman" w:eastAsia="宋体" w:cs="Times New Roman"/>
          <w:color w:val="auto"/>
          <w:spacing w:val="0"/>
          <w:szCs w:val="24"/>
          <w:highlight w:val="none"/>
          <w:lang w:val="en-US" w:eastAsia="zh-CN"/>
        </w:rPr>
        <w:t>/d，日耗胶结材料量：</w:t>
      </w:r>
      <w:r>
        <w:rPr>
          <w:rStyle w:val="140"/>
          <w:rFonts w:hint="default" w:ascii="Times New Roman" w:cs="Times New Roman"/>
          <w:color w:val="auto"/>
          <w:spacing w:val="0"/>
          <w:szCs w:val="24"/>
          <w:highlight w:val="none"/>
          <w:lang w:val="en-US" w:eastAsia="zh-CN"/>
        </w:rPr>
        <w:t>224.2</w:t>
      </w:r>
      <w:r>
        <w:rPr>
          <w:rStyle w:val="140"/>
          <w:rFonts w:hint="default" w:ascii="Times New Roman" w:hAnsi="Times New Roman" w:eastAsia="宋体" w:cs="Times New Roman"/>
          <w:color w:val="auto"/>
          <w:spacing w:val="0"/>
          <w:szCs w:val="24"/>
          <w:highlight w:val="none"/>
          <w:lang w:val="en-US" w:eastAsia="zh-CN"/>
        </w:rPr>
        <w:t>×0.11=</w:t>
      </w:r>
      <w:r>
        <w:rPr>
          <w:rStyle w:val="140"/>
          <w:rFonts w:hint="eastAsia" w:ascii="Times New Roman" w:hAnsi="Times New Roman" w:cs="Times New Roman"/>
          <w:color w:val="auto"/>
          <w:spacing w:val="0"/>
          <w:szCs w:val="24"/>
          <w:highlight w:val="none"/>
          <w:lang w:val="en-US" w:eastAsia="zh-CN"/>
        </w:rPr>
        <w:t>24.67</w:t>
      </w:r>
      <w:r>
        <w:rPr>
          <w:rStyle w:val="140"/>
          <w:rFonts w:hint="default" w:ascii="Times New Roman" w:hAnsi="Times New Roman" w:eastAsia="宋体" w:cs="Times New Roman"/>
          <w:color w:val="auto"/>
          <w:spacing w:val="0"/>
          <w:szCs w:val="24"/>
          <w:highlight w:val="none"/>
          <w:lang w:val="en-US" w:eastAsia="zh-CN"/>
        </w:rPr>
        <w:t>t/d。</w:t>
      </w:r>
    </w:p>
    <w:p w14:paraId="178290C7">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B.</w:t>
      </w:r>
      <w:r>
        <w:rPr>
          <w:rFonts w:hint="default" w:ascii="Times New Roman" w:hAnsi="Times New Roman" w:eastAsia="宋体" w:cs="Times New Roman"/>
          <w:color w:val="auto"/>
          <w:sz w:val="24"/>
          <w:szCs w:val="28"/>
          <w:highlight w:val="none"/>
          <w:lang w:val="en-US" w:eastAsia="zh-CN"/>
        </w:rPr>
        <w:t>充填制度及充填能力</w:t>
      </w:r>
    </w:p>
    <w:p w14:paraId="53DF655D">
      <w:pPr>
        <w:adjustRightInd/>
        <w:snapToGrid/>
        <w:spacing w:line="480" w:lineRule="exact"/>
        <w:ind w:firstLine="480" w:firstLineChars="200"/>
        <w:rPr>
          <w:rStyle w:val="140"/>
          <w:rFonts w:hint="default" w:ascii="Times New Roman" w:hAnsi="Times New Roman" w:eastAsia="宋体" w:cs="Times New Roman"/>
          <w:color w:val="auto"/>
          <w:spacing w:val="0"/>
          <w:szCs w:val="24"/>
          <w:highlight w:val="none"/>
          <w:lang w:val="en-US" w:eastAsia="zh-CN"/>
        </w:rPr>
      </w:pPr>
      <w:r>
        <w:rPr>
          <w:rStyle w:val="140"/>
          <w:rFonts w:hint="default" w:ascii="Times New Roman" w:hAnsi="Times New Roman" w:eastAsia="宋体" w:cs="Times New Roman"/>
          <w:color w:val="auto"/>
          <w:spacing w:val="0"/>
          <w:szCs w:val="24"/>
          <w:highlight w:val="none"/>
          <w:lang w:val="en-US" w:eastAsia="zh-CN"/>
        </w:rPr>
        <w:t>充填工作制度：每年</w:t>
      </w:r>
      <w:r>
        <w:rPr>
          <w:rStyle w:val="140"/>
          <w:rFonts w:hint="eastAsia" w:ascii="Times New Roman" w:hAnsi="Times New Roman" w:cs="Times New Roman"/>
          <w:color w:val="auto"/>
          <w:spacing w:val="0"/>
          <w:szCs w:val="24"/>
          <w:highlight w:val="none"/>
          <w:lang w:val="en-US" w:eastAsia="zh-CN"/>
        </w:rPr>
        <w:t>300</w:t>
      </w:r>
      <w:r>
        <w:rPr>
          <w:rStyle w:val="140"/>
          <w:rFonts w:hint="default" w:ascii="Times New Roman" w:hAnsi="Times New Roman" w:eastAsia="宋体" w:cs="Times New Roman"/>
          <w:color w:val="auto"/>
          <w:spacing w:val="0"/>
          <w:szCs w:val="24"/>
          <w:highlight w:val="none"/>
          <w:lang w:val="en-US" w:eastAsia="zh-CN"/>
        </w:rPr>
        <w:t>天，每天2班，每班8小时，每班有效充填时间3h。</w:t>
      </w:r>
    </w:p>
    <w:p w14:paraId="0A7EE631">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Style w:val="140"/>
          <w:rFonts w:hint="default" w:ascii="Times New Roman" w:hAnsi="Times New Roman" w:eastAsia="宋体" w:cs="Times New Roman"/>
          <w:color w:val="auto"/>
          <w:spacing w:val="0"/>
          <w:szCs w:val="24"/>
          <w:highlight w:val="none"/>
          <w:lang w:val="en-US" w:eastAsia="zh-CN"/>
        </w:rPr>
      </w:pPr>
      <w:r>
        <w:rPr>
          <w:rStyle w:val="140"/>
          <w:rFonts w:hint="default" w:ascii="Times New Roman" w:hAnsi="Times New Roman" w:eastAsia="宋体" w:cs="Times New Roman"/>
          <w:color w:val="auto"/>
          <w:spacing w:val="0"/>
          <w:szCs w:val="24"/>
          <w:highlight w:val="none"/>
          <w:lang w:val="en-US" w:eastAsia="zh-CN"/>
        </w:rPr>
        <w:t>依据矿山生产能力、采矿方法及不同配比充填料浆用量以及矿山充填工作制度估算，设计充填料浆浓度</w:t>
      </w:r>
      <w:r>
        <w:rPr>
          <w:rStyle w:val="140"/>
          <w:rFonts w:hint="default" w:ascii="Times New Roman" w:hAnsi="Times New Roman" w:cs="Times New Roman"/>
          <w:color w:val="auto"/>
          <w:spacing w:val="0"/>
          <w:szCs w:val="24"/>
          <w:highlight w:val="none"/>
          <w:lang w:val="en-US" w:eastAsia="zh-CN"/>
        </w:rPr>
        <w:t>70</w:t>
      </w:r>
      <w:r>
        <w:rPr>
          <w:rStyle w:val="140"/>
          <w:rFonts w:hint="default" w:ascii="Times New Roman" w:hAnsi="Times New Roman" w:eastAsia="宋体" w:cs="Times New Roman"/>
          <w:color w:val="auto"/>
          <w:spacing w:val="0"/>
          <w:szCs w:val="24"/>
          <w:highlight w:val="none"/>
          <w:lang w:val="en-US" w:eastAsia="zh-CN"/>
        </w:rPr>
        <w:t>%左右，充填系统充填能力</w:t>
      </w:r>
      <w:r>
        <w:rPr>
          <w:rStyle w:val="140"/>
          <w:rFonts w:hint="default" w:ascii="Times New Roman" w:hAnsi="Times New Roman" w:cs="Times New Roman"/>
          <w:color w:val="auto"/>
          <w:spacing w:val="0"/>
          <w:szCs w:val="24"/>
          <w:highlight w:val="none"/>
          <w:lang w:val="en-US" w:eastAsia="zh-CN"/>
        </w:rPr>
        <w:t>34.25</w:t>
      </w:r>
      <w:r>
        <w:rPr>
          <w:rStyle w:val="140"/>
          <w:rFonts w:hint="default" w:ascii="Times New Roman" w:hAnsi="Times New Roman" w:eastAsia="宋体" w:cs="Times New Roman"/>
          <w:color w:val="auto"/>
          <w:spacing w:val="0"/>
          <w:szCs w:val="24"/>
          <w:highlight w:val="none"/>
          <w:lang w:val="en-US" w:eastAsia="zh-CN"/>
        </w:rPr>
        <w:t>m</w:t>
      </w:r>
      <w:r>
        <w:rPr>
          <w:rStyle w:val="140"/>
          <w:rFonts w:hint="default" w:ascii="Times New Roman" w:hAnsi="Times New Roman" w:eastAsia="宋体" w:cs="Times New Roman"/>
          <w:color w:val="auto"/>
          <w:spacing w:val="0"/>
          <w:szCs w:val="24"/>
          <w:highlight w:val="none"/>
          <w:vertAlign w:val="superscript"/>
          <w:lang w:val="en-US" w:eastAsia="zh-CN"/>
        </w:rPr>
        <w:t>3</w:t>
      </w:r>
      <w:r>
        <w:rPr>
          <w:rStyle w:val="140"/>
          <w:rFonts w:hint="default" w:ascii="Times New Roman" w:hAnsi="Times New Roman" w:eastAsia="宋体" w:cs="Times New Roman"/>
          <w:color w:val="auto"/>
          <w:spacing w:val="0"/>
          <w:szCs w:val="24"/>
          <w:highlight w:val="none"/>
          <w:lang w:val="en-US" w:eastAsia="zh-CN"/>
        </w:rPr>
        <w:t>/h。</w:t>
      </w:r>
    </w:p>
    <w:p w14:paraId="30B294E3">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C.</w:t>
      </w:r>
      <w:r>
        <w:rPr>
          <w:rFonts w:hint="default" w:ascii="Times New Roman" w:hAnsi="Times New Roman" w:eastAsia="宋体" w:cs="Times New Roman"/>
          <w:color w:val="auto"/>
          <w:sz w:val="24"/>
          <w:szCs w:val="28"/>
          <w:highlight w:val="none"/>
          <w:lang w:val="en-US" w:eastAsia="zh-CN"/>
        </w:rPr>
        <w:t>充填材料消耗</w:t>
      </w:r>
    </w:p>
    <w:p w14:paraId="0FFBD2A3">
      <w:pPr>
        <w:adjustRightInd/>
        <w:snapToGrid/>
        <w:spacing w:line="480" w:lineRule="exact"/>
        <w:ind w:firstLine="480" w:firstLineChars="200"/>
        <w:rPr>
          <w:rFonts w:hint="default" w:ascii="Times New Roman" w:hAnsi="Times New Roman" w:eastAsia="宋体" w:cs="Times New Roman"/>
          <w:color w:val="auto"/>
          <w:sz w:val="24"/>
          <w:szCs w:val="28"/>
          <w:highlight w:val="none"/>
          <w:lang w:val="en-US" w:eastAsia="zh-CN"/>
        </w:rPr>
      </w:pPr>
      <w:r>
        <w:rPr>
          <w:rStyle w:val="140"/>
          <w:rFonts w:hint="default" w:ascii="Times New Roman" w:hAnsi="Times New Roman" w:eastAsia="宋体" w:cs="Times New Roman"/>
          <w:color w:val="auto"/>
          <w:spacing w:val="0"/>
          <w:szCs w:val="24"/>
          <w:highlight w:val="none"/>
          <w:lang w:val="en-US" w:eastAsia="zh-CN"/>
        </w:rPr>
        <w:t>充填工作制内，每日平均胶结材料量：</w:t>
      </w:r>
      <w:r>
        <w:rPr>
          <w:rStyle w:val="140"/>
          <w:rFonts w:hint="default" w:ascii="Times New Roman" w:cs="Times New Roman"/>
          <w:color w:val="auto"/>
          <w:spacing w:val="0"/>
          <w:szCs w:val="24"/>
          <w:highlight w:val="none"/>
          <w:lang w:val="en-US" w:eastAsia="zh-CN"/>
        </w:rPr>
        <w:t>24.67</w:t>
      </w:r>
      <w:r>
        <w:rPr>
          <w:rStyle w:val="140"/>
          <w:rFonts w:hint="default" w:ascii="Times New Roman" w:hAnsi="Times New Roman" w:eastAsia="宋体" w:cs="Times New Roman"/>
          <w:color w:val="auto"/>
          <w:spacing w:val="0"/>
          <w:szCs w:val="24"/>
          <w:highlight w:val="none"/>
          <w:lang w:val="en-US" w:eastAsia="zh-CN"/>
        </w:rPr>
        <w:t>t/d；尾砂量为</w:t>
      </w:r>
      <w:r>
        <w:rPr>
          <w:rStyle w:val="140"/>
          <w:rFonts w:hint="default" w:ascii="Times New Roman" w:hAnsi="Times New Roman" w:cs="Times New Roman"/>
          <w:color w:val="auto"/>
          <w:spacing w:val="0"/>
          <w:szCs w:val="24"/>
          <w:highlight w:val="none"/>
          <w:lang w:val="en-US" w:eastAsia="zh-CN"/>
        </w:rPr>
        <w:t>2</w:t>
      </w:r>
      <w:r>
        <w:rPr>
          <w:rStyle w:val="140"/>
          <w:rFonts w:hint="default" w:ascii="Times New Roman" w:cs="Times New Roman"/>
          <w:color w:val="auto"/>
          <w:spacing w:val="0"/>
          <w:szCs w:val="24"/>
          <w:highlight w:val="none"/>
          <w:lang w:val="en-US" w:eastAsia="zh-CN"/>
        </w:rPr>
        <w:t>96</w:t>
      </w:r>
      <w:r>
        <w:rPr>
          <w:rStyle w:val="140"/>
          <w:rFonts w:hint="default" w:ascii="Times New Roman" w:hAnsi="Times New Roman" w:eastAsia="宋体" w:cs="Times New Roman"/>
          <w:color w:val="auto"/>
          <w:spacing w:val="0"/>
          <w:szCs w:val="24"/>
          <w:highlight w:val="none"/>
          <w:lang w:val="en-US" w:eastAsia="zh-CN"/>
        </w:rPr>
        <w:t>t/d；</w:t>
      </w:r>
      <w:r>
        <w:rPr>
          <w:rStyle w:val="140"/>
          <w:rFonts w:hint="eastAsia" w:cs="Times New Roman"/>
          <w:color w:val="auto"/>
          <w:spacing w:val="0"/>
          <w:szCs w:val="24"/>
          <w:highlight w:val="none"/>
          <w:lang w:val="en-US" w:eastAsia="zh-CN"/>
        </w:rPr>
        <w:t>调浆水</w:t>
      </w:r>
      <w:r>
        <w:rPr>
          <w:rStyle w:val="140"/>
          <w:rFonts w:hint="default" w:ascii="Times New Roman" w:hAnsi="Times New Roman" w:eastAsia="宋体" w:cs="Times New Roman"/>
          <w:color w:val="auto"/>
          <w:spacing w:val="0"/>
          <w:szCs w:val="24"/>
          <w:highlight w:val="none"/>
          <w:lang w:val="en-US" w:eastAsia="zh-CN"/>
        </w:rPr>
        <w:t>为</w:t>
      </w:r>
      <w:r>
        <w:rPr>
          <w:rStyle w:val="140"/>
          <w:rFonts w:hint="default" w:ascii="Times New Roman" w:cs="Times New Roman"/>
          <w:color w:val="auto"/>
          <w:spacing w:val="0"/>
          <w:szCs w:val="24"/>
          <w:highlight w:val="none"/>
          <w:lang w:val="en-US" w:eastAsia="zh-CN"/>
        </w:rPr>
        <w:t>105.4</w:t>
      </w:r>
      <w:r>
        <w:rPr>
          <w:rStyle w:val="140"/>
          <w:rFonts w:hint="default" w:ascii="Times New Roman" w:hAnsi="Times New Roman" w:eastAsia="宋体" w:cs="Times New Roman"/>
          <w:color w:val="auto"/>
          <w:spacing w:val="0"/>
          <w:szCs w:val="24"/>
          <w:highlight w:val="none"/>
          <w:lang w:val="en-US" w:eastAsia="zh-CN"/>
        </w:rPr>
        <w:t>t/d。</w:t>
      </w:r>
    </w:p>
    <w:p w14:paraId="18E2AEBF">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③</w:t>
      </w:r>
      <w:r>
        <w:rPr>
          <w:rFonts w:hint="default" w:ascii="Times New Roman" w:hAnsi="Times New Roman" w:eastAsia="宋体" w:cs="Times New Roman"/>
          <w:color w:val="auto"/>
          <w:sz w:val="24"/>
          <w:szCs w:val="28"/>
          <w:highlight w:val="none"/>
          <w:lang w:val="en-US" w:eastAsia="zh-CN"/>
        </w:rPr>
        <w:t>采充平衡计算</w:t>
      </w:r>
    </w:p>
    <w:p w14:paraId="44586631">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yellow"/>
          <w:lang w:val="en-US" w:eastAsia="zh-CN"/>
        </w:rPr>
      </w:pPr>
      <w:r>
        <w:rPr>
          <w:rFonts w:hint="default" w:ascii="Times New Roman" w:hAnsi="Times New Roman" w:eastAsia="宋体" w:cs="Times New Roman"/>
          <w:color w:val="auto"/>
          <w:sz w:val="24"/>
          <w:szCs w:val="28"/>
          <w:highlight w:val="none"/>
          <w:lang w:val="en-US" w:eastAsia="zh-CN"/>
        </w:rPr>
        <w:t>结合选矿规模</w:t>
      </w:r>
      <w:r>
        <w:rPr>
          <w:rFonts w:hint="default" w:ascii="Times New Roman" w:hAnsi="Times New Roman" w:cs="Times New Roman"/>
          <w:color w:val="auto"/>
          <w:sz w:val="24"/>
          <w:szCs w:val="28"/>
          <w:highlight w:val="none"/>
          <w:lang w:val="en-US" w:eastAsia="zh-CN"/>
        </w:rPr>
        <w:t>（625</w:t>
      </w:r>
      <w:r>
        <w:rPr>
          <w:rFonts w:hint="default" w:ascii="Times New Roman" w:hAnsi="Times New Roman" w:eastAsia="宋体" w:cs="Times New Roman"/>
          <w:color w:val="auto"/>
          <w:sz w:val="24"/>
          <w:szCs w:val="28"/>
          <w:highlight w:val="none"/>
          <w:lang w:val="en-US" w:eastAsia="zh-CN"/>
        </w:rPr>
        <w:t>t/d</w:t>
      </w:r>
      <w:r>
        <w:rPr>
          <w:rFonts w:hint="default" w:ascii="Times New Roman" w:hAnsi="Times New Roman"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及工作制度</w:t>
      </w:r>
      <w:r>
        <w:rPr>
          <w:rFonts w:hint="default" w:ascii="Times New Roman" w:hAnsi="Times New Roman" w:cs="Times New Roman"/>
          <w:color w:val="auto"/>
          <w:sz w:val="24"/>
          <w:szCs w:val="28"/>
          <w:highlight w:val="none"/>
          <w:lang w:val="en-US" w:eastAsia="zh-CN"/>
        </w:rPr>
        <w:t>（24</w:t>
      </w:r>
      <w:r>
        <w:rPr>
          <w:rFonts w:hint="default" w:ascii="Times New Roman" w:hAnsi="Times New Roman" w:eastAsia="宋体" w:cs="Times New Roman"/>
          <w:color w:val="auto"/>
          <w:sz w:val="24"/>
          <w:szCs w:val="28"/>
          <w:highlight w:val="none"/>
          <w:lang w:val="en-US" w:eastAsia="zh-CN"/>
        </w:rPr>
        <w:t>0d</w:t>
      </w:r>
      <w:r>
        <w:rPr>
          <w:rFonts w:hint="default" w:ascii="Times New Roman" w:hAnsi="Times New Roman"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计算，矿山</w:t>
      </w:r>
      <w:r>
        <w:rPr>
          <w:rFonts w:hint="default" w:ascii="Times New Roman" w:hAnsi="Times New Roman" w:cs="Times New Roman"/>
          <w:color w:val="auto"/>
          <w:sz w:val="24"/>
          <w:szCs w:val="28"/>
          <w:highlight w:val="none"/>
          <w:lang w:val="en-US" w:eastAsia="zh-CN"/>
        </w:rPr>
        <w:t>选矿厂</w:t>
      </w:r>
      <w:r>
        <w:rPr>
          <w:rFonts w:hint="default" w:ascii="Times New Roman" w:hAnsi="Times New Roman" w:eastAsia="宋体" w:cs="Times New Roman"/>
          <w:color w:val="auto"/>
          <w:sz w:val="24"/>
          <w:szCs w:val="28"/>
          <w:highlight w:val="none"/>
          <w:lang w:val="en-US" w:eastAsia="zh-CN"/>
        </w:rPr>
        <w:t>尾矿总产量</w:t>
      </w:r>
      <w:r>
        <w:rPr>
          <w:rFonts w:hint="default" w:ascii="Times New Roman" w:hAnsi="Times New Roman" w:cs="Times New Roman"/>
          <w:color w:val="auto"/>
          <w:sz w:val="24"/>
          <w:szCs w:val="28"/>
          <w:highlight w:val="none"/>
          <w:lang w:val="en-US" w:eastAsia="zh-CN"/>
        </w:rPr>
        <w:t>150000</w:t>
      </w:r>
      <w:r>
        <w:rPr>
          <w:rFonts w:hint="default" w:ascii="Times New Roman" w:hAnsi="Times New Roman" w:eastAsia="宋体" w:cs="Times New Roman"/>
          <w:color w:val="auto"/>
          <w:sz w:val="24"/>
          <w:szCs w:val="28"/>
          <w:highlight w:val="none"/>
          <w:lang w:val="en-US" w:eastAsia="zh-CN"/>
        </w:rPr>
        <w:t>t/a</w:t>
      </w:r>
      <w:r>
        <w:rPr>
          <w:rFonts w:hint="default" w:ascii="Times New Roman" w:hAnsi="Times New Roman"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井下充填用尾砂消耗为</w:t>
      </w:r>
      <w:r>
        <w:rPr>
          <w:rFonts w:hint="default" w:ascii="Times New Roman" w:hAnsi="Times New Roman" w:cs="Times New Roman"/>
          <w:color w:val="auto"/>
          <w:sz w:val="24"/>
          <w:szCs w:val="28"/>
          <w:highlight w:val="none"/>
          <w:lang w:val="en-US" w:eastAsia="zh-CN"/>
        </w:rPr>
        <w:t>88800</w:t>
      </w:r>
      <w:r>
        <w:rPr>
          <w:rFonts w:hint="default" w:ascii="Times New Roman" w:hAnsi="Times New Roman" w:eastAsia="宋体" w:cs="Times New Roman"/>
          <w:color w:val="auto"/>
          <w:sz w:val="24"/>
          <w:szCs w:val="28"/>
          <w:highlight w:val="none"/>
          <w:lang w:val="en-US" w:eastAsia="zh-CN"/>
        </w:rPr>
        <w:t>t/a，因此，</w:t>
      </w:r>
      <w:r>
        <w:rPr>
          <w:rFonts w:hint="default" w:ascii="Times New Roman" w:hAnsi="Times New Roman" w:cs="Times New Roman"/>
          <w:color w:val="auto"/>
          <w:sz w:val="24"/>
          <w:szCs w:val="28"/>
          <w:highlight w:val="none"/>
          <w:lang w:val="en-US" w:eastAsia="zh-CN"/>
        </w:rPr>
        <w:t>选矿厂</w:t>
      </w:r>
      <w:r>
        <w:rPr>
          <w:rFonts w:hint="default" w:ascii="Times New Roman" w:hAnsi="Times New Roman" w:eastAsia="宋体" w:cs="Times New Roman"/>
          <w:color w:val="auto"/>
          <w:sz w:val="24"/>
          <w:szCs w:val="28"/>
          <w:highlight w:val="none"/>
          <w:lang w:val="en-US" w:eastAsia="zh-CN"/>
        </w:rPr>
        <w:t>尾砂不能完全用于井下充填</w:t>
      </w:r>
      <w:r>
        <w:rPr>
          <w:rFonts w:hint="default" w:ascii="Times New Roman" w:hAnsi="Times New Roman" w:cs="Times New Roman"/>
          <w:color w:val="auto"/>
          <w:sz w:val="24"/>
          <w:szCs w:val="28"/>
          <w:highlight w:val="none"/>
          <w:lang w:val="en-US" w:eastAsia="zh-CN"/>
        </w:rPr>
        <w:t>，剩余61200</w:t>
      </w:r>
      <w:r>
        <w:rPr>
          <w:rFonts w:hint="default" w:ascii="Times New Roman" w:hAnsi="Times New Roman" w:eastAsia="宋体" w:cs="Times New Roman"/>
          <w:color w:val="auto"/>
          <w:sz w:val="24"/>
          <w:szCs w:val="28"/>
          <w:highlight w:val="none"/>
          <w:lang w:val="en-US" w:eastAsia="zh-CN"/>
        </w:rPr>
        <w:t>t/a的尾砂通过</w:t>
      </w:r>
      <w:r>
        <w:rPr>
          <w:rFonts w:hint="default" w:ascii="Times New Roman" w:hAnsi="Times New Roman" w:cs="Times New Roman"/>
          <w:color w:val="auto"/>
          <w:sz w:val="24"/>
          <w:szCs w:val="28"/>
          <w:highlight w:val="none"/>
          <w:lang w:val="en-US" w:eastAsia="zh-CN"/>
        </w:rPr>
        <w:t>汽车输送至</w:t>
      </w:r>
      <w:r>
        <w:rPr>
          <w:rFonts w:hint="default" w:ascii="Times New Roman" w:hAnsi="Times New Roman" w:eastAsia="宋体" w:cs="Times New Roman"/>
          <w:color w:val="auto"/>
          <w:sz w:val="24"/>
          <w:szCs w:val="28"/>
          <w:highlight w:val="none"/>
          <w:lang w:val="en-US" w:eastAsia="zh-CN"/>
        </w:rPr>
        <w:t>尾矿库。</w:t>
      </w:r>
    </w:p>
    <w:p w14:paraId="6D8AEC73">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8"/>
          <w:highlight w:val="none"/>
          <w:lang w:val="en-US" w:eastAsia="zh-CN" w:bidi="ar-SA"/>
        </w:rPr>
      </w:pPr>
      <w:r>
        <w:rPr>
          <w:rFonts w:hint="eastAsia" w:ascii="Times New Roman" w:hAnsi="Times New Roman" w:eastAsia="宋体" w:cs="Times New Roman"/>
          <w:color w:val="auto"/>
          <w:kern w:val="0"/>
          <w:sz w:val="24"/>
          <w:szCs w:val="28"/>
          <w:highlight w:val="none"/>
          <w:lang w:val="en-US" w:eastAsia="zh-CN" w:bidi="ar-SA"/>
        </w:rPr>
        <w:t>（4）</w:t>
      </w:r>
      <w:r>
        <w:rPr>
          <w:rFonts w:hint="default" w:ascii="Times New Roman" w:hAnsi="Times New Roman" w:eastAsia="宋体" w:cs="Times New Roman"/>
          <w:color w:val="auto"/>
          <w:kern w:val="0"/>
          <w:sz w:val="24"/>
          <w:szCs w:val="28"/>
          <w:highlight w:val="none"/>
          <w:lang w:val="en-US" w:eastAsia="zh-CN" w:bidi="ar-SA"/>
        </w:rPr>
        <w:t>充填系统工艺流程</w:t>
      </w:r>
    </w:p>
    <w:p w14:paraId="31C99601">
      <w:pPr>
        <w:pStyle w:val="7"/>
        <w:keepNext w:val="0"/>
        <w:keepLines w:val="0"/>
        <w:pageBreakBefore w:val="0"/>
        <w:widowControl w:val="0"/>
        <w:numPr>
          <w:ilvl w:val="0"/>
          <w:numId w:val="0"/>
        </w:numPr>
        <w:kinsoku/>
        <w:wordWrap/>
        <w:overflowPunct/>
        <w:topLinePunct w:val="0"/>
        <w:autoSpaceDE w:val="0"/>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default" w:ascii="Times New Roman" w:hAnsi="Times New Roman" w:eastAsia="宋体" w:cs="Times New Roman"/>
          <w:color w:val="auto"/>
          <w:sz w:val="24"/>
          <w:szCs w:val="28"/>
          <w:highlight w:val="none"/>
          <w:lang w:val="en-US" w:eastAsia="zh-CN"/>
        </w:rPr>
        <w:t>选厂产出的全尾砂由渣浆泵输送至充填站的砂仓内，尾砂在砂仓内进行脱水沉淀，溢流水进入选厂回水池后，最终返回生产流程。进入砂仓的尾砂沉淀后的尾砂浓度达到80%左右，再进行造浆放砂，通过放砂管自流到搅拌槽内。同时，水泥仓内的水泥通过螺旋给料机给到搅拌槽内，与尾砂、水一同搅拌均匀，浓度控制在70%。浓度达到要求后，通过充填钻孔对井下空区进行充填。</w:t>
      </w:r>
      <w:r>
        <w:rPr>
          <w:rFonts w:hint="eastAsia" w:ascii="Times New Roman" w:hAnsi="Times New Roman" w:eastAsia="宋体" w:cs="Times New Roman"/>
          <w:color w:val="auto"/>
          <w:sz w:val="24"/>
          <w:szCs w:val="28"/>
          <w:highlight w:val="none"/>
          <w:lang w:val="en-US" w:eastAsia="zh-CN"/>
        </w:rPr>
        <w:t>本项目与采矿工业场地位置关系见图3.1-7。</w:t>
      </w:r>
    </w:p>
    <w:p w14:paraId="214310AE">
      <w:pPr>
        <w:pStyle w:val="7"/>
        <w:rPr>
          <w:rFonts w:hint="default"/>
          <w:color w:val="auto"/>
          <w:lang w:val="en-US" w:eastAsia="zh-CN"/>
        </w:rPr>
      </w:pPr>
    </w:p>
    <w:p w14:paraId="62F6C926">
      <w:pPr>
        <w:pStyle w:val="4"/>
        <w:rPr>
          <w:rFonts w:hint="default" w:ascii="Times New Roman" w:hAnsi="Times New Roman" w:cs="Times New Roman"/>
          <w:color w:val="auto"/>
          <w:highlight w:val="none"/>
        </w:rPr>
      </w:pPr>
      <w:bookmarkStart w:id="355" w:name="_Toc28750"/>
      <w:bookmarkStart w:id="356" w:name="_Toc20082"/>
      <w:bookmarkStart w:id="357" w:name="_Toc30884"/>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.4主要生产设备及能源消耗</w:t>
      </w:r>
      <w:bookmarkEnd w:id="355"/>
      <w:bookmarkEnd w:id="356"/>
      <w:bookmarkEnd w:id="357"/>
    </w:p>
    <w:p w14:paraId="681E1AB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.4.1主要生产设备及仪表</w:t>
      </w:r>
    </w:p>
    <w:p w14:paraId="6F1D3E1E">
      <w:pPr>
        <w:pStyle w:val="84"/>
        <w:overflowPunct w:val="0"/>
        <w:topLinePunct/>
        <w:spacing w:beforeLines="0" w:afterLines="0" w:line="480" w:lineRule="exact"/>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本项目主要生产设备见表3.</w:t>
      </w:r>
      <w:r>
        <w:rPr>
          <w:rFonts w:hint="default" w:ascii="Times New Roman" w:hAnsi="Times New Roman" w:cs="Times New Roman"/>
          <w:color w:val="auto"/>
          <w:szCs w:val="24"/>
          <w:highlight w:val="none"/>
          <w:lang w:val="en-US" w:eastAsia="zh-CN"/>
        </w:rPr>
        <w:t>1</w:t>
      </w:r>
      <w:r>
        <w:rPr>
          <w:rFonts w:hint="default" w:ascii="Times New Roman" w:hAnsi="Times New Roman" w:cs="Times New Roman"/>
          <w:color w:val="auto"/>
          <w:szCs w:val="24"/>
          <w:highlight w:val="none"/>
        </w:rPr>
        <w:t>-5。</w:t>
      </w:r>
    </w:p>
    <w:p w14:paraId="017341DF">
      <w:pPr>
        <w:pStyle w:val="54"/>
        <w:spacing w:line="480" w:lineRule="exact"/>
        <w:ind w:firstLine="0" w:firstLineChars="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表3.</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rPr>
        <w:t>-5    主要设备一览表</w:t>
      </w:r>
    </w:p>
    <w:tbl>
      <w:tblPr>
        <w:tblStyle w:val="34"/>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701"/>
        <w:gridCol w:w="1697"/>
        <w:gridCol w:w="642"/>
        <w:gridCol w:w="642"/>
        <w:gridCol w:w="1070"/>
        <w:gridCol w:w="1708"/>
        <w:gridCol w:w="1065"/>
      </w:tblGrid>
      <w:tr w14:paraId="05F74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50" w:type="pct"/>
            <w:vAlign w:val="center"/>
          </w:tcPr>
          <w:p w14:paraId="39380C61">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927" w:type="pct"/>
            <w:vAlign w:val="center"/>
          </w:tcPr>
          <w:p w14:paraId="20F10E6A">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设备名称</w:t>
            </w:r>
          </w:p>
        </w:tc>
        <w:tc>
          <w:tcPr>
            <w:tcW w:w="925" w:type="pct"/>
            <w:vAlign w:val="center"/>
          </w:tcPr>
          <w:p w14:paraId="62AEB52C">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型号及规格</w:t>
            </w:r>
          </w:p>
        </w:tc>
        <w:tc>
          <w:tcPr>
            <w:tcW w:w="350" w:type="pct"/>
            <w:vAlign w:val="center"/>
          </w:tcPr>
          <w:p w14:paraId="530DBD9A">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单位</w:t>
            </w:r>
          </w:p>
        </w:tc>
        <w:tc>
          <w:tcPr>
            <w:tcW w:w="350" w:type="pct"/>
            <w:vAlign w:val="center"/>
          </w:tcPr>
          <w:p w14:paraId="268276E5">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数量</w:t>
            </w:r>
          </w:p>
        </w:tc>
        <w:tc>
          <w:tcPr>
            <w:tcW w:w="583" w:type="pct"/>
            <w:vAlign w:val="center"/>
          </w:tcPr>
          <w:p w14:paraId="2F395B31">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电机数量</w:t>
            </w:r>
          </w:p>
        </w:tc>
        <w:tc>
          <w:tcPr>
            <w:tcW w:w="931" w:type="pct"/>
            <w:vAlign w:val="center"/>
          </w:tcPr>
          <w:p w14:paraId="5717098D">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容量（千瓦台）</w:t>
            </w:r>
          </w:p>
        </w:tc>
        <w:tc>
          <w:tcPr>
            <w:tcW w:w="580" w:type="pct"/>
            <w:vAlign w:val="center"/>
          </w:tcPr>
          <w:p w14:paraId="7A0D31F7">
            <w:pPr>
              <w:overflowPunct w:val="0"/>
              <w:topLinePunct/>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14:paraId="22EEA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4412FA67">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27" w:type="pct"/>
            <w:vAlign w:val="center"/>
          </w:tcPr>
          <w:p w14:paraId="2D00C9A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重型板式给矿机</w:t>
            </w:r>
          </w:p>
        </w:tc>
        <w:tc>
          <w:tcPr>
            <w:tcW w:w="925" w:type="pct"/>
            <w:vAlign w:val="center"/>
          </w:tcPr>
          <w:p w14:paraId="2C6D56B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GBH1000-6</w:t>
            </w:r>
          </w:p>
        </w:tc>
        <w:tc>
          <w:tcPr>
            <w:tcW w:w="350" w:type="pct"/>
            <w:vAlign w:val="center"/>
          </w:tcPr>
          <w:p w14:paraId="0DF1B7B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57FCF0A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7A8C17D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1C64A10D">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7.5</w:t>
            </w:r>
          </w:p>
        </w:tc>
        <w:tc>
          <w:tcPr>
            <w:tcW w:w="580" w:type="pct"/>
            <w:vAlign w:val="center"/>
          </w:tcPr>
          <w:p w14:paraId="672A9AA3">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粗碎给料</w:t>
            </w:r>
          </w:p>
        </w:tc>
      </w:tr>
      <w:tr w14:paraId="4BDF9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4253935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w:t>
            </w:r>
          </w:p>
        </w:tc>
        <w:tc>
          <w:tcPr>
            <w:tcW w:w="927" w:type="pct"/>
            <w:vAlign w:val="center"/>
          </w:tcPr>
          <w:p w14:paraId="529E952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颚式破碎机</w:t>
            </w:r>
          </w:p>
        </w:tc>
        <w:tc>
          <w:tcPr>
            <w:tcW w:w="925" w:type="pct"/>
            <w:vAlign w:val="center"/>
          </w:tcPr>
          <w:p w14:paraId="426AEC4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C80</w:t>
            </w:r>
          </w:p>
        </w:tc>
        <w:tc>
          <w:tcPr>
            <w:tcW w:w="350" w:type="pct"/>
            <w:vAlign w:val="center"/>
          </w:tcPr>
          <w:p w14:paraId="22E49AA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015855C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123B16F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6121649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75</w:t>
            </w:r>
          </w:p>
        </w:tc>
        <w:tc>
          <w:tcPr>
            <w:tcW w:w="580" w:type="pct"/>
            <w:vAlign w:val="center"/>
          </w:tcPr>
          <w:p w14:paraId="7A3AA51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粗碎</w:t>
            </w:r>
          </w:p>
        </w:tc>
      </w:tr>
      <w:tr w14:paraId="0446C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6ED3140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3</w:t>
            </w:r>
          </w:p>
        </w:tc>
        <w:tc>
          <w:tcPr>
            <w:tcW w:w="927" w:type="pct"/>
            <w:vAlign w:val="center"/>
          </w:tcPr>
          <w:p w14:paraId="299ABA3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电振给矿机</w:t>
            </w:r>
          </w:p>
        </w:tc>
        <w:tc>
          <w:tcPr>
            <w:tcW w:w="925" w:type="pct"/>
            <w:vAlign w:val="center"/>
          </w:tcPr>
          <w:p w14:paraId="7479C7F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XZG0927</w:t>
            </w:r>
          </w:p>
        </w:tc>
        <w:tc>
          <w:tcPr>
            <w:tcW w:w="350" w:type="pct"/>
            <w:vAlign w:val="center"/>
          </w:tcPr>
          <w:p w14:paraId="4364A43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330E6F5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7891673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1370FB7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3</w:t>
            </w:r>
          </w:p>
        </w:tc>
        <w:tc>
          <w:tcPr>
            <w:tcW w:w="580" w:type="pct"/>
            <w:vAlign w:val="center"/>
          </w:tcPr>
          <w:p w14:paraId="1FF44DCD">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中碎给矿</w:t>
            </w:r>
          </w:p>
        </w:tc>
      </w:tr>
      <w:tr w14:paraId="31D27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024FE2E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4</w:t>
            </w:r>
          </w:p>
        </w:tc>
        <w:tc>
          <w:tcPr>
            <w:tcW w:w="927" w:type="pct"/>
            <w:vAlign w:val="center"/>
          </w:tcPr>
          <w:p w14:paraId="187C6D5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圆锥破碎机</w:t>
            </w:r>
          </w:p>
        </w:tc>
        <w:tc>
          <w:tcPr>
            <w:tcW w:w="925" w:type="pct"/>
            <w:vAlign w:val="center"/>
          </w:tcPr>
          <w:p w14:paraId="3BCBE3C3">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GP100S</w:t>
            </w:r>
          </w:p>
        </w:tc>
        <w:tc>
          <w:tcPr>
            <w:tcW w:w="350" w:type="pct"/>
            <w:vAlign w:val="center"/>
          </w:tcPr>
          <w:p w14:paraId="07C8A9E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4782DCC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7DD1519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2B88BA37">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75</w:t>
            </w:r>
          </w:p>
        </w:tc>
        <w:tc>
          <w:tcPr>
            <w:tcW w:w="580" w:type="pct"/>
            <w:vAlign w:val="center"/>
          </w:tcPr>
          <w:p w14:paraId="468A65A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中碎</w:t>
            </w:r>
          </w:p>
        </w:tc>
      </w:tr>
      <w:tr w14:paraId="69DA4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3BFA789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5</w:t>
            </w:r>
          </w:p>
        </w:tc>
        <w:tc>
          <w:tcPr>
            <w:tcW w:w="927" w:type="pct"/>
            <w:vAlign w:val="center"/>
          </w:tcPr>
          <w:p w14:paraId="1A46AE4D">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电振给矿机</w:t>
            </w:r>
          </w:p>
        </w:tc>
        <w:tc>
          <w:tcPr>
            <w:tcW w:w="925" w:type="pct"/>
            <w:vAlign w:val="center"/>
          </w:tcPr>
          <w:p w14:paraId="3F7FECD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XZG0927</w:t>
            </w:r>
          </w:p>
        </w:tc>
        <w:tc>
          <w:tcPr>
            <w:tcW w:w="350" w:type="pct"/>
            <w:vAlign w:val="center"/>
          </w:tcPr>
          <w:p w14:paraId="3AB4B92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25453EC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65E8049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08A6FE17">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3</w:t>
            </w:r>
          </w:p>
        </w:tc>
        <w:tc>
          <w:tcPr>
            <w:tcW w:w="580" w:type="pct"/>
            <w:vAlign w:val="center"/>
          </w:tcPr>
          <w:p w14:paraId="126A8B9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细碎给矿</w:t>
            </w:r>
          </w:p>
        </w:tc>
      </w:tr>
      <w:tr w14:paraId="5376D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0F73200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6</w:t>
            </w:r>
          </w:p>
        </w:tc>
        <w:tc>
          <w:tcPr>
            <w:tcW w:w="927" w:type="pct"/>
            <w:vAlign w:val="center"/>
          </w:tcPr>
          <w:p w14:paraId="2E464B47">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圆锥破碎机</w:t>
            </w:r>
          </w:p>
        </w:tc>
        <w:tc>
          <w:tcPr>
            <w:tcW w:w="925" w:type="pct"/>
            <w:vAlign w:val="center"/>
          </w:tcPr>
          <w:p w14:paraId="7ECD307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HP200</w:t>
            </w:r>
          </w:p>
        </w:tc>
        <w:tc>
          <w:tcPr>
            <w:tcW w:w="350" w:type="pct"/>
            <w:vAlign w:val="center"/>
          </w:tcPr>
          <w:p w14:paraId="7EABFE1D">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2F94E8A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79DB44B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0A626EC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132</w:t>
            </w:r>
          </w:p>
        </w:tc>
        <w:tc>
          <w:tcPr>
            <w:tcW w:w="580" w:type="pct"/>
            <w:vAlign w:val="center"/>
          </w:tcPr>
          <w:p w14:paraId="74B1F58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细碎</w:t>
            </w:r>
          </w:p>
        </w:tc>
      </w:tr>
      <w:tr w14:paraId="472E7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5349405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7</w:t>
            </w:r>
          </w:p>
        </w:tc>
        <w:tc>
          <w:tcPr>
            <w:tcW w:w="927" w:type="pct"/>
            <w:vAlign w:val="center"/>
          </w:tcPr>
          <w:p w14:paraId="5815F97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香蕉筛</w:t>
            </w:r>
          </w:p>
        </w:tc>
        <w:tc>
          <w:tcPr>
            <w:tcW w:w="925" w:type="pct"/>
            <w:vAlign w:val="center"/>
          </w:tcPr>
          <w:p w14:paraId="414A956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MF1848</w:t>
            </w:r>
          </w:p>
        </w:tc>
        <w:tc>
          <w:tcPr>
            <w:tcW w:w="350" w:type="pct"/>
            <w:vAlign w:val="center"/>
          </w:tcPr>
          <w:p w14:paraId="7D66C05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7DDE4AA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0CEC8E3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2594FB13">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30</w:t>
            </w:r>
          </w:p>
        </w:tc>
        <w:tc>
          <w:tcPr>
            <w:tcW w:w="580" w:type="pct"/>
            <w:vAlign w:val="center"/>
          </w:tcPr>
          <w:p w14:paraId="6A00BE1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筛分</w:t>
            </w:r>
          </w:p>
        </w:tc>
      </w:tr>
      <w:tr w14:paraId="63845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2674F81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8</w:t>
            </w:r>
          </w:p>
        </w:tc>
        <w:tc>
          <w:tcPr>
            <w:tcW w:w="927" w:type="pct"/>
            <w:vAlign w:val="center"/>
          </w:tcPr>
          <w:p w14:paraId="7D979EE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格子型球磨机</w:t>
            </w:r>
          </w:p>
        </w:tc>
        <w:tc>
          <w:tcPr>
            <w:tcW w:w="925" w:type="pct"/>
            <w:vAlign w:val="center"/>
          </w:tcPr>
          <w:p w14:paraId="6C4B0E9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MQG2736</w:t>
            </w:r>
          </w:p>
        </w:tc>
        <w:tc>
          <w:tcPr>
            <w:tcW w:w="350" w:type="pct"/>
            <w:vAlign w:val="center"/>
          </w:tcPr>
          <w:p w14:paraId="0A8104D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49EFB317">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1054B60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54E27F2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400</w:t>
            </w:r>
          </w:p>
        </w:tc>
        <w:tc>
          <w:tcPr>
            <w:tcW w:w="580" w:type="pct"/>
            <w:vAlign w:val="center"/>
          </w:tcPr>
          <w:p w14:paraId="1F67A0A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一段磨矿</w:t>
            </w:r>
          </w:p>
        </w:tc>
      </w:tr>
      <w:tr w14:paraId="6572C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74198F3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9</w:t>
            </w:r>
          </w:p>
        </w:tc>
        <w:tc>
          <w:tcPr>
            <w:tcW w:w="927" w:type="pct"/>
            <w:vAlign w:val="center"/>
          </w:tcPr>
          <w:p w14:paraId="48A2208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螺旋分级机</w:t>
            </w:r>
          </w:p>
        </w:tc>
        <w:tc>
          <w:tcPr>
            <w:tcW w:w="925" w:type="pct"/>
            <w:vAlign w:val="center"/>
          </w:tcPr>
          <w:p w14:paraId="6425364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2FG-20</w:t>
            </w:r>
          </w:p>
        </w:tc>
        <w:tc>
          <w:tcPr>
            <w:tcW w:w="350" w:type="pct"/>
            <w:vAlign w:val="center"/>
          </w:tcPr>
          <w:p w14:paraId="3F1EAFC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68D71F0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72F4C40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4</w:t>
            </w:r>
          </w:p>
        </w:tc>
        <w:tc>
          <w:tcPr>
            <w:tcW w:w="931" w:type="pct"/>
            <w:vAlign w:val="center"/>
          </w:tcPr>
          <w:p w14:paraId="11A3989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11×2+3×2</w:t>
            </w:r>
          </w:p>
        </w:tc>
        <w:tc>
          <w:tcPr>
            <w:tcW w:w="580" w:type="pct"/>
            <w:vAlign w:val="center"/>
          </w:tcPr>
          <w:p w14:paraId="5F73409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一级分级</w:t>
            </w:r>
          </w:p>
        </w:tc>
      </w:tr>
      <w:tr w14:paraId="27FCE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2B05BC9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10</w:t>
            </w:r>
          </w:p>
        </w:tc>
        <w:tc>
          <w:tcPr>
            <w:tcW w:w="927" w:type="pct"/>
            <w:vAlign w:val="center"/>
          </w:tcPr>
          <w:p w14:paraId="2AD29B13">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水力旋流器组</w:t>
            </w:r>
          </w:p>
        </w:tc>
        <w:tc>
          <w:tcPr>
            <w:tcW w:w="925" w:type="pct"/>
            <w:vAlign w:val="center"/>
          </w:tcPr>
          <w:p w14:paraId="79BA591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FX-350*4</w:t>
            </w:r>
          </w:p>
        </w:tc>
        <w:tc>
          <w:tcPr>
            <w:tcW w:w="350" w:type="pct"/>
            <w:vAlign w:val="center"/>
          </w:tcPr>
          <w:p w14:paraId="430797E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组</w:t>
            </w:r>
          </w:p>
        </w:tc>
        <w:tc>
          <w:tcPr>
            <w:tcW w:w="350" w:type="pct"/>
            <w:vAlign w:val="center"/>
          </w:tcPr>
          <w:p w14:paraId="2B61A93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0CAF8E0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w:t>
            </w:r>
          </w:p>
        </w:tc>
        <w:tc>
          <w:tcPr>
            <w:tcW w:w="931" w:type="pct"/>
            <w:vAlign w:val="center"/>
          </w:tcPr>
          <w:p w14:paraId="4F38C94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w:t>
            </w:r>
          </w:p>
        </w:tc>
        <w:tc>
          <w:tcPr>
            <w:tcW w:w="580" w:type="pct"/>
            <w:vAlign w:val="center"/>
          </w:tcPr>
          <w:p w14:paraId="5BFF439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二段分级</w:t>
            </w:r>
          </w:p>
        </w:tc>
      </w:tr>
      <w:tr w14:paraId="579C7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1A98218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11</w:t>
            </w:r>
          </w:p>
        </w:tc>
        <w:tc>
          <w:tcPr>
            <w:tcW w:w="927" w:type="pct"/>
            <w:vAlign w:val="center"/>
          </w:tcPr>
          <w:p w14:paraId="21F4619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溢流型球磨机</w:t>
            </w:r>
          </w:p>
        </w:tc>
        <w:tc>
          <w:tcPr>
            <w:tcW w:w="925" w:type="pct"/>
            <w:vAlign w:val="center"/>
          </w:tcPr>
          <w:p w14:paraId="7995CAD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MQY2736</w:t>
            </w:r>
          </w:p>
        </w:tc>
        <w:tc>
          <w:tcPr>
            <w:tcW w:w="350" w:type="pct"/>
            <w:vAlign w:val="center"/>
          </w:tcPr>
          <w:p w14:paraId="6CDE71E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4D70690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5199C18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3D98BE8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400</w:t>
            </w:r>
          </w:p>
        </w:tc>
        <w:tc>
          <w:tcPr>
            <w:tcW w:w="580" w:type="pct"/>
            <w:vAlign w:val="center"/>
          </w:tcPr>
          <w:p w14:paraId="490EAC6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二段磨矿</w:t>
            </w:r>
          </w:p>
        </w:tc>
      </w:tr>
      <w:tr w14:paraId="2B4E1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15C24D5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12</w:t>
            </w:r>
          </w:p>
        </w:tc>
        <w:tc>
          <w:tcPr>
            <w:tcW w:w="927" w:type="pct"/>
            <w:vAlign w:val="center"/>
          </w:tcPr>
          <w:p w14:paraId="54A65B9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高效搅拌槽</w:t>
            </w:r>
          </w:p>
        </w:tc>
        <w:tc>
          <w:tcPr>
            <w:tcW w:w="925" w:type="pct"/>
            <w:vAlign w:val="center"/>
          </w:tcPr>
          <w:p w14:paraId="0126A38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φ2500*2500</w:t>
            </w:r>
          </w:p>
        </w:tc>
        <w:tc>
          <w:tcPr>
            <w:tcW w:w="350" w:type="pct"/>
            <w:vAlign w:val="center"/>
          </w:tcPr>
          <w:p w14:paraId="71078F1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36454D1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26D532F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0D6C9BA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15</w:t>
            </w:r>
          </w:p>
        </w:tc>
        <w:tc>
          <w:tcPr>
            <w:tcW w:w="580" w:type="pct"/>
            <w:vAlign w:val="center"/>
          </w:tcPr>
          <w:p w14:paraId="329E0F3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p>
        </w:tc>
      </w:tr>
      <w:tr w14:paraId="75BC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4487A57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13</w:t>
            </w:r>
          </w:p>
        </w:tc>
        <w:tc>
          <w:tcPr>
            <w:tcW w:w="927" w:type="pct"/>
            <w:vAlign w:val="center"/>
          </w:tcPr>
          <w:p w14:paraId="7AFF303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浮选机</w:t>
            </w:r>
          </w:p>
        </w:tc>
        <w:tc>
          <w:tcPr>
            <w:tcW w:w="925" w:type="pct"/>
            <w:vAlign w:val="center"/>
          </w:tcPr>
          <w:p w14:paraId="542E3D4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XCF-8</w:t>
            </w:r>
          </w:p>
        </w:tc>
        <w:tc>
          <w:tcPr>
            <w:tcW w:w="350" w:type="pct"/>
            <w:vAlign w:val="center"/>
          </w:tcPr>
          <w:p w14:paraId="392CD84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4B37DF63">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7B919097">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2AD00FD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22</w:t>
            </w:r>
          </w:p>
        </w:tc>
        <w:tc>
          <w:tcPr>
            <w:tcW w:w="580" w:type="pct"/>
            <w:vAlign w:val="center"/>
          </w:tcPr>
          <w:p w14:paraId="137D2F6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粗选</w:t>
            </w:r>
          </w:p>
        </w:tc>
      </w:tr>
      <w:tr w14:paraId="5415D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5BCD43A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14</w:t>
            </w:r>
          </w:p>
        </w:tc>
        <w:tc>
          <w:tcPr>
            <w:tcW w:w="927" w:type="pct"/>
            <w:vAlign w:val="center"/>
          </w:tcPr>
          <w:p w14:paraId="087C0E2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浮选机</w:t>
            </w:r>
          </w:p>
        </w:tc>
        <w:tc>
          <w:tcPr>
            <w:tcW w:w="925" w:type="pct"/>
            <w:vAlign w:val="center"/>
          </w:tcPr>
          <w:p w14:paraId="5BA7298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KYF-8</w:t>
            </w:r>
          </w:p>
        </w:tc>
        <w:tc>
          <w:tcPr>
            <w:tcW w:w="350" w:type="pct"/>
            <w:vAlign w:val="center"/>
          </w:tcPr>
          <w:p w14:paraId="45B814A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70E5695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w:t>
            </w:r>
          </w:p>
        </w:tc>
        <w:tc>
          <w:tcPr>
            <w:tcW w:w="583" w:type="pct"/>
            <w:vAlign w:val="center"/>
          </w:tcPr>
          <w:p w14:paraId="4C2F6AA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w:t>
            </w:r>
          </w:p>
        </w:tc>
        <w:tc>
          <w:tcPr>
            <w:tcW w:w="931" w:type="pct"/>
            <w:vAlign w:val="center"/>
          </w:tcPr>
          <w:p w14:paraId="3D2D26E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15</w:t>
            </w:r>
          </w:p>
        </w:tc>
        <w:tc>
          <w:tcPr>
            <w:tcW w:w="580" w:type="pct"/>
            <w:vAlign w:val="center"/>
          </w:tcPr>
          <w:p w14:paraId="0F22833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粗选</w:t>
            </w:r>
          </w:p>
        </w:tc>
      </w:tr>
      <w:tr w14:paraId="48DB4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081EA0E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15</w:t>
            </w:r>
          </w:p>
        </w:tc>
        <w:tc>
          <w:tcPr>
            <w:tcW w:w="927" w:type="pct"/>
            <w:vAlign w:val="center"/>
          </w:tcPr>
          <w:p w14:paraId="0E3B9EE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浮选机</w:t>
            </w:r>
          </w:p>
        </w:tc>
        <w:tc>
          <w:tcPr>
            <w:tcW w:w="925" w:type="pct"/>
            <w:vAlign w:val="center"/>
          </w:tcPr>
          <w:p w14:paraId="7A48B24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XCF-8</w:t>
            </w:r>
          </w:p>
        </w:tc>
        <w:tc>
          <w:tcPr>
            <w:tcW w:w="350" w:type="pct"/>
            <w:vAlign w:val="center"/>
          </w:tcPr>
          <w:p w14:paraId="1928C8E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34BA6F3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w:t>
            </w:r>
          </w:p>
        </w:tc>
        <w:tc>
          <w:tcPr>
            <w:tcW w:w="583" w:type="pct"/>
            <w:vAlign w:val="center"/>
          </w:tcPr>
          <w:p w14:paraId="0FD5387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w:t>
            </w:r>
          </w:p>
        </w:tc>
        <w:tc>
          <w:tcPr>
            <w:tcW w:w="931" w:type="pct"/>
            <w:vAlign w:val="center"/>
          </w:tcPr>
          <w:p w14:paraId="3817F68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22</w:t>
            </w:r>
          </w:p>
        </w:tc>
        <w:tc>
          <w:tcPr>
            <w:tcW w:w="580" w:type="pct"/>
            <w:vAlign w:val="center"/>
          </w:tcPr>
          <w:p w14:paraId="570EAF0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扫选</w:t>
            </w:r>
          </w:p>
        </w:tc>
      </w:tr>
      <w:tr w14:paraId="66A84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427B4E4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16</w:t>
            </w:r>
          </w:p>
        </w:tc>
        <w:tc>
          <w:tcPr>
            <w:tcW w:w="927" w:type="pct"/>
            <w:vAlign w:val="center"/>
          </w:tcPr>
          <w:p w14:paraId="1329A1B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浮选机</w:t>
            </w:r>
          </w:p>
        </w:tc>
        <w:tc>
          <w:tcPr>
            <w:tcW w:w="925" w:type="pct"/>
            <w:vAlign w:val="center"/>
          </w:tcPr>
          <w:p w14:paraId="15E1338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KYF-8</w:t>
            </w:r>
          </w:p>
        </w:tc>
        <w:tc>
          <w:tcPr>
            <w:tcW w:w="350" w:type="pct"/>
            <w:vAlign w:val="center"/>
          </w:tcPr>
          <w:p w14:paraId="7FC83AB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5136893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3</w:t>
            </w:r>
          </w:p>
        </w:tc>
        <w:tc>
          <w:tcPr>
            <w:tcW w:w="583" w:type="pct"/>
            <w:vAlign w:val="center"/>
          </w:tcPr>
          <w:p w14:paraId="780553C8">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3</w:t>
            </w:r>
          </w:p>
        </w:tc>
        <w:tc>
          <w:tcPr>
            <w:tcW w:w="931" w:type="pct"/>
            <w:vAlign w:val="center"/>
          </w:tcPr>
          <w:p w14:paraId="73FCA38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15</w:t>
            </w:r>
          </w:p>
        </w:tc>
        <w:tc>
          <w:tcPr>
            <w:tcW w:w="580" w:type="pct"/>
            <w:vAlign w:val="center"/>
          </w:tcPr>
          <w:p w14:paraId="581D225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扫选</w:t>
            </w:r>
          </w:p>
        </w:tc>
      </w:tr>
      <w:tr w14:paraId="65E5D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66AB2BE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17</w:t>
            </w:r>
          </w:p>
        </w:tc>
        <w:tc>
          <w:tcPr>
            <w:tcW w:w="927" w:type="pct"/>
            <w:vAlign w:val="center"/>
          </w:tcPr>
          <w:p w14:paraId="7D386EA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浮选机</w:t>
            </w:r>
          </w:p>
        </w:tc>
        <w:tc>
          <w:tcPr>
            <w:tcW w:w="925" w:type="pct"/>
            <w:vAlign w:val="center"/>
          </w:tcPr>
          <w:p w14:paraId="641AA64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SF-2.8</w:t>
            </w:r>
          </w:p>
        </w:tc>
        <w:tc>
          <w:tcPr>
            <w:tcW w:w="350" w:type="pct"/>
            <w:vAlign w:val="center"/>
          </w:tcPr>
          <w:p w14:paraId="7B38AE4D">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3F39EC6D">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5</w:t>
            </w:r>
          </w:p>
        </w:tc>
        <w:tc>
          <w:tcPr>
            <w:tcW w:w="583" w:type="pct"/>
            <w:vAlign w:val="center"/>
          </w:tcPr>
          <w:p w14:paraId="6662CDC3">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5</w:t>
            </w:r>
          </w:p>
        </w:tc>
        <w:tc>
          <w:tcPr>
            <w:tcW w:w="931" w:type="pct"/>
            <w:vAlign w:val="center"/>
          </w:tcPr>
          <w:p w14:paraId="31F2DB9D">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11</w:t>
            </w:r>
          </w:p>
        </w:tc>
        <w:tc>
          <w:tcPr>
            <w:tcW w:w="580" w:type="pct"/>
            <w:vAlign w:val="center"/>
          </w:tcPr>
          <w:p w14:paraId="73B7C090">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p>
        </w:tc>
      </w:tr>
      <w:tr w14:paraId="1A045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1DD8D58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18</w:t>
            </w:r>
          </w:p>
        </w:tc>
        <w:tc>
          <w:tcPr>
            <w:tcW w:w="927" w:type="pct"/>
            <w:vAlign w:val="center"/>
          </w:tcPr>
          <w:p w14:paraId="7AC44F0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浓密机</w:t>
            </w:r>
          </w:p>
        </w:tc>
        <w:tc>
          <w:tcPr>
            <w:tcW w:w="925" w:type="pct"/>
            <w:vAlign w:val="center"/>
          </w:tcPr>
          <w:p w14:paraId="7934ACF7">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NXZ-12</w:t>
            </w:r>
          </w:p>
        </w:tc>
        <w:tc>
          <w:tcPr>
            <w:tcW w:w="350" w:type="pct"/>
            <w:vAlign w:val="center"/>
          </w:tcPr>
          <w:p w14:paraId="5BAD0D99">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729A29B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583" w:type="pct"/>
            <w:vAlign w:val="center"/>
          </w:tcPr>
          <w:p w14:paraId="436F62A5">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w:t>
            </w:r>
          </w:p>
        </w:tc>
        <w:tc>
          <w:tcPr>
            <w:tcW w:w="931" w:type="pct"/>
            <w:vAlign w:val="center"/>
          </w:tcPr>
          <w:p w14:paraId="6DBAEFE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4</w:t>
            </w:r>
          </w:p>
        </w:tc>
        <w:tc>
          <w:tcPr>
            <w:tcW w:w="580" w:type="pct"/>
            <w:vAlign w:val="center"/>
          </w:tcPr>
          <w:p w14:paraId="70D6BB1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精矿脱水</w:t>
            </w:r>
          </w:p>
        </w:tc>
      </w:tr>
      <w:tr w14:paraId="1E962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4CF7AEB1">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19</w:t>
            </w:r>
          </w:p>
        </w:tc>
        <w:tc>
          <w:tcPr>
            <w:tcW w:w="927" w:type="pct"/>
            <w:vAlign w:val="center"/>
          </w:tcPr>
          <w:p w14:paraId="066341E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厢式压滤机</w:t>
            </w:r>
          </w:p>
        </w:tc>
        <w:tc>
          <w:tcPr>
            <w:tcW w:w="925" w:type="pct"/>
            <w:vAlign w:val="center"/>
          </w:tcPr>
          <w:p w14:paraId="0AE00DC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XM/AZ 40/800U</w:t>
            </w:r>
          </w:p>
        </w:tc>
        <w:tc>
          <w:tcPr>
            <w:tcW w:w="350" w:type="pct"/>
            <w:vAlign w:val="center"/>
          </w:tcPr>
          <w:p w14:paraId="13D586C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台</w:t>
            </w:r>
          </w:p>
        </w:tc>
        <w:tc>
          <w:tcPr>
            <w:tcW w:w="350" w:type="pct"/>
            <w:vAlign w:val="center"/>
          </w:tcPr>
          <w:p w14:paraId="2C13150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w:t>
            </w:r>
          </w:p>
        </w:tc>
        <w:tc>
          <w:tcPr>
            <w:tcW w:w="583" w:type="pct"/>
            <w:vAlign w:val="center"/>
          </w:tcPr>
          <w:p w14:paraId="7E33EDB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w:t>
            </w:r>
          </w:p>
        </w:tc>
        <w:tc>
          <w:tcPr>
            <w:tcW w:w="931" w:type="pct"/>
            <w:vAlign w:val="center"/>
          </w:tcPr>
          <w:p w14:paraId="7096511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2.2</w:t>
            </w:r>
          </w:p>
        </w:tc>
        <w:tc>
          <w:tcPr>
            <w:tcW w:w="580" w:type="pct"/>
            <w:vAlign w:val="center"/>
          </w:tcPr>
          <w:p w14:paraId="4201ECE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精矿压滤</w:t>
            </w:r>
          </w:p>
        </w:tc>
      </w:tr>
    </w:tbl>
    <w:p w14:paraId="37F65FDE">
      <w:pPr>
        <w:pStyle w:val="54"/>
        <w:spacing w:line="480" w:lineRule="exact"/>
        <w:ind w:firstLine="0" w:firstLineChars="0"/>
        <w:jc w:val="center"/>
        <w:rPr>
          <w:rFonts w:hint="default" w:ascii="Times New Roman" w:hAnsi="Times New Roman" w:cs="Times New Roman"/>
          <w:b/>
          <w:bCs/>
          <w:color w:val="auto"/>
          <w:sz w:val="24"/>
          <w:highlight w:val="none"/>
        </w:rPr>
      </w:pPr>
    </w:p>
    <w:p w14:paraId="78385F0F">
      <w:pPr>
        <w:pStyle w:val="5"/>
        <w:ind w:firstLine="482"/>
        <w:rPr>
          <w:rFonts w:hint="default" w:ascii="Times New Roman" w:hAnsi="Times New Roman" w:cs="Times New Roman"/>
          <w:color w:val="auto"/>
          <w:highlight w:val="none"/>
        </w:rPr>
      </w:pPr>
      <w:bookmarkStart w:id="358" w:name="_Toc4290"/>
      <w:bookmarkStart w:id="359" w:name="_Toc11305"/>
      <w:bookmarkStart w:id="360" w:name="_Toc25938"/>
      <w:bookmarkStart w:id="361" w:name="_Toc26345"/>
      <w:bookmarkStart w:id="362" w:name="_Toc9110"/>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.4.2主要原辅材料及能源消耗</w:t>
      </w:r>
    </w:p>
    <w:p w14:paraId="0E79DC36">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（1）主要原辅材料</w:t>
      </w:r>
    </w:p>
    <w:p w14:paraId="5735031E">
      <w:pPr>
        <w:pStyle w:val="54"/>
        <w:overflowPunct w:val="0"/>
        <w:topLinePunct/>
        <w:spacing w:line="480" w:lineRule="exact"/>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1）原矿</w:t>
      </w:r>
    </w:p>
    <w:p w14:paraId="2E77C1AB">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本项目选矿工程</w:t>
      </w:r>
      <w:r>
        <w:rPr>
          <w:rFonts w:hint="default" w:ascii="Times New Roman" w:hAnsi="Times New Roman" w:eastAsia="宋体" w:cs="Times New Roman"/>
          <w:color w:val="auto"/>
          <w:sz w:val="24"/>
          <w:highlight w:val="none"/>
        </w:rPr>
        <w:t>设计的主要原辅材料为</w:t>
      </w:r>
      <w:r>
        <w:rPr>
          <w:rFonts w:hint="default" w:ascii="Times New Roman" w:hAnsi="Times New Roman" w:eastAsia="宋体" w:cs="Times New Roman"/>
          <w:color w:val="auto"/>
          <w:sz w:val="24"/>
          <w:highlight w:val="none"/>
          <w:lang w:val="en-US" w:eastAsia="zh-CN"/>
        </w:rPr>
        <w:t>金矿原矿石</w:t>
      </w:r>
      <w:r>
        <w:rPr>
          <w:rFonts w:hint="default" w:ascii="Times New Roman" w:hAnsi="Times New Roman" w:eastAsia="宋体" w:cs="Times New Roman"/>
          <w:color w:val="auto"/>
          <w:sz w:val="24"/>
          <w:highlight w:val="none"/>
        </w:rPr>
        <w:t>，矿石来源为新疆富蕴县阿克塔斯矿区金矿采</w:t>
      </w:r>
      <w:r>
        <w:rPr>
          <w:rFonts w:hint="default" w:ascii="Times New Roman" w:hAnsi="Times New Roman" w:cs="Times New Roman"/>
          <w:color w:val="auto"/>
          <w:sz w:val="24"/>
          <w:highlight w:val="none"/>
        </w:rPr>
        <w:t>矿工程</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目前采矿工程正在同步开展环境影响评价工作，</w:t>
      </w:r>
      <w:r>
        <w:rPr>
          <w:rFonts w:hint="default" w:ascii="Times New Roman" w:hAnsi="Times New Roman" w:cs="Times New Roman"/>
          <w:color w:val="auto"/>
          <w:sz w:val="24"/>
          <w:highlight w:val="none"/>
        </w:rPr>
        <w:t>待该项目建成后，其采出</w:t>
      </w:r>
      <w:r>
        <w:rPr>
          <w:rFonts w:hint="default" w:ascii="Times New Roman" w:hAnsi="Times New Roman" w:cs="Times New Roman"/>
          <w:color w:val="auto"/>
          <w:sz w:val="24"/>
          <w:highlight w:val="none"/>
          <w:lang w:val="en-US" w:eastAsia="zh-CN"/>
        </w:rPr>
        <w:t>金</w:t>
      </w:r>
      <w:r>
        <w:rPr>
          <w:rFonts w:hint="default" w:ascii="Times New Roman" w:hAnsi="Times New Roman" w:cs="Times New Roman"/>
          <w:color w:val="auto"/>
          <w:sz w:val="24"/>
          <w:highlight w:val="none"/>
        </w:rPr>
        <w:t>矿石为本项目选矿工程的原料。</w:t>
      </w:r>
    </w:p>
    <w:p w14:paraId="311D770F">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①</w:t>
      </w:r>
      <w:r>
        <w:rPr>
          <w:rFonts w:hint="default" w:ascii="Times New Roman" w:hAnsi="Times New Roman" w:eastAsia="宋体" w:cs="Times New Roman"/>
          <w:color w:val="auto"/>
          <w:sz w:val="24"/>
          <w:highlight w:val="none"/>
        </w:rPr>
        <w:t>矿石结构与构造</w:t>
      </w:r>
    </w:p>
    <w:p w14:paraId="57993481">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矿石结构</w:t>
      </w:r>
    </w:p>
    <w:p w14:paraId="52B069E8">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矿石中的结构比较简单，主要他形晶结构、半自形粒状、板状结构、纤维鳞片变晶结构、碎裂化结构，详述如下：</w:t>
      </w:r>
    </w:p>
    <w:p w14:paraId="35B4C5CB">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eastAsia="宋体" w:cs="Times New Roman"/>
          <w:color w:val="auto"/>
          <w:sz w:val="24"/>
          <w:highlight w:val="none"/>
        </w:rPr>
        <w:t>他形晶结构：矿石中的黄铁矿、黄铜矿、斑铜矿等大部分金属矿物均具此结构特征。</w:t>
      </w:r>
    </w:p>
    <w:p w14:paraId="36B344B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eastAsia="宋体" w:cs="Times New Roman"/>
          <w:color w:val="auto"/>
          <w:sz w:val="24"/>
          <w:highlight w:val="none"/>
        </w:rPr>
        <w:t>交代结构：矿石中的黄铁矿被硫砷铜矿、褐铁矿交代；黄铜矿被斑铜矿交代；铜矿物、方铅矿、闪锌矿等晚成矿物均交代早成的黄铁矿。</w:t>
      </w:r>
    </w:p>
    <w:p w14:paraId="182C902E">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c.</w:t>
      </w:r>
      <w:r>
        <w:rPr>
          <w:rFonts w:hint="default" w:ascii="Times New Roman" w:hAnsi="Times New Roman" w:eastAsia="宋体" w:cs="Times New Roman"/>
          <w:color w:val="auto"/>
          <w:sz w:val="24"/>
          <w:highlight w:val="none"/>
        </w:rPr>
        <w:t>半自形板状、粒状结构：微晶钠长岩中的钠长石多具此结构特征。</w:t>
      </w:r>
    </w:p>
    <w:p w14:paraId="78224C85">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rPr>
        <w:t>显微鳞片变晶结构：绢云母千枚岩中的绢云母多具此结构特征。</w:t>
      </w:r>
    </w:p>
    <w:p w14:paraId="6BA1E01F">
      <w:pPr>
        <w:pStyle w:val="54"/>
        <w:overflowPunct w:val="0"/>
        <w:topLinePunct/>
        <w:spacing w:line="480" w:lineRule="exact"/>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e.</w:t>
      </w:r>
      <w:r>
        <w:rPr>
          <w:rFonts w:hint="default" w:ascii="Times New Roman" w:hAnsi="Times New Roman" w:eastAsia="宋体" w:cs="Times New Roman"/>
          <w:color w:val="auto"/>
          <w:sz w:val="24"/>
          <w:highlight w:val="none"/>
        </w:rPr>
        <w:t>碎裂化结构：在微晶钠长岩和绢云母千枚岩中，受构造应力影响形成此结构。黄铁矿的压碎结构与此同义。</w:t>
      </w:r>
    </w:p>
    <w:p w14:paraId="41B111C1">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eastAsia="宋体" w:cs="Times New Roman"/>
          <w:color w:val="auto"/>
          <w:sz w:val="24"/>
          <w:highlight w:val="none"/>
        </w:rPr>
        <w:t>矿石的构造</w:t>
      </w:r>
    </w:p>
    <w:p w14:paraId="5BC6AE19">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矿石中的金属矿物以黄铁矿为主，其次为磁、赤铁矿、黄铜矿、斑铜矿、闪锌矿、方铅矿及一些钛的金属矿物等，构造主要有星散-星点状构造、稀疏浸染状-条带浸染状构造、团块状构造。</w:t>
      </w:r>
    </w:p>
    <w:p w14:paraId="7DE112EE">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eastAsia="宋体" w:cs="Times New Roman"/>
          <w:color w:val="auto"/>
          <w:sz w:val="24"/>
          <w:highlight w:val="none"/>
        </w:rPr>
        <w:t>星散-星点状构造：部分黄铁矿、黄铜矿呈此构造特征。</w:t>
      </w:r>
    </w:p>
    <w:p w14:paraId="21B5B4F3">
      <w:pPr>
        <w:pStyle w:val="54"/>
        <w:overflowPunct w:val="0"/>
        <w:topLinePunct/>
        <w:spacing w:line="480" w:lineRule="exact"/>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eastAsia="宋体" w:cs="Times New Roman"/>
          <w:color w:val="auto"/>
          <w:sz w:val="24"/>
          <w:highlight w:val="none"/>
        </w:rPr>
        <w:t>稀疏浸染状-条带浸染状构造：部分黄铁矿呈此构造特征。</w:t>
      </w:r>
    </w:p>
    <w:p w14:paraId="72D5A3A0">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c.</w:t>
      </w:r>
      <w:r>
        <w:rPr>
          <w:rFonts w:hint="default" w:ascii="Times New Roman" w:hAnsi="Times New Roman" w:eastAsia="宋体" w:cs="Times New Roman"/>
          <w:color w:val="auto"/>
          <w:sz w:val="24"/>
          <w:highlight w:val="none"/>
        </w:rPr>
        <w:t>团块状构造：部分黄铁矿呈团块状分布于石英脉中。</w:t>
      </w:r>
    </w:p>
    <w:p w14:paraId="1D25565E">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②</w:t>
      </w:r>
      <w:r>
        <w:rPr>
          <w:rFonts w:hint="default" w:ascii="Times New Roman" w:hAnsi="Times New Roman" w:eastAsia="宋体" w:cs="Times New Roman"/>
          <w:color w:val="auto"/>
          <w:sz w:val="24"/>
          <w:highlight w:val="none"/>
        </w:rPr>
        <w:t>矿石化学组成</w:t>
      </w:r>
    </w:p>
    <w:p w14:paraId="70539B4B">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矿石矿物组成</w:t>
      </w:r>
    </w:p>
    <w:p w14:paraId="6E31C988">
      <w:pPr>
        <w:adjustRightInd w:val="0"/>
        <w:snapToGrid w:val="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金矿石类型较单一，矿石的含金矿岩性主要为碎裂化石英脉。矿石结构比较简单，主要为他形晶结构、半自形粒状、板状结构、纤维鳞片变晶结构、碎裂化结构。矿石中的金属矿物主要为黄铁矿，其次为磁铁矿、黝铜矿等；非金属矿物主要有石英、钠长石、钾长石、方解石等；贵金属矿物主要为自然金，其次为碲金矿、碲金银矿、碲银矿。矿石中的金主要为自然金，载金矿物主要为黄铁矿和石英，其次为碲银矿、碲铋矿、黄铜矿。</w:t>
      </w:r>
    </w:p>
    <w:p w14:paraId="1C2222EF">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矿石主要矿物特征</w:t>
      </w:r>
    </w:p>
    <w:p w14:paraId="1E36E666">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eastAsia="宋体" w:cs="Times New Roman"/>
          <w:color w:val="auto"/>
          <w:sz w:val="24"/>
          <w:highlight w:val="none"/>
        </w:rPr>
        <w:t>金矿物</w:t>
      </w:r>
    </w:p>
    <w:p w14:paraId="41904B9F">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岩矿鉴定共发现106颗金粒，金元素主要赋存在自然金、斜方碲金矿中，其次分布在针碲金银矿、碲金矿、碲金银矿、叶碲金矿中，碲矿化与金矿化的关系比较密切。</w:t>
      </w:r>
    </w:p>
    <w:p w14:paraId="6321A0E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eastAsia="宋体" w:cs="Times New Roman"/>
          <w:color w:val="auto"/>
          <w:sz w:val="24"/>
          <w:highlight w:val="none"/>
        </w:rPr>
        <w:t>成色</w:t>
      </w:r>
    </w:p>
    <w:p w14:paraId="7CDC4E43">
      <w:pPr>
        <w:pStyle w:val="54"/>
        <w:overflowPunct w:val="0"/>
        <w:topLinePunct/>
        <w:spacing w:line="480" w:lineRule="exact"/>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自然金反射色呈淡金黄色，成色912.1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950.6‰，自然金中Au/Ag为10∶1。大多数金矿物成色集中于900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950之间</w:t>
      </w:r>
      <w:r>
        <w:rPr>
          <w:rFonts w:hint="default" w:ascii="Times New Roman" w:hAnsi="Times New Roman" w:eastAsia="宋体" w:cs="Times New Roman"/>
          <w:color w:val="auto"/>
          <w:sz w:val="24"/>
          <w:highlight w:val="none"/>
          <w:lang w:eastAsia="zh-CN"/>
        </w:rPr>
        <w:t>。</w:t>
      </w:r>
    </w:p>
    <w:p w14:paraId="134B5EA3">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c.</w:t>
      </w:r>
      <w:r>
        <w:rPr>
          <w:rFonts w:hint="default" w:ascii="Times New Roman" w:hAnsi="Times New Roman" w:eastAsia="宋体" w:cs="Times New Roman"/>
          <w:color w:val="auto"/>
          <w:sz w:val="24"/>
          <w:highlight w:val="none"/>
        </w:rPr>
        <w:t>.自然金的外形特征</w:t>
      </w:r>
    </w:p>
    <w:p w14:paraId="3D381DCF">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矿石中自然金的外观形貌多样，其中主要以粒状为主，其次为麦粒状、不规则状、长条状、片状，再次为弯月亮状较少</w:t>
      </w:r>
    </w:p>
    <w:p w14:paraId="10149876">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rPr>
        <w:t>.物性特征</w:t>
      </w:r>
    </w:p>
    <w:p w14:paraId="5588AE68">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矿石中金矿物为自然金。具强金属光泽，延展性较好，硬度低，矿物表面常见擦痕和麻点，反射镜下具较清晰的非均质性。自然金反射色为浓金黄色。</w:t>
      </w:r>
    </w:p>
    <w:p w14:paraId="68803A10">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e</w:t>
      </w:r>
      <w:r>
        <w:rPr>
          <w:rFonts w:hint="default" w:ascii="Times New Roman" w:hAnsi="Times New Roman" w:eastAsia="宋体" w:cs="Times New Roman"/>
          <w:color w:val="auto"/>
          <w:sz w:val="24"/>
          <w:highlight w:val="none"/>
        </w:rPr>
        <w:t>.粒度</w:t>
      </w:r>
    </w:p>
    <w:p w14:paraId="56E3F250">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该矿石中的金矿物的粒度变化较大，未见到粗粒及以上金矿物，以细粒和微粒为主，该矿石中的金矿物以细粒金为主，占 82.4%，未见粗粒及以上粒径的金，样品中有少量的显微金。</w:t>
      </w:r>
    </w:p>
    <w:p w14:paraId="27B1AA27">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f</w:t>
      </w:r>
      <w:r>
        <w:rPr>
          <w:rFonts w:hint="default" w:ascii="Times New Roman" w:hAnsi="Times New Roman" w:eastAsia="宋体" w:cs="Times New Roman"/>
          <w:color w:val="auto"/>
          <w:sz w:val="24"/>
          <w:highlight w:val="none"/>
        </w:rPr>
        <w:t>.形态</w:t>
      </w:r>
    </w:p>
    <w:p w14:paraId="13660146">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中见到的自然金的形态多样，多见浑圆粒状、麦粒状、角粒状、长角粒状、叶片状和板片状，以浑圆粒状居多。赋存状态可分为以下三种：包裹金、粒间金和裂隙金，其中以包裹金为主，其次为粒间金，裂隙金较少。</w:t>
      </w:r>
    </w:p>
    <w:p w14:paraId="2541842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g</w:t>
      </w:r>
      <w:r>
        <w:rPr>
          <w:rFonts w:hint="default" w:ascii="Times New Roman" w:hAnsi="Times New Roman" w:eastAsia="宋体" w:cs="Times New Roman"/>
          <w:color w:val="auto"/>
          <w:sz w:val="24"/>
          <w:highlight w:val="none"/>
        </w:rPr>
        <w:t>.赋存状态</w:t>
      </w:r>
    </w:p>
    <w:p w14:paraId="4E0C558B">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自然金的主要以包裹金的形态分布于石英、斑铜矿中，占比74.5%、5.9%。</w:t>
      </w:r>
      <w:bookmarkStart w:id="363" w:name="_Hlk204100723"/>
      <w:r>
        <w:rPr>
          <w:rFonts w:hint="default" w:ascii="Times New Roman" w:hAnsi="Times New Roman" w:eastAsia="宋体" w:cs="Times New Roman"/>
          <w:color w:val="auto"/>
          <w:sz w:val="24"/>
          <w:highlight w:val="none"/>
        </w:rPr>
        <w:t>部分以粒间金的形态分布于黄铁与石英之间、斑铜矿与石英之间，占比3.9%、9.8%。</w:t>
      </w:r>
      <w:bookmarkEnd w:id="363"/>
      <w:r>
        <w:rPr>
          <w:rFonts w:hint="default" w:ascii="Times New Roman" w:hAnsi="Times New Roman" w:eastAsia="宋体" w:cs="Times New Roman"/>
          <w:color w:val="auto"/>
          <w:sz w:val="24"/>
          <w:highlight w:val="none"/>
        </w:rPr>
        <w:t>少量以裂隙金的形态分布于黄铁裂隙之间，占比5.9%。</w:t>
      </w:r>
    </w:p>
    <w:p w14:paraId="696D5B1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包裹金多呈他形晶颗粒，形态多样，有粒状、麦粒状、近圆粒状、细小他形长条状、不规则状、梨形、三角状、细脉状。</w:t>
      </w:r>
    </w:p>
    <w:p w14:paraId="7F6C07A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粒间金占13.7%，粒间金的粒度变化范围较大，从细粒明金到显微金都有，形态多样，主要有他形粒状、三角状等，粒间金多呈单晶分布在黄铁矿和石英的粒间，还有部分以单晶的形式分布在斑铜矿与石英的粒间，其形成与金属硫化物的关系较为密切。</w:t>
      </w:r>
    </w:p>
    <w:p w14:paraId="79BA054C">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裂隙金较少，占5.9%，从镜下及扫描电镜下观察可知，裂隙金主要分布在黄铁矿裂隙之间，多</w:t>
      </w:r>
      <w:r>
        <w:rPr>
          <w:rFonts w:hint="default" w:cs="Times New Roman"/>
          <w:color w:val="auto"/>
          <w:sz w:val="24"/>
          <w:highlight w:val="none"/>
          <w:lang w:eastAsia="zh-CN"/>
        </w:rPr>
        <w:t>呈</w:t>
      </w:r>
      <w:r>
        <w:rPr>
          <w:rFonts w:hint="default" w:ascii="Times New Roman" w:hAnsi="Times New Roman" w:eastAsia="宋体" w:cs="Times New Roman"/>
          <w:color w:val="auto"/>
          <w:sz w:val="24"/>
          <w:highlight w:val="none"/>
        </w:rPr>
        <w:t>粒状、三角状。</w:t>
      </w:r>
    </w:p>
    <w:p w14:paraId="1239EC1F">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该矿石中可见少量的斜方碲金矿、针碲金银矿、碲金矿、碲金银矿的分布。这些碲矿物多赋存于黄铁矿间或裂隙中，或在石英脉中。碲金矿、碲金银矿多呈粒状、柱状、不规则状，硬度1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2之间。个别矿物如碲金矿交代碲金银矿、斜方碲金矿交代叶碲金矿，其他碲矿物交代不明显。</w:t>
      </w:r>
    </w:p>
    <w:p w14:paraId="569B1223">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其余载金矿物有黄铁矿、黄铜矿、斑铜矿、石英</w:t>
      </w:r>
    </w:p>
    <w:p w14:paraId="25D8A2D4">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C.</w:t>
      </w:r>
      <w:r>
        <w:rPr>
          <w:rFonts w:hint="default" w:ascii="Times New Roman" w:hAnsi="Times New Roman" w:eastAsia="宋体" w:cs="Times New Roman"/>
          <w:color w:val="auto"/>
          <w:sz w:val="24"/>
          <w:highlight w:val="none"/>
        </w:rPr>
        <w:t>黄铁矿（FeS</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p>
    <w:p w14:paraId="4F59ECC9">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黄铁矿的粒度以＞0.08mm为主，占86.53%。其中以0.16-0.32mm居多，占30.00%，其次为0.32-0.64mm，其分布率占25.44%，0.08-0.16mm者占22.26%，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0.04mm者含量较少，仅占3.35%。</w:t>
      </w:r>
    </w:p>
    <w:p w14:paraId="5BA42E4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矿石中的黄铁矿与金的关系较为密切，在方解石石英脉中的黄铁矿多颗粒粗大，他形晶，粒度一般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1.50mm×1.00mm，大部分具压碎结构。在矿石中黄铁矿不同程度的被硫砷铜矿、褐铁矿交代，形成反应边结构或假象结构。在微晶钠长石和绢云母千枚岩中的黄铁矿，多呈不规则状他形晶，并具筛孔状结构，粒径一般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0.30mm×0.20mm，多同磁铁矿、钛铁矿及其蚀变矿物共生。</w:t>
      </w:r>
    </w:p>
    <w:p w14:paraId="636D6AB9">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矿石中黄铁矿的嵌布特征主要呈以下几种形式：</w:t>
      </w:r>
    </w:p>
    <w:p w14:paraId="59AF71FE">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eastAsia="宋体" w:cs="Times New Roman"/>
          <w:color w:val="auto"/>
          <w:sz w:val="24"/>
          <w:highlight w:val="none"/>
        </w:rPr>
        <w:t>稀疏浸染状-条带浸染</w:t>
      </w:r>
      <w:r>
        <w:rPr>
          <w:rFonts w:hint="default" w:cs="Times New Roman"/>
          <w:color w:val="auto"/>
          <w:sz w:val="24"/>
          <w:highlight w:val="none"/>
          <w:lang w:eastAsia="zh-CN"/>
        </w:rPr>
        <w:t>状</w:t>
      </w:r>
      <w:r>
        <w:rPr>
          <w:rFonts w:hint="default" w:ascii="Times New Roman" w:hAnsi="Times New Roman" w:eastAsia="宋体" w:cs="Times New Roman"/>
          <w:color w:val="auto"/>
          <w:sz w:val="24"/>
          <w:highlight w:val="none"/>
        </w:rPr>
        <w:t>分布</w:t>
      </w:r>
    </w:p>
    <w:p w14:paraId="3FAB1D7F">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稀疏浸染状-条带浸染状分布的黄铁矿在矿石中较常见，此类黄铁矿多呈半自形-他形晶产出，具此形态的黄铁矿颗粒较粗，呈不等粒压碎结构，在黄铁矿颗粒内的裂隙中常见有金属矿物的充填，分布在暗色脉石矿物中的黄铁矿多具有筛孔状特征，粒径较大。</w:t>
      </w:r>
    </w:p>
    <w:p w14:paraId="0C878757">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eastAsia="宋体" w:cs="Times New Roman"/>
          <w:color w:val="auto"/>
          <w:sz w:val="24"/>
          <w:highlight w:val="none"/>
        </w:rPr>
        <w:t>星点-星散浸染状分布</w:t>
      </w:r>
    </w:p>
    <w:p w14:paraId="40A66FCC">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该矿石中的黄铁矿多具此嵌布特征，此类黄铁矿多呈他形晶，分布在暗色脉石矿物中。多被硫砷铜矿所交代，也有少量被蚀变为褐铁矿。</w:t>
      </w:r>
    </w:p>
    <w:p w14:paraId="30A866FF">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c.</w:t>
      </w:r>
      <w:r>
        <w:rPr>
          <w:rFonts w:hint="default" w:ascii="Times New Roman" w:hAnsi="Times New Roman" w:eastAsia="宋体" w:cs="Times New Roman"/>
          <w:color w:val="auto"/>
          <w:sz w:val="24"/>
          <w:highlight w:val="none"/>
        </w:rPr>
        <w:t>团块状分布</w:t>
      </w:r>
    </w:p>
    <w:p w14:paraId="5EA02E01">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在样品中可见黄铁矿呈团块状分布于石英脉中，这类黄铁矿的粒度较大，多呈他形晶，具压碎结构，在黄铁矿团块的边部，多见斑铜矿包围黄铁矿。</w:t>
      </w:r>
    </w:p>
    <w:p w14:paraId="5FF0A936">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rPr>
        <w:t>黄铜矿、斑铜矿</w:t>
      </w:r>
    </w:p>
    <w:p w14:paraId="63B4411D">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样品中的黄铜矿多被斑铜矿交代，多呈不规则状的他形晶，多星散分布在黄铁矿之间或黄铁矿边部，还有部分分布于石英脉中。粒径最大达2.00mm×1.50mm，一般在1.00mm×0.50mm以下。</w:t>
      </w:r>
    </w:p>
    <w:p w14:paraId="548C9409">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E.</w:t>
      </w:r>
      <w:r>
        <w:rPr>
          <w:rFonts w:hint="default" w:ascii="Times New Roman" w:hAnsi="Times New Roman" w:eastAsia="宋体" w:cs="Times New Roman"/>
          <w:color w:val="auto"/>
          <w:sz w:val="24"/>
          <w:highlight w:val="none"/>
        </w:rPr>
        <w:t>石英</w:t>
      </w:r>
    </w:p>
    <w:p w14:paraId="1CF025D5">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石英是该矿石中主要的脉石矿物，一种是碎裂化的石英脉，该类型的石英受构造应力作用的影响较大，具碎裂化结构，多呈半自形—他形粒状产出，粒径一般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1.40mm×2.10mm，在石英粒间多有黄铁矿、黄铜矿等金属硫化物分布，这种类型的石英与金矿物的关系较为密切。还有一种是微晶钠长岩和绢云千枚岩中的石英，该类石英多以方解石石英脉的形式产出，该类岩石多发生构造碎裂，石英方解石脉多充填在碎裂裂隙中，石英多呈他形粒状，粒径一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1.40mm×2.10mm。</w:t>
      </w:r>
    </w:p>
    <w:p w14:paraId="31EF7F11">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脉石矿物主要有方解石石英脉、微晶钠长岩、绢云母千枚岩</w:t>
      </w:r>
    </w:p>
    <w:p w14:paraId="5D70051B">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cs="Times New Roman"/>
          <w:color w:val="auto"/>
          <w:sz w:val="24"/>
          <w:highlight w:val="none"/>
          <w:lang w:eastAsia="zh-CN"/>
        </w:rPr>
        <w:t>方解石石英脉</w:t>
      </w:r>
      <w:r>
        <w:rPr>
          <w:rFonts w:hint="default" w:ascii="Times New Roman" w:hAnsi="Times New Roman" w:eastAsia="宋体" w:cs="Times New Roman"/>
          <w:color w:val="auto"/>
          <w:sz w:val="24"/>
          <w:highlight w:val="none"/>
        </w:rPr>
        <w:t>由半自形—他形粒状石英、方解石、少量白云母组成。微晶钠长岩主要由微晶钠长石组成，混有微量绿帘石。矿石分布均匀，块状构造。绢云母千枚岩主要由绢云母组成，内含少量绿泥石、方解石。</w:t>
      </w:r>
    </w:p>
    <w:p w14:paraId="47135F75">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③</w:t>
      </w:r>
      <w:r>
        <w:rPr>
          <w:rFonts w:hint="default" w:ascii="Times New Roman" w:hAnsi="Times New Roman" w:eastAsia="宋体" w:cs="Times New Roman"/>
          <w:color w:val="auto"/>
          <w:sz w:val="24"/>
          <w:highlight w:val="none"/>
        </w:rPr>
        <w:t>矿石氧化程度</w:t>
      </w:r>
    </w:p>
    <w:p w14:paraId="32785A01">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地表氧化率在37.3%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50.04%，深度13</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rPr>
        <w:t>为21.28%，深度32</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rPr>
        <w:t>平均值为5.95%，该深度以下氧化率均低于10%。氧化率30%的深度为8m，氧化率10%的深度为27m。</w:t>
      </w:r>
    </w:p>
    <w:p w14:paraId="61E129C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矿区地表有金矿体出露，但全部为小型矿体，该矿的资源量估算的矿体涉及风（氧）化作用的资源量非常少，矿石以原生矿为主。</w:t>
      </w:r>
    </w:p>
    <w:p w14:paraId="1CC6BAC2">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④</w:t>
      </w:r>
      <w:r>
        <w:rPr>
          <w:rFonts w:hint="default" w:ascii="Times New Roman" w:hAnsi="Times New Roman" w:eastAsia="宋体" w:cs="Times New Roman"/>
          <w:color w:val="auto"/>
          <w:sz w:val="24"/>
          <w:highlight w:val="none"/>
        </w:rPr>
        <w:t>矿石品级及类型</w:t>
      </w:r>
    </w:p>
    <w:p w14:paraId="1042D29A">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矿石的工业类型分为石英硅化蚀变岩型。主要有含金蚀变岩型矿石、含金石英脉型矿石。</w:t>
      </w:r>
    </w:p>
    <w:p w14:paraId="4B032DD2">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⑤</w:t>
      </w:r>
      <w:r>
        <w:rPr>
          <w:rFonts w:hint="default" w:ascii="Times New Roman" w:hAnsi="Times New Roman" w:eastAsia="宋体" w:cs="Times New Roman"/>
          <w:color w:val="auto"/>
          <w:sz w:val="24"/>
          <w:highlight w:val="none"/>
        </w:rPr>
        <w:t>矿石有益有害元素</w:t>
      </w:r>
    </w:p>
    <w:p w14:paraId="5D74079D">
      <w:pPr>
        <w:pStyle w:val="54"/>
        <w:overflowPunct w:val="0"/>
        <w:topLinePunct/>
        <w:spacing w:line="480" w:lineRule="exact"/>
        <w:ind w:firstLine="480"/>
        <w:rPr>
          <w:rFonts w:hint="default" w:cs="Times New Roman"/>
          <w:color w:val="auto"/>
          <w:sz w:val="24"/>
          <w:highlight w:val="none"/>
          <w:lang w:val="en-US" w:eastAsia="zh-CN"/>
        </w:rPr>
      </w:pPr>
      <w:r>
        <w:rPr>
          <w:rFonts w:hint="default" w:ascii="Times New Roman" w:hAnsi="Times New Roman" w:eastAsia="宋体" w:cs="Times New Roman"/>
          <w:color w:val="auto"/>
          <w:sz w:val="24"/>
          <w:highlight w:val="none"/>
        </w:rPr>
        <w:t>矿石中有益组分为Au，矿床有益组分银、铜、铅、锌及伴生有害组分砷、硫含量均未达到伴生组分综合评价指标。</w:t>
      </w:r>
      <w:r>
        <w:rPr>
          <w:rFonts w:hint="default" w:cs="Times New Roman"/>
          <w:color w:val="auto"/>
          <w:sz w:val="24"/>
          <w:highlight w:val="none"/>
          <w:lang w:val="en-US" w:eastAsia="zh-CN"/>
        </w:rPr>
        <w:t>本项目矿石成分见下表。</w:t>
      </w:r>
    </w:p>
    <w:p w14:paraId="4CDEF2C3">
      <w:pPr>
        <w:shd w:val="clear"/>
        <w:bidi w:val="0"/>
        <w:spacing w:line="480" w:lineRule="exact"/>
        <w:ind w:firstLine="0" w:firstLineChars="0"/>
        <w:jc w:val="center"/>
        <w:rPr>
          <w:rFonts w:hint="default" w:ascii="Times New Roman" w:hAnsi="Times New Roman" w:eastAsia="宋体" w:cs="Times New Roman"/>
          <w:b/>
          <w:color w:val="auto"/>
          <w:sz w:val="24"/>
          <w:szCs w:val="22"/>
          <w:highlight w:val="none"/>
          <w:lang w:val="en-US" w:eastAsia="zh-CN"/>
        </w:rPr>
      </w:pPr>
      <w:r>
        <w:rPr>
          <w:rFonts w:hint="default" w:ascii="Times New Roman" w:hAnsi="Times New Roman" w:eastAsia="宋体" w:cs="Times New Roman"/>
          <w:b/>
          <w:color w:val="auto"/>
          <w:sz w:val="24"/>
          <w:szCs w:val="22"/>
          <w:highlight w:val="none"/>
          <w:lang w:val="en-US" w:eastAsia="zh-CN"/>
        </w:rPr>
        <w:t>表3.</w:t>
      </w:r>
      <w:r>
        <w:rPr>
          <w:rFonts w:hint="default" w:cs="Times New Roman"/>
          <w:b/>
          <w:color w:val="auto"/>
          <w:sz w:val="24"/>
          <w:szCs w:val="22"/>
          <w:highlight w:val="none"/>
          <w:lang w:val="en-US" w:eastAsia="zh-CN"/>
        </w:rPr>
        <w:t>1</w:t>
      </w:r>
      <w:r>
        <w:rPr>
          <w:rFonts w:hint="default" w:ascii="Times New Roman" w:hAnsi="Times New Roman" w:eastAsia="宋体" w:cs="Times New Roman"/>
          <w:b/>
          <w:color w:val="auto"/>
          <w:sz w:val="24"/>
          <w:szCs w:val="22"/>
          <w:highlight w:val="none"/>
          <w:lang w:val="en-US" w:eastAsia="zh-CN"/>
        </w:rPr>
        <w:t>-</w:t>
      </w:r>
      <w:r>
        <w:rPr>
          <w:rFonts w:hint="default" w:cs="Times New Roman"/>
          <w:b/>
          <w:color w:val="auto"/>
          <w:sz w:val="24"/>
          <w:szCs w:val="22"/>
          <w:highlight w:val="none"/>
          <w:lang w:val="en-US" w:eastAsia="zh-CN"/>
        </w:rPr>
        <w:t>6</w:t>
      </w:r>
      <w:r>
        <w:rPr>
          <w:rFonts w:hint="default" w:ascii="Times New Roman" w:hAnsi="Times New Roman" w:eastAsia="宋体" w:cs="Times New Roman"/>
          <w:b/>
          <w:color w:val="auto"/>
          <w:sz w:val="24"/>
          <w:szCs w:val="22"/>
          <w:highlight w:val="none"/>
          <w:lang w:val="en-US" w:eastAsia="zh-CN"/>
        </w:rPr>
        <w:t xml:space="preserve">    本项目矿石化学分析结果（%）</w:t>
      </w:r>
    </w:p>
    <w:tbl>
      <w:tblPr>
        <w:tblStyle w:val="33"/>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82"/>
        <w:gridCol w:w="1036"/>
        <w:gridCol w:w="1038"/>
        <w:gridCol w:w="1245"/>
        <w:gridCol w:w="1040"/>
        <w:gridCol w:w="1040"/>
        <w:gridCol w:w="1040"/>
        <w:gridCol w:w="1047"/>
      </w:tblGrid>
      <w:tr w14:paraId="4EA01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8" w:hRule="atLeast"/>
        </w:trPr>
        <w:tc>
          <w:tcPr>
            <w:tcW w:w="918" w:type="pct"/>
            <w:tcBorders>
              <w:bottom w:val="single" w:color="000000" w:sz="4" w:space="0"/>
              <w:right w:val="single" w:color="000000" w:sz="4" w:space="0"/>
              <w:tl2br w:val="nil"/>
            </w:tcBorders>
            <w:shd w:val="clear" w:color="auto" w:fill="auto"/>
            <w:noWrap/>
            <w:vAlign w:val="center"/>
          </w:tcPr>
          <w:p w14:paraId="3CE094F9">
            <w:pPr>
              <w:pStyle w:val="48"/>
              <w:keepNext w:val="0"/>
              <w:keepLines w:val="0"/>
              <w:pageBreakBefore w:val="0"/>
              <w:widowControl/>
              <w:kinsoku/>
              <w:wordWrap/>
              <w:overflowPunct/>
              <w:topLinePunct w:val="0"/>
              <w:autoSpaceDE/>
              <w:autoSpaceDN/>
              <w:bidi w:val="0"/>
              <w:adjustRightInd/>
              <w:snapToGrid/>
              <w:spacing w:beforeLines="0" w:afterLines="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snapToGrid/>
                <w:color w:val="auto"/>
                <w:sz w:val="21"/>
                <w:szCs w:val="21"/>
                <w:highlight w:val="none"/>
                <w:lang w:val="en-US" w:eastAsia="zh-CN"/>
              </w:rPr>
            </w:pPr>
            <w:r>
              <w:rPr>
                <w:rFonts w:hint="default" w:ascii="Times New Roman" w:hAnsi="Times New Roman" w:eastAsia="宋体" w:cs="Times New Roman"/>
                <w:b/>
                <w:bCs/>
                <w:snapToGrid/>
                <w:color w:val="auto"/>
                <w:sz w:val="21"/>
                <w:szCs w:val="21"/>
                <w:highlight w:val="none"/>
              </w:rPr>
              <w:t>元素</w:t>
            </w:r>
          </w:p>
        </w:tc>
        <w:tc>
          <w:tcPr>
            <w:tcW w:w="565" w:type="pct"/>
            <w:tcBorders>
              <w:left w:val="single" w:color="000000" w:sz="4" w:space="0"/>
              <w:right w:val="single" w:color="000000" w:sz="4" w:space="0"/>
            </w:tcBorders>
            <w:shd w:val="clear" w:color="auto" w:fill="auto"/>
            <w:vAlign w:val="center"/>
          </w:tcPr>
          <w:p w14:paraId="43A9AA86">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SiO</w:t>
            </w:r>
            <w:r>
              <w:rPr>
                <w:rFonts w:cs="Times New Roman"/>
                <w:b/>
                <w:bCs/>
                <w:color w:val="auto"/>
                <w:sz w:val="21"/>
                <w:szCs w:val="21"/>
                <w:highlight w:val="none"/>
                <w:vertAlign w:val="subscript"/>
              </w:rPr>
              <w:t>2</w:t>
            </w:r>
          </w:p>
        </w:tc>
        <w:tc>
          <w:tcPr>
            <w:tcW w:w="566" w:type="pct"/>
            <w:tcBorders>
              <w:left w:val="single" w:color="000000" w:sz="4" w:space="0"/>
              <w:right w:val="single" w:color="000000" w:sz="4" w:space="0"/>
            </w:tcBorders>
            <w:shd w:val="clear" w:color="auto" w:fill="auto"/>
            <w:vAlign w:val="center"/>
          </w:tcPr>
          <w:p w14:paraId="607577D2">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Al</w:t>
            </w:r>
            <w:r>
              <w:rPr>
                <w:rFonts w:cs="Times New Roman"/>
                <w:b/>
                <w:bCs/>
                <w:color w:val="auto"/>
                <w:sz w:val="21"/>
                <w:szCs w:val="21"/>
                <w:highlight w:val="none"/>
                <w:vertAlign w:val="subscript"/>
              </w:rPr>
              <w:t>2</w:t>
            </w:r>
            <w:r>
              <w:rPr>
                <w:rFonts w:cs="Times New Roman"/>
                <w:b/>
                <w:bCs/>
                <w:color w:val="auto"/>
                <w:sz w:val="21"/>
                <w:szCs w:val="21"/>
                <w:highlight w:val="none"/>
              </w:rPr>
              <w:t>O</w:t>
            </w:r>
            <w:r>
              <w:rPr>
                <w:rFonts w:cs="Times New Roman"/>
                <w:b/>
                <w:bCs/>
                <w:color w:val="auto"/>
                <w:sz w:val="21"/>
                <w:szCs w:val="21"/>
                <w:highlight w:val="none"/>
                <w:vertAlign w:val="subscript"/>
              </w:rPr>
              <w:t>3</w:t>
            </w:r>
          </w:p>
        </w:tc>
        <w:tc>
          <w:tcPr>
            <w:tcW w:w="679" w:type="pct"/>
            <w:tcBorders>
              <w:left w:val="single" w:color="000000" w:sz="4" w:space="0"/>
              <w:right w:val="single" w:color="000000" w:sz="4" w:space="0"/>
            </w:tcBorders>
            <w:shd w:val="clear" w:color="auto" w:fill="auto"/>
            <w:vAlign w:val="center"/>
          </w:tcPr>
          <w:p w14:paraId="2D5572CC">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CaO</w:t>
            </w:r>
          </w:p>
        </w:tc>
        <w:tc>
          <w:tcPr>
            <w:tcW w:w="567" w:type="pct"/>
            <w:tcBorders>
              <w:left w:val="single" w:color="000000" w:sz="4" w:space="0"/>
              <w:right w:val="single" w:color="000000" w:sz="4" w:space="0"/>
            </w:tcBorders>
            <w:shd w:val="clear" w:color="auto" w:fill="auto"/>
            <w:vAlign w:val="center"/>
          </w:tcPr>
          <w:p w14:paraId="13D6D495">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K</w:t>
            </w:r>
            <w:r>
              <w:rPr>
                <w:rFonts w:cs="Times New Roman"/>
                <w:b/>
                <w:bCs/>
                <w:color w:val="auto"/>
                <w:sz w:val="21"/>
                <w:szCs w:val="21"/>
                <w:highlight w:val="none"/>
                <w:vertAlign w:val="subscript"/>
              </w:rPr>
              <w:t>2</w:t>
            </w:r>
            <w:r>
              <w:rPr>
                <w:rFonts w:cs="Times New Roman"/>
                <w:b/>
                <w:bCs/>
                <w:color w:val="auto"/>
                <w:sz w:val="21"/>
                <w:szCs w:val="21"/>
                <w:highlight w:val="none"/>
              </w:rPr>
              <w:t>O</w:t>
            </w:r>
          </w:p>
        </w:tc>
        <w:tc>
          <w:tcPr>
            <w:tcW w:w="567" w:type="pct"/>
            <w:tcBorders>
              <w:left w:val="single" w:color="000000" w:sz="4" w:space="0"/>
              <w:right w:val="single" w:color="000000" w:sz="4" w:space="0"/>
            </w:tcBorders>
            <w:shd w:val="clear" w:color="auto" w:fill="auto"/>
            <w:vAlign w:val="center"/>
          </w:tcPr>
          <w:p w14:paraId="6779496D">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Na</w:t>
            </w:r>
            <w:r>
              <w:rPr>
                <w:rFonts w:cs="Times New Roman"/>
                <w:b/>
                <w:bCs/>
                <w:color w:val="auto"/>
                <w:sz w:val="21"/>
                <w:szCs w:val="21"/>
                <w:highlight w:val="none"/>
                <w:vertAlign w:val="subscript"/>
              </w:rPr>
              <w:t>2</w:t>
            </w:r>
            <w:r>
              <w:rPr>
                <w:rFonts w:cs="Times New Roman"/>
                <w:b/>
                <w:bCs/>
                <w:color w:val="auto"/>
                <w:sz w:val="21"/>
                <w:szCs w:val="21"/>
                <w:highlight w:val="none"/>
              </w:rPr>
              <w:t>O</w:t>
            </w:r>
          </w:p>
        </w:tc>
        <w:tc>
          <w:tcPr>
            <w:tcW w:w="567" w:type="pct"/>
            <w:tcBorders>
              <w:left w:val="single" w:color="000000" w:sz="4" w:space="0"/>
              <w:right w:val="single" w:color="000000" w:sz="4" w:space="0"/>
            </w:tcBorders>
            <w:shd w:val="clear" w:color="auto" w:fill="auto"/>
            <w:vAlign w:val="center"/>
          </w:tcPr>
          <w:p w14:paraId="5DB9CC54">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WO</w:t>
            </w:r>
            <w:r>
              <w:rPr>
                <w:rFonts w:cs="Times New Roman"/>
                <w:b/>
                <w:bCs/>
                <w:color w:val="auto"/>
                <w:sz w:val="21"/>
                <w:szCs w:val="21"/>
                <w:highlight w:val="none"/>
                <w:vertAlign w:val="subscript"/>
              </w:rPr>
              <w:t>3</w:t>
            </w:r>
          </w:p>
        </w:tc>
        <w:tc>
          <w:tcPr>
            <w:tcW w:w="567" w:type="pct"/>
            <w:tcBorders>
              <w:left w:val="single" w:color="000000" w:sz="4" w:space="0"/>
              <w:right w:val="single" w:color="000000" w:sz="4" w:space="0"/>
            </w:tcBorders>
            <w:shd w:val="clear" w:color="auto" w:fill="auto"/>
            <w:vAlign w:val="center"/>
          </w:tcPr>
          <w:p w14:paraId="4F260294">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MgO</w:t>
            </w:r>
          </w:p>
        </w:tc>
      </w:tr>
      <w:tr w14:paraId="36471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18" w:type="pct"/>
            <w:tcBorders>
              <w:top w:val="single" w:color="000000" w:sz="4" w:space="0"/>
              <w:bottom w:val="single" w:color="000000" w:sz="4" w:space="0"/>
              <w:right w:val="single" w:color="000000" w:sz="4" w:space="0"/>
            </w:tcBorders>
            <w:shd w:val="clear" w:color="auto" w:fill="auto"/>
            <w:noWrap/>
            <w:vAlign w:val="center"/>
          </w:tcPr>
          <w:p w14:paraId="65B7B4C2">
            <w:pPr>
              <w:pStyle w:val="48"/>
              <w:keepNext w:val="0"/>
              <w:keepLines w:val="0"/>
              <w:pageBreakBefore w:val="0"/>
              <w:widowControl/>
              <w:kinsoku/>
              <w:wordWrap/>
              <w:overflowPunct/>
              <w:topLinePunct w:val="0"/>
              <w:autoSpaceDE/>
              <w:autoSpaceDN/>
              <w:bidi w:val="0"/>
              <w:adjustRightInd/>
              <w:snapToGrid/>
              <w:spacing w:beforeLines="0" w:afterLines="0" w:line="360" w:lineRule="exact"/>
              <w:ind w:left="0" w:leftChars="0" w:right="0" w:rightChars="0" w:firstLine="0" w:firstLineChars="0"/>
              <w:jc w:val="center"/>
              <w:textAlignment w:val="auto"/>
              <w:outlineLvl w:val="9"/>
              <w:rPr>
                <w:rFonts w:hint="default" w:ascii="Times New Roman" w:hAnsi="Times New Roman" w:cs="Times New Roman" w:eastAsiaTheme="minorEastAsia"/>
                <w:b w:val="0"/>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含量</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1C3B6">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en-US" w:bidi="ar-SA"/>
              </w:rPr>
            </w:pPr>
            <w:r>
              <w:rPr>
                <w:rFonts w:cs="Times New Roman"/>
                <w:color w:val="auto"/>
                <w:sz w:val="21"/>
                <w:szCs w:val="21"/>
                <w:highlight w:val="none"/>
              </w:rPr>
              <w:t>49.3</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BE8B5">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en-US" w:bidi="ar-SA"/>
              </w:rPr>
            </w:pPr>
            <w:r>
              <w:rPr>
                <w:rFonts w:cs="Times New Roman"/>
                <w:color w:val="auto"/>
                <w:sz w:val="21"/>
                <w:szCs w:val="21"/>
                <w:highlight w:val="none"/>
              </w:rPr>
              <w:t>14.08</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4ECCF">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en-US" w:bidi="ar-SA"/>
              </w:rPr>
            </w:pPr>
            <w:r>
              <w:rPr>
                <w:rFonts w:cs="Times New Roman"/>
                <w:color w:val="auto"/>
                <w:sz w:val="21"/>
                <w:szCs w:val="21"/>
                <w:highlight w:val="none"/>
              </w:rPr>
              <w:t>9.64</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A0343">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en-US" w:bidi="ar-SA"/>
              </w:rPr>
            </w:pPr>
            <w:r>
              <w:rPr>
                <w:rFonts w:cs="Times New Roman"/>
                <w:color w:val="auto"/>
                <w:sz w:val="21"/>
                <w:szCs w:val="21"/>
                <w:highlight w:val="none"/>
              </w:rPr>
              <w:t>2.11</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278FE">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en-US" w:bidi="ar-SA"/>
              </w:rPr>
            </w:pPr>
            <w:r>
              <w:rPr>
                <w:rFonts w:cs="Times New Roman"/>
                <w:color w:val="auto"/>
                <w:sz w:val="21"/>
                <w:szCs w:val="21"/>
                <w:highlight w:val="none"/>
              </w:rPr>
              <w:t>3.28</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97B0">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en-US" w:bidi="ar-SA"/>
              </w:rPr>
            </w:pPr>
            <w:r>
              <w:rPr>
                <w:rFonts w:cs="Times New Roman"/>
                <w:color w:val="auto"/>
                <w:sz w:val="21"/>
                <w:szCs w:val="21"/>
                <w:highlight w:val="none"/>
              </w:rPr>
              <w:t>0.004</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C8980">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en-US" w:bidi="ar-SA"/>
              </w:rPr>
            </w:pPr>
            <w:r>
              <w:rPr>
                <w:rFonts w:cs="Times New Roman"/>
                <w:color w:val="auto"/>
                <w:sz w:val="21"/>
                <w:szCs w:val="21"/>
                <w:highlight w:val="none"/>
              </w:rPr>
              <w:t>3.98</w:t>
            </w:r>
          </w:p>
        </w:tc>
      </w:tr>
      <w:tr w14:paraId="45728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18" w:type="pct"/>
            <w:tcBorders>
              <w:top w:val="single" w:color="000000" w:sz="4" w:space="0"/>
              <w:bottom w:val="single" w:color="000000" w:sz="4" w:space="0"/>
              <w:right w:val="single" w:color="000000" w:sz="4" w:space="0"/>
            </w:tcBorders>
            <w:shd w:val="clear" w:color="auto" w:fill="auto"/>
            <w:noWrap/>
            <w:vAlign w:val="center"/>
          </w:tcPr>
          <w:p w14:paraId="22294047">
            <w:pPr>
              <w:pStyle w:val="48"/>
              <w:keepNext w:val="0"/>
              <w:keepLines w:val="0"/>
              <w:pageBreakBefore w:val="0"/>
              <w:widowControl/>
              <w:kinsoku/>
              <w:wordWrap/>
              <w:overflowPunct/>
              <w:topLinePunct w:val="0"/>
              <w:autoSpaceDE/>
              <w:autoSpaceDN/>
              <w:bidi w:val="0"/>
              <w:adjustRightInd/>
              <w:snapToGrid/>
              <w:spacing w:beforeLines="0" w:afterLines="0" w:line="360" w:lineRule="exact"/>
              <w:ind w:left="0" w:leftChars="0" w:right="0" w:rightChars="0" w:firstLine="0" w:firstLineChars="0"/>
              <w:jc w:val="center"/>
              <w:textAlignment w:val="auto"/>
              <w:outlineLvl w:val="9"/>
              <w:rPr>
                <w:rFonts w:hint="default" w:ascii="Times New Roman" w:hAnsi="Times New Roman" w:cs="Times New Roman"/>
                <w:b/>
                <w:bCs/>
                <w:snapToGrid/>
                <w:color w:val="auto"/>
                <w:sz w:val="21"/>
                <w:szCs w:val="21"/>
                <w:highlight w:val="none"/>
                <w:lang w:val="en-US" w:eastAsia="zh-CN"/>
              </w:rPr>
            </w:pPr>
            <w:r>
              <w:rPr>
                <w:rFonts w:hint="default" w:ascii="Times New Roman" w:hAnsi="Times New Roman" w:eastAsia="宋体" w:cs="Times New Roman"/>
                <w:b/>
                <w:bCs/>
                <w:snapToGrid/>
                <w:color w:val="auto"/>
                <w:sz w:val="21"/>
                <w:szCs w:val="21"/>
                <w:highlight w:val="none"/>
              </w:rPr>
              <w:t>元素</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2BD9E">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P</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D534A">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Fe</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0D548">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C</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C9459">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Cu</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0C63">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Zn</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5B30">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Pb</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5A0D4">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en-US" w:bidi="ar-SA"/>
              </w:rPr>
            </w:pPr>
            <w:r>
              <w:rPr>
                <w:rFonts w:cs="Times New Roman"/>
                <w:b/>
                <w:bCs/>
                <w:color w:val="auto"/>
                <w:sz w:val="21"/>
                <w:szCs w:val="21"/>
                <w:highlight w:val="none"/>
              </w:rPr>
              <w:t>S</w:t>
            </w:r>
          </w:p>
        </w:tc>
      </w:tr>
      <w:tr w14:paraId="6F929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18" w:type="pct"/>
            <w:tcBorders>
              <w:top w:val="single" w:color="000000" w:sz="4" w:space="0"/>
              <w:right w:val="single" w:color="000000" w:sz="4" w:space="0"/>
            </w:tcBorders>
            <w:shd w:val="clear" w:color="auto" w:fill="auto"/>
            <w:noWrap/>
            <w:vAlign w:val="center"/>
          </w:tcPr>
          <w:p w14:paraId="7A5A7707">
            <w:pPr>
              <w:pStyle w:val="48"/>
              <w:keepNext w:val="0"/>
              <w:keepLines w:val="0"/>
              <w:pageBreakBefore w:val="0"/>
              <w:widowControl/>
              <w:kinsoku/>
              <w:wordWrap/>
              <w:overflowPunct/>
              <w:topLinePunct w:val="0"/>
              <w:autoSpaceDE/>
              <w:autoSpaceDN/>
              <w:bidi w:val="0"/>
              <w:adjustRightInd/>
              <w:snapToGrid/>
              <w:spacing w:beforeLines="0" w:afterLines="0" w:line="360" w:lineRule="exact"/>
              <w:ind w:left="0" w:leftChars="0" w:right="0" w:rightChars="0" w:firstLine="0" w:firstLineChars="0"/>
              <w:jc w:val="center"/>
              <w:textAlignment w:val="auto"/>
              <w:outlineLvl w:val="9"/>
              <w:rPr>
                <w:rFonts w:hint="default" w:ascii="Times New Roman" w:hAnsi="Times New Roman" w:cs="Times New Roman"/>
                <w:b w:val="0"/>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含量</w:t>
            </w:r>
          </w:p>
        </w:tc>
        <w:tc>
          <w:tcPr>
            <w:tcW w:w="565" w:type="pct"/>
            <w:tcBorders>
              <w:top w:val="single" w:color="000000" w:sz="4" w:space="0"/>
              <w:left w:val="single" w:color="000000" w:sz="4" w:space="0"/>
              <w:right w:val="single" w:color="000000" w:sz="4" w:space="0"/>
            </w:tcBorders>
            <w:shd w:val="clear" w:color="auto" w:fill="auto"/>
            <w:vAlign w:val="center"/>
          </w:tcPr>
          <w:p w14:paraId="4A5F77F5">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0.17</w:t>
            </w:r>
          </w:p>
        </w:tc>
        <w:tc>
          <w:tcPr>
            <w:tcW w:w="566" w:type="pct"/>
            <w:tcBorders>
              <w:top w:val="single" w:color="000000" w:sz="4" w:space="0"/>
              <w:left w:val="single" w:color="000000" w:sz="4" w:space="0"/>
              <w:right w:val="single" w:color="000000" w:sz="4" w:space="0"/>
            </w:tcBorders>
            <w:shd w:val="clear" w:color="auto" w:fill="auto"/>
            <w:vAlign w:val="center"/>
          </w:tcPr>
          <w:p w14:paraId="48323831">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7.1</w:t>
            </w:r>
          </w:p>
        </w:tc>
        <w:tc>
          <w:tcPr>
            <w:tcW w:w="679" w:type="pct"/>
            <w:tcBorders>
              <w:top w:val="single" w:color="000000" w:sz="4" w:space="0"/>
              <w:left w:val="single" w:color="000000" w:sz="4" w:space="0"/>
              <w:right w:val="single" w:color="000000" w:sz="4" w:space="0"/>
            </w:tcBorders>
            <w:shd w:val="clear" w:color="auto" w:fill="auto"/>
            <w:vAlign w:val="center"/>
          </w:tcPr>
          <w:p w14:paraId="347A59E9">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1.06</w:t>
            </w:r>
          </w:p>
        </w:tc>
        <w:tc>
          <w:tcPr>
            <w:tcW w:w="567" w:type="pct"/>
            <w:tcBorders>
              <w:top w:val="single" w:color="000000" w:sz="4" w:space="0"/>
              <w:left w:val="single" w:color="000000" w:sz="4" w:space="0"/>
              <w:right w:val="single" w:color="000000" w:sz="4" w:space="0"/>
            </w:tcBorders>
            <w:shd w:val="clear" w:color="auto" w:fill="auto"/>
            <w:vAlign w:val="center"/>
          </w:tcPr>
          <w:p w14:paraId="041AD7D8">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0.018</w:t>
            </w:r>
          </w:p>
        </w:tc>
        <w:tc>
          <w:tcPr>
            <w:tcW w:w="567" w:type="pct"/>
            <w:tcBorders>
              <w:top w:val="single" w:color="000000" w:sz="4" w:space="0"/>
              <w:left w:val="single" w:color="000000" w:sz="4" w:space="0"/>
              <w:right w:val="single" w:color="000000" w:sz="4" w:space="0"/>
            </w:tcBorders>
            <w:shd w:val="clear" w:color="auto" w:fill="auto"/>
            <w:vAlign w:val="center"/>
          </w:tcPr>
          <w:p w14:paraId="7C164FC4">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0.011</w:t>
            </w:r>
          </w:p>
        </w:tc>
        <w:tc>
          <w:tcPr>
            <w:tcW w:w="567" w:type="pct"/>
            <w:tcBorders>
              <w:top w:val="single" w:color="000000" w:sz="4" w:space="0"/>
              <w:left w:val="single" w:color="000000" w:sz="4" w:space="0"/>
              <w:right w:val="single" w:color="000000" w:sz="4" w:space="0"/>
            </w:tcBorders>
            <w:shd w:val="clear" w:color="auto" w:fill="auto"/>
            <w:vAlign w:val="center"/>
          </w:tcPr>
          <w:p w14:paraId="3E8F9DC4">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0.002</w:t>
            </w:r>
          </w:p>
        </w:tc>
        <w:tc>
          <w:tcPr>
            <w:tcW w:w="567" w:type="pct"/>
            <w:tcBorders>
              <w:top w:val="single" w:color="000000" w:sz="4" w:space="0"/>
              <w:left w:val="single" w:color="000000" w:sz="4" w:space="0"/>
              <w:right w:val="single" w:color="000000" w:sz="4" w:space="0"/>
            </w:tcBorders>
            <w:shd w:val="clear" w:color="auto" w:fill="auto"/>
            <w:vAlign w:val="center"/>
          </w:tcPr>
          <w:p w14:paraId="174E024B">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0.86</w:t>
            </w:r>
          </w:p>
        </w:tc>
      </w:tr>
      <w:tr w14:paraId="41B53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18" w:type="pct"/>
            <w:shd w:val="clear" w:color="auto" w:fill="auto"/>
            <w:vAlign w:val="center"/>
          </w:tcPr>
          <w:p w14:paraId="34955D6A">
            <w:pPr>
              <w:pStyle w:val="48"/>
              <w:keepNext w:val="0"/>
              <w:keepLines w:val="0"/>
              <w:pageBreakBefore w:val="0"/>
              <w:widowControl/>
              <w:kinsoku/>
              <w:wordWrap/>
              <w:overflowPunct/>
              <w:topLinePunct w:val="0"/>
              <w:autoSpaceDE/>
              <w:autoSpaceDN/>
              <w:bidi w:val="0"/>
              <w:adjustRightInd/>
              <w:snapToGrid/>
              <w:spacing w:beforeLines="0" w:afterLines="0" w:line="360" w:lineRule="exact"/>
              <w:ind w:left="0" w:leftChars="0" w:right="0" w:rightChars="0" w:firstLine="0" w:firstLineChars="0"/>
              <w:jc w:val="center"/>
              <w:textAlignment w:val="auto"/>
              <w:outlineLvl w:val="9"/>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sz w:val="21"/>
                <w:szCs w:val="21"/>
                <w:highlight w:val="none"/>
              </w:rPr>
              <w:t>元素</w:t>
            </w:r>
          </w:p>
        </w:tc>
        <w:tc>
          <w:tcPr>
            <w:tcW w:w="565" w:type="pct"/>
            <w:shd w:val="clear" w:color="auto" w:fill="auto"/>
            <w:vAlign w:val="center"/>
          </w:tcPr>
          <w:p w14:paraId="6E382B34">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cs="Times New Roman"/>
                <w:b/>
                <w:bCs/>
                <w:color w:val="auto"/>
                <w:sz w:val="21"/>
                <w:szCs w:val="21"/>
                <w:highlight w:val="none"/>
              </w:rPr>
              <w:t>Mo</w:t>
            </w:r>
          </w:p>
        </w:tc>
        <w:tc>
          <w:tcPr>
            <w:tcW w:w="566" w:type="pct"/>
            <w:shd w:val="clear" w:color="auto" w:fill="auto"/>
            <w:vAlign w:val="center"/>
          </w:tcPr>
          <w:p w14:paraId="20423745">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cs="Times New Roman"/>
                <w:b/>
                <w:bCs/>
                <w:color w:val="auto"/>
                <w:sz w:val="21"/>
                <w:szCs w:val="21"/>
                <w:highlight w:val="none"/>
              </w:rPr>
              <w:t>Mn</w:t>
            </w:r>
          </w:p>
        </w:tc>
        <w:tc>
          <w:tcPr>
            <w:tcW w:w="679" w:type="pct"/>
            <w:shd w:val="clear" w:color="auto" w:fill="auto"/>
            <w:vAlign w:val="center"/>
          </w:tcPr>
          <w:p w14:paraId="0EB25211">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cs="Times New Roman"/>
                <w:b/>
                <w:bCs/>
                <w:color w:val="auto"/>
                <w:sz w:val="21"/>
                <w:szCs w:val="21"/>
                <w:highlight w:val="none"/>
              </w:rPr>
              <w:t>Co</w:t>
            </w:r>
          </w:p>
        </w:tc>
        <w:tc>
          <w:tcPr>
            <w:tcW w:w="567" w:type="pct"/>
            <w:shd w:val="clear" w:color="auto" w:fill="auto"/>
            <w:vAlign w:val="center"/>
          </w:tcPr>
          <w:p w14:paraId="4823A8D7">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cs="Times New Roman"/>
                <w:b/>
                <w:bCs/>
                <w:color w:val="auto"/>
                <w:sz w:val="21"/>
                <w:szCs w:val="21"/>
                <w:highlight w:val="none"/>
              </w:rPr>
              <w:t>Sb*</w:t>
            </w:r>
          </w:p>
        </w:tc>
        <w:tc>
          <w:tcPr>
            <w:tcW w:w="567" w:type="pct"/>
            <w:shd w:val="clear" w:color="auto" w:fill="auto"/>
            <w:vAlign w:val="center"/>
          </w:tcPr>
          <w:p w14:paraId="16702554">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cs="Times New Roman"/>
                <w:b/>
                <w:bCs/>
                <w:color w:val="auto"/>
                <w:sz w:val="21"/>
                <w:szCs w:val="21"/>
                <w:highlight w:val="none"/>
              </w:rPr>
              <w:t>As*</w:t>
            </w:r>
          </w:p>
        </w:tc>
        <w:tc>
          <w:tcPr>
            <w:tcW w:w="567" w:type="pct"/>
            <w:shd w:val="clear" w:color="auto" w:fill="auto"/>
            <w:vAlign w:val="center"/>
          </w:tcPr>
          <w:p w14:paraId="19989839">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cs="Times New Roman"/>
                <w:b/>
                <w:bCs/>
                <w:color w:val="auto"/>
                <w:sz w:val="21"/>
                <w:szCs w:val="21"/>
                <w:highlight w:val="none"/>
              </w:rPr>
              <w:t>Ag*</w:t>
            </w:r>
          </w:p>
        </w:tc>
        <w:tc>
          <w:tcPr>
            <w:tcW w:w="567" w:type="pct"/>
            <w:shd w:val="clear" w:color="auto" w:fill="auto"/>
            <w:vAlign w:val="center"/>
          </w:tcPr>
          <w:p w14:paraId="5F49BE9A">
            <w:pPr>
              <w:spacing w:line="240" w:lineRule="auto"/>
              <w:ind w:firstLine="0" w:firstLine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cs="Times New Roman"/>
                <w:b/>
                <w:bCs/>
                <w:color w:val="auto"/>
                <w:sz w:val="21"/>
                <w:szCs w:val="21"/>
                <w:highlight w:val="none"/>
              </w:rPr>
              <w:t>Au*</w:t>
            </w:r>
          </w:p>
        </w:tc>
      </w:tr>
      <w:tr w14:paraId="199B2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18" w:type="pct"/>
            <w:shd w:val="clear" w:color="auto" w:fill="auto"/>
            <w:vAlign w:val="center"/>
          </w:tcPr>
          <w:p w14:paraId="03DC784F">
            <w:pPr>
              <w:pStyle w:val="48"/>
              <w:keepNext w:val="0"/>
              <w:keepLines w:val="0"/>
              <w:pageBreakBefore w:val="0"/>
              <w:widowControl/>
              <w:kinsoku/>
              <w:wordWrap/>
              <w:overflowPunct/>
              <w:topLinePunct w:val="0"/>
              <w:autoSpaceDE/>
              <w:autoSpaceDN/>
              <w:bidi w:val="0"/>
              <w:adjustRightInd/>
              <w:snapToGrid/>
              <w:spacing w:beforeLines="0" w:afterLines="0" w:line="360" w:lineRule="exact"/>
              <w:ind w:left="0" w:leftChars="0" w:right="0" w:rightChars="0" w:firstLine="0" w:firstLineChars="0"/>
              <w:jc w:val="center"/>
              <w:textAlignment w:val="auto"/>
              <w:outlineLvl w:val="9"/>
              <w:rPr>
                <w:rFonts w:hint="default" w:ascii="Times New Roman" w:hAnsi="Times New Roman" w:eastAsia="宋体" w:cs="Times New Roman"/>
                <w:b w:val="0"/>
                <w:snapToGrid/>
                <w:color w:val="auto"/>
                <w:kern w:val="0"/>
                <w:sz w:val="21"/>
                <w:szCs w:val="21"/>
                <w:highlight w:val="none"/>
                <w:lang w:val="en-US" w:eastAsia="zh-CN" w:bidi="ar-SA"/>
              </w:rPr>
            </w:pPr>
            <w:r>
              <w:rPr>
                <w:rFonts w:hint="default" w:ascii="Times New Roman" w:hAnsi="Times New Roman" w:eastAsia="宋体" w:cs="Times New Roman"/>
                <w:snapToGrid/>
                <w:color w:val="auto"/>
                <w:sz w:val="21"/>
                <w:szCs w:val="21"/>
                <w:highlight w:val="none"/>
              </w:rPr>
              <w:t>含量</w:t>
            </w:r>
          </w:p>
        </w:tc>
        <w:tc>
          <w:tcPr>
            <w:tcW w:w="565" w:type="pct"/>
            <w:shd w:val="clear" w:color="auto" w:fill="auto"/>
            <w:vAlign w:val="center"/>
          </w:tcPr>
          <w:p w14:paraId="56B4C42D">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w:t>
            </w:r>
          </w:p>
        </w:tc>
        <w:tc>
          <w:tcPr>
            <w:tcW w:w="566" w:type="pct"/>
            <w:shd w:val="clear" w:color="auto" w:fill="auto"/>
            <w:vAlign w:val="center"/>
          </w:tcPr>
          <w:p w14:paraId="4256A637">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0.14</w:t>
            </w:r>
          </w:p>
        </w:tc>
        <w:tc>
          <w:tcPr>
            <w:tcW w:w="679" w:type="pct"/>
            <w:shd w:val="clear" w:color="auto" w:fill="auto"/>
            <w:vAlign w:val="center"/>
          </w:tcPr>
          <w:p w14:paraId="2A0898F8">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0.003</w:t>
            </w:r>
          </w:p>
        </w:tc>
        <w:tc>
          <w:tcPr>
            <w:tcW w:w="567" w:type="pct"/>
            <w:shd w:val="clear" w:color="auto" w:fill="auto"/>
            <w:vAlign w:val="center"/>
          </w:tcPr>
          <w:p w14:paraId="50EA10A7">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6.67</w:t>
            </w:r>
          </w:p>
        </w:tc>
        <w:tc>
          <w:tcPr>
            <w:tcW w:w="567" w:type="pct"/>
            <w:shd w:val="clear" w:color="auto" w:fill="auto"/>
            <w:vAlign w:val="center"/>
          </w:tcPr>
          <w:p w14:paraId="3DD1C055">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11.37</w:t>
            </w:r>
          </w:p>
        </w:tc>
        <w:tc>
          <w:tcPr>
            <w:tcW w:w="567" w:type="pct"/>
            <w:shd w:val="clear" w:color="auto" w:fill="auto"/>
            <w:vAlign w:val="center"/>
          </w:tcPr>
          <w:p w14:paraId="4BEF40D1">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0.3</w:t>
            </w:r>
          </w:p>
        </w:tc>
        <w:tc>
          <w:tcPr>
            <w:tcW w:w="567" w:type="pct"/>
            <w:shd w:val="clear" w:color="auto" w:fill="auto"/>
            <w:vAlign w:val="center"/>
          </w:tcPr>
          <w:p w14:paraId="1B808C83">
            <w:pPr>
              <w:spacing w:line="240" w:lineRule="auto"/>
              <w:ind w:firstLine="0" w:firstLineChars="0"/>
              <w:jc w:val="center"/>
              <w:rPr>
                <w:rFonts w:hint="default" w:ascii="Times New Roman" w:hAnsi="Times New Roman" w:eastAsia="宋体" w:cs="Times New Roman"/>
                <w:snapToGrid/>
                <w:color w:val="auto"/>
                <w:kern w:val="0"/>
                <w:sz w:val="21"/>
                <w:szCs w:val="21"/>
                <w:highlight w:val="none"/>
                <w:lang w:val="en-US" w:eastAsia="zh-CN" w:bidi="ar-SA"/>
              </w:rPr>
            </w:pPr>
            <w:r>
              <w:rPr>
                <w:rFonts w:cs="Times New Roman"/>
                <w:color w:val="auto"/>
                <w:sz w:val="21"/>
                <w:szCs w:val="21"/>
                <w:highlight w:val="none"/>
              </w:rPr>
              <w:t>2.02</w:t>
            </w:r>
          </w:p>
        </w:tc>
      </w:tr>
      <w:tr w14:paraId="0C2C3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8"/>
            <w:shd w:val="clear" w:color="auto" w:fill="auto"/>
            <w:vAlign w:val="center"/>
          </w:tcPr>
          <w:p w14:paraId="2358B148">
            <w:pPr>
              <w:spacing w:line="240" w:lineRule="auto"/>
              <w:ind w:firstLine="0" w:firstLineChars="0"/>
              <w:jc w:val="center"/>
              <w:rPr>
                <w:rFonts w:hint="default" w:eastAsia="宋体" w:cs="Times New Roman"/>
                <w:color w:val="auto"/>
                <w:sz w:val="21"/>
                <w:szCs w:val="21"/>
                <w:highlight w:val="none"/>
                <w:lang w:val="en-US" w:eastAsia="zh-CN"/>
              </w:rPr>
            </w:pPr>
            <w:r>
              <w:rPr>
                <w:rFonts w:hint="default" w:cs="Times New Roman"/>
                <w:color w:val="auto"/>
                <w:sz w:val="21"/>
                <w:szCs w:val="21"/>
                <w:highlight w:val="none"/>
                <w:lang w:val="en-US" w:eastAsia="zh-CN"/>
              </w:rPr>
              <w:t>备注：</w:t>
            </w:r>
            <w:r>
              <w:rPr>
                <w:rFonts w:hint="default"/>
                <w:color w:val="auto"/>
                <w:sz w:val="21"/>
                <w:szCs w:val="21"/>
                <w:highlight w:val="none"/>
              </w:rPr>
              <w:t>标“*”号的元素含量单位为g/t。</w:t>
            </w:r>
          </w:p>
        </w:tc>
      </w:tr>
    </w:tbl>
    <w:p w14:paraId="38C9F13B">
      <w:pPr>
        <w:pStyle w:val="54"/>
        <w:overflowPunct w:val="0"/>
        <w:topLinePunct/>
        <w:spacing w:line="480" w:lineRule="exact"/>
        <w:ind w:firstLine="480"/>
        <w:rPr>
          <w:rFonts w:hint="default" w:cs="Times New Roman"/>
          <w:color w:val="auto"/>
          <w:sz w:val="24"/>
          <w:highlight w:val="none"/>
          <w:lang w:val="en-US" w:eastAsia="zh-CN"/>
        </w:rPr>
      </w:pPr>
    </w:p>
    <w:p w14:paraId="735DF379">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药剂消耗</w:t>
      </w:r>
    </w:p>
    <w:p w14:paraId="16FC576F">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项目主要药剂消耗包括碳酸钠、丁基黄药、</w:t>
      </w:r>
      <w:r>
        <w:rPr>
          <w:rFonts w:hint="default" w:ascii="Times New Roman" w:hAnsi="Times New Roman" w:cs="Times New Roman"/>
          <w:color w:val="auto"/>
          <w:sz w:val="24"/>
          <w:highlight w:val="none"/>
          <w:lang w:val="en-US" w:eastAsia="zh-CN"/>
        </w:rPr>
        <w:t>丁铵黄药及2#油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均由市场采购。</w:t>
      </w:r>
    </w:p>
    <w:p w14:paraId="464803CE">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碳酸钠、丁基黄药、丁铵黄药通过药剂搅拌槽制备成10%浓度的溶液，自流至储液槽，之后再自流到智能数控电脑加药机并添加到各个用药点。2#油采用原液添加，通过起重机将桶装2#油吊运至高位储液槽后，再通过智能数控电脑加药机添加到各个用药点。</w:t>
      </w:r>
    </w:p>
    <w:p w14:paraId="79CC9FAC">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选矿药剂具体情况见表3.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cs="Times New Roman"/>
          <w:color w:val="auto"/>
          <w:sz w:val="24"/>
          <w:highlight w:val="none"/>
          <w:lang w:val="en-US" w:eastAsia="zh-CN"/>
        </w:rPr>
        <w:t>7</w:t>
      </w:r>
      <w:r>
        <w:rPr>
          <w:rFonts w:hint="default" w:ascii="Times New Roman" w:hAnsi="Times New Roman" w:cs="Times New Roman"/>
          <w:color w:val="auto"/>
          <w:sz w:val="24"/>
          <w:highlight w:val="none"/>
        </w:rPr>
        <w:t>。</w:t>
      </w:r>
    </w:p>
    <w:p w14:paraId="1F05452B">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cs="Times New Roman"/>
          <w:b/>
          <w:color w:val="auto"/>
          <w:highlight w:val="none"/>
          <w:lang w:val="en-US" w:eastAsia="zh-CN"/>
        </w:rPr>
        <w:t>7</w:t>
      </w:r>
      <w:r>
        <w:rPr>
          <w:rFonts w:hint="default" w:ascii="Times New Roman" w:hAnsi="Times New Roman" w:cs="Times New Roman"/>
          <w:b/>
          <w:color w:val="auto"/>
          <w:highlight w:val="none"/>
        </w:rPr>
        <w:t xml:space="preserve">    本项目选矿药剂消耗核算表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178"/>
        <w:gridCol w:w="1178"/>
        <w:gridCol w:w="1881"/>
        <w:gridCol w:w="1498"/>
        <w:gridCol w:w="1315"/>
        <w:gridCol w:w="1412"/>
      </w:tblGrid>
      <w:tr w14:paraId="54C48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5C182EE2">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序号</w:t>
            </w:r>
          </w:p>
        </w:tc>
        <w:tc>
          <w:tcPr>
            <w:tcW w:w="642" w:type="pct"/>
            <w:vAlign w:val="center"/>
          </w:tcPr>
          <w:p w14:paraId="0F5AC8D3">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药剂名称</w:t>
            </w:r>
          </w:p>
        </w:tc>
        <w:tc>
          <w:tcPr>
            <w:tcW w:w="642" w:type="pct"/>
            <w:vAlign w:val="center"/>
          </w:tcPr>
          <w:p w14:paraId="01577EB2">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包装方式</w:t>
            </w:r>
          </w:p>
        </w:tc>
        <w:tc>
          <w:tcPr>
            <w:tcW w:w="1025" w:type="pct"/>
            <w:vAlign w:val="center"/>
          </w:tcPr>
          <w:p w14:paraId="002120FE">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堆存天数（天）</w:t>
            </w:r>
          </w:p>
        </w:tc>
        <w:tc>
          <w:tcPr>
            <w:tcW w:w="816" w:type="pct"/>
            <w:vAlign w:val="center"/>
          </w:tcPr>
          <w:p w14:paraId="60381E6B">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单位消耗g/t</w:t>
            </w:r>
          </w:p>
        </w:tc>
        <w:tc>
          <w:tcPr>
            <w:tcW w:w="716" w:type="pct"/>
            <w:vAlign w:val="center"/>
          </w:tcPr>
          <w:p w14:paraId="4D20D2E2">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年消耗量t</w:t>
            </w:r>
          </w:p>
        </w:tc>
        <w:tc>
          <w:tcPr>
            <w:tcW w:w="769" w:type="pct"/>
            <w:vAlign w:val="center"/>
          </w:tcPr>
          <w:p w14:paraId="01761E32">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添加浓度%</w:t>
            </w:r>
          </w:p>
        </w:tc>
      </w:tr>
      <w:tr w14:paraId="5B588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6" w:type="pct"/>
            <w:shd w:val="clear" w:color="auto" w:fill="auto"/>
            <w:vAlign w:val="center"/>
          </w:tcPr>
          <w:p w14:paraId="56E9C04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642" w:type="pct"/>
            <w:vAlign w:val="center"/>
          </w:tcPr>
          <w:p w14:paraId="03B709B5">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碳酸钠</w:t>
            </w:r>
          </w:p>
        </w:tc>
        <w:tc>
          <w:tcPr>
            <w:tcW w:w="642" w:type="pct"/>
            <w:vAlign w:val="center"/>
          </w:tcPr>
          <w:p w14:paraId="51F76E9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袋装</w:t>
            </w:r>
          </w:p>
        </w:tc>
        <w:tc>
          <w:tcPr>
            <w:tcW w:w="1025" w:type="pct"/>
            <w:vAlign w:val="center"/>
          </w:tcPr>
          <w:p w14:paraId="51D1741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c>
          <w:tcPr>
            <w:tcW w:w="816" w:type="pct"/>
            <w:vAlign w:val="center"/>
          </w:tcPr>
          <w:p w14:paraId="49114C1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1000</w:t>
            </w:r>
          </w:p>
        </w:tc>
        <w:tc>
          <w:tcPr>
            <w:tcW w:w="716" w:type="pct"/>
            <w:vAlign w:val="center"/>
          </w:tcPr>
          <w:p w14:paraId="1AE118BC">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150</w:t>
            </w:r>
          </w:p>
        </w:tc>
        <w:tc>
          <w:tcPr>
            <w:tcW w:w="769" w:type="pct"/>
            <w:vAlign w:val="center"/>
          </w:tcPr>
          <w:p w14:paraId="2332639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r w14:paraId="1F7E6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6" w:type="pct"/>
            <w:shd w:val="clear" w:color="auto" w:fill="auto"/>
            <w:vAlign w:val="center"/>
          </w:tcPr>
          <w:p w14:paraId="19A9A84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642" w:type="pct"/>
            <w:vAlign w:val="center"/>
          </w:tcPr>
          <w:p w14:paraId="51E9171C">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丁基黄药</w:t>
            </w:r>
          </w:p>
        </w:tc>
        <w:tc>
          <w:tcPr>
            <w:tcW w:w="642" w:type="pct"/>
            <w:vAlign w:val="center"/>
          </w:tcPr>
          <w:p w14:paraId="08712378">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袋装</w:t>
            </w:r>
          </w:p>
        </w:tc>
        <w:tc>
          <w:tcPr>
            <w:tcW w:w="1025" w:type="pct"/>
            <w:vAlign w:val="center"/>
          </w:tcPr>
          <w:p w14:paraId="25BE2AB5">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30</w:t>
            </w:r>
          </w:p>
        </w:tc>
        <w:tc>
          <w:tcPr>
            <w:tcW w:w="816" w:type="pct"/>
            <w:vAlign w:val="center"/>
          </w:tcPr>
          <w:p w14:paraId="54F1201D">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52.5</w:t>
            </w:r>
          </w:p>
        </w:tc>
        <w:tc>
          <w:tcPr>
            <w:tcW w:w="716" w:type="pct"/>
            <w:vAlign w:val="center"/>
          </w:tcPr>
          <w:p w14:paraId="4E15372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w:t>
            </w:r>
            <w:r>
              <w:rPr>
                <w:rFonts w:hint="default" w:ascii="Times New Roman" w:hAnsi="Times New Roman" w:cs="Times New Roman"/>
                <w:color w:val="auto"/>
                <w:kern w:val="0"/>
                <w:sz w:val="21"/>
                <w:szCs w:val="21"/>
                <w:highlight w:val="none"/>
                <w:lang w:val="en-US" w:eastAsia="zh-CN"/>
              </w:rPr>
              <w:t>75</w:t>
            </w:r>
          </w:p>
        </w:tc>
        <w:tc>
          <w:tcPr>
            <w:tcW w:w="769" w:type="pct"/>
            <w:vAlign w:val="center"/>
          </w:tcPr>
          <w:p w14:paraId="4570019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r w14:paraId="0CF95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6" w:type="pct"/>
            <w:shd w:val="clear" w:color="auto" w:fill="auto"/>
            <w:vAlign w:val="center"/>
          </w:tcPr>
          <w:p w14:paraId="007FBE47">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642" w:type="pct"/>
            <w:vAlign w:val="center"/>
          </w:tcPr>
          <w:p w14:paraId="0B958F3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丁铵黄药</w:t>
            </w:r>
          </w:p>
        </w:tc>
        <w:tc>
          <w:tcPr>
            <w:tcW w:w="642" w:type="pct"/>
            <w:vAlign w:val="center"/>
          </w:tcPr>
          <w:p w14:paraId="399A2D00">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袋装</w:t>
            </w:r>
          </w:p>
        </w:tc>
        <w:tc>
          <w:tcPr>
            <w:tcW w:w="1025" w:type="pct"/>
            <w:vAlign w:val="center"/>
          </w:tcPr>
          <w:p w14:paraId="7C396F3C">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30</w:t>
            </w:r>
          </w:p>
        </w:tc>
        <w:tc>
          <w:tcPr>
            <w:tcW w:w="816" w:type="pct"/>
            <w:vAlign w:val="center"/>
          </w:tcPr>
          <w:p w14:paraId="37A4889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26.25</w:t>
            </w:r>
          </w:p>
        </w:tc>
        <w:tc>
          <w:tcPr>
            <w:tcW w:w="716" w:type="pct"/>
            <w:vAlign w:val="center"/>
          </w:tcPr>
          <w:p w14:paraId="41383A2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3.94</w:t>
            </w:r>
          </w:p>
        </w:tc>
        <w:tc>
          <w:tcPr>
            <w:tcW w:w="769" w:type="pct"/>
            <w:vAlign w:val="center"/>
          </w:tcPr>
          <w:p w14:paraId="588816CA">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r w14:paraId="23F23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56A8AA0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642" w:type="pct"/>
            <w:vAlign w:val="center"/>
          </w:tcPr>
          <w:p w14:paraId="11C1824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2#油</w:t>
            </w:r>
          </w:p>
        </w:tc>
        <w:tc>
          <w:tcPr>
            <w:tcW w:w="642" w:type="pct"/>
            <w:vAlign w:val="center"/>
          </w:tcPr>
          <w:p w14:paraId="3C9C8EB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桶装</w:t>
            </w:r>
          </w:p>
        </w:tc>
        <w:tc>
          <w:tcPr>
            <w:tcW w:w="1025" w:type="pct"/>
            <w:vAlign w:val="center"/>
          </w:tcPr>
          <w:p w14:paraId="40F80DF0">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30</w:t>
            </w:r>
          </w:p>
        </w:tc>
        <w:tc>
          <w:tcPr>
            <w:tcW w:w="816" w:type="pct"/>
            <w:vAlign w:val="center"/>
          </w:tcPr>
          <w:p w14:paraId="022AE57C">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716" w:type="pct"/>
            <w:vAlign w:val="center"/>
          </w:tcPr>
          <w:p w14:paraId="07B4F23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2.25</w:t>
            </w:r>
          </w:p>
        </w:tc>
        <w:tc>
          <w:tcPr>
            <w:tcW w:w="769" w:type="pct"/>
            <w:vAlign w:val="center"/>
          </w:tcPr>
          <w:p w14:paraId="580B573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原液</w:t>
            </w:r>
          </w:p>
        </w:tc>
      </w:tr>
    </w:tbl>
    <w:p w14:paraId="71CA712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各选矿药剂理化性质见表3.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cs="Times New Roman"/>
          <w:color w:val="auto"/>
          <w:highlight w:val="none"/>
          <w:lang w:val="en-US" w:eastAsia="zh-CN"/>
        </w:rPr>
        <w:t>8</w:t>
      </w:r>
      <w:r>
        <w:rPr>
          <w:rFonts w:hint="default" w:ascii="Times New Roman" w:hAnsi="Times New Roman" w:cs="Times New Roman"/>
          <w:color w:val="auto"/>
          <w:highlight w:val="none"/>
        </w:rPr>
        <w:t>~1</w:t>
      </w:r>
      <w:r>
        <w:rPr>
          <w:rFonts w:hint="default" w:cs="Times New Roman"/>
          <w:color w:val="auto"/>
          <w:highlight w:val="none"/>
          <w:lang w:val="en-US" w:eastAsia="zh-CN"/>
        </w:rPr>
        <w:t>1</w:t>
      </w:r>
      <w:r>
        <w:rPr>
          <w:rFonts w:hint="default" w:ascii="Times New Roman" w:hAnsi="Times New Roman" w:cs="Times New Roman"/>
          <w:color w:val="auto"/>
          <w:highlight w:val="none"/>
        </w:rPr>
        <w:t>。</w:t>
      </w:r>
    </w:p>
    <w:p w14:paraId="6F7F488A">
      <w:pPr>
        <w:adjustRightInd w:val="0"/>
        <w:snapToGrid w:val="0"/>
        <w:ind w:firstLine="0" w:firstLineChars="0"/>
        <w:jc w:val="center"/>
        <w:rPr>
          <w:rFonts w:hint="default" w:ascii="Times New Roman" w:hAnsi="Times New Roman" w:cs="Times New Roman"/>
          <w:b/>
          <w:color w:val="auto"/>
          <w:highlight w:val="none"/>
        </w:rPr>
      </w:pPr>
      <w:bookmarkStart w:id="364" w:name="_Toc8046_WPSOffice_Level2"/>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cs="Times New Roman"/>
          <w:b/>
          <w:color w:val="auto"/>
          <w:highlight w:val="none"/>
          <w:lang w:val="en-US" w:eastAsia="zh-CN"/>
        </w:rPr>
        <w:t>8</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val="en-US" w:eastAsia="zh-CN"/>
        </w:rPr>
        <w:t>碳酸钠</w:t>
      </w:r>
      <w:r>
        <w:rPr>
          <w:rFonts w:hint="default" w:ascii="Times New Roman" w:hAnsi="Times New Roman" w:cs="Times New Roman"/>
          <w:b/>
          <w:color w:val="auto"/>
          <w:highlight w:val="none"/>
        </w:rPr>
        <w:t>理化性质特性一览表</w:t>
      </w:r>
    </w:p>
    <w:tbl>
      <w:tblPr>
        <w:tblStyle w:val="3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938"/>
        <w:gridCol w:w="2148"/>
        <w:gridCol w:w="2279"/>
        <w:gridCol w:w="3623"/>
      </w:tblGrid>
      <w:tr w14:paraId="157C48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jc w:val="center"/>
        </w:trPr>
        <w:tc>
          <w:tcPr>
            <w:tcW w:w="5000" w:type="pct"/>
            <w:gridSpan w:val="4"/>
            <w:noWrap w:val="0"/>
            <w:vAlign w:val="center"/>
          </w:tcPr>
          <w:p w14:paraId="1211A0CE">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理化性质</w:t>
            </w:r>
          </w:p>
        </w:tc>
      </w:tr>
      <w:tr w14:paraId="3CC783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4B334FD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结构式</w:t>
            </w:r>
          </w:p>
        </w:tc>
        <w:tc>
          <w:tcPr>
            <w:tcW w:w="1195" w:type="pct"/>
            <w:noWrap w:val="0"/>
            <w:vAlign w:val="center"/>
          </w:tcPr>
          <w:p w14:paraId="700F0A14">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Na</w:t>
            </w:r>
            <w:r>
              <w:rPr>
                <w:rFonts w:hint="default" w:ascii="Times New Roman" w:hAnsi="Times New Roman" w:eastAsia="Times New Roman" w:cs="Times New Roman"/>
                <w:color w:val="auto"/>
                <w:sz w:val="21"/>
                <w:highlight w:val="none"/>
                <w:vertAlign w:val="subscript"/>
                <w:lang w:eastAsia="en-US"/>
              </w:rPr>
              <w:t>2</w:t>
            </w:r>
            <w:r>
              <w:rPr>
                <w:rFonts w:hint="default" w:ascii="Times New Roman" w:hAnsi="Times New Roman" w:eastAsia="Times New Roman" w:cs="Times New Roman"/>
                <w:color w:val="auto"/>
                <w:sz w:val="21"/>
                <w:highlight w:val="none"/>
                <w:lang w:eastAsia="en-US"/>
              </w:rPr>
              <w:t>CO</w:t>
            </w:r>
            <w:r>
              <w:rPr>
                <w:rFonts w:hint="default" w:ascii="Times New Roman" w:hAnsi="Times New Roman" w:eastAsia="Times New Roman" w:cs="Times New Roman"/>
                <w:color w:val="auto"/>
                <w:sz w:val="21"/>
                <w:highlight w:val="none"/>
                <w:vertAlign w:val="subscript"/>
                <w:lang w:eastAsia="en-US"/>
              </w:rPr>
              <w:t>3</w:t>
            </w:r>
          </w:p>
        </w:tc>
        <w:tc>
          <w:tcPr>
            <w:tcW w:w="1268" w:type="pct"/>
            <w:noWrap w:val="0"/>
            <w:vAlign w:val="center"/>
          </w:tcPr>
          <w:p w14:paraId="1D51377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分子量</w:t>
            </w:r>
          </w:p>
        </w:tc>
        <w:tc>
          <w:tcPr>
            <w:tcW w:w="2013" w:type="pct"/>
            <w:noWrap w:val="0"/>
            <w:vAlign w:val="center"/>
          </w:tcPr>
          <w:p w14:paraId="21B5BD66">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105.99</w:t>
            </w:r>
          </w:p>
        </w:tc>
      </w:tr>
      <w:tr w14:paraId="4B2935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24E8726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外观与性状</w:t>
            </w:r>
          </w:p>
        </w:tc>
        <w:tc>
          <w:tcPr>
            <w:tcW w:w="1195" w:type="pct"/>
            <w:noWrap w:val="0"/>
            <w:vAlign w:val="center"/>
          </w:tcPr>
          <w:p w14:paraId="666864F2">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易溶于水的白色粉末</w:t>
            </w:r>
          </w:p>
        </w:tc>
        <w:tc>
          <w:tcPr>
            <w:tcW w:w="1268" w:type="pct"/>
            <w:noWrap w:val="0"/>
            <w:vAlign w:val="center"/>
          </w:tcPr>
          <w:p w14:paraId="49707C4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溶解性</w:t>
            </w:r>
          </w:p>
        </w:tc>
        <w:tc>
          <w:tcPr>
            <w:tcW w:w="2013" w:type="pct"/>
            <w:noWrap w:val="0"/>
            <w:vAlign w:val="center"/>
          </w:tcPr>
          <w:p w14:paraId="0460BBB3">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溶液呈碱性（能使酚酞溶液变浅红）</w:t>
            </w:r>
          </w:p>
        </w:tc>
      </w:tr>
      <w:tr w14:paraId="2A9362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44617B2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熔点（℃）</w:t>
            </w:r>
          </w:p>
        </w:tc>
        <w:tc>
          <w:tcPr>
            <w:tcW w:w="1195" w:type="pct"/>
            <w:noWrap w:val="0"/>
            <w:vAlign w:val="center"/>
          </w:tcPr>
          <w:p w14:paraId="78E4BFB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宋体" w:cs="Times New Roman"/>
                <w:i w:val="0"/>
                <w:iCs w:val="0"/>
                <w:caps w:val="0"/>
                <w:color w:val="auto"/>
                <w:spacing w:val="0"/>
                <w:sz w:val="21"/>
                <w:szCs w:val="21"/>
                <w:highlight w:val="none"/>
                <w:shd w:val="clear" w:color="auto" w:fill="FFFFFF"/>
              </w:rPr>
              <w:t>851℃</w:t>
            </w:r>
          </w:p>
        </w:tc>
        <w:tc>
          <w:tcPr>
            <w:tcW w:w="1268" w:type="pct"/>
            <w:noWrap w:val="0"/>
            <w:vAlign w:val="center"/>
          </w:tcPr>
          <w:p w14:paraId="7754A82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相对密度（水=1）</w:t>
            </w:r>
          </w:p>
        </w:tc>
        <w:tc>
          <w:tcPr>
            <w:tcW w:w="2013" w:type="pct"/>
            <w:noWrap w:val="0"/>
            <w:vAlign w:val="center"/>
          </w:tcPr>
          <w:p w14:paraId="4EB2005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2.532g/cm³</w:t>
            </w:r>
          </w:p>
        </w:tc>
      </w:tr>
      <w:tr w14:paraId="562BB3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0F89313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沸点（℃）</w:t>
            </w:r>
          </w:p>
        </w:tc>
        <w:tc>
          <w:tcPr>
            <w:tcW w:w="1195" w:type="pct"/>
            <w:noWrap w:val="0"/>
            <w:vAlign w:val="center"/>
          </w:tcPr>
          <w:p w14:paraId="74DE86B7">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1600℃</w:t>
            </w:r>
          </w:p>
        </w:tc>
        <w:tc>
          <w:tcPr>
            <w:tcW w:w="1268" w:type="pct"/>
            <w:noWrap w:val="0"/>
            <w:vAlign w:val="center"/>
          </w:tcPr>
          <w:p w14:paraId="4B2B949F">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CAS号</w:t>
            </w:r>
          </w:p>
        </w:tc>
        <w:tc>
          <w:tcPr>
            <w:tcW w:w="2013" w:type="pct"/>
            <w:noWrap w:val="0"/>
            <w:vAlign w:val="center"/>
          </w:tcPr>
          <w:p w14:paraId="6A23830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497-19-8</w:t>
            </w:r>
          </w:p>
        </w:tc>
      </w:tr>
      <w:tr w14:paraId="3116A7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712E5F4F">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饱和蒸汽压</w:t>
            </w:r>
          </w:p>
          <w:p w14:paraId="235C34A1">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（KPa）</w:t>
            </w:r>
          </w:p>
        </w:tc>
        <w:tc>
          <w:tcPr>
            <w:tcW w:w="1195" w:type="pct"/>
            <w:noWrap w:val="0"/>
            <w:vAlign w:val="center"/>
          </w:tcPr>
          <w:p w14:paraId="09B2C8D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无资料</w:t>
            </w:r>
          </w:p>
        </w:tc>
        <w:tc>
          <w:tcPr>
            <w:tcW w:w="1268" w:type="pct"/>
            <w:noWrap w:val="0"/>
            <w:vAlign w:val="center"/>
          </w:tcPr>
          <w:p w14:paraId="1CCEB686">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燃烧热（KJ/mol）</w:t>
            </w:r>
          </w:p>
        </w:tc>
        <w:tc>
          <w:tcPr>
            <w:tcW w:w="2013" w:type="pct"/>
            <w:noWrap w:val="0"/>
            <w:vAlign w:val="center"/>
          </w:tcPr>
          <w:p w14:paraId="7956E8E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无意义</w:t>
            </w:r>
          </w:p>
        </w:tc>
      </w:tr>
      <w:tr w14:paraId="7D79FD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410C94A4">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临界温度（℃）</w:t>
            </w:r>
          </w:p>
        </w:tc>
        <w:tc>
          <w:tcPr>
            <w:tcW w:w="1195" w:type="pct"/>
            <w:noWrap w:val="0"/>
            <w:vAlign w:val="center"/>
          </w:tcPr>
          <w:p w14:paraId="5F8852B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无意义</w:t>
            </w:r>
          </w:p>
        </w:tc>
        <w:tc>
          <w:tcPr>
            <w:tcW w:w="1268" w:type="pct"/>
            <w:noWrap w:val="0"/>
            <w:vAlign w:val="center"/>
          </w:tcPr>
          <w:p w14:paraId="342DA9B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临界压力（MPa）</w:t>
            </w:r>
          </w:p>
        </w:tc>
        <w:tc>
          <w:tcPr>
            <w:tcW w:w="2013" w:type="pct"/>
            <w:noWrap w:val="0"/>
            <w:vAlign w:val="center"/>
          </w:tcPr>
          <w:p w14:paraId="3EF34F0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无意义</w:t>
            </w:r>
          </w:p>
        </w:tc>
      </w:tr>
      <w:tr w14:paraId="2589BD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7F9B863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闪点（℃）</w:t>
            </w:r>
          </w:p>
        </w:tc>
        <w:tc>
          <w:tcPr>
            <w:tcW w:w="1195" w:type="pct"/>
            <w:noWrap w:val="0"/>
            <w:vAlign w:val="center"/>
          </w:tcPr>
          <w:p w14:paraId="2F351FA8">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169.8 ℃</w:t>
            </w:r>
          </w:p>
        </w:tc>
        <w:tc>
          <w:tcPr>
            <w:tcW w:w="1268" w:type="pct"/>
            <w:noWrap w:val="0"/>
            <w:vAlign w:val="center"/>
          </w:tcPr>
          <w:p w14:paraId="73D9B51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爆炸极限%</w:t>
            </w:r>
          </w:p>
        </w:tc>
        <w:tc>
          <w:tcPr>
            <w:tcW w:w="2013" w:type="pct"/>
            <w:noWrap w:val="0"/>
            <w:vAlign w:val="center"/>
          </w:tcPr>
          <w:p w14:paraId="15D98EF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无意义</w:t>
            </w:r>
          </w:p>
        </w:tc>
      </w:tr>
      <w:tr w14:paraId="0EF2CF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6253575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稳定性</w:t>
            </w:r>
          </w:p>
        </w:tc>
        <w:tc>
          <w:tcPr>
            <w:tcW w:w="1195" w:type="pct"/>
            <w:noWrap w:val="0"/>
            <w:vAlign w:val="center"/>
          </w:tcPr>
          <w:p w14:paraId="23BFBAA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不稳定</w:t>
            </w:r>
          </w:p>
        </w:tc>
        <w:tc>
          <w:tcPr>
            <w:tcW w:w="1268" w:type="pct"/>
            <w:noWrap w:val="0"/>
            <w:vAlign w:val="center"/>
          </w:tcPr>
          <w:p w14:paraId="6BAB66E4">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禁忌物</w:t>
            </w:r>
          </w:p>
        </w:tc>
        <w:tc>
          <w:tcPr>
            <w:tcW w:w="2013" w:type="pct"/>
            <w:noWrap w:val="0"/>
            <w:vAlign w:val="center"/>
          </w:tcPr>
          <w:p w14:paraId="6285936E">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酸</w:t>
            </w:r>
          </w:p>
        </w:tc>
      </w:tr>
      <w:tr w14:paraId="013BE1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3805A16A">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避免接触条件</w:t>
            </w:r>
          </w:p>
        </w:tc>
        <w:tc>
          <w:tcPr>
            <w:tcW w:w="1195" w:type="pct"/>
            <w:noWrap w:val="0"/>
            <w:vAlign w:val="center"/>
          </w:tcPr>
          <w:p w14:paraId="08619BC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高温、潮气</w:t>
            </w:r>
          </w:p>
        </w:tc>
        <w:tc>
          <w:tcPr>
            <w:tcW w:w="1268" w:type="pct"/>
            <w:noWrap w:val="0"/>
            <w:vAlign w:val="center"/>
          </w:tcPr>
          <w:p w14:paraId="714ABE9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分解产物</w:t>
            </w:r>
          </w:p>
        </w:tc>
        <w:tc>
          <w:tcPr>
            <w:tcW w:w="2013" w:type="pct"/>
            <w:noWrap w:val="0"/>
            <w:vAlign w:val="center"/>
          </w:tcPr>
          <w:p w14:paraId="5908BADD">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N</w:t>
            </w:r>
            <w:r>
              <w:rPr>
                <w:rFonts w:hint="default" w:ascii="Times New Roman" w:hAnsi="Times New Roman" w:cs="Times New Roman"/>
                <w:color w:val="auto"/>
                <w:sz w:val="21"/>
                <w:highlight w:val="none"/>
                <w:vertAlign w:val="baseline"/>
                <w:lang w:val="en-US" w:eastAsia="zh-CN"/>
              </w:rPr>
              <w:t>a</w:t>
            </w:r>
            <w:r>
              <w:rPr>
                <w:rFonts w:hint="default" w:ascii="Times New Roman" w:hAnsi="Times New Roman" w:cs="Times New Roman"/>
                <w:color w:val="auto"/>
                <w:sz w:val="21"/>
                <w:highlight w:val="none"/>
                <w:vertAlign w:val="subscript"/>
                <w:lang w:val="en-US" w:eastAsia="zh-CN"/>
              </w:rPr>
              <w:t>2</w:t>
            </w:r>
            <w:r>
              <w:rPr>
                <w:rFonts w:hint="default" w:ascii="Times New Roman" w:hAnsi="Times New Roman" w:cs="Times New Roman"/>
                <w:color w:val="auto"/>
                <w:sz w:val="21"/>
                <w:highlight w:val="none"/>
                <w:lang w:val="en-US" w:eastAsia="zh-CN"/>
              </w:rPr>
              <w:t>O</w:t>
            </w:r>
            <w:r>
              <w:rPr>
                <w:rFonts w:hint="default" w:ascii="Times New Roman" w:hAnsi="Times New Roman" w:eastAsia="Times New Roman" w:cs="Times New Roman"/>
                <w:color w:val="auto"/>
                <w:sz w:val="21"/>
                <w:highlight w:val="none"/>
                <w:lang w:eastAsia="en-US"/>
              </w:rPr>
              <w:t>和C</w:t>
            </w:r>
            <w:r>
              <w:rPr>
                <w:rFonts w:hint="default" w:ascii="Times New Roman" w:hAnsi="Times New Roman" w:cs="Times New Roman"/>
                <w:color w:val="auto"/>
                <w:sz w:val="21"/>
                <w:highlight w:val="none"/>
                <w:lang w:val="en-US" w:eastAsia="zh-CN"/>
              </w:rPr>
              <w:t>O</w:t>
            </w:r>
            <w:r>
              <w:rPr>
                <w:rFonts w:hint="default" w:ascii="Times New Roman" w:hAnsi="Times New Roman" w:cs="Times New Roman"/>
                <w:color w:val="auto"/>
                <w:sz w:val="21"/>
                <w:highlight w:val="none"/>
                <w:vertAlign w:val="subscript"/>
                <w:lang w:val="en-US" w:eastAsia="zh-CN"/>
              </w:rPr>
              <w:t>2</w:t>
            </w:r>
          </w:p>
        </w:tc>
      </w:tr>
      <w:tr w14:paraId="454D58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5D74BA0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灭火方式</w:t>
            </w:r>
          </w:p>
        </w:tc>
        <w:tc>
          <w:tcPr>
            <w:tcW w:w="4477" w:type="pct"/>
            <w:gridSpan w:val="3"/>
            <w:noWrap w:val="0"/>
            <w:vAlign w:val="center"/>
          </w:tcPr>
          <w:p w14:paraId="6DDB2095">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消防人员必须穿戴全身耐酸碱消防服、防毒口罩</w:t>
            </w:r>
          </w:p>
        </w:tc>
      </w:tr>
      <w:tr w14:paraId="6691EC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61D3A130">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危险性概述</w:t>
            </w:r>
          </w:p>
        </w:tc>
      </w:tr>
      <w:tr w14:paraId="173EC9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3A38D4D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危险性类别</w:t>
            </w:r>
          </w:p>
        </w:tc>
        <w:tc>
          <w:tcPr>
            <w:tcW w:w="4477" w:type="pct"/>
            <w:gridSpan w:val="3"/>
            <w:noWrap w:val="0"/>
            <w:vAlign w:val="center"/>
          </w:tcPr>
          <w:p w14:paraId="3F8E1FA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刺激</w:t>
            </w:r>
          </w:p>
        </w:tc>
      </w:tr>
      <w:tr w14:paraId="6FEE9E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3E962C14">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侵入途径</w:t>
            </w:r>
          </w:p>
        </w:tc>
        <w:tc>
          <w:tcPr>
            <w:tcW w:w="4477" w:type="pct"/>
            <w:gridSpan w:val="3"/>
            <w:noWrap w:val="0"/>
            <w:vAlign w:val="center"/>
          </w:tcPr>
          <w:p w14:paraId="2C8B9F93">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吸食、经皮、粘膜吸收</w:t>
            </w:r>
          </w:p>
        </w:tc>
      </w:tr>
      <w:tr w14:paraId="684635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55AA9FE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急救措施</w:t>
            </w:r>
          </w:p>
        </w:tc>
      </w:tr>
      <w:tr w14:paraId="020A24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425EE438">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皮肤接触</w:t>
            </w:r>
          </w:p>
        </w:tc>
        <w:tc>
          <w:tcPr>
            <w:tcW w:w="4477" w:type="pct"/>
            <w:gridSpan w:val="3"/>
            <w:noWrap w:val="0"/>
            <w:vAlign w:val="center"/>
          </w:tcPr>
          <w:p w14:paraId="27A843D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立即脱去污染的衣着，用大量流动清水冲洗至少15钟。</w:t>
            </w:r>
            <w:r>
              <w:rPr>
                <w:rFonts w:hint="default" w:ascii="Times New Roman" w:hAnsi="Times New Roman" w:eastAsia="Times New Roman" w:cs="Times New Roman"/>
                <w:color w:val="auto"/>
                <w:sz w:val="21"/>
                <w:highlight w:val="none"/>
                <w:lang w:eastAsia="en-US"/>
              </w:rPr>
              <w:t>就医。</w:t>
            </w:r>
          </w:p>
        </w:tc>
      </w:tr>
      <w:tr w14:paraId="0BE5C4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15F7DA7A">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眼睛接触</w:t>
            </w:r>
          </w:p>
        </w:tc>
        <w:tc>
          <w:tcPr>
            <w:tcW w:w="4477" w:type="pct"/>
            <w:gridSpan w:val="3"/>
            <w:noWrap w:val="0"/>
            <w:vAlign w:val="center"/>
          </w:tcPr>
          <w:p w14:paraId="2D51A5E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立即提起眼睑，用大量流动清水或生理盐水彻底冲洗至少15钟。</w:t>
            </w:r>
            <w:r>
              <w:rPr>
                <w:rFonts w:hint="default" w:ascii="Times New Roman" w:hAnsi="Times New Roman" w:eastAsia="Times New Roman" w:cs="Times New Roman"/>
                <w:color w:val="auto"/>
                <w:sz w:val="21"/>
                <w:highlight w:val="none"/>
                <w:lang w:eastAsia="en-US"/>
              </w:rPr>
              <w:t>就医。</w:t>
            </w:r>
          </w:p>
        </w:tc>
      </w:tr>
      <w:tr w14:paraId="154B55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60C76784">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吸入</w:t>
            </w:r>
          </w:p>
        </w:tc>
        <w:tc>
          <w:tcPr>
            <w:tcW w:w="4477" w:type="pct"/>
            <w:gridSpan w:val="3"/>
            <w:noWrap w:val="0"/>
            <w:vAlign w:val="center"/>
          </w:tcPr>
          <w:p w14:paraId="5EAE965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脱离现场至空气清新处。救护人员必须佩戴好防毒口罩，如呼吸困难，给输氧。</w:t>
            </w:r>
            <w:r>
              <w:rPr>
                <w:rFonts w:hint="default" w:ascii="Times New Roman" w:hAnsi="Times New Roman" w:eastAsia="Times New Roman" w:cs="Times New Roman"/>
                <w:color w:val="auto"/>
                <w:sz w:val="21"/>
                <w:highlight w:val="none"/>
                <w:lang w:eastAsia="en-US"/>
              </w:rPr>
              <w:t>就医。</w:t>
            </w:r>
          </w:p>
        </w:tc>
      </w:tr>
      <w:tr w14:paraId="28E209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6EB69968">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食入</w:t>
            </w:r>
          </w:p>
        </w:tc>
        <w:tc>
          <w:tcPr>
            <w:tcW w:w="4477" w:type="pct"/>
            <w:gridSpan w:val="3"/>
            <w:noWrap w:val="0"/>
            <w:vAlign w:val="center"/>
          </w:tcPr>
          <w:p w14:paraId="7DC28FD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用水漱口，给饮牛奶或蛋清。</w:t>
            </w:r>
            <w:r>
              <w:rPr>
                <w:rFonts w:hint="default" w:ascii="Times New Roman" w:hAnsi="Times New Roman" w:eastAsia="Times New Roman" w:cs="Times New Roman"/>
                <w:color w:val="auto"/>
                <w:sz w:val="21"/>
                <w:highlight w:val="none"/>
                <w:lang w:eastAsia="en-US"/>
              </w:rPr>
              <w:t>就医。</w:t>
            </w:r>
          </w:p>
        </w:tc>
      </w:tr>
      <w:tr w14:paraId="7C93FC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6ACD0590">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泄漏应急处理</w:t>
            </w:r>
          </w:p>
        </w:tc>
      </w:tr>
      <w:tr w14:paraId="4271F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0543CDD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应急处理</w:t>
            </w:r>
          </w:p>
        </w:tc>
        <w:tc>
          <w:tcPr>
            <w:tcW w:w="4477" w:type="pct"/>
            <w:gridSpan w:val="3"/>
            <w:noWrap w:val="0"/>
            <w:vAlign w:val="center"/>
          </w:tcPr>
          <w:p w14:paraId="6C2AD006">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隔离</w:t>
            </w:r>
            <w:r>
              <w:rPr>
                <w:rFonts w:hint="default" w:ascii="Times New Roman" w:hAnsi="Times New Roman" w:cs="Times New Roman"/>
                <w:color w:val="auto"/>
                <w:sz w:val="21"/>
                <w:highlight w:val="none"/>
                <w:lang w:eastAsia="zh-CN"/>
              </w:rPr>
              <w:t>泄漏</w:t>
            </w:r>
            <w:r>
              <w:rPr>
                <w:rFonts w:hint="default" w:ascii="Times New Roman" w:hAnsi="Times New Roman" w:eastAsia="Times New Roman" w:cs="Times New Roman"/>
                <w:color w:val="auto"/>
                <w:sz w:val="21"/>
                <w:highlight w:val="none"/>
              </w:rPr>
              <w:t>污染区，限制出入。建议应急处理人员戴防毒面罩（全面罩），穿防毒服。避免扬尘，置于袋中转移至安全场所。若大量</w:t>
            </w:r>
            <w:r>
              <w:rPr>
                <w:rFonts w:hint="default" w:eastAsia="宋体" w:cs="Times New Roman"/>
                <w:color w:val="auto"/>
                <w:sz w:val="21"/>
                <w:highlight w:val="none"/>
                <w:lang w:eastAsia="zh-CN"/>
              </w:rPr>
              <w:t>泄漏</w:t>
            </w:r>
            <w:r>
              <w:rPr>
                <w:rFonts w:hint="default" w:ascii="Times New Roman" w:hAnsi="Times New Roman" w:eastAsia="Times New Roman" w:cs="Times New Roman"/>
                <w:color w:val="auto"/>
                <w:sz w:val="21"/>
                <w:highlight w:val="none"/>
              </w:rPr>
              <w:t>，用塑料布、帆布覆盖，回收处理。</w:t>
            </w:r>
          </w:p>
        </w:tc>
      </w:tr>
      <w:tr w14:paraId="4D2F55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47AE71A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操作处置与储存</w:t>
            </w:r>
          </w:p>
        </w:tc>
      </w:tr>
      <w:tr w14:paraId="5D8D48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21C3ED2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操作注意事项</w:t>
            </w:r>
          </w:p>
        </w:tc>
        <w:tc>
          <w:tcPr>
            <w:tcW w:w="4477" w:type="pct"/>
            <w:gridSpan w:val="3"/>
            <w:noWrap w:val="0"/>
            <w:vAlign w:val="center"/>
          </w:tcPr>
          <w:p w14:paraId="5DD6357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密闭操作，加强通风。操作人员必须经过专门培训，严格遵守操作规程。建议操作人员佩戴自吸过滤式防尘口罩，戴化学安全防护眼镜，穿防毒物渗透工作服，戴橡胶手套。避免产生粉尘。搬运时要轻装轻卸，防止包装及容器损坏。配备</w:t>
            </w:r>
            <w:r>
              <w:rPr>
                <w:rFonts w:hint="default" w:ascii="Times New Roman" w:hAnsi="Times New Roman" w:cs="Times New Roman"/>
                <w:color w:val="auto"/>
                <w:sz w:val="21"/>
                <w:highlight w:val="none"/>
                <w:lang w:eastAsia="zh-CN"/>
              </w:rPr>
              <w:t>泄漏</w:t>
            </w:r>
            <w:r>
              <w:rPr>
                <w:rFonts w:hint="default" w:ascii="Times New Roman" w:hAnsi="Times New Roman" w:eastAsia="Times New Roman" w:cs="Times New Roman"/>
                <w:color w:val="auto"/>
                <w:sz w:val="21"/>
                <w:highlight w:val="none"/>
              </w:rPr>
              <w:t>应急处理设备。倒空的容器可能残留有害物。</w:t>
            </w:r>
            <w:r>
              <w:rPr>
                <w:rFonts w:hint="default" w:ascii="Times New Roman" w:hAnsi="Times New Roman" w:eastAsia="Times New Roman" w:cs="Times New Roman"/>
                <w:color w:val="auto"/>
                <w:sz w:val="21"/>
                <w:highlight w:val="none"/>
                <w:lang w:eastAsia="en-US"/>
              </w:rPr>
              <w:t>稀释或制备溶液时，避免沸腾和飞溅。</w:t>
            </w:r>
          </w:p>
        </w:tc>
      </w:tr>
      <w:tr w14:paraId="6DA6F0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57FF91E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储存注意事项</w:t>
            </w:r>
          </w:p>
        </w:tc>
        <w:tc>
          <w:tcPr>
            <w:tcW w:w="4477" w:type="pct"/>
            <w:gridSpan w:val="3"/>
            <w:noWrap w:val="0"/>
            <w:vAlign w:val="center"/>
          </w:tcPr>
          <w:p w14:paraId="7465BA5B">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应放在阴凉、通风处，防潮、防火、防暴晒。</w:t>
            </w:r>
          </w:p>
        </w:tc>
      </w:tr>
      <w:tr w14:paraId="10BB6C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4ABE590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防护措施</w:t>
            </w:r>
          </w:p>
        </w:tc>
      </w:tr>
      <w:tr w14:paraId="4033CF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057FA4E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呼吸系统防护</w:t>
            </w:r>
          </w:p>
        </w:tc>
        <w:tc>
          <w:tcPr>
            <w:tcW w:w="4477" w:type="pct"/>
            <w:gridSpan w:val="3"/>
            <w:noWrap w:val="0"/>
            <w:vAlign w:val="center"/>
          </w:tcPr>
          <w:p w14:paraId="231FBFB4">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空气中粉尘浓度超标时，必须</w:t>
            </w:r>
            <w:r>
              <w:rPr>
                <w:rFonts w:hint="default" w:ascii="Times New Roman" w:hAnsi="Times New Roman" w:cs="Times New Roman"/>
                <w:color w:val="auto"/>
                <w:sz w:val="21"/>
                <w:highlight w:val="none"/>
                <w:lang w:eastAsia="zh-CN"/>
              </w:rPr>
              <w:t>佩戴</w:t>
            </w:r>
            <w:r>
              <w:rPr>
                <w:rFonts w:hint="default" w:ascii="Times New Roman" w:hAnsi="Times New Roman" w:eastAsia="Times New Roman" w:cs="Times New Roman"/>
                <w:color w:val="auto"/>
                <w:sz w:val="21"/>
                <w:highlight w:val="none"/>
              </w:rPr>
              <w:t>自吸过滤式防尘口罩。紧急事态抢救或撤离时，应该佩戴空气呼吸器。</w:t>
            </w:r>
          </w:p>
        </w:tc>
      </w:tr>
      <w:tr w14:paraId="0739CC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36F3D98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眼睛防护</w:t>
            </w:r>
          </w:p>
        </w:tc>
        <w:tc>
          <w:tcPr>
            <w:tcW w:w="4477" w:type="pct"/>
            <w:gridSpan w:val="3"/>
            <w:noWrap w:val="0"/>
            <w:vAlign w:val="center"/>
          </w:tcPr>
          <w:p w14:paraId="4341190F">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戴化学安全防护眼镜。</w:t>
            </w:r>
          </w:p>
        </w:tc>
      </w:tr>
      <w:tr w14:paraId="70DFA9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3BE6647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身体防护</w:t>
            </w:r>
          </w:p>
        </w:tc>
        <w:tc>
          <w:tcPr>
            <w:tcW w:w="4477" w:type="pct"/>
            <w:gridSpan w:val="3"/>
            <w:noWrap w:val="0"/>
            <w:vAlign w:val="center"/>
          </w:tcPr>
          <w:p w14:paraId="7B727DB2">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穿防毒物渗透工作服。</w:t>
            </w:r>
          </w:p>
        </w:tc>
      </w:tr>
      <w:tr w14:paraId="0E82DF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4AD0102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手防护</w:t>
            </w:r>
          </w:p>
        </w:tc>
        <w:tc>
          <w:tcPr>
            <w:tcW w:w="4477" w:type="pct"/>
            <w:gridSpan w:val="3"/>
            <w:noWrap w:val="0"/>
            <w:vAlign w:val="center"/>
          </w:tcPr>
          <w:p w14:paraId="4AF2392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戴橡胶手套。</w:t>
            </w:r>
          </w:p>
        </w:tc>
      </w:tr>
      <w:tr w14:paraId="58994C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6780210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其他防护</w:t>
            </w:r>
          </w:p>
        </w:tc>
        <w:tc>
          <w:tcPr>
            <w:tcW w:w="4477" w:type="pct"/>
            <w:gridSpan w:val="3"/>
            <w:noWrap w:val="0"/>
            <w:vAlign w:val="center"/>
          </w:tcPr>
          <w:p w14:paraId="0869781A">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及时换洗工作服。保持良好的卫生习惯。</w:t>
            </w:r>
          </w:p>
        </w:tc>
      </w:tr>
      <w:tr w14:paraId="526E08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082E83D7">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运输信息</w:t>
            </w:r>
          </w:p>
        </w:tc>
      </w:tr>
      <w:tr w14:paraId="2E75F9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22" w:type="pct"/>
            <w:noWrap w:val="0"/>
            <w:vAlign w:val="center"/>
          </w:tcPr>
          <w:p w14:paraId="0772728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运输注意事项</w:t>
            </w:r>
          </w:p>
        </w:tc>
        <w:tc>
          <w:tcPr>
            <w:tcW w:w="4477" w:type="pct"/>
            <w:gridSpan w:val="3"/>
            <w:noWrap w:val="0"/>
            <w:vAlign w:val="center"/>
          </w:tcPr>
          <w:p w14:paraId="46212C4F">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起运时包装要完整，装载应稳妥。运输过程中要确保容器不</w:t>
            </w:r>
            <w:r>
              <w:rPr>
                <w:rFonts w:hint="default" w:eastAsia="宋体" w:cs="Times New Roman"/>
                <w:color w:val="auto"/>
                <w:sz w:val="21"/>
                <w:highlight w:val="none"/>
                <w:lang w:eastAsia="zh-CN"/>
              </w:rPr>
              <w:t>泄漏</w:t>
            </w:r>
            <w:r>
              <w:rPr>
                <w:rFonts w:hint="default" w:ascii="Times New Roman" w:hAnsi="Times New Roman" w:eastAsia="Times New Roman" w:cs="Times New Roman"/>
                <w:color w:val="auto"/>
                <w:sz w:val="21"/>
                <w:highlight w:val="none"/>
              </w:rPr>
              <w:t>、不倒塌、不坠落、不损坏。严禁与酸类、食用化学品等混装混运。运输途中应防止暴晒、雨淋，</w:t>
            </w:r>
            <w:r>
              <w:rPr>
                <w:rFonts w:hint="default" w:eastAsia="宋体" w:cs="Times New Roman"/>
                <w:color w:val="auto"/>
                <w:sz w:val="21"/>
                <w:highlight w:val="none"/>
                <w:lang w:eastAsia="zh-CN"/>
              </w:rPr>
              <w:t>防止</w:t>
            </w:r>
            <w:r>
              <w:rPr>
                <w:rFonts w:hint="default" w:ascii="Times New Roman" w:hAnsi="Times New Roman" w:eastAsia="Times New Roman" w:cs="Times New Roman"/>
                <w:color w:val="auto"/>
                <w:sz w:val="21"/>
                <w:highlight w:val="none"/>
              </w:rPr>
              <w:t>高温。车辆运输完毕应进行彻底清扫。</w:t>
            </w:r>
          </w:p>
        </w:tc>
      </w:tr>
    </w:tbl>
    <w:p w14:paraId="2231B05B">
      <w:pPr>
        <w:adjustRightInd w:val="0"/>
        <w:snapToGrid w:val="0"/>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cs="Times New Roman"/>
          <w:b/>
          <w:color w:val="auto"/>
          <w:highlight w:val="none"/>
          <w:lang w:val="en-US" w:eastAsia="zh-CN"/>
        </w:rPr>
        <w:t>9</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val="en-US" w:eastAsia="zh-CN"/>
        </w:rPr>
        <w:t>丁基黄药</w:t>
      </w:r>
      <w:r>
        <w:rPr>
          <w:rFonts w:hint="default" w:ascii="Times New Roman" w:hAnsi="Times New Roman" w:cs="Times New Roman"/>
          <w:b/>
          <w:color w:val="auto"/>
          <w:highlight w:val="none"/>
        </w:rPr>
        <w:t>理化性质特性一览表</w:t>
      </w:r>
    </w:p>
    <w:tbl>
      <w:tblPr>
        <w:tblStyle w:val="99"/>
        <w:tblW w:w="898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43"/>
        <w:gridCol w:w="2598"/>
        <w:gridCol w:w="1985"/>
        <w:gridCol w:w="2862"/>
      </w:tblGrid>
      <w:tr w14:paraId="2F8E5A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1E6C69C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理化性质</w:t>
            </w:r>
          </w:p>
        </w:tc>
      </w:tr>
      <w:tr w14:paraId="384FA8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523BCE7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结构式</w:t>
            </w:r>
          </w:p>
        </w:tc>
        <w:tc>
          <w:tcPr>
            <w:tcW w:w="2598" w:type="dxa"/>
            <w:vAlign w:val="center"/>
          </w:tcPr>
          <w:p w14:paraId="6D0F998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CH</w:t>
            </w:r>
            <w:r>
              <w:rPr>
                <w:rFonts w:hint="default" w:ascii="Times New Roman" w:hAnsi="Times New Roman" w:cs="Times New Roman"/>
                <w:color w:val="auto"/>
                <w:sz w:val="21"/>
                <w:szCs w:val="21"/>
                <w:highlight w:val="none"/>
                <w:vertAlign w:val="subscript"/>
                <w:lang w:eastAsia="en-US"/>
              </w:rPr>
              <w:t>3</w:t>
            </w:r>
            <w:r>
              <w:rPr>
                <w:rFonts w:hint="default" w:ascii="Times New Roman" w:hAnsi="Times New Roman" w:cs="Times New Roman"/>
                <w:color w:val="auto"/>
                <w:sz w:val="21"/>
                <w:szCs w:val="21"/>
                <w:highlight w:val="none"/>
                <w:lang w:eastAsia="en-US"/>
              </w:rPr>
              <w:t>CH</w:t>
            </w:r>
            <w:r>
              <w:rPr>
                <w:rFonts w:hint="default" w:ascii="Times New Roman" w:hAnsi="Times New Roman" w:cs="Times New Roman"/>
                <w:color w:val="auto"/>
                <w:sz w:val="21"/>
                <w:szCs w:val="21"/>
                <w:highlight w:val="none"/>
                <w:vertAlign w:val="subscript"/>
                <w:lang w:eastAsia="en-US"/>
              </w:rPr>
              <w:t>2</w:t>
            </w:r>
            <w:r>
              <w:rPr>
                <w:rFonts w:hint="default" w:ascii="Times New Roman" w:hAnsi="Times New Roman" w:cs="Times New Roman"/>
                <w:color w:val="auto"/>
                <w:sz w:val="21"/>
                <w:szCs w:val="21"/>
                <w:highlight w:val="none"/>
                <w:lang w:eastAsia="en-US"/>
              </w:rPr>
              <w:t>CH</w:t>
            </w:r>
            <w:r>
              <w:rPr>
                <w:rFonts w:hint="default" w:ascii="Times New Roman" w:hAnsi="Times New Roman" w:cs="Times New Roman"/>
                <w:color w:val="auto"/>
                <w:sz w:val="21"/>
                <w:szCs w:val="21"/>
                <w:highlight w:val="none"/>
                <w:vertAlign w:val="subscript"/>
                <w:lang w:eastAsia="en-US"/>
              </w:rPr>
              <w:t>2</w:t>
            </w:r>
            <w:r>
              <w:rPr>
                <w:rFonts w:hint="default" w:ascii="Times New Roman" w:hAnsi="Times New Roman" w:cs="Times New Roman"/>
                <w:color w:val="auto"/>
                <w:sz w:val="21"/>
                <w:szCs w:val="21"/>
                <w:highlight w:val="none"/>
                <w:lang w:eastAsia="en-US"/>
              </w:rPr>
              <w:t>CH</w:t>
            </w:r>
            <w:r>
              <w:rPr>
                <w:rFonts w:hint="default" w:ascii="Times New Roman" w:hAnsi="Times New Roman" w:cs="Times New Roman"/>
                <w:color w:val="auto"/>
                <w:sz w:val="21"/>
                <w:szCs w:val="21"/>
                <w:highlight w:val="none"/>
                <w:vertAlign w:val="subscript"/>
                <w:lang w:eastAsia="en-US"/>
              </w:rPr>
              <w:t>2</w:t>
            </w:r>
            <w:r>
              <w:rPr>
                <w:rFonts w:hint="default" w:ascii="Times New Roman" w:hAnsi="Times New Roman" w:cs="Times New Roman"/>
                <w:color w:val="auto"/>
                <w:sz w:val="21"/>
                <w:szCs w:val="21"/>
                <w:highlight w:val="none"/>
                <w:lang w:eastAsia="en-US"/>
              </w:rPr>
              <w:t>OCSSNa</w:t>
            </w:r>
          </w:p>
        </w:tc>
        <w:tc>
          <w:tcPr>
            <w:tcW w:w="1985" w:type="dxa"/>
            <w:vAlign w:val="center"/>
          </w:tcPr>
          <w:p w14:paraId="4F6F438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分子量</w:t>
            </w:r>
          </w:p>
        </w:tc>
        <w:tc>
          <w:tcPr>
            <w:tcW w:w="2862" w:type="dxa"/>
            <w:vAlign w:val="center"/>
          </w:tcPr>
          <w:p w14:paraId="075D70D5">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172</w:t>
            </w:r>
          </w:p>
        </w:tc>
      </w:tr>
      <w:tr w14:paraId="252F78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5F57BB7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外观与性状</w:t>
            </w:r>
          </w:p>
        </w:tc>
        <w:tc>
          <w:tcPr>
            <w:tcW w:w="2598" w:type="dxa"/>
            <w:vAlign w:val="center"/>
          </w:tcPr>
          <w:p w14:paraId="0A5AEE8C">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浅黄色粉末，有难闻气味</w:t>
            </w:r>
          </w:p>
        </w:tc>
        <w:tc>
          <w:tcPr>
            <w:tcW w:w="1985" w:type="dxa"/>
            <w:vAlign w:val="center"/>
          </w:tcPr>
          <w:p w14:paraId="547C0EA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溶解性</w:t>
            </w:r>
          </w:p>
        </w:tc>
        <w:tc>
          <w:tcPr>
            <w:tcW w:w="2862" w:type="dxa"/>
            <w:vAlign w:val="center"/>
          </w:tcPr>
          <w:p w14:paraId="54395629">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溶于水、酒精中，能与多种金</w:t>
            </w:r>
          </w:p>
          <w:p w14:paraId="01B786AA">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属离子形成难溶化合物</w:t>
            </w:r>
          </w:p>
        </w:tc>
      </w:tr>
      <w:tr w14:paraId="2520C3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0AE7DB43">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熔点（℃）</w:t>
            </w:r>
          </w:p>
        </w:tc>
        <w:tc>
          <w:tcPr>
            <w:tcW w:w="2598" w:type="dxa"/>
            <w:vAlign w:val="center"/>
          </w:tcPr>
          <w:p w14:paraId="2C9438F6">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85</w:t>
            </w:r>
          </w:p>
        </w:tc>
        <w:tc>
          <w:tcPr>
            <w:tcW w:w="1985" w:type="dxa"/>
            <w:vAlign w:val="center"/>
          </w:tcPr>
          <w:p w14:paraId="3242968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相对密度（水=1）</w:t>
            </w:r>
          </w:p>
        </w:tc>
        <w:tc>
          <w:tcPr>
            <w:tcW w:w="2862" w:type="dxa"/>
            <w:vAlign w:val="center"/>
          </w:tcPr>
          <w:p w14:paraId="5C7412B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1.7</w:t>
            </w:r>
          </w:p>
        </w:tc>
      </w:tr>
      <w:tr w14:paraId="122F18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289D963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沸点（℃）</w:t>
            </w:r>
          </w:p>
        </w:tc>
        <w:tc>
          <w:tcPr>
            <w:tcW w:w="2598" w:type="dxa"/>
            <w:vAlign w:val="center"/>
          </w:tcPr>
          <w:p w14:paraId="07FB7202">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无资料</w:t>
            </w:r>
          </w:p>
        </w:tc>
        <w:tc>
          <w:tcPr>
            <w:tcW w:w="1985" w:type="dxa"/>
            <w:vAlign w:val="center"/>
          </w:tcPr>
          <w:p w14:paraId="17C641DF">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相对蒸汽密度</w:t>
            </w:r>
          </w:p>
          <w:p w14:paraId="1E0C4C39">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（空气=1）</w:t>
            </w:r>
          </w:p>
        </w:tc>
        <w:tc>
          <w:tcPr>
            <w:tcW w:w="2862" w:type="dxa"/>
            <w:vAlign w:val="center"/>
          </w:tcPr>
          <w:p w14:paraId="766898D1">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无资料</w:t>
            </w:r>
          </w:p>
        </w:tc>
      </w:tr>
      <w:tr w14:paraId="7A491A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2B5A3826">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饱和蒸汽压</w:t>
            </w:r>
          </w:p>
          <w:p w14:paraId="2673D668">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（KPa）</w:t>
            </w:r>
          </w:p>
        </w:tc>
        <w:tc>
          <w:tcPr>
            <w:tcW w:w="2598" w:type="dxa"/>
            <w:vAlign w:val="center"/>
          </w:tcPr>
          <w:p w14:paraId="3A8F27B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无资料</w:t>
            </w:r>
          </w:p>
        </w:tc>
        <w:tc>
          <w:tcPr>
            <w:tcW w:w="1985" w:type="dxa"/>
            <w:vAlign w:val="center"/>
          </w:tcPr>
          <w:p w14:paraId="720676D5">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燃烧热（KJ/mol）</w:t>
            </w:r>
          </w:p>
        </w:tc>
        <w:tc>
          <w:tcPr>
            <w:tcW w:w="2862" w:type="dxa"/>
            <w:vAlign w:val="center"/>
          </w:tcPr>
          <w:p w14:paraId="2D09157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无意义</w:t>
            </w:r>
          </w:p>
        </w:tc>
      </w:tr>
      <w:tr w14:paraId="3CF682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3559E96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临界温度（℃）</w:t>
            </w:r>
          </w:p>
        </w:tc>
        <w:tc>
          <w:tcPr>
            <w:tcW w:w="2598" w:type="dxa"/>
            <w:vAlign w:val="center"/>
          </w:tcPr>
          <w:p w14:paraId="6D075A6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无意义</w:t>
            </w:r>
          </w:p>
        </w:tc>
        <w:tc>
          <w:tcPr>
            <w:tcW w:w="1985" w:type="dxa"/>
            <w:vAlign w:val="center"/>
          </w:tcPr>
          <w:p w14:paraId="02D91D65">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临界压力（MPa）</w:t>
            </w:r>
          </w:p>
        </w:tc>
        <w:tc>
          <w:tcPr>
            <w:tcW w:w="2862" w:type="dxa"/>
            <w:vAlign w:val="center"/>
          </w:tcPr>
          <w:p w14:paraId="3F7A659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无意义</w:t>
            </w:r>
          </w:p>
        </w:tc>
      </w:tr>
      <w:tr w14:paraId="062774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4510C71C">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闪点（℃）</w:t>
            </w:r>
          </w:p>
        </w:tc>
        <w:tc>
          <w:tcPr>
            <w:tcW w:w="2598" w:type="dxa"/>
            <w:vAlign w:val="center"/>
          </w:tcPr>
          <w:p w14:paraId="5AA1CA9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无意义</w:t>
            </w:r>
          </w:p>
        </w:tc>
        <w:tc>
          <w:tcPr>
            <w:tcW w:w="1985" w:type="dxa"/>
            <w:vAlign w:val="center"/>
          </w:tcPr>
          <w:p w14:paraId="7789536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爆炸极限%</w:t>
            </w:r>
          </w:p>
        </w:tc>
        <w:tc>
          <w:tcPr>
            <w:tcW w:w="2862" w:type="dxa"/>
            <w:vAlign w:val="center"/>
          </w:tcPr>
          <w:p w14:paraId="120E3BE2">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无意义</w:t>
            </w:r>
          </w:p>
        </w:tc>
      </w:tr>
      <w:tr w14:paraId="1A2065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7745C552">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稳定性</w:t>
            </w:r>
          </w:p>
        </w:tc>
        <w:tc>
          <w:tcPr>
            <w:tcW w:w="2598" w:type="dxa"/>
            <w:vAlign w:val="center"/>
          </w:tcPr>
          <w:p w14:paraId="0B2F5F8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不稳定</w:t>
            </w:r>
          </w:p>
        </w:tc>
        <w:tc>
          <w:tcPr>
            <w:tcW w:w="1985" w:type="dxa"/>
            <w:vAlign w:val="center"/>
          </w:tcPr>
          <w:p w14:paraId="5105457C">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禁忌物</w:t>
            </w:r>
          </w:p>
        </w:tc>
        <w:tc>
          <w:tcPr>
            <w:tcW w:w="2862" w:type="dxa"/>
            <w:vAlign w:val="center"/>
          </w:tcPr>
          <w:p w14:paraId="7F42F7EE">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酸</w:t>
            </w:r>
          </w:p>
        </w:tc>
      </w:tr>
      <w:tr w14:paraId="38AB91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77E68B4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避免接触条件</w:t>
            </w:r>
          </w:p>
        </w:tc>
        <w:tc>
          <w:tcPr>
            <w:tcW w:w="2598" w:type="dxa"/>
            <w:vAlign w:val="center"/>
          </w:tcPr>
          <w:p w14:paraId="4890C3A2">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高温、潮气</w:t>
            </w:r>
          </w:p>
        </w:tc>
        <w:tc>
          <w:tcPr>
            <w:tcW w:w="1985" w:type="dxa"/>
            <w:vAlign w:val="center"/>
          </w:tcPr>
          <w:p w14:paraId="6A8E11E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分解产物</w:t>
            </w:r>
          </w:p>
        </w:tc>
        <w:tc>
          <w:tcPr>
            <w:tcW w:w="2862" w:type="dxa"/>
            <w:vAlign w:val="center"/>
          </w:tcPr>
          <w:p w14:paraId="131DD12C">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C</w:t>
            </w:r>
            <w:r>
              <w:rPr>
                <w:rFonts w:hint="default" w:ascii="Times New Roman" w:hAnsi="Times New Roman" w:cs="Times New Roman"/>
                <w:color w:val="auto"/>
                <w:sz w:val="21"/>
                <w:szCs w:val="21"/>
                <w:highlight w:val="none"/>
                <w:vertAlign w:val="subscript"/>
                <w:lang w:eastAsia="en-US"/>
              </w:rPr>
              <w:t>4</w:t>
            </w:r>
            <w:r>
              <w:rPr>
                <w:rFonts w:hint="default" w:ascii="Times New Roman" w:hAnsi="Times New Roman" w:cs="Times New Roman"/>
                <w:color w:val="auto"/>
                <w:sz w:val="21"/>
                <w:szCs w:val="21"/>
                <w:highlight w:val="none"/>
                <w:lang w:eastAsia="en-US"/>
              </w:rPr>
              <w:t>H</w:t>
            </w:r>
            <w:r>
              <w:rPr>
                <w:rFonts w:hint="default" w:ascii="Times New Roman" w:hAnsi="Times New Roman" w:cs="Times New Roman"/>
                <w:color w:val="auto"/>
                <w:sz w:val="21"/>
                <w:szCs w:val="21"/>
                <w:highlight w:val="none"/>
                <w:vertAlign w:val="subscript"/>
                <w:lang w:eastAsia="en-US"/>
              </w:rPr>
              <w:t>9</w:t>
            </w:r>
            <w:r>
              <w:rPr>
                <w:rFonts w:hint="default" w:ascii="Times New Roman" w:hAnsi="Times New Roman" w:cs="Times New Roman"/>
                <w:color w:val="auto"/>
                <w:sz w:val="21"/>
                <w:szCs w:val="21"/>
                <w:highlight w:val="none"/>
                <w:lang w:eastAsia="en-US"/>
              </w:rPr>
              <w:t>OH和CS</w:t>
            </w:r>
            <w:r>
              <w:rPr>
                <w:rFonts w:hint="default" w:ascii="Times New Roman" w:hAnsi="Times New Roman" w:cs="Times New Roman"/>
                <w:color w:val="auto"/>
                <w:sz w:val="21"/>
                <w:szCs w:val="21"/>
                <w:highlight w:val="none"/>
                <w:vertAlign w:val="subscript"/>
                <w:lang w:eastAsia="en-US"/>
              </w:rPr>
              <w:t>2</w:t>
            </w:r>
          </w:p>
        </w:tc>
      </w:tr>
      <w:tr w14:paraId="4CC7E5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7AFD93F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灭火方式</w:t>
            </w:r>
          </w:p>
        </w:tc>
        <w:tc>
          <w:tcPr>
            <w:tcW w:w="7445" w:type="dxa"/>
            <w:gridSpan w:val="3"/>
            <w:vAlign w:val="center"/>
          </w:tcPr>
          <w:p w14:paraId="12EC748D">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消防人员必须穿戴全身耐酸碱消防服、防毒口罩</w:t>
            </w:r>
          </w:p>
        </w:tc>
      </w:tr>
      <w:tr w14:paraId="2C9C70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1E44889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用途</w:t>
            </w:r>
          </w:p>
        </w:tc>
        <w:tc>
          <w:tcPr>
            <w:tcW w:w="7445" w:type="dxa"/>
            <w:gridSpan w:val="3"/>
            <w:vAlign w:val="center"/>
          </w:tcPr>
          <w:p w14:paraId="381C13D4">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硫化矿的优良捕收剂，选择性好，捕收能力适中，特别适用于黄铜矿、闪锌矿、黄铁矿等的浮选。还可用于湿法冶金沉淀剂及橡胶硫化促进剂。</w:t>
            </w:r>
          </w:p>
        </w:tc>
      </w:tr>
      <w:tr w14:paraId="12E33D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3C7C43F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危险性概述</w:t>
            </w:r>
          </w:p>
        </w:tc>
      </w:tr>
      <w:tr w14:paraId="38628E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64F44DC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危险性类别</w:t>
            </w:r>
          </w:p>
        </w:tc>
        <w:tc>
          <w:tcPr>
            <w:tcW w:w="7445" w:type="dxa"/>
            <w:gridSpan w:val="3"/>
            <w:vAlign w:val="center"/>
          </w:tcPr>
          <w:p w14:paraId="62484F7E">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刺激、腐蚀、低毒</w:t>
            </w:r>
          </w:p>
        </w:tc>
      </w:tr>
      <w:tr w14:paraId="23E7B2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7AE84D21">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侵入途径</w:t>
            </w:r>
          </w:p>
        </w:tc>
        <w:tc>
          <w:tcPr>
            <w:tcW w:w="7445" w:type="dxa"/>
            <w:gridSpan w:val="3"/>
            <w:vAlign w:val="center"/>
          </w:tcPr>
          <w:p w14:paraId="291FA4B7">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吸食、经皮、粘膜吸收</w:t>
            </w:r>
          </w:p>
        </w:tc>
      </w:tr>
      <w:tr w14:paraId="087F56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0A756784">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健康危害</w:t>
            </w:r>
          </w:p>
        </w:tc>
        <w:tc>
          <w:tcPr>
            <w:tcW w:w="7445" w:type="dxa"/>
            <w:gridSpan w:val="3"/>
            <w:vAlign w:val="center"/>
          </w:tcPr>
          <w:p w14:paraId="10C7322A">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黄药对动物和人的毒害主要表现在对神经系统和肝脏等器官的损害。对肝脏的损害主要是由于黄药和金属离子的反应产物易在肝脏中积累，长期下去会导致肝脏的病变；对神经系统的损害主要是由于进入动物或人体内的黄药在酸性条件下被分解，所得产物之-二硫化碳属于疏水亲脂的非极性物质，可通过血脑屏障进入大脑，使神经系统产生病症。</w:t>
            </w:r>
          </w:p>
        </w:tc>
      </w:tr>
      <w:tr w14:paraId="6AEF20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43BAF65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环境危害</w:t>
            </w:r>
          </w:p>
        </w:tc>
        <w:tc>
          <w:tcPr>
            <w:tcW w:w="7445" w:type="dxa"/>
            <w:gridSpan w:val="3"/>
            <w:vAlign w:val="center"/>
          </w:tcPr>
          <w:p w14:paraId="5F03F6F1">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黄药具有恶臭，可使水质发臭，导致水域中鱼虾减少，鱼体变形，鱼肉有异味不易烹调，并严重影响附近水域的生态平衡。会对周边环境产生一定的危害。</w:t>
            </w:r>
          </w:p>
        </w:tc>
      </w:tr>
      <w:tr w14:paraId="3C64B4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6A73B76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燃爆危险</w:t>
            </w:r>
          </w:p>
        </w:tc>
        <w:tc>
          <w:tcPr>
            <w:tcW w:w="7445" w:type="dxa"/>
            <w:gridSpan w:val="3"/>
            <w:vAlign w:val="center"/>
          </w:tcPr>
          <w:p w14:paraId="5507C409">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本品易燃</w:t>
            </w:r>
          </w:p>
        </w:tc>
      </w:tr>
      <w:tr w14:paraId="7AD868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438868E1">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急救措施</w:t>
            </w:r>
          </w:p>
        </w:tc>
      </w:tr>
      <w:tr w14:paraId="150BBA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6747A0C2">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皮肤接触</w:t>
            </w:r>
          </w:p>
        </w:tc>
        <w:tc>
          <w:tcPr>
            <w:tcW w:w="7445" w:type="dxa"/>
            <w:gridSpan w:val="3"/>
            <w:vAlign w:val="center"/>
          </w:tcPr>
          <w:p w14:paraId="0BD3B4B6">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立即脱去污染的衣着，用大量流动清水冲洗至少15钟。</w:t>
            </w:r>
            <w:r>
              <w:rPr>
                <w:rFonts w:hint="default" w:ascii="Times New Roman" w:hAnsi="Times New Roman" w:cs="Times New Roman"/>
                <w:color w:val="auto"/>
                <w:sz w:val="21"/>
                <w:szCs w:val="21"/>
                <w:highlight w:val="none"/>
                <w:lang w:eastAsia="en-US"/>
              </w:rPr>
              <w:t>就医。</w:t>
            </w:r>
          </w:p>
        </w:tc>
      </w:tr>
      <w:tr w14:paraId="555CCB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6828B389">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眼睛接触</w:t>
            </w:r>
          </w:p>
        </w:tc>
        <w:tc>
          <w:tcPr>
            <w:tcW w:w="7445" w:type="dxa"/>
            <w:gridSpan w:val="3"/>
            <w:vAlign w:val="center"/>
          </w:tcPr>
          <w:p w14:paraId="3F40386E">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立即提起眼睑，用大量流动清水或生理盐水彻底冲洗至少15钟。</w:t>
            </w:r>
            <w:r>
              <w:rPr>
                <w:rFonts w:hint="default" w:ascii="Times New Roman" w:hAnsi="Times New Roman" w:cs="Times New Roman"/>
                <w:color w:val="auto"/>
                <w:sz w:val="21"/>
                <w:szCs w:val="21"/>
                <w:highlight w:val="none"/>
                <w:lang w:eastAsia="en-US"/>
              </w:rPr>
              <w:t>就医。</w:t>
            </w:r>
          </w:p>
        </w:tc>
      </w:tr>
      <w:tr w14:paraId="6A1312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4BFDC83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吸入</w:t>
            </w:r>
          </w:p>
        </w:tc>
        <w:tc>
          <w:tcPr>
            <w:tcW w:w="7445" w:type="dxa"/>
            <w:gridSpan w:val="3"/>
            <w:vAlign w:val="center"/>
          </w:tcPr>
          <w:p w14:paraId="58F6FC24">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脱离现场至空气清新处。救护人员必须佩戴好防毒口罩，如呼吸困难，给输氧。</w:t>
            </w:r>
            <w:r>
              <w:rPr>
                <w:rFonts w:hint="default" w:ascii="Times New Roman" w:hAnsi="Times New Roman" w:cs="Times New Roman"/>
                <w:color w:val="auto"/>
                <w:sz w:val="21"/>
                <w:szCs w:val="21"/>
                <w:highlight w:val="none"/>
                <w:lang w:eastAsia="en-US"/>
              </w:rPr>
              <w:t>就医。</w:t>
            </w:r>
          </w:p>
        </w:tc>
      </w:tr>
      <w:tr w14:paraId="53AB0D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6CD0579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食入</w:t>
            </w:r>
          </w:p>
        </w:tc>
        <w:tc>
          <w:tcPr>
            <w:tcW w:w="7445" w:type="dxa"/>
            <w:gridSpan w:val="3"/>
            <w:vAlign w:val="center"/>
          </w:tcPr>
          <w:p w14:paraId="0B22600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用水漱口，给饮牛奶或蛋清。</w:t>
            </w:r>
            <w:r>
              <w:rPr>
                <w:rFonts w:hint="default" w:ascii="Times New Roman" w:hAnsi="Times New Roman" w:cs="Times New Roman"/>
                <w:color w:val="auto"/>
                <w:sz w:val="21"/>
                <w:szCs w:val="21"/>
                <w:highlight w:val="none"/>
                <w:lang w:eastAsia="en-US"/>
              </w:rPr>
              <w:t>就医。</w:t>
            </w:r>
          </w:p>
        </w:tc>
      </w:tr>
      <w:tr w14:paraId="37B451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66C216F4">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泄漏应急处理</w:t>
            </w:r>
          </w:p>
        </w:tc>
      </w:tr>
      <w:tr w14:paraId="1ADD67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524ADF6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应急处理</w:t>
            </w:r>
          </w:p>
        </w:tc>
        <w:tc>
          <w:tcPr>
            <w:tcW w:w="7445" w:type="dxa"/>
            <w:gridSpan w:val="3"/>
            <w:vAlign w:val="center"/>
          </w:tcPr>
          <w:p w14:paraId="06864E15">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隔离</w:t>
            </w:r>
            <w:r>
              <w:rPr>
                <w:rFonts w:hint="default" w:cs="Times New Roman"/>
                <w:color w:val="auto"/>
                <w:sz w:val="21"/>
                <w:szCs w:val="21"/>
                <w:highlight w:val="none"/>
                <w:lang w:eastAsia="zh-CN"/>
              </w:rPr>
              <w:t>泄漏</w:t>
            </w:r>
            <w:r>
              <w:rPr>
                <w:rFonts w:hint="default" w:ascii="Times New Roman" w:hAnsi="Times New Roman" w:cs="Times New Roman"/>
                <w:color w:val="auto"/>
                <w:sz w:val="21"/>
                <w:szCs w:val="21"/>
                <w:highlight w:val="none"/>
                <w:lang w:eastAsia="zh-CN"/>
              </w:rPr>
              <w:t>污染区，限制出入。建议应急处理人员戴防毒面罩（全面罩），穿防毒服。避免扬尘，置于袋中转移至安全场所。若大量</w:t>
            </w:r>
            <w:r>
              <w:rPr>
                <w:rFonts w:hint="default" w:cs="Times New Roman"/>
                <w:color w:val="auto"/>
                <w:sz w:val="21"/>
                <w:szCs w:val="21"/>
                <w:highlight w:val="none"/>
                <w:lang w:eastAsia="zh-CN"/>
              </w:rPr>
              <w:t>泄漏</w:t>
            </w:r>
            <w:r>
              <w:rPr>
                <w:rFonts w:hint="default" w:ascii="Times New Roman" w:hAnsi="Times New Roman" w:cs="Times New Roman"/>
                <w:color w:val="auto"/>
                <w:sz w:val="21"/>
                <w:szCs w:val="21"/>
                <w:highlight w:val="none"/>
                <w:lang w:eastAsia="zh-CN"/>
              </w:rPr>
              <w:t>，用塑料布、帆布覆盖，回收处理。</w:t>
            </w:r>
          </w:p>
        </w:tc>
      </w:tr>
      <w:tr w14:paraId="118875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6D04A7A9">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操作处置与储存</w:t>
            </w:r>
          </w:p>
        </w:tc>
      </w:tr>
      <w:tr w14:paraId="37A4BE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7342F05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操作注意事项</w:t>
            </w:r>
          </w:p>
        </w:tc>
        <w:tc>
          <w:tcPr>
            <w:tcW w:w="7445" w:type="dxa"/>
            <w:gridSpan w:val="3"/>
            <w:vAlign w:val="center"/>
          </w:tcPr>
          <w:p w14:paraId="0AFBE125">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密闭操作，加强通风。操作人员必须经过专门培训，严格遵守操作规程。建议操作人员佩戴自吸过滤式防尘口罩，戴化学安全防护眼镜，穿防毒物渗透工作服，戴橡胶手套。避免产生粉尘。搬运时要轻装轻卸，防止包装及容器损坏。配备</w:t>
            </w:r>
            <w:r>
              <w:rPr>
                <w:rFonts w:hint="default" w:cs="Times New Roman"/>
                <w:color w:val="auto"/>
                <w:sz w:val="21"/>
                <w:szCs w:val="21"/>
                <w:highlight w:val="none"/>
                <w:lang w:eastAsia="zh-CN"/>
              </w:rPr>
              <w:t>泄漏</w:t>
            </w:r>
            <w:r>
              <w:rPr>
                <w:rFonts w:hint="default" w:ascii="Times New Roman" w:hAnsi="Times New Roman" w:cs="Times New Roman"/>
                <w:color w:val="auto"/>
                <w:sz w:val="21"/>
                <w:szCs w:val="21"/>
                <w:highlight w:val="none"/>
                <w:lang w:eastAsia="zh-CN"/>
              </w:rPr>
              <w:t>应急处理设备。倒空的容器可能残留有害物。</w:t>
            </w:r>
            <w:r>
              <w:rPr>
                <w:rFonts w:hint="default" w:ascii="Times New Roman" w:hAnsi="Times New Roman" w:cs="Times New Roman"/>
                <w:color w:val="auto"/>
                <w:sz w:val="21"/>
                <w:szCs w:val="21"/>
                <w:highlight w:val="none"/>
                <w:lang w:eastAsia="en-US"/>
              </w:rPr>
              <w:t>稀释或制备溶液时，避免沸腾和飞溅。</w:t>
            </w:r>
          </w:p>
        </w:tc>
      </w:tr>
      <w:tr w14:paraId="7644B9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2231B53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储存注意事项</w:t>
            </w:r>
          </w:p>
        </w:tc>
        <w:tc>
          <w:tcPr>
            <w:tcW w:w="7445" w:type="dxa"/>
            <w:gridSpan w:val="3"/>
            <w:vAlign w:val="center"/>
          </w:tcPr>
          <w:p w14:paraId="5BDD696E">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应放在阴凉、通风处，防潮、防火、防暴晒。</w:t>
            </w:r>
          </w:p>
        </w:tc>
      </w:tr>
      <w:tr w14:paraId="7226CD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2E024659">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防护措施</w:t>
            </w:r>
          </w:p>
        </w:tc>
      </w:tr>
      <w:tr w14:paraId="2FDD1E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598F885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呼吸系统防护</w:t>
            </w:r>
          </w:p>
        </w:tc>
        <w:tc>
          <w:tcPr>
            <w:tcW w:w="7445" w:type="dxa"/>
            <w:gridSpan w:val="3"/>
            <w:vAlign w:val="center"/>
          </w:tcPr>
          <w:p w14:paraId="076D30AE">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空气中粉尘浓度超标时，必须</w:t>
            </w:r>
            <w:r>
              <w:rPr>
                <w:rFonts w:hint="default" w:cs="Times New Roman"/>
                <w:color w:val="auto"/>
                <w:sz w:val="21"/>
                <w:szCs w:val="21"/>
                <w:highlight w:val="none"/>
                <w:lang w:eastAsia="zh-CN"/>
              </w:rPr>
              <w:t>佩戴</w:t>
            </w:r>
            <w:r>
              <w:rPr>
                <w:rFonts w:hint="default" w:ascii="Times New Roman" w:hAnsi="Times New Roman" w:cs="Times New Roman"/>
                <w:color w:val="auto"/>
                <w:sz w:val="21"/>
                <w:szCs w:val="21"/>
                <w:highlight w:val="none"/>
                <w:lang w:eastAsia="zh-CN"/>
              </w:rPr>
              <w:t>自吸过滤式防尘口罩。紧急事态抢救或撤离时，应该佩戴空气呼吸器。</w:t>
            </w:r>
          </w:p>
        </w:tc>
      </w:tr>
      <w:tr w14:paraId="07843C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5907AD75">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眼睛防护</w:t>
            </w:r>
          </w:p>
        </w:tc>
        <w:tc>
          <w:tcPr>
            <w:tcW w:w="7445" w:type="dxa"/>
            <w:gridSpan w:val="3"/>
            <w:vAlign w:val="center"/>
          </w:tcPr>
          <w:p w14:paraId="4C5FF642">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戴化学安全防护眼镜。</w:t>
            </w:r>
          </w:p>
        </w:tc>
      </w:tr>
      <w:tr w14:paraId="33327A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2D0C8993">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身体防护</w:t>
            </w:r>
          </w:p>
        </w:tc>
        <w:tc>
          <w:tcPr>
            <w:tcW w:w="7445" w:type="dxa"/>
            <w:gridSpan w:val="3"/>
            <w:vAlign w:val="center"/>
          </w:tcPr>
          <w:p w14:paraId="3FBD13DB">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穿防毒物渗透工作服。</w:t>
            </w:r>
          </w:p>
        </w:tc>
      </w:tr>
      <w:tr w14:paraId="42C5FE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004C66D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手防护</w:t>
            </w:r>
          </w:p>
        </w:tc>
        <w:tc>
          <w:tcPr>
            <w:tcW w:w="7445" w:type="dxa"/>
            <w:gridSpan w:val="3"/>
            <w:vAlign w:val="center"/>
          </w:tcPr>
          <w:p w14:paraId="097EB955">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戴橡胶手套。</w:t>
            </w:r>
          </w:p>
        </w:tc>
      </w:tr>
      <w:tr w14:paraId="549F3D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79E2B97C">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其他防护</w:t>
            </w:r>
          </w:p>
        </w:tc>
        <w:tc>
          <w:tcPr>
            <w:tcW w:w="7445" w:type="dxa"/>
            <w:gridSpan w:val="3"/>
            <w:vAlign w:val="center"/>
          </w:tcPr>
          <w:p w14:paraId="5A7CB623">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及时换洗工作服。保持良好的卫生习惯。</w:t>
            </w:r>
          </w:p>
        </w:tc>
      </w:tr>
      <w:tr w14:paraId="2256CB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42319C8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毒理学资料</w:t>
            </w:r>
          </w:p>
        </w:tc>
      </w:tr>
      <w:tr w14:paraId="2C9314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3BDDACE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急性毒性</w:t>
            </w:r>
          </w:p>
        </w:tc>
        <w:tc>
          <w:tcPr>
            <w:tcW w:w="7445" w:type="dxa"/>
            <w:gridSpan w:val="3"/>
            <w:vAlign w:val="center"/>
          </w:tcPr>
          <w:p w14:paraId="1D955913">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用黄药对泥鳅胚胎发育进行毒性试验：黄药质量浓度≥0.18mg/L时能引起仔鱼死亡，质量浓度≥0.32mg/L时能</w:t>
            </w:r>
            <w:r>
              <w:rPr>
                <w:rFonts w:hint="default" w:cs="Times New Roman"/>
                <w:color w:val="auto"/>
                <w:sz w:val="21"/>
                <w:szCs w:val="21"/>
                <w:highlight w:val="none"/>
                <w:lang w:eastAsia="zh-CN"/>
              </w:rPr>
              <w:t>诱发</w:t>
            </w:r>
            <w:r>
              <w:rPr>
                <w:rFonts w:hint="default" w:ascii="Times New Roman" w:hAnsi="Times New Roman" w:cs="Times New Roman"/>
                <w:color w:val="auto"/>
                <w:sz w:val="21"/>
                <w:szCs w:val="21"/>
                <w:highlight w:val="none"/>
                <w:lang w:eastAsia="zh-CN"/>
              </w:rPr>
              <w:t>畸形。黄药具有恶臭，嗅觉值为 0.005mg/L。</w:t>
            </w:r>
          </w:p>
        </w:tc>
      </w:tr>
      <w:tr w14:paraId="11CB20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5E776D46">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亚急性和慢性毒性</w:t>
            </w:r>
          </w:p>
        </w:tc>
        <w:tc>
          <w:tcPr>
            <w:tcW w:w="7445" w:type="dxa"/>
            <w:gridSpan w:val="3"/>
            <w:vAlign w:val="center"/>
          </w:tcPr>
          <w:p w14:paraId="17E72F46">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容易破坏生物体中正常的生理生化过程，造成人体的慢性中毒。</w:t>
            </w:r>
          </w:p>
        </w:tc>
      </w:tr>
      <w:tr w14:paraId="73C519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210980F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刺激性</w:t>
            </w:r>
          </w:p>
        </w:tc>
        <w:tc>
          <w:tcPr>
            <w:tcW w:w="7445" w:type="dxa"/>
            <w:gridSpan w:val="3"/>
            <w:vAlign w:val="center"/>
          </w:tcPr>
          <w:p w14:paraId="56E15B61">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cs="Times New Roman"/>
                <w:color w:val="auto"/>
                <w:sz w:val="21"/>
                <w:szCs w:val="21"/>
                <w:highlight w:val="none"/>
                <w:lang w:eastAsia="zh-CN"/>
              </w:rPr>
              <w:t>散发</w:t>
            </w:r>
            <w:r>
              <w:rPr>
                <w:rFonts w:hint="default" w:ascii="Times New Roman" w:hAnsi="Times New Roman" w:cs="Times New Roman"/>
                <w:color w:val="auto"/>
                <w:sz w:val="21"/>
                <w:szCs w:val="21"/>
                <w:highlight w:val="none"/>
                <w:lang w:eastAsia="en-US"/>
              </w:rPr>
              <w:t>刺激性臭味</w:t>
            </w:r>
          </w:p>
        </w:tc>
      </w:tr>
      <w:tr w14:paraId="012A07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988" w:type="dxa"/>
            <w:gridSpan w:val="4"/>
            <w:vAlign w:val="center"/>
          </w:tcPr>
          <w:p w14:paraId="2448245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运输信息</w:t>
            </w:r>
          </w:p>
        </w:tc>
      </w:tr>
      <w:tr w14:paraId="6DB96A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1DAE914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危险货物编号</w:t>
            </w:r>
          </w:p>
        </w:tc>
        <w:tc>
          <w:tcPr>
            <w:tcW w:w="7445" w:type="dxa"/>
            <w:gridSpan w:val="3"/>
            <w:vAlign w:val="center"/>
          </w:tcPr>
          <w:p w14:paraId="3503225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无资料</w:t>
            </w:r>
          </w:p>
        </w:tc>
      </w:tr>
      <w:tr w14:paraId="5BDA29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46D2FF32">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UN编号</w:t>
            </w:r>
          </w:p>
        </w:tc>
        <w:tc>
          <w:tcPr>
            <w:tcW w:w="7445" w:type="dxa"/>
            <w:gridSpan w:val="3"/>
            <w:vAlign w:val="center"/>
          </w:tcPr>
          <w:p w14:paraId="0070F9C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3342</w:t>
            </w:r>
          </w:p>
        </w:tc>
      </w:tr>
      <w:tr w14:paraId="02C07E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0F36C5C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包装标识</w:t>
            </w:r>
          </w:p>
        </w:tc>
        <w:tc>
          <w:tcPr>
            <w:tcW w:w="7445" w:type="dxa"/>
            <w:gridSpan w:val="3"/>
            <w:vAlign w:val="center"/>
          </w:tcPr>
          <w:p w14:paraId="153B5FE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有毒品</w:t>
            </w:r>
          </w:p>
        </w:tc>
      </w:tr>
      <w:tr w14:paraId="5871EC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4B807DD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包装类别</w:t>
            </w:r>
          </w:p>
        </w:tc>
        <w:tc>
          <w:tcPr>
            <w:tcW w:w="7445" w:type="dxa"/>
            <w:gridSpan w:val="3"/>
            <w:vAlign w:val="center"/>
          </w:tcPr>
          <w:p w14:paraId="472FC13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Ⅲ类包装</w:t>
            </w:r>
          </w:p>
        </w:tc>
      </w:tr>
      <w:tr w14:paraId="50A232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39FD509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包装方法</w:t>
            </w:r>
          </w:p>
        </w:tc>
        <w:tc>
          <w:tcPr>
            <w:tcW w:w="7445" w:type="dxa"/>
            <w:gridSpan w:val="3"/>
            <w:vAlign w:val="center"/>
          </w:tcPr>
          <w:p w14:paraId="6D68B394">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敞口钢桶内衬塑料袋或改制小口钢桶包装，每桶净重120kg</w:t>
            </w:r>
          </w:p>
        </w:tc>
      </w:tr>
      <w:tr w14:paraId="2BAE98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43" w:type="dxa"/>
            <w:vAlign w:val="center"/>
          </w:tcPr>
          <w:p w14:paraId="1A03E24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运输注意事项</w:t>
            </w:r>
          </w:p>
        </w:tc>
        <w:tc>
          <w:tcPr>
            <w:tcW w:w="7445" w:type="dxa"/>
            <w:gridSpan w:val="3"/>
            <w:vAlign w:val="center"/>
          </w:tcPr>
          <w:p w14:paraId="4BB39A46">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起运时包装要完整，装载应稳妥。运输过程中要确保容器不</w:t>
            </w:r>
            <w:r>
              <w:rPr>
                <w:rFonts w:hint="default" w:cs="Times New Roman"/>
                <w:color w:val="auto"/>
                <w:sz w:val="21"/>
                <w:szCs w:val="21"/>
                <w:highlight w:val="none"/>
                <w:lang w:eastAsia="zh-CN"/>
              </w:rPr>
              <w:t>泄漏</w:t>
            </w:r>
            <w:r>
              <w:rPr>
                <w:rFonts w:hint="default" w:ascii="Times New Roman" w:hAnsi="Times New Roman" w:cs="Times New Roman"/>
                <w:color w:val="auto"/>
                <w:sz w:val="21"/>
                <w:szCs w:val="21"/>
                <w:highlight w:val="none"/>
                <w:lang w:eastAsia="zh-CN"/>
              </w:rPr>
              <w:t>、不倒塌、不坠落、不损坏。严禁与酸类、食用化学品等混装混运。运输途中应防止暴晒、雨淋，</w:t>
            </w:r>
            <w:r>
              <w:rPr>
                <w:rFonts w:hint="default" w:cs="Times New Roman"/>
                <w:color w:val="auto"/>
                <w:sz w:val="21"/>
                <w:szCs w:val="21"/>
                <w:highlight w:val="none"/>
                <w:lang w:eastAsia="zh-CN"/>
              </w:rPr>
              <w:t>防止</w:t>
            </w:r>
            <w:r>
              <w:rPr>
                <w:rFonts w:hint="default" w:ascii="Times New Roman" w:hAnsi="Times New Roman" w:cs="Times New Roman"/>
                <w:color w:val="auto"/>
                <w:sz w:val="21"/>
                <w:szCs w:val="21"/>
                <w:highlight w:val="none"/>
                <w:lang w:eastAsia="zh-CN"/>
              </w:rPr>
              <w:t>高温。</w:t>
            </w:r>
            <w:r>
              <w:rPr>
                <w:rFonts w:hint="default" w:ascii="Times New Roman" w:hAnsi="Times New Roman" w:cs="Times New Roman"/>
                <w:color w:val="auto"/>
                <w:sz w:val="21"/>
                <w:szCs w:val="21"/>
                <w:highlight w:val="none"/>
                <w:lang w:eastAsia="en-US"/>
              </w:rPr>
              <w:t>车辆运输完毕应进行彻底清扫。</w:t>
            </w:r>
          </w:p>
        </w:tc>
      </w:tr>
    </w:tbl>
    <w:p w14:paraId="56FA44C1">
      <w:pPr>
        <w:adjustRightInd w:val="0"/>
        <w:snapToGrid w:val="0"/>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cs="Times New Roman"/>
          <w:b/>
          <w:color w:val="auto"/>
          <w:highlight w:val="none"/>
          <w:lang w:val="en-US" w:eastAsia="zh-CN"/>
        </w:rPr>
        <w:t>10</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val="en-US" w:eastAsia="zh-CN"/>
        </w:rPr>
        <w:t>丁铵黄药</w:t>
      </w:r>
      <w:r>
        <w:rPr>
          <w:rFonts w:hint="default" w:ascii="Times New Roman" w:hAnsi="Times New Roman" w:cs="Times New Roman"/>
          <w:b/>
          <w:color w:val="auto"/>
          <w:highlight w:val="none"/>
        </w:rPr>
        <w:t>理化性质特性一览表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8088"/>
      </w:tblGrid>
      <w:tr w14:paraId="672BD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92" w:type="pct"/>
            <w:vAlign w:val="center"/>
          </w:tcPr>
          <w:p w14:paraId="79445ECD">
            <w:pPr>
              <w:spacing w:line="360" w:lineRule="exact"/>
              <w:ind w:firstLine="0" w:firstLineChars="0"/>
              <w:jc w:val="center"/>
              <w:rPr>
                <w:rFonts w:hint="default" w:ascii="Times New Roman" w:hAnsi="Times New Roman" w:eastAsia="Times New Roman" w:cs="Times New Roman"/>
                <w:b/>
                <w:bCs/>
                <w:color w:val="auto"/>
                <w:sz w:val="21"/>
                <w:highlight w:val="none"/>
                <w:lang w:val="en-US" w:eastAsia="zh-CN"/>
              </w:rPr>
            </w:pPr>
            <w:r>
              <w:rPr>
                <w:rFonts w:hint="default" w:ascii="Times New Roman" w:hAnsi="Times New Roman" w:eastAsia="Times New Roman" w:cs="Times New Roman"/>
                <w:b/>
                <w:bCs/>
                <w:color w:val="auto"/>
                <w:sz w:val="21"/>
                <w:highlight w:val="none"/>
                <w:lang w:val="en-US" w:eastAsia="zh-CN"/>
              </w:rPr>
              <w:t>项目分类</w:t>
            </w:r>
          </w:p>
        </w:tc>
        <w:tc>
          <w:tcPr>
            <w:tcW w:w="4407" w:type="pct"/>
            <w:vAlign w:val="center"/>
          </w:tcPr>
          <w:p w14:paraId="7F7ABC4F">
            <w:pPr>
              <w:spacing w:line="360" w:lineRule="exact"/>
              <w:ind w:firstLine="0" w:firstLineChars="0"/>
              <w:jc w:val="center"/>
              <w:rPr>
                <w:rFonts w:hint="default" w:ascii="Times New Roman" w:hAnsi="Times New Roman" w:eastAsia="Times New Roman" w:cs="Times New Roman"/>
                <w:b/>
                <w:bCs/>
                <w:color w:val="auto"/>
                <w:sz w:val="21"/>
                <w:highlight w:val="none"/>
                <w:lang w:val="en-US" w:eastAsia="zh-CN"/>
              </w:rPr>
            </w:pPr>
            <w:r>
              <w:rPr>
                <w:rFonts w:hint="default" w:ascii="Times New Roman" w:hAnsi="Times New Roman" w:eastAsia="Times New Roman" w:cs="Times New Roman"/>
                <w:b/>
                <w:bCs/>
                <w:color w:val="auto"/>
                <w:sz w:val="21"/>
                <w:highlight w:val="none"/>
                <w:lang w:val="en-US" w:eastAsia="zh-CN"/>
              </w:rPr>
              <w:t>具体参数</w:t>
            </w:r>
          </w:p>
        </w:tc>
      </w:tr>
      <w:tr w14:paraId="449A8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50E6EB8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基本信息</w:t>
            </w:r>
          </w:p>
        </w:tc>
        <w:tc>
          <w:tcPr>
            <w:tcW w:w="4407" w:type="pct"/>
            <w:vAlign w:val="center"/>
          </w:tcPr>
          <w:p w14:paraId="6D46C9E4">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化学名称：O-丁基二硫代氨基甲酸铵</w:t>
            </w:r>
          </w:p>
          <w:p w14:paraId="481A5567">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Times New Roman" w:cs="Times New Roman"/>
                <w:color w:val="auto"/>
                <w:sz w:val="21"/>
                <w:highlight w:val="none"/>
              </w:rPr>
              <w:t>分子式：</w:t>
            </w:r>
            <w:r>
              <w:rPr>
                <w:rFonts w:hint="default" w:ascii="Times New Roman" w:hAnsi="Times New Roman" w:eastAsia="宋体" w:cs="Times New Roman"/>
                <w:color w:val="auto"/>
                <w:sz w:val="21"/>
                <w:highlight w:val="none"/>
                <w:lang w:val="en-US" w:eastAsia="zh-CN"/>
              </w:rPr>
              <w:t>C</w:t>
            </w:r>
            <w:r>
              <w:rPr>
                <w:rFonts w:hint="default" w:ascii="Times New Roman" w:hAnsi="Times New Roman" w:eastAsia="宋体" w:cs="Times New Roman"/>
                <w:color w:val="auto"/>
                <w:sz w:val="21"/>
                <w:highlight w:val="none"/>
                <w:vertAlign w:val="subscript"/>
                <w:lang w:val="en-US" w:eastAsia="zh-CN"/>
              </w:rPr>
              <w:t>5</w:t>
            </w:r>
            <w:r>
              <w:rPr>
                <w:rFonts w:hint="default" w:ascii="Times New Roman" w:hAnsi="Times New Roman" w:eastAsia="宋体" w:cs="Times New Roman"/>
                <w:color w:val="auto"/>
                <w:sz w:val="21"/>
                <w:highlight w:val="none"/>
                <w:lang w:val="en-US" w:eastAsia="zh-CN"/>
              </w:rPr>
              <w:t>H</w:t>
            </w:r>
            <w:r>
              <w:rPr>
                <w:rFonts w:hint="default" w:ascii="Times New Roman" w:hAnsi="Times New Roman" w:eastAsia="宋体" w:cs="Times New Roman"/>
                <w:color w:val="auto"/>
                <w:sz w:val="21"/>
                <w:highlight w:val="none"/>
                <w:vertAlign w:val="subscript"/>
                <w:lang w:val="en-US" w:eastAsia="zh-CN"/>
              </w:rPr>
              <w:t>12</w:t>
            </w:r>
            <w:r>
              <w:rPr>
                <w:rFonts w:hint="default" w:ascii="Times New Roman" w:hAnsi="Times New Roman" w:eastAsia="宋体" w:cs="Times New Roman"/>
                <w:color w:val="auto"/>
                <w:sz w:val="21"/>
                <w:highlight w:val="none"/>
                <w:lang w:val="en-US" w:eastAsia="zh-CN"/>
              </w:rPr>
              <w:t>NOS</w:t>
            </w:r>
            <w:r>
              <w:rPr>
                <w:rFonts w:hint="default" w:ascii="Times New Roman" w:hAnsi="Times New Roman" w:eastAsia="宋体" w:cs="Times New Roman"/>
                <w:color w:val="auto"/>
                <w:sz w:val="21"/>
                <w:highlight w:val="none"/>
                <w:vertAlign w:val="subscript"/>
                <w:lang w:val="en-US" w:eastAsia="zh-CN"/>
              </w:rPr>
              <w:t>2</w:t>
            </w:r>
          </w:p>
          <w:p w14:paraId="11993B14">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分子量：168.29</w:t>
            </w:r>
          </w:p>
          <w:p w14:paraId="0868DAF8">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CAS号：2114-19-2</w:t>
            </w:r>
          </w:p>
          <w:p w14:paraId="1385168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常用别名：铵丁黄药、丁基黄原酸铵</w:t>
            </w:r>
          </w:p>
        </w:tc>
      </w:tr>
      <w:tr w14:paraId="4790B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7BB780D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外观与性状</w:t>
            </w:r>
          </w:p>
        </w:tc>
        <w:tc>
          <w:tcPr>
            <w:tcW w:w="4407" w:type="pct"/>
            <w:vAlign w:val="center"/>
          </w:tcPr>
          <w:p w14:paraId="67724DF0">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淡黄色结晶或结晶性粉末，工业品因含少量杂质呈浅黄褐色，有刺激性硫醇臭味</w:t>
            </w:r>
          </w:p>
        </w:tc>
      </w:tr>
      <w:tr w14:paraId="4F594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2FC311A7">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熔点与沸点</w:t>
            </w:r>
          </w:p>
        </w:tc>
        <w:tc>
          <w:tcPr>
            <w:tcW w:w="4407" w:type="pct"/>
            <w:vAlign w:val="center"/>
          </w:tcPr>
          <w:p w14:paraId="43C04F13">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熔点：120~125℃（分解）</w:t>
            </w:r>
          </w:p>
          <w:p w14:paraId="2E5AAA6A">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沸点：无明确沸点，温度超过熔点时会分解，释放二硫化碳等气体</w:t>
            </w:r>
          </w:p>
        </w:tc>
      </w:tr>
      <w:tr w14:paraId="58659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725BAC4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溶解性</w:t>
            </w:r>
          </w:p>
        </w:tc>
        <w:tc>
          <w:tcPr>
            <w:tcW w:w="4407" w:type="pct"/>
            <w:vAlign w:val="center"/>
          </w:tcPr>
          <w:p w14:paraId="52EC48E4">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极易溶于水，水溶液呈弱碱性；</w:t>
            </w:r>
          </w:p>
          <w:p w14:paraId="395F6946">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可溶于甲醇、乙醇、异丙醇等极性有机溶剂；</w:t>
            </w:r>
          </w:p>
          <w:p w14:paraId="6FD13C6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难溶于苯、甲苯、石油醚等非极性溶剂</w:t>
            </w:r>
          </w:p>
        </w:tc>
      </w:tr>
      <w:tr w14:paraId="5FFE8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585ECF3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密度</w:t>
            </w:r>
          </w:p>
        </w:tc>
        <w:tc>
          <w:tcPr>
            <w:tcW w:w="4407" w:type="pct"/>
            <w:vAlign w:val="center"/>
          </w:tcPr>
          <w:p w14:paraId="4D6C9345">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相对密度（水=1）：1.18~1.22（固体）；</w:t>
            </w:r>
          </w:p>
          <w:p w14:paraId="7B305B2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水溶液密度随浓度升高线性增大</w:t>
            </w:r>
          </w:p>
        </w:tc>
      </w:tr>
      <w:tr w14:paraId="5B233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6D52DB9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稳定性</w:t>
            </w:r>
          </w:p>
        </w:tc>
        <w:tc>
          <w:tcPr>
            <w:tcW w:w="4407" w:type="pct"/>
            <w:vAlign w:val="center"/>
          </w:tcPr>
          <w:p w14:paraId="038E0988">
            <w:pPr>
              <w:numPr>
                <w:ilvl w:val="0"/>
                <w:numId w:val="3"/>
              </w:num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常温干燥环境下稳定，暴露于潮湿空气易吸潮、结块，吸潮后稳定性下降</w:t>
            </w:r>
          </w:p>
          <w:p w14:paraId="467034BF">
            <w:pPr>
              <w:numPr>
                <w:ilvl w:val="0"/>
                <w:numId w:val="3"/>
              </w:numPr>
              <w:spacing w:line="360" w:lineRule="exact"/>
              <w:ind w:left="0" w:leftChars="0"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酸性条件下快速分解，生成丁基黄原酸，进一步分解为二硫化碳和正丁醇</w:t>
            </w:r>
          </w:p>
          <w:p w14:paraId="434CDAF5">
            <w:pPr>
              <w:numPr>
                <w:ilvl w:val="0"/>
                <w:numId w:val="3"/>
              </w:numPr>
              <w:spacing w:line="360" w:lineRule="exact"/>
              <w:ind w:left="0" w:leftChars="0"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遇强氧化剂（如高锰酸钾、氯酸钠）发生氧化反应，生成二硫化物等产物</w:t>
            </w:r>
          </w:p>
          <w:p w14:paraId="6D4AED1A">
            <w:pPr>
              <w:numPr>
                <w:ilvl w:val="0"/>
                <w:numId w:val="0"/>
              </w:numPr>
              <w:spacing w:line="360" w:lineRule="exact"/>
              <w:ind w:left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4.高温（＞120℃）下发生热分解，不宜高温储存</w:t>
            </w:r>
          </w:p>
        </w:tc>
      </w:tr>
      <w:tr w14:paraId="5F5AE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670C690E">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危险性</w:t>
            </w:r>
          </w:p>
        </w:tc>
        <w:tc>
          <w:tcPr>
            <w:tcW w:w="4407" w:type="pct"/>
            <w:vAlign w:val="center"/>
          </w:tcPr>
          <w:p w14:paraId="1727E72A">
            <w:pPr>
              <w:numPr>
                <w:ilvl w:val="0"/>
                <w:numId w:val="4"/>
              </w:num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燃烧性：可燃，燃烧时释放有毒的硫化物、氮氧化物烟气</w:t>
            </w:r>
          </w:p>
          <w:p w14:paraId="2EF3119C">
            <w:pPr>
              <w:numPr>
                <w:ilvl w:val="0"/>
                <w:numId w:val="4"/>
              </w:numPr>
              <w:spacing w:line="360" w:lineRule="exact"/>
              <w:ind w:left="0" w:leftChars="0"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毒性：对水生生物有剧毒，会抑制水生生物呼吸酶活性；大鼠经口</w:t>
            </w:r>
            <w:r>
              <w:rPr>
                <w:rFonts w:hint="default" w:ascii="Times New Roman" w:hAnsi="Times New Roman" w:eastAsia="Times New Roman" w:cs="Times New Roman"/>
                <w:color w:val="auto"/>
                <w:sz w:val="21"/>
                <w:highlight w:val="none"/>
                <w:lang w:val="en-US" w:eastAsia="zh-CN"/>
              </w:rPr>
              <w:t>LD50</w:t>
            </w:r>
            <w:r>
              <w:rPr>
                <w:rFonts w:hint="default" w:ascii="Times New Roman" w:hAnsi="Times New Roman" w:eastAsia="Times New Roman" w:cs="Times New Roman"/>
                <w:color w:val="auto"/>
                <w:sz w:val="21"/>
                <w:highlight w:val="none"/>
              </w:rPr>
              <w:t>约1800mg/kg，属于低毒物质</w:t>
            </w:r>
          </w:p>
          <w:p w14:paraId="34945D3F">
            <w:pPr>
              <w:numPr>
                <w:ilvl w:val="0"/>
                <w:numId w:val="0"/>
              </w:numPr>
              <w:spacing w:line="360" w:lineRule="exact"/>
              <w:ind w:left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3.刺激性：对皮肤、黏膜有轻微刺激性，长期接触可能引发皮肤瘙痒、红肿</w:t>
            </w:r>
          </w:p>
        </w:tc>
      </w:tr>
      <w:tr w14:paraId="0B7F9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14:paraId="7CA69986">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其他特性</w:t>
            </w:r>
          </w:p>
        </w:tc>
        <w:tc>
          <w:tcPr>
            <w:tcW w:w="4407" w:type="pct"/>
            <w:vAlign w:val="center"/>
          </w:tcPr>
          <w:p w14:paraId="6A653A9D">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捕收性能略优于丁基黄原酸钠，适用于铜、铅、锌等硫化矿浮选；</w:t>
            </w:r>
          </w:p>
          <w:p w14:paraId="75F9C236">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在水中水解程度低于钠盐，浮选过程中药剂损耗更小</w:t>
            </w:r>
          </w:p>
        </w:tc>
      </w:tr>
    </w:tbl>
    <w:p w14:paraId="4D3F9046">
      <w:pPr>
        <w:adjustRightInd w:val="0"/>
        <w:snapToGrid w:val="0"/>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-1</w:t>
      </w:r>
      <w:r>
        <w:rPr>
          <w:rFonts w:hint="default" w:cs="Times New Roman"/>
          <w:b/>
          <w:color w:val="auto"/>
          <w:highlight w:val="none"/>
          <w:lang w:val="en-US" w:eastAsia="zh-CN"/>
        </w:rPr>
        <w:t>1</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val="en-US" w:eastAsia="zh-CN"/>
        </w:rPr>
        <w:t>2#油</w:t>
      </w:r>
      <w:r>
        <w:rPr>
          <w:rFonts w:hint="default" w:ascii="Times New Roman" w:hAnsi="Times New Roman" w:cs="Times New Roman"/>
          <w:b/>
          <w:color w:val="auto"/>
          <w:highlight w:val="none"/>
        </w:rPr>
        <w:t>理化性质特性一览表</w:t>
      </w:r>
    </w:p>
    <w:tbl>
      <w:tblPr>
        <w:tblStyle w:val="3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932"/>
        <w:gridCol w:w="2659"/>
        <w:gridCol w:w="1600"/>
        <w:gridCol w:w="3797"/>
      </w:tblGrid>
      <w:tr w14:paraId="08CB11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09B3E23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理化性质</w:t>
            </w:r>
          </w:p>
        </w:tc>
      </w:tr>
      <w:tr w14:paraId="36A149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2D9F1B7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分子式</w:t>
            </w:r>
          </w:p>
        </w:tc>
        <w:tc>
          <w:tcPr>
            <w:tcW w:w="1479" w:type="pct"/>
            <w:noWrap w:val="0"/>
            <w:vAlign w:val="center"/>
          </w:tcPr>
          <w:p w14:paraId="663AF4D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C</w:t>
            </w:r>
            <w:r>
              <w:rPr>
                <w:rFonts w:hint="default" w:ascii="Times New Roman" w:hAnsi="Times New Roman" w:eastAsia="Times New Roman" w:cs="Times New Roman"/>
                <w:color w:val="auto"/>
                <w:sz w:val="21"/>
                <w:highlight w:val="none"/>
                <w:vertAlign w:val="subscript"/>
                <w:lang w:eastAsia="en-US"/>
              </w:rPr>
              <w:t>10</w:t>
            </w:r>
            <w:r>
              <w:rPr>
                <w:rFonts w:hint="default" w:ascii="Times New Roman" w:hAnsi="Times New Roman" w:eastAsia="Times New Roman" w:cs="Times New Roman"/>
                <w:color w:val="auto"/>
                <w:sz w:val="21"/>
                <w:highlight w:val="none"/>
                <w:lang w:eastAsia="en-US"/>
              </w:rPr>
              <w:t>H</w:t>
            </w:r>
            <w:r>
              <w:rPr>
                <w:rFonts w:hint="default" w:ascii="Times New Roman" w:hAnsi="Times New Roman" w:eastAsia="Times New Roman" w:cs="Times New Roman"/>
                <w:color w:val="auto"/>
                <w:sz w:val="21"/>
                <w:highlight w:val="none"/>
                <w:vertAlign w:val="subscript"/>
                <w:lang w:eastAsia="en-US"/>
              </w:rPr>
              <w:t>17</w:t>
            </w:r>
            <w:r>
              <w:rPr>
                <w:rFonts w:hint="default" w:ascii="Times New Roman" w:hAnsi="Times New Roman" w:eastAsia="Times New Roman" w:cs="Times New Roman"/>
                <w:color w:val="auto"/>
                <w:sz w:val="21"/>
                <w:highlight w:val="none"/>
                <w:lang w:eastAsia="en-US"/>
              </w:rPr>
              <w:t>OH</w:t>
            </w:r>
          </w:p>
        </w:tc>
        <w:tc>
          <w:tcPr>
            <w:tcW w:w="890" w:type="pct"/>
            <w:noWrap w:val="0"/>
            <w:vAlign w:val="center"/>
          </w:tcPr>
          <w:p w14:paraId="529625AA">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分子量</w:t>
            </w:r>
          </w:p>
        </w:tc>
        <w:tc>
          <w:tcPr>
            <w:tcW w:w="2109" w:type="pct"/>
            <w:noWrap w:val="0"/>
            <w:vAlign w:val="center"/>
          </w:tcPr>
          <w:p w14:paraId="4A51217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154</w:t>
            </w:r>
          </w:p>
        </w:tc>
      </w:tr>
      <w:tr w14:paraId="2637C8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7DBCBA1E">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外观与性状</w:t>
            </w:r>
          </w:p>
        </w:tc>
        <w:tc>
          <w:tcPr>
            <w:tcW w:w="1479" w:type="pct"/>
            <w:noWrap w:val="0"/>
            <w:vAlign w:val="center"/>
          </w:tcPr>
          <w:p w14:paraId="19AA93DD">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无色至淡黄色油状液体，具有松香气味</w:t>
            </w:r>
          </w:p>
        </w:tc>
        <w:tc>
          <w:tcPr>
            <w:tcW w:w="890" w:type="pct"/>
            <w:noWrap w:val="0"/>
            <w:vAlign w:val="center"/>
          </w:tcPr>
          <w:p w14:paraId="4B3ECC9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溶解性</w:t>
            </w:r>
          </w:p>
        </w:tc>
        <w:tc>
          <w:tcPr>
            <w:tcW w:w="2109" w:type="pct"/>
            <w:noWrap w:val="0"/>
            <w:vAlign w:val="center"/>
          </w:tcPr>
          <w:p w14:paraId="6119B0B4">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不溶于水、溶于乙醇，混溶于氯仿、乙醚、苯等多数有机溶剂</w:t>
            </w:r>
          </w:p>
        </w:tc>
      </w:tr>
      <w:tr w14:paraId="4A904A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3FFBFB5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熔点（℃）</w:t>
            </w:r>
          </w:p>
        </w:tc>
        <w:tc>
          <w:tcPr>
            <w:tcW w:w="1479" w:type="pct"/>
            <w:noWrap w:val="0"/>
            <w:vAlign w:val="center"/>
          </w:tcPr>
          <w:p w14:paraId="270DE17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-60~-50</w:t>
            </w:r>
          </w:p>
        </w:tc>
        <w:tc>
          <w:tcPr>
            <w:tcW w:w="890" w:type="pct"/>
            <w:noWrap w:val="0"/>
            <w:vAlign w:val="center"/>
          </w:tcPr>
          <w:p w14:paraId="45EDD78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相对密度（水=1）</w:t>
            </w:r>
          </w:p>
        </w:tc>
        <w:tc>
          <w:tcPr>
            <w:tcW w:w="2109" w:type="pct"/>
            <w:noWrap w:val="0"/>
            <w:vAlign w:val="center"/>
          </w:tcPr>
          <w:p w14:paraId="66D9EAE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0.85~0.87</w:t>
            </w:r>
          </w:p>
        </w:tc>
      </w:tr>
      <w:tr w14:paraId="677FB9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7334155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沸点（℃）</w:t>
            </w:r>
          </w:p>
        </w:tc>
        <w:tc>
          <w:tcPr>
            <w:tcW w:w="1479" w:type="pct"/>
            <w:noWrap w:val="0"/>
            <w:vAlign w:val="center"/>
          </w:tcPr>
          <w:p w14:paraId="48EA60EA">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149~180</w:t>
            </w:r>
          </w:p>
        </w:tc>
        <w:tc>
          <w:tcPr>
            <w:tcW w:w="890" w:type="pct"/>
            <w:noWrap w:val="0"/>
            <w:vAlign w:val="center"/>
          </w:tcPr>
          <w:p w14:paraId="1A7B2A13">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相对蒸汽密度</w:t>
            </w:r>
          </w:p>
          <w:p w14:paraId="5C55F22B">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（空气=1）</w:t>
            </w:r>
          </w:p>
        </w:tc>
        <w:tc>
          <w:tcPr>
            <w:tcW w:w="2109" w:type="pct"/>
            <w:noWrap w:val="0"/>
            <w:vAlign w:val="center"/>
          </w:tcPr>
          <w:p w14:paraId="7E0A78F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4.6~4.8</w:t>
            </w:r>
          </w:p>
        </w:tc>
      </w:tr>
      <w:tr w14:paraId="10B12B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03F91604">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饱和蒸汽压</w:t>
            </w:r>
          </w:p>
          <w:p w14:paraId="30581F55">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（KPa）</w:t>
            </w:r>
          </w:p>
        </w:tc>
        <w:tc>
          <w:tcPr>
            <w:tcW w:w="1479" w:type="pct"/>
            <w:noWrap w:val="0"/>
            <w:vAlign w:val="center"/>
          </w:tcPr>
          <w:p w14:paraId="3D69FD5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0.25~0.67（20℃）</w:t>
            </w:r>
          </w:p>
        </w:tc>
        <w:tc>
          <w:tcPr>
            <w:tcW w:w="890" w:type="pct"/>
            <w:noWrap w:val="0"/>
            <w:vAlign w:val="center"/>
          </w:tcPr>
          <w:p w14:paraId="39FB1AA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引燃温度（℃）</w:t>
            </w:r>
          </w:p>
        </w:tc>
        <w:tc>
          <w:tcPr>
            <w:tcW w:w="2109" w:type="pct"/>
            <w:noWrap w:val="0"/>
            <w:vAlign w:val="center"/>
          </w:tcPr>
          <w:p w14:paraId="3AA86E5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220~255</w:t>
            </w:r>
          </w:p>
        </w:tc>
      </w:tr>
      <w:tr w14:paraId="4FECAA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24924BC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临界温度（℃）</w:t>
            </w:r>
          </w:p>
        </w:tc>
        <w:tc>
          <w:tcPr>
            <w:tcW w:w="1479" w:type="pct"/>
            <w:noWrap w:val="0"/>
            <w:vAlign w:val="center"/>
          </w:tcPr>
          <w:p w14:paraId="3A05C7CE">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376</w:t>
            </w:r>
          </w:p>
        </w:tc>
        <w:tc>
          <w:tcPr>
            <w:tcW w:w="890" w:type="pct"/>
            <w:noWrap w:val="0"/>
            <w:vAlign w:val="center"/>
          </w:tcPr>
          <w:p w14:paraId="6A8A7D2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临界压力（MPa）</w:t>
            </w:r>
          </w:p>
        </w:tc>
        <w:tc>
          <w:tcPr>
            <w:tcW w:w="2109" w:type="pct"/>
            <w:noWrap w:val="0"/>
            <w:vAlign w:val="center"/>
          </w:tcPr>
          <w:p w14:paraId="68EFD5A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无资料</w:t>
            </w:r>
          </w:p>
        </w:tc>
      </w:tr>
      <w:tr w14:paraId="76A581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08379E6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闪点（℃）</w:t>
            </w:r>
          </w:p>
        </w:tc>
        <w:tc>
          <w:tcPr>
            <w:tcW w:w="1479" w:type="pct"/>
            <w:noWrap w:val="0"/>
            <w:vAlign w:val="center"/>
          </w:tcPr>
          <w:p w14:paraId="4837259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32~46</w:t>
            </w:r>
          </w:p>
        </w:tc>
        <w:tc>
          <w:tcPr>
            <w:tcW w:w="890" w:type="pct"/>
            <w:noWrap w:val="0"/>
            <w:vAlign w:val="center"/>
          </w:tcPr>
          <w:p w14:paraId="3686983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爆炸极限%</w:t>
            </w:r>
          </w:p>
        </w:tc>
        <w:tc>
          <w:tcPr>
            <w:tcW w:w="2109" w:type="pct"/>
            <w:noWrap w:val="0"/>
            <w:vAlign w:val="center"/>
          </w:tcPr>
          <w:p w14:paraId="75081837">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0.8~6.0</w:t>
            </w:r>
          </w:p>
        </w:tc>
      </w:tr>
      <w:tr w14:paraId="794F12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2F0742E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稳定性</w:t>
            </w:r>
          </w:p>
        </w:tc>
        <w:tc>
          <w:tcPr>
            <w:tcW w:w="1479" w:type="pct"/>
            <w:noWrap w:val="0"/>
            <w:vAlign w:val="center"/>
          </w:tcPr>
          <w:p w14:paraId="2B7E35A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稳定</w:t>
            </w:r>
          </w:p>
        </w:tc>
        <w:tc>
          <w:tcPr>
            <w:tcW w:w="890" w:type="pct"/>
            <w:noWrap w:val="0"/>
            <w:vAlign w:val="center"/>
          </w:tcPr>
          <w:p w14:paraId="4C6719B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禁忌物</w:t>
            </w:r>
          </w:p>
        </w:tc>
        <w:tc>
          <w:tcPr>
            <w:tcW w:w="2109" w:type="pct"/>
            <w:noWrap w:val="0"/>
            <w:vAlign w:val="center"/>
          </w:tcPr>
          <w:p w14:paraId="07B9BAD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强氧化剂、硝酸</w:t>
            </w:r>
          </w:p>
        </w:tc>
      </w:tr>
      <w:tr w14:paraId="7A4202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189E6C4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有害燃烧产物</w:t>
            </w:r>
          </w:p>
        </w:tc>
        <w:tc>
          <w:tcPr>
            <w:tcW w:w="1479" w:type="pct"/>
            <w:noWrap w:val="0"/>
            <w:vAlign w:val="center"/>
          </w:tcPr>
          <w:p w14:paraId="7236584E">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一氧化碳</w:t>
            </w:r>
          </w:p>
        </w:tc>
        <w:tc>
          <w:tcPr>
            <w:tcW w:w="890" w:type="pct"/>
            <w:noWrap w:val="0"/>
            <w:vAlign w:val="center"/>
          </w:tcPr>
          <w:p w14:paraId="29EA75DA">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p>
        </w:tc>
        <w:tc>
          <w:tcPr>
            <w:tcW w:w="2109" w:type="pct"/>
            <w:noWrap w:val="0"/>
            <w:vAlign w:val="center"/>
          </w:tcPr>
          <w:p w14:paraId="30E4F64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p>
        </w:tc>
      </w:tr>
      <w:tr w14:paraId="7DE141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5F90C250">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灭火方式</w:t>
            </w:r>
          </w:p>
        </w:tc>
        <w:tc>
          <w:tcPr>
            <w:tcW w:w="4480" w:type="pct"/>
            <w:gridSpan w:val="3"/>
            <w:noWrap w:val="0"/>
            <w:vAlign w:val="center"/>
          </w:tcPr>
          <w:p w14:paraId="2502404C">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用泡沫、二氧化碳、干粉、砂土灭火。</w:t>
            </w:r>
          </w:p>
        </w:tc>
      </w:tr>
      <w:tr w14:paraId="6C631B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01F8866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用途</w:t>
            </w:r>
          </w:p>
        </w:tc>
        <w:tc>
          <w:tcPr>
            <w:tcW w:w="4480" w:type="pct"/>
            <w:gridSpan w:val="3"/>
            <w:noWrap w:val="0"/>
            <w:vAlign w:val="center"/>
          </w:tcPr>
          <w:p w14:paraId="4E035459">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主要用于多种金属和非金属浮选良好起泡剂，可与多种钠黄药配合使用。也可单独做浮选捕收剂使用。</w:t>
            </w:r>
          </w:p>
        </w:tc>
      </w:tr>
      <w:tr w14:paraId="3D0509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42B0E998">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危险性概述</w:t>
            </w:r>
          </w:p>
        </w:tc>
      </w:tr>
      <w:tr w14:paraId="79BCE9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618A68D0">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危险性类别</w:t>
            </w:r>
          </w:p>
        </w:tc>
        <w:tc>
          <w:tcPr>
            <w:tcW w:w="4480" w:type="pct"/>
            <w:gridSpan w:val="3"/>
            <w:noWrap w:val="0"/>
            <w:vAlign w:val="center"/>
          </w:tcPr>
          <w:p w14:paraId="2C43462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第3.3类</w:t>
            </w:r>
            <w:r>
              <w:rPr>
                <w:rFonts w:hint="default" w:ascii="Times New Roman" w:hAnsi="Times New Roman" w:eastAsia="Times New Roman" w:cs="Times New Roman"/>
                <w:color w:val="auto"/>
                <w:sz w:val="21"/>
                <w:highlight w:val="none"/>
              </w:rPr>
              <w:t xml:space="preserve">   </w:t>
            </w:r>
            <w:r>
              <w:rPr>
                <w:rFonts w:hint="default" w:ascii="Times New Roman" w:hAnsi="Times New Roman" w:eastAsia="Times New Roman" w:cs="Times New Roman"/>
                <w:color w:val="auto"/>
                <w:sz w:val="21"/>
                <w:highlight w:val="none"/>
                <w:lang w:eastAsia="en-US"/>
              </w:rPr>
              <w:t>高闪点液体</w:t>
            </w:r>
          </w:p>
        </w:tc>
      </w:tr>
      <w:tr w14:paraId="11B9A9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48B30A0E">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侵入途径</w:t>
            </w:r>
          </w:p>
        </w:tc>
        <w:tc>
          <w:tcPr>
            <w:tcW w:w="4480" w:type="pct"/>
            <w:gridSpan w:val="3"/>
            <w:noWrap w:val="0"/>
            <w:vAlign w:val="center"/>
          </w:tcPr>
          <w:p w14:paraId="3C45B5EF">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吸入、食入、经皮吸收</w:t>
            </w:r>
          </w:p>
        </w:tc>
      </w:tr>
      <w:tr w14:paraId="3BBA41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6F7D988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健康危害</w:t>
            </w:r>
          </w:p>
        </w:tc>
        <w:tc>
          <w:tcPr>
            <w:tcW w:w="4480" w:type="pct"/>
            <w:gridSpan w:val="3"/>
            <w:noWrap w:val="0"/>
            <w:vAlign w:val="center"/>
          </w:tcPr>
          <w:p w14:paraId="022E6136">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急性中毒：高浓度蒸汽可引起麻醉作用，出现平衡失调、</w:t>
            </w:r>
            <w:r>
              <w:rPr>
                <w:rFonts w:hint="default" w:ascii="Times New Roman" w:hAnsi="Times New Roman" w:cs="Times New Roman"/>
                <w:color w:val="auto"/>
                <w:sz w:val="21"/>
                <w:highlight w:val="none"/>
                <w:lang w:eastAsia="zh-CN"/>
              </w:rPr>
              <w:t>四肢</w:t>
            </w:r>
            <w:r>
              <w:rPr>
                <w:rFonts w:hint="default" w:ascii="Times New Roman" w:hAnsi="Times New Roman" w:eastAsia="Times New Roman" w:cs="Times New Roman"/>
                <w:color w:val="auto"/>
                <w:sz w:val="21"/>
                <w:highlight w:val="none"/>
              </w:rPr>
              <w:t>痉挛性抽搐、流涎、头痛、眩晕。可引起膀胱炎。有时有肾损害。还可以出现眼及呼吸道刺激症状。液体溅入眼内，可引起结膜炎及角膜灼伤。慢性影响：长期接触可发生呼吸道刺激症状及乏力、嗜睡、头痛、眩晕、食欲减退等。还可能有尿频及蛋白尿。对皮肤有原发性刺激作用，引起脱脂、干燥发红等。 可引起过敏性皮炎，表现为红斑或丘疹，有瘙痒感；</w:t>
            </w:r>
            <w:r>
              <w:rPr>
                <w:rFonts w:hint="default" w:eastAsia="宋体" w:cs="Times New Roman"/>
                <w:color w:val="auto"/>
                <w:sz w:val="21"/>
                <w:highlight w:val="none"/>
                <w:lang w:eastAsia="zh-CN"/>
              </w:rPr>
              <w:t>肿</w:t>
            </w:r>
            <w:r>
              <w:rPr>
                <w:rFonts w:hint="default" w:ascii="Times New Roman" w:hAnsi="Times New Roman" w:eastAsia="Times New Roman" w:cs="Times New Roman"/>
                <w:color w:val="auto"/>
                <w:sz w:val="21"/>
                <w:highlight w:val="none"/>
              </w:rPr>
              <w:t>着可发生水疱及脓包；特别敏感者可发生全身性皮炎。</w:t>
            </w:r>
          </w:p>
        </w:tc>
      </w:tr>
      <w:tr w14:paraId="60BD72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496ED31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环境危害</w:t>
            </w:r>
          </w:p>
        </w:tc>
        <w:tc>
          <w:tcPr>
            <w:tcW w:w="4480" w:type="pct"/>
            <w:gridSpan w:val="3"/>
            <w:noWrap w:val="0"/>
            <w:vAlign w:val="center"/>
          </w:tcPr>
          <w:p w14:paraId="366C8C65">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对水生生物有毒，可能在水生环境中造成长期不利影响。</w:t>
            </w:r>
          </w:p>
        </w:tc>
      </w:tr>
      <w:tr w14:paraId="6A2234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4036CAC7">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燃爆危险</w:t>
            </w:r>
          </w:p>
        </w:tc>
        <w:tc>
          <w:tcPr>
            <w:tcW w:w="4480" w:type="pct"/>
            <w:gridSpan w:val="3"/>
            <w:noWrap w:val="0"/>
            <w:vAlign w:val="center"/>
          </w:tcPr>
          <w:p w14:paraId="41A1ED9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易燃，其蒸气与空气混合，能形成爆炸性混合物。</w:t>
            </w:r>
          </w:p>
        </w:tc>
      </w:tr>
      <w:tr w14:paraId="625D4E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28C0EB2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急救措施</w:t>
            </w:r>
          </w:p>
        </w:tc>
      </w:tr>
      <w:tr w14:paraId="493B00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4B58388A">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皮肤接触</w:t>
            </w:r>
          </w:p>
        </w:tc>
        <w:tc>
          <w:tcPr>
            <w:tcW w:w="4480" w:type="pct"/>
            <w:gridSpan w:val="3"/>
            <w:noWrap w:val="0"/>
            <w:vAlign w:val="center"/>
          </w:tcPr>
          <w:p w14:paraId="57D4EA6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大量流动清水冲洗。用肥皂水和清水彻底冲洗皮肤。</w:t>
            </w:r>
            <w:r>
              <w:rPr>
                <w:rFonts w:hint="default" w:ascii="Times New Roman" w:hAnsi="Times New Roman" w:eastAsia="Times New Roman" w:cs="Times New Roman"/>
                <w:color w:val="auto"/>
                <w:sz w:val="21"/>
                <w:highlight w:val="none"/>
                <w:lang w:eastAsia="en-US"/>
              </w:rPr>
              <w:t>如有不适感，就医。</w:t>
            </w:r>
          </w:p>
        </w:tc>
      </w:tr>
      <w:tr w14:paraId="567618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00625AC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眼睛接触</w:t>
            </w:r>
          </w:p>
        </w:tc>
        <w:tc>
          <w:tcPr>
            <w:tcW w:w="4480" w:type="pct"/>
            <w:gridSpan w:val="3"/>
            <w:noWrap w:val="0"/>
            <w:vAlign w:val="center"/>
          </w:tcPr>
          <w:p w14:paraId="7746F6F3">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立即提起眼睑，用大量流动清水或生理盐水彻底冲洗10~15分钟。</w:t>
            </w:r>
            <w:r>
              <w:rPr>
                <w:rFonts w:hint="default" w:ascii="Times New Roman" w:hAnsi="Times New Roman" w:eastAsia="Times New Roman" w:cs="Times New Roman"/>
                <w:color w:val="auto"/>
                <w:sz w:val="21"/>
                <w:highlight w:val="none"/>
                <w:lang w:eastAsia="en-US"/>
              </w:rPr>
              <w:t>如有不适感，就医。</w:t>
            </w:r>
          </w:p>
        </w:tc>
      </w:tr>
      <w:tr w14:paraId="04CDF2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494190F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吸入</w:t>
            </w:r>
          </w:p>
        </w:tc>
        <w:tc>
          <w:tcPr>
            <w:tcW w:w="4480" w:type="pct"/>
            <w:gridSpan w:val="3"/>
            <w:noWrap w:val="0"/>
            <w:vAlign w:val="center"/>
          </w:tcPr>
          <w:p w14:paraId="783D6F3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脱离现场至空气清新处。保持呼吸道通畅。如呼吸困难，给输氧。呼吸、心跳停止，立即进行心肺复苏术。</w:t>
            </w:r>
            <w:r>
              <w:rPr>
                <w:rFonts w:hint="default" w:ascii="Times New Roman" w:hAnsi="Times New Roman" w:eastAsia="Times New Roman" w:cs="Times New Roman"/>
                <w:color w:val="auto"/>
                <w:sz w:val="21"/>
                <w:highlight w:val="none"/>
                <w:lang w:eastAsia="en-US"/>
              </w:rPr>
              <w:t>就医。</w:t>
            </w:r>
          </w:p>
        </w:tc>
      </w:tr>
      <w:tr w14:paraId="5DE426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3047699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食入</w:t>
            </w:r>
          </w:p>
        </w:tc>
        <w:tc>
          <w:tcPr>
            <w:tcW w:w="4480" w:type="pct"/>
            <w:gridSpan w:val="3"/>
            <w:noWrap w:val="0"/>
            <w:vAlign w:val="center"/>
          </w:tcPr>
          <w:p w14:paraId="0019741A">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尽量饮水，禁止催吐。如有不适感，就医。</w:t>
            </w:r>
          </w:p>
        </w:tc>
      </w:tr>
      <w:tr w14:paraId="35EC62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5A92FD65">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泄漏应急处理</w:t>
            </w:r>
          </w:p>
        </w:tc>
      </w:tr>
      <w:tr w14:paraId="0B2683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2338A98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应急处理</w:t>
            </w:r>
          </w:p>
        </w:tc>
        <w:tc>
          <w:tcPr>
            <w:tcW w:w="4480" w:type="pct"/>
            <w:gridSpan w:val="3"/>
            <w:noWrap w:val="0"/>
            <w:vAlign w:val="center"/>
          </w:tcPr>
          <w:p w14:paraId="6A237491">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消除所有点火源，根据液体流动和蒸汽扩散的影响区域划定警戒区，无关人员从侧风、上风向撤离至安全区。建议应急处理人员戴正压自给式呼吸器，穿防静电服，戴橡胶耐油手套。作业时使用的所有设备应接地。禁止接触或跨越</w:t>
            </w:r>
            <w:r>
              <w:rPr>
                <w:rFonts w:hint="default" w:eastAsia="宋体" w:cs="Times New Roman"/>
                <w:color w:val="auto"/>
                <w:sz w:val="21"/>
                <w:highlight w:val="none"/>
                <w:lang w:eastAsia="zh-CN"/>
              </w:rPr>
              <w:t>泄漏</w:t>
            </w:r>
            <w:r>
              <w:rPr>
                <w:rFonts w:hint="default" w:ascii="Times New Roman" w:hAnsi="Times New Roman" w:eastAsia="Times New Roman" w:cs="Times New Roman"/>
                <w:color w:val="auto"/>
                <w:sz w:val="21"/>
                <w:highlight w:val="none"/>
              </w:rPr>
              <w:t>物。尽可能切断泄漏源。防止泄漏物进入水体、下水道、地下室或限制性空间。小量</w:t>
            </w:r>
            <w:r>
              <w:rPr>
                <w:rFonts w:hint="default" w:eastAsia="宋体" w:cs="Times New Roman"/>
                <w:color w:val="auto"/>
                <w:sz w:val="21"/>
                <w:highlight w:val="none"/>
                <w:lang w:eastAsia="zh-CN"/>
              </w:rPr>
              <w:t>泄漏</w:t>
            </w:r>
            <w:r>
              <w:rPr>
                <w:rFonts w:hint="default" w:ascii="Times New Roman" w:hAnsi="Times New Roman" w:eastAsia="Times New Roman" w:cs="Times New Roman"/>
                <w:color w:val="auto"/>
                <w:sz w:val="21"/>
                <w:highlight w:val="none"/>
              </w:rPr>
              <w:t>：用砂土或其他不燃性材料吸收。使用洁净的无火花工具收集吸收材料。大量</w:t>
            </w:r>
            <w:r>
              <w:rPr>
                <w:rFonts w:hint="default" w:eastAsia="宋体" w:cs="Times New Roman"/>
                <w:color w:val="auto"/>
                <w:sz w:val="21"/>
                <w:highlight w:val="none"/>
                <w:lang w:eastAsia="zh-CN"/>
              </w:rPr>
              <w:t>泄漏</w:t>
            </w:r>
            <w:r>
              <w:rPr>
                <w:rFonts w:hint="default" w:ascii="Times New Roman" w:hAnsi="Times New Roman" w:eastAsia="Times New Roman" w:cs="Times New Roman"/>
                <w:color w:val="auto"/>
                <w:sz w:val="21"/>
                <w:highlight w:val="none"/>
              </w:rPr>
              <w:t>：构筑围堤或挖坑收容。用泡沫覆盖，减少蒸汽。喷水雾能减少蒸汽，但不能降低泄漏物在局限性空间内的易燃性。</w:t>
            </w:r>
            <w:r>
              <w:rPr>
                <w:rFonts w:hint="default" w:ascii="Times New Roman" w:hAnsi="Times New Roman" w:eastAsia="Times New Roman" w:cs="Times New Roman"/>
                <w:color w:val="auto"/>
                <w:sz w:val="21"/>
                <w:highlight w:val="none"/>
                <w:lang w:eastAsia="en-US"/>
              </w:rPr>
              <w:t>用防爆泵转移至槽车或专用收集器内。</w:t>
            </w:r>
          </w:p>
        </w:tc>
      </w:tr>
      <w:tr w14:paraId="7C5928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1A0EC44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操作处置与储存</w:t>
            </w:r>
          </w:p>
        </w:tc>
      </w:tr>
      <w:tr w14:paraId="575407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2B80724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操作注意事项</w:t>
            </w:r>
          </w:p>
        </w:tc>
        <w:tc>
          <w:tcPr>
            <w:tcW w:w="4480" w:type="pct"/>
            <w:gridSpan w:val="3"/>
            <w:noWrap w:val="0"/>
            <w:vAlign w:val="center"/>
          </w:tcPr>
          <w:p w14:paraId="7C5725D9">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rPr>
              <w:t>密闭操作，全面通风。操作人员必须经过专门培训，严格遵守操作规程。建议操作人员佩戴自吸过滤式防毒面具（半面罩），戴橡胶耐油手套。远离火种、热源。工作场所严禁吸烟。使用防爆型的通风系统和设备。防止蒸气泄漏到工作场所空气中。避免与氧化剂、酸类接触。灌装时应控制流速，且有接地装置，防止静电积聚。搬运时要轻装轻卸，防止包装及容器损坏。配备相应品种和数量的消防器材及</w:t>
            </w:r>
            <w:r>
              <w:rPr>
                <w:rFonts w:hint="default" w:ascii="Times New Roman" w:hAnsi="Times New Roman" w:cs="Times New Roman"/>
                <w:color w:val="auto"/>
                <w:sz w:val="21"/>
                <w:highlight w:val="none"/>
                <w:lang w:eastAsia="zh-CN"/>
              </w:rPr>
              <w:t>泄漏</w:t>
            </w:r>
            <w:r>
              <w:rPr>
                <w:rFonts w:hint="default" w:ascii="Times New Roman" w:hAnsi="Times New Roman" w:eastAsia="Times New Roman" w:cs="Times New Roman"/>
                <w:color w:val="auto"/>
                <w:sz w:val="21"/>
                <w:highlight w:val="none"/>
              </w:rPr>
              <w:t>应急处理设备。</w:t>
            </w:r>
            <w:r>
              <w:rPr>
                <w:rFonts w:hint="default" w:ascii="Times New Roman" w:hAnsi="Times New Roman" w:eastAsia="Times New Roman" w:cs="Times New Roman"/>
                <w:color w:val="auto"/>
                <w:sz w:val="21"/>
                <w:highlight w:val="none"/>
                <w:lang w:eastAsia="en-US"/>
              </w:rPr>
              <w:t>倒空的容器可能残留有害物。</w:t>
            </w:r>
          </w:p>
        </w:tc>
      </w:tr>
      <w:tr w14:paraId="78D6A7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3543667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储存注意事项</w:t>
            </w:r>
          </w:p>
        </w:tc>
        <w:tc>
          <w:tcPr>
            <w:tcW w:w="4480" w:type="pct"/>
            <w:gridSpan w:val="3"/>
            <w:noWrap w:val="0"/>
            <w:vAlign w:val="center"/>
          </w:tcPr>
          <w:p w14:paraId="578F6C07">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储存于阴凉、通风的库房，远离火种、热源。库温不宜超过37℃。保持容器密封。应与氧化剂、酸类分开存放，切忌混储。采用防爆型照明、通风设施。禁止使用易产生火花的机械设备和工具。储区应备有处理设备和合适的收容材料。</w:t>
            </w:r>
          </w:p>
        </w:tc>
      </w:tr>
      <w:tr w14:paraId="1D6074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78E19A5B">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防护措施</w:t>
            </w:r>
          </w:p>
        </w:tc>
      </w:tr>
      <w:tr w14:paraId="772C57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764F6EF7">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呼吸系统防护</w:t>
            </w:r>
          </w:p>
        </w:tc>
        <w:tc>
          <w:tcPr>
            <w:tcW w:w="4480" w:type="pct"/>
            <w:gridSpan w:val="3"/>
            <w:noWrap w:val="0"/>
            <w:vAlign w:val="center"/>
          </w:tcPr>
          <w:p w14:paraId="3CE5ADF3">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高浓度环境中，应该</w:t>
            </w:r>
            <w:r>
              <w:rPr>
                <w:rFonts w:hint="default" w:eastAsia="宋体" w:cs="Times New Roman"/>
                <w:color w:val="auto"/>
                <w:sz w:val="21"/>
                <w:highlight w:val="none"/>
                <w:lang w:eastAsia="zh-CN"/>
              </w:rPr>
              <w:t>佩戴</w:t>
            </w:r>
            <w:r>
              <w:rPr>
                <w:rFonts w:hint="default" w:ascii="Times New Roman" w:hAnsi="Times New Roman" w:eastAsia="Times New Roman" w:cs="Times New Roman"/>
                <w:color w:val="auto"/>
                <w:sz w:val="21"/>
                <w:highlight w:val="none"/>
              </w:rPr>
              <w:t>过滤式防毒面具（半面罩）。</w:t>
            </w:r>
          </w:p>
        </w:tc>
      </w:tr>
      <w:tr w14:paraId="0EFA0B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1566F00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眼睛防护</w:t>
            </w:r>
          </w:p>
        </w:tc>
        <w:tc>
          <w:tcPr>
            <w:tcW w:w="4480" w:type="pct"/>
            <w:gridSpan w:val="3"/>
            <w:noWrap w:val="0"/>
            <w:vAlign w:val="center"/>
          </w:tcPr>
          <w:p w14:paraId="5363B681">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必要时，戴化学安全</w:t>
            </w:r>
            <w:r>
              <w:rPr>
                <w:rFonts w:hint="default" w:ascii="Times New Roman" w:hAnsi="Times New Roman" w:cs="Times New Roman"/>
                <w:color w:val="auto"/>
                <w:sz w:val="21"/>
                <w:highlight w:val="none"/>
                <w:lang w:eastAsia="zh-CN"/>
              </w:rPr>
              <w:t>防护眼镜</w:t>
            </w:r>
            <w:r>
              <w:rPr>
                <w:rFonts w:hint="default" w:ascii="Times New Roman" w:hAnsi="Times New Roman" w:eastAsia="Times New Roman" w:cs="Times New Roman"/>
                <w:color w:val="auto"/>
                <w:sz w:val="21"/>
                <w:highlight w:val="none"/>
              </w:rPr>
              <w:t>。</w:t>
            </w:r>
          </w:p>
        </w:tc>
      </w:tr>
      <w:tr w14:paraId="24F24F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53BE2660">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身体防护</w:t>
            </w:r>
          </w:p>
        </w:tc>
        <w:tc>
          <w:tcPr>
            <w:tcW w:w="4480" w:type="pct"/>
            <w:gridSpan w:val="3"/>
            <w:noWrap w:val="0"/>
            <w:vAlign w:val="center"/>
          </w:tcPr>
          <w:p w14:paraId="0950EF74">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穿化学防护服。</w:t>
            </w:r>
          </w:p>
        </w:tc>
      </w:tr>
      <w:tr w14:paraId="113754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6D5288FF">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手防护</w:t>
            </w:r>
          </w:p>
        </w:tc>
        <w:tc>
          <w:tcPr>
            <w:tcW w:w="4480" w:type="pct"/>
            <w:gridSpan w:val="3"/>
            <w:noWrap w:val="0"/>
            <w:vAlign w:val="center"/>
          </w:tcPr>
          <w:p w14:paraId="1DA77D30">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戴橡胶耐油手套。</w:t>
            </w:r>
          </w:p>
        </w:tc>
      </w:tr>
      <w:tr w14:paraId="25C73F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7EE4D032">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其他防护</w:t>
            </w:r>
          </w:p>
        </w:tc>
        <w:tc>
          <w:tcPr>
            <w:tcW w:w="4480" w:type="pct"/>
            <w:gridSpan w:val="3"/>
            <w:noWrap w:val="0"/>
            <w:vAlign w:val="center"/>
          </w:tcPr>
          <w:p w14:paraId="140A51B1">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工作现场严禁吸烟。避免长期反复接触。</w:t>
            </w:r>
          </w:p>
        </w:tc>
      </w:tr>
      <w:tr w14:paraId="0D4470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040E1768">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毒理学资料</w:t>
            </w:r>
          </w:p>
        </w:tc>
      </w:tr>
      <w:tr w14:paraId="34A330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18BC3F6E">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急性毒性</w:t>
            </w:r>
          </w:p>
        </w:tc>
        <w:tc>
          <w:tcPr>
            <w:tcW w:w="4480" w:type="pct"/>
            <w:gridSpan w:val="3"/>
            <w:noWrap w:val="0"/>
            <w:vAlign w:val="center"/>
          </w:tcPr>
          <w:p w14:paraId="39C1C3A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LD</w:t>
            </w:r>
            <w:r>
              <w:rPr>
                <w:rFonts w:hint="default" w:ascii="Times New Roman" w:hAnsi="Times New Roman" w:eastAsia="Times New Roman" w:cs="Times New Roman"/>
                <w:color w:val="auto"/>
                <w:sz w:val="21"/>
                <w:highlight w:val="none"/>
                <w:vertAlign w:val="subscript"/>
                <w:lang w:eastAsia="en-US"/>
              </w:rPr>
              <w:t>50</w:t>
            </w:r>
            <w:r>
              <w:rPr>
                <w:rFonts w:hint="default" w:ascii="Times New Roman" w:hAnsi="Times New Roman" w:eastAsia="Times New Roman" w:cs="Times New Roman"/>
                <w:color w:val="auto"/>
                <w:sz w:val="21"/>
                <w:highlight w:val="none"/>
                <w:lang w:eastAsia="en-US"/>
              </w:rPr>
              <w:t>：5760mg/kg（大鼠经口）；LC</w:t>
            </w:r>
            <w:r>
              <w:rPr>
                <w:rFonts w:hint="default" w:ascii="Times New Roman" w:hAnsi="Times New Roman" w:eastAsia="Times New Roman" w:cs="Times New Roman"/>
                <w:color w:val="auto"/>
                <w:sz w:val="21"/>
                <w:highlight w:val="none"/>
                <w:vertAlign w:val="subscript"/>
                <w:lang w:eastAsia="en-US"/>
              </w:rPr>
              <w:t>50</w:t>
            </w:r>
            <w:r>
              <w:rPr>
                <w:rFonts w:hint="default" w:ascii="Times New Roman" w:hAnsi="Times New Roman" w:eastAsia="Times New Roman" w:cs="Times New Roman"/>
                <w:color w:val="auto"/>
                <w:sz w:val="21"/>
                <w:highlight w:val="none"/>
                <w:lang w:eastAsia="en-US"/>
              </w:rPr>
              <w:t>：12000mg/kg（大鼠吸入，6h）；29000mg/kg（小鼠吸入，2h）。</w:t>
            </w:r>
          </w:p>
        </w:tc>
      </w:tr>
      <w:tr w14:paraId="4F3F3D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28C0C256">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刺激性</w:t>
            </w:r>
          </w:p>
        </w:tc>
        <w:tc>
          <w:tcPr>
            <w:tcW w:w="4480" w:type="pct"/>
            <w:gridSpan w:val="3"/>
            <w:noWrap w:val="0"/>
            <w:vAlign w:val="center"/>
          </w:tcPr>
          <w:p w14:paraId="73902C1F">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家兔经皮：0.5ml，重度刺激。</w:t>
            </w:r>
          </w:p>
        </w:tc>
      </w:tr>
      <w:tr w14:paraId="23DC58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4"/>
            <w:noWrap w:val="0"/>
            <w:vAlign w:val="center"/>
          </w:tcPr>
          <w:p w14:paraId="191D1DFC">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b/>
                <w:bCs/>
                <w:color w:val="auto"/>
                <w:sz w:val="21"/>
                <w:highlight w:val="none"/>
                <w:lang w:eastAsia="en-US"/>
              </w:rPr>
              <w:t>运输信息</w:t>
            </w:r>
          </w:p>
        </w:tc>
      </w:tr>
      <w:tr w14:paraId="6779E6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5915A717">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包装方法</w:t>
            </w:r>
          </w:p>
        </w:tc>
        <w:tc>
          <w:tcPr>
            <w:tcW w:w="4480" w:type="pct"/>
            <w:gridSpan w:val="3"/>
            <w:noWrap w:val="0"/>
            <w:vAlign w:val="center"/>
          </w:tcPr>
          <w:p w14:paraId="4846D8E8">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小开口钢桶；螺纹口玻璃瓶、铁盖压口玻璃瓶、塑料瓶或金属桶外普通木箱；螺纹口玻璃瓶、塑料瓶或镀锡薄钢板桶外满底板花格箱、纤维板箱货胶合板箱。</w:t>
            </w:r>
          </w:p>
        </w:tc>
      </w:tr>
      <w:tr w14:paraId="6C998F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19" w:type="pct"/>
            <w:noWrap w:val="0"/>
            <w:vAlign w:val="center"/>
          </w:tcPr>
          <w:p w14:paraId="0B9F7C4D">
            <w:pPr>
              <w:spacing w:line="360" w:lineRule="exact"/>
              <w:ind w:firstLine="0" w:firstLineChars="0"/>
              <w:jc w:val="center"/>
              <w:rPr>
                <w:rFonts w:hint="default" w:ascii="Times New Roman" w:hAnsi="Times New Roman" w:eastAsia="Times New Roman" w:cs="Times New Roman"/>
                <w:color w:val="auto"/>
                <w:sz w:val="21"/>
                <w:highlight w:val="none"/>
                <w:lang w:eastAsia="en-US"/>
              </w:rPr>
            </w:pPr>
            <w:r>
              <w:rPr>
                <w:rFonts w:hint="default" w:ascii="Times New Roman" w:hAnsi="Times New Roman" w:eastAsia="Times New Roman" w:cs="Times New Roman"/>
                <w:color w:val="auto"/>
                <w:sz w:val="21"/>
                <w:highlight w:val="none"/>
                <w:lang w:eastAsia="en-US"/>
              </w:rPr>
              <w:t>运输注意事项</w:t>
            </w:r>
          </w:p>
        </w:tc>
        <w:tc>
          <w:tcPr>
            <w:tcW w:w="4480" w:type="pct"/>
            <w:gridSpan w:val="3"/>
            <w:noWrap w:val="0"/>
            <w:vAlign w:val="center"/>
          </w:tcPr>
          <w:p w14:paraId="30C9C6EC">
            <w:pPr>
              <w:spacing w:line="360" w:lineRule="exac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eastAsia="Times New Roman" w:cs="Times New Roman"/>
                <w:color w:val="auto"/>
                <w:sz w:val="21"/>
                <w:highlight w:val="none"/>
              </w:rPr>
              <w:t>运输时运输车辆应配备相应品种和数量的消防器材及</w:t>
            </w:r>
            <w:r>
              <w:rPr>
                <w:rFonts w:hint="default" w:ascii="Times New Roman" w:hAnsi="Times New Roman" w:cs="Times New Roman"/>
                <w:color w:val="auto"/>
                <w:sz w:val="21"/>
                <w:highlight w:val="none"/>
                <w:lang w:eastAsia="zh-CN"/>
              </w:rPr>
              <w:t>泄漏</w:t>
            </w:r>
            <w:r>
              <w:rPr>
                <w:rFonts w:hint="default" w:ascii="Times New Roman" w:hAnsi="Times New Roman" w:eastAsia="Times New Roman" w:cs="Times New Roman"/>
                <w:color w:val="auto"/>
                <w:sz w:val="21"/>
                <w:highlight w:val="none"/>
              </w:rPr>
              <w:t>应急处理设备。夏季最好早晚运输。运输时所有的罐车应有接地链，槽内可设孔隔板以减少震荡产生静电。严禁与氧化剂、酸类、食用化学品等混装混运。运输途中应防暴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bookmarkEnd w:id="364"/>
    </w:tbl>
    <w:p w14:paraId="7A6CFBD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）主要能源消耗</w:t>
      </w:r>
    </w:p>
    <w:p w14:paraId="1398B9C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本项目主要能源消耗为：电、水、煤、柴油等，具体见表3.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cs="Times New Roman"/>
          <w:color w:val="auto"/>
          <w:highlight w:val="none"/>
          <w:lang w:val="en-US" w:eastAsia="zh-CN"/>
        </w:rPr>
        <w:t>2</w:t>
      </w:r>
      <w:r>
        <w:rPr>
          <w:rFonts w:hint="default" w:ascii="Times New Roman" w:hAnsi="Times New Roman" w:cs="Times New Roman"/>
          <w:color w:val="auto"/>
          <w:highlight w:val="none"/>
        </w:rPr>
        <w:t>。</w:t>
      </w:r>
    </w:p>
    <w:p w14:paraId="14FC416D">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w:t>
      </w:r>
      <w:r>
        <w:rPr>
          <w:rFonts w:hint="default" w:cs="Times New Roman"/>
          <w:b/>
          <w:color w:val="auto"/>
          <w:highlight w:val="none"/>
          <w:lang w:val="en-US" w:eastAsia="zh-CN"/>
        </w:rPr>
        <w:t>2</w:t>
      </w:r>
      <w:r>
        <w:rPr>
          <w:rFonts w:hint="default" w:ascii="Times New Roman" w:hAnsi="Times New Roman" w:cs="Times New Roman"/>
          <w:b/>
          <w:color w:val="auto"/>
          <w:highlight w:val="none"/>
        </w:rPr>
        <w:t xml:space="preserve">    本项目主要能源消耗核算表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886"/>
        <w:gridCol w:w="3508"/>
        <w:gridCol w:w="2354"/>
      </w:tblGrid>
      <w:tr w14:paraId="1D23C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775" w:type="pct"/>
            <w:tcBorders>
              <w:tl2br w:val="nil"/>
              <w:tr2bl w:val="nil"/>
            </w:tcBorders>
            <w:shd w:val="clear" w:color="auto" w:fill="auto"/>
            <w:vAlign w:val="center"/>
          </w:tcPr>
          <w:p w14:paraId="2EDFC019">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1028" w:type="pct"/>
            <w:tcBorders>
              <w:tl2br w:val="nil"/>
              <w:tr2bl w:val="nil"/>
            </w:tcBorders>
            <w:shd w:val="clear" w:color="auto" w:fill="auto"/>
            <w:vAlign w:val="center"/>
          </w:tcPr>
          <w:p w14:paraId="2C70CC6B">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名称</w:t>
            </w:r>
          </w:p>
        </w:tc>
        <w:tc>
          <w:tcPr>
            <w:tcW w:w="1912" w:type="pct"/>
            <w:tcBorders>
              <w:tl2br w:val="nil"/>
              <w:tr2bl w:val="nil"/>
            </w:tcBorders>
            <w:shd w:val="clear" w:color="auto" w:fill="auto"/>
            <w:vAlign w:val="center"/>
          </w:tcPr>
          <w:p w14:paraId="500D5C75">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年消耗量</w:t>
            </w:r>
          </w:p>
        </w:tc>
        <w:tc>
          <w:tcPr>
            <w:tcW w:w="1283" w:type="pct"/>
            <w:tcBorders>
              <w:tl2br w:val="nil"/>
              <w:tr2bl w:val="nil"/>
            </w:tcBorders>
            <w:shd w:val="clear" w:color="auto" w:fill="auto"/>
            <w:vAlign w:val="center"/>
          </w:tcPr>
          <w:p w14:paraId="39A149DA">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cs="Times New Roman"/>
                <w:b/>
                <w:bCs/>
                <w:color w:val="auto"/>
                <w:kern w:val="0"/>
                <w:sz w:val="21"/>
                <w:szCs w:val="21"/>
                <w:highlight w:val="none"/>
                <w:lang w:val="en-US" w:eastAsia="zh-CN"/>
              </w:rPr>
              <w:t>备注</w:t>
            </w:r>
          </w:p>
        </w:tc>
      </w:tr>
      <w:tr w14:paraId="2EC13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shd w:val="clear" w:color="auto" w:fill="auto"/>
            <w:vAlign w:val="center"/>
          </w:tcPr>
          <w:p w14:paraId="0302E5E7">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028" w:type="pct"/>
            <w:tcBorders>
              <w:tl2br w:val="nil"/>
              <w:tr2bl w:val="nil"/>
            </w:tcBorders>
            <w:shd w:val="clear" w:color="auto" w:fill="auto"/>
            <w:vAlign w:val="center"/>
          </w:tcPr>
          <w:p w14:paraId="1ABCD834">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新鲜水</w:t>
            </w:r>
          </w:p>
        </w:tc>
        <w:tc>
          <w:tcPr>
            <w:tcW w:w="1912" w:type="pct"/>
            <w:tcBorders>
              <w:tl2br w:val="nil"/>
              <w:tr2bl w:val="nil"/>
            </w:tcBorders>
            <w:shd w:val="clear" w:color="auto" w:fill="auto"/>
            <w:vAlign w:val="center"/>
          </w:tcPr>
          <w:p w14:paraId="22D4A4B0">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cs="Times New Roman"/>
                <w:color w:val="auto"/>
                <w:kern w:val="0"/>
                <w:sz w:val="21"/>
                <w:szCs w:val="21"/>
                <w:highlight w:val="none"/>
                <w:lang w:val="en-US" w:eastAsia="zh-CN"/>
              </w:rPr>
              <w:t>1.9393</w:t>
            </w:r>
            <w:r>
              <w:rPr>
                <w:rFonts w:hint="default" w:ascii="Times New Roman" w:hAnsi="Times New Roman" w:cs="Times New Roman"/>
                <w:color w:val="auto"/>
                <w:kern w:val="0"/>
                <w:sz w:val="21"/>
                <w:szCs w:val="21"/>
                <w:highlight w:val="none"/>
              </w:rPr>
              <w:t>×10</w:t>
            </w:r>
            <w:r>
              <w:rPr>
                <w:rFonts w:hint="default" w:ascii="Times New Roman" w:hAnsi="Times New Roman" w:cs="Times New Roman"/>
                <w:color w:val="auto"/>
                <w:kern w:val="0"/>
                <w:sz w:val="21"/>
                <w:szCs w:val="21"/>
                <w:highlight w:val="none"/>
                <w:vertAlign w:val="superscript"/>
              </w:rPr>
              <w:t>4</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/a</w:t>
            </w:r>
          </w:p>
        </w:tc>
        <w:tc>
          <w:tcPr>
            <w:tcW w:w="1283" w:type="pct"/>
            <w:tcBorders>
              <w:tl2br w:val="nil"/>
              <w:tr2bl w:val="nil"/>
            </w:tcBorders>
            <w:shd w:val="clear" w:color="auto" w:fill="auto"/>
            <w:vAlign w:val="center"/>
          </w:tcPr>
          <w:p w14:paraId="1D4B8C10">
            <w:pPr>
              <w:spacing w:line="360" w:lineRule="exact"/>
              <w:ind w:firstLine="0" w:firstLineChars="0"/>
              <w:jc w:val="center"/>
              <w:rPr>
                <w:rFonts w:hint="default"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供水管线</w:t>
            </w:r>
          </w:p>
        </w:tc>
      </w:tr>
      <w:tr w14:paraId="494B9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shd w:val="clear" w:color="auto" w:fill="auto"/>
            <w:vAlign w:val="center"/>
          </w:tcPr>
          <w:p w14:paraId="41EF5AC4">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028" w:type="pct"/>
            <w:tcBorders>
              <w:tl2br w:val="nil"/>
              <w:tr2bl w:val="nil"/>
            </w:tcBorders>
            <w:shd w:val="clear" w:color="auto" w:fill="auto"/>
            <w:vAlign w:val="center"/>
          </w:tcPr>
          <w:p w14:paraId="448AB86B">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w:t>
            </w:r>
          </w:p>
        </w:tc>
        <w:tc>
          <w:tcPr>
            <w:tcW w:w="1912" w:type="pct"/>
            <w:tcBorders>
              <w:tl2br w:val="nil"/>
              <w:tr2bl w:val="nil"/>
            </w:tcBorders>
            <w:shd w:val="clear" w:color="auto" w:fill="auto"/>
            <w:vAlign w:val="center"/>
          </w:tcPr>
          <w:p w14:paraId="25A832F3">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307.5</w:t>
            </w:r>
            <w:r>
              <w:rPr>
                <w:rFonts w:hint="default" w:ascii="Times New Roman" w:hAnsi="Times New Roman" w:cs="Times New Roman"/>
                <w:color w:val="auto"/>
                <w:kern w:val="0"/>
                <w:sz w:val="21"/>
                <w:szCs w:val="21"/>
                <w:highlight w:val="none"/>
              </w:rPr>
              <w:t>×10</w:t>
            </w:r>
            <w:r>
              <w:rPr>
                <w:rFonts w:hint="default" w:ascii="Times New Roman" w:hAnsi="Times New Roman" w:cs="Times New Roman"/>
                <w:color w:val="auto"/>
                <w:kern w:val="0"/>
                <w:sz w:val="21"/>
                <w:szCs w:val="21"/>
                <w:highlight w:val="none"/>
                <w:vertAlign w:val="superscript"/>
              </w:rPr>
              <w:t>4</w:t>
            </w:r>
            <w:r>
              <w:rPr>
                <w:rFonts w:hint="default" w:ascii="Times New Roman" w:hAnsi="Times New Roman" w:cs="Times New Roman"/>
                <w:color w:val="auto"/>
                <w:kern w:val="0"/>
                <w:sz w:val="21"/>
                <w:szCs w:val="21"/>
                <w:highlight w:val="none"/>
              </w:rPr>
              <w:t>kW</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h</w:t>
            </w:r>
          </w:p>
        </w:tc>
        <w:tc>
          <w:tcPr>
            <w:tcW w:w="1283" w:type="pct"/>
            <w:tcBorders>
              <w:tl2br w:val="nil"/>
              <w:tr2bl w:val="nil"/>
            </w:tcBorders>
            <w:shd w:val="clear" w:color="auto" w:fill="auto"/>
            <w:vAlign w:val="center"/>
          </w:tcPr>
          <w:p w14:paraId="189E16A2">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输电线路</w:t>
            </w:r>
          </w:p>
        </w:tc>
      </w:tr>
      <w:tr w14:paraId="3D5E7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shd w:val="clear" w:color="auto" w:fill="auto"/>
            <w:vAlign w:val="center"/>
          </w:tcPr>
          <w:p w14:paraId="5FC5ED25">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1028" w:type="pct"/>
            <w:tcBorders>
              <w:tl2br w:val="nil"/>
              <w:tr2bl w:val="nil"/>
            </w:tcBorders>
            <w:shd w:val="clear" w:color="auto" w:fill="auto"/>
            <w:vAlign w:val="center"/>
          </w:tcPr>
          <w:p w14:paraId="730466AB">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柴油</w:t>
            </w:r>
          </w:p>
        </w:tc>
        <w:tc>
          <w:tcPr>
            <w:tcW w:w="1912" w:type="pct"/>
            <w:tcBorders>
              <w:tl2br w:val="nil"/>
              <w:tr2bl w:val="nil"/>
            </w:tcBorders>
            <w:shd w:val="clear" w:color="auto" w:fill="auto"/>
            <w:vAlign w:val="center"/>
          </w:tcPr>
          <w:p w14:paraId="7DD39FE9">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35</w:t>
            </w:r>
            <w:r>
              <w:rPr>
                <w:rFonts w:hint="default" w:ascii="Times New Roman" w:hAnsi="Times New Roman" w:cs="Times New Roman"/>
                <w:color w:val="auto"/>
                <w:kern w:val="0"/>
                <w:sz w:val="21"/>
                <w:szCs w:val="21"/>
                <w:highlight w:val="none"/>
              </w:rPr>
              <w:t>t/a</w:t>
            </w:r>
          </w:p>
        </w:tc>
        <w:tc>
          <w:tcPr>
            <w:tcW w:w="1283" w:type="pct"/>
            <w:tcBorders>
              <w:tl2br w:val="nil"/>
              <w:tr2bl w:val="nil"/>
            </w:tcBorders>
            <w:shd w:val="clear" w:color="auto" w:fill="auto"/>
            <w:vAlign w:val="center"/>
          </w:tcPr>
          <w:p w14:paraId="43986A05">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加油站</w:t>
            </w:r>
            <w:r>
              <w:rPr>
                <w:rFonts w:hint="eastAsia" w:cs="Times New Roman"/>
                <w:color w:val="auto"/>
                <w:kern w:val="0"/>
                <w:sz w:val="21"/>
                <w:szCs w:val="21"/>
                <w:highlight w:val="none"/>
                <w:lang w:val="en-US" w:eastAsia="zh-CN"/>
              </w:rPr>
              <w:t>，不在场内贮存</w:t>
            </w:r>
          </w:p>
        </w:tc>
      </w:tr>
      <w:tr w14:paraId="4FAD2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shd w:val="clear" w:color="auto" w:fill="auto"/>
            <w:vAlign w:val="center"/>
          </w:tcPr>
          <w:p w14:paraId="7DBC629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w:t>
            </w:r>
          </w:p>
        </w:tc>
        <w:tc>
          <w:tcPr>
            <w:tcW w:w="1028" w:type="pct"/>
            <w:tcBorders>
              <w:tl2br w:val="nil"/>
              <w:tr2bl w:val="nil"/>
            </w:tcBorders>
            <w:shd w:val="clear" w:color="auto" w:fill="auto"/>
            <w:vAlign w:val="center"/>
          </w:tcPr>
          <w:p w14:paraId="55078B2E">
            <w:pPr>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汽油</w:t>
            </w:r>
          </w:p>
        </w:tc>
        <w:tc>
          <w:tcPr>
            <w:tcW w:w="1912" w:type="pct"/>
            <w:tcBorders>
              <w:tl2br w:val="nil"/>
              <w:tr2bl w:val="nil"/>
            </w:tcBorders>
            <w:shd w:val="clear" w:color="auto" w:fill="auto"/>
            <w:vAlign w:val="center"/>
          </w:tcPr>
          <w:p w14:paraId="4E3C11F2">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t/a</w:t>
            </w:r>
          </w:p>
        </w:tc>
        <w:tc>
          <w:tcPr>
            <w:tcW w:w="1283" w:type="pct"/>
            <w:tcBorders>
              <w:tl2br w:val="nil"/>
              <w:tr2bl w:val="nil"/>
            </w:tcBorders>
            <w:shd w:val="clear" w:color="auto" w:fill="auto"/>
            <w:vAlign w:val="center"/>
          </w:tcPr>
          <w:p w14:paraId="4E8735CF">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加油站</w:t>
            </w:r>
            <w:r>
              <w:rPr>
                <w:rFonts w:hint="eastAsia" w:cs="Times New Roman"/>
                <w:color w:val="auto"/>
                <w:kern w:val="0"/>
                <w:sz w:val="21"/>
                <w:szCs w:val="21"/>
                <w:highlight w:val="none"/>
                <w:lang w:val="en-US" w:eastAsia="zh-CN"/>
              </w:rPr>
              <w:t>，不在场内贮存</w:t>
            </w:r>
          </w:p>
        </w:tc>
      </w:tr>
    </w:tbl>
    <w:p w14:paraId="21C27D9B">
      <w:pPr>
        <w:numPr>
          <w:ilvl w:val="0"/>
          <w:numId w:val="2"/>
        </w:numPr>
        <w:ind w:left="0" w:leftChars="0" w:firstLine="480" w:firstLineChars="200"/>
        <w:rPr>
          <w:rFonts w:hint="default" w:ascii="Times New Roman" w:hAnsi="Times New Roman" w:eastAsia="宋体" w:cs="Times New Roman"/>
          <w:color w:val="auto"/>
          <w:highlight w:val="none"/>
          <w:lang w:val="en-US" w:eastAsia="zh-CN"/>
        </w:rPr>
      </w:pPr>
      <w:bookmarkStart w:id="365" w:name="_Toc4836"/>
      <w:bookmarkStart w:id="366" w:name="_Toc2969"/>
      <w:bookmarkStart w:id="367" w:name="_Toc9093"/>
      <w:r>
        <w:rPr>
          <w:rFonts w:hint="default" w:ascii="Times New Roman" w:hAnsi="Times New Roman" w:eastAsia="宋体" w:cs="Times New Roman"/>
          <w:color w:val="auto"/>
          <w:highlight w:val="none"/>
          <w:lang w:val="en-US" w:eastAsia="zh-CN"/>
        </w:rPr>
        <w:t>主要</w:t>
      </w:r>
      <w:r>
        <w:rPr>
          <w:rFonts w:hint="default" w:cs="Times New Roman"/>
          <w:color w:val="auto"/>
          <w:highlight w:val="none"/>
          <w:lang w:val="en-US" w:eastAsia="zh-CN"/>
        </w:rPr>
        <w:t>贮存</w:t>
      </w:r>
      <w:r>
        <w:rPr>
          <w:rFonts w:hint="default" w:ascii="Times New Roman" w:hAnsi="Times New Roman" w:eastAsia="宋体" w:cs="Times New Roman"/>
          <w:color w:val="auto"/>
          <w:highlight w:val="none"/>
          <w:lang w:val="en-US" w:eastAsia="zh-CN"/>
        </w:rPr>
        <w:t>设施</w:t>
      </w:r>
    </w:p>
    <w:p w14:paraId="4C744C8F">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本项目各贮存设施容积及贮存时间见表3.</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default"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p>
    <w:p w14:paraId="22AD6B91">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w:t>
      </w:r>
      <w:r>
        <w:rPr>
          <w:rFonts w:hint="default" w:cs="Times New Roman"/>
          <w:b/>
          <w:color w:val="auto"/>
          <w:highlight w:val="none"/>
          <w:lang w:val="en-US" w:eastAsia="zh-CN"/>
        </w:rPr>
        <w:t>3</w:t>
      </w:r>
      <w:r>
        <w:rPr>
          <w:rFonts w:hint="default" w:ascii="Times New Roman" w:hAnsi="Times New Roman" w:cs="Times New Roman"/>
          <w:b/>
          <w:color w:val="auto"/>
          <w:highlight w:val="none"/>
        </w:rPr>
        <w:t xml:space="preserve">    本项目各贮存设施容积及贮存时间</w:t>
      </w:r>
      <w:r>
        <w:rPr>
          <w:rFonts w:hint="default" w:ascii="Times New Roman" w:hAnsi="Times New Roman" w:cs="Times New Roman"/>
          <w:b/>
          <w:color w:val="auto"/>
          <w:highlight w:val="none"/>
          <w:lang w:val="en-US" w:eastAsia="zh-CN"/>
        </w:rPr>
        <w:t>统计</w:t>
      </w:r>
      <w:r>
        <w:rPr>
          <w:rFonts w:hint="default" w:ascii="Times New Roman" w:hAnsi="Times New Roman" w:cs="Times New Roman"/>
          <w:b/>
          <w:color w:val="auto"/>
          <w:highlight w:val="none"/>
        </w:rPr>
        <w:t>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1529"/>
        <w:gridCol w:w="1529"/>
        <w:gridCol w:w="1529"/>
        <w:gridCol w:w="1529"/>
        <w:gridCol w:w="1529"/>
      </w:tblGrid>
      <w:tr w14:paraId="78291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528" w:type="dxa"/>
          </w:tcPr>
          <w:p w14:paraId="24B9C388">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序号</w:t>
            </w:r>
          </w:p>
        </w:tc>
        <w:tc>
          <w:tcPr>
            <w:tcW w:w="1529" w:type="dxa"/>
          </w:tcPr>
          <w:p w14:paraId="3435C753">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名称</w:t>
            </w:r>
          </w:p>
        </w:tc>
        <w:tc>
          <w:tcPr>
            <w:tcW w:w="1529" w:type="dxa"/>
          </w:tcPr>
          <w:p w14:paraId="6081886F">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有效容积（m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w:t>
            </w:r>
          </w:p>
        </w:tc>
        <w:tc>
          <w:tcPr>
            <w:tcW w:w="1529" w:type="dxa"/>
          </w:tcPr>
          <w:p w14:paraId="59657A34">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储矿量（t）</w:t>
            </w:r>
          </w:p>
        </w:tc>
        <w:tc>
          <w:tcPr>
            <w:tcW w:w="1529" w:type="dxa"/>
          </w:tcPr>
          <w:p w14:paraId="5C038F54">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贮存时间</w:t>
            </w:r>
          </w:p>
        </w:tc>
        <w:tc>
          <w:tcPr>
            <w:tcW w:w="1529" w:type="dxa"/>
          </w:tcPr>
          <w:p w14:paraId="77C244A3">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cs="Times New Roman"/>
                <w:b/>
                <w:bCs/>
                <w:color w:val="auto"/>
                <w:kern w:val="0"/>
                <w:sz w:val="21"/>
                <w:szCs w:val="21"/>
                <w:highlight w:val="none"/>
                <w:lang w:val="en-US" w:eastAsia="zh-CN"/>
              </w:rPr>
              <w:t>数量（个）</w:t>
            </w:r>
          </w:p>
        </w:tc>
      </w:tr>
      <w:tr w14:paraId="4D815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8" w:type="dxa"/>
          </w:tcPr>
          <w:p w14:paraId="51CBBB3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529" w:type="dxa"/>
          </w:tcPr>
          <w:p w14:paraId="0FDFFC3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原矿仓</w:t>
            </w:r>
          </w:p>
        </w:tc>
        <w:tc>
          <w:tcPr>
            <w:tcW w:w="1529" w:type="dxa"/>
          </w:tcPr>
          <w:p w14:paraId="2478AB1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320</w:t>
            </w:r>
          </w:p>
        </w:tc>
        <w:tc>
          <w:tcPr>
            <w:tcW w:w="1529" w:type="dxa"/>
          </w:tcPr>
          <w:p w14:paraId="0085CC2B">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600</w:t>
            </w:r>
          </w:p>
        </w:tc>
        <w:tc>
          <w:tcPr>
            <w:tcW w:w="1529" w:type="dxa"/>
          </w:tcPr>
          <w:p w14:paraId="05AA9B4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1.2d</w:t>
            </w:r>
          </w:p>
        </w:tc>
        <w:tc>
          <w:tcPr>
            <w:tcW w:w="1529" w:type="dxa"/>
          </w:tcPr>
          <w:p w14:paraId="1D286168">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w:t>
            </w:r>
          </w:p>
        </w:tc>
      </w:tr>
      <w:tr w14:paraId="0C86F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8" w:type="dxa"/>
          </w:tcPr>
          <w:p w14:paraId="683174F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529" w:type="dxa"/>
          </w:tcPr>
          <w:p w14:paraId="565A1B8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中碎缓冲矿仓</w:t>
            </w:r>
          </w:p>
        </w:tc>
        <w:tc>
          <w:tcPr>
            <w:tcW w:w="1529" w:type="dxa"/>
          </w:tcPr>
          <w:p w14:paraId="654F9B5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w:t>
            </w:r>
          </w:p>
        </w:tc>
        <w:tc>
          <w:tcPr>
            <w:tcW w:w="1529" w:type="dxa"/>
          </w:tcPr>
          <w:p w14:paraId="32638DC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105</w:t>
            </w:r>
          </w:p>
        </w:tc>
        <w:tc>
          <w:tcPr>
            <w:tcW w:w="1529" w:type="dxa"/>
          </w:tcPr>
          <w:p w14:paraId="45F479B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1.26h</w:t>
            </w:r>
          </w:p>
        </w:tc>
        <w:tc>
          <w:tcPr>
            <w:tcW w:w="1529" w:type="dxa"/>
          </w:tcPr>
          <w:p w14:paraId="3754A3E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w:t>
            </w:r>
          </w:p>
        </w:tc>
      </w:tr>
      <w:tr w14:paraId="4CDE3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8" w:type="dxa"/>
          </w:tcPr>
          <w:p w14:paraId="280888B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529" w:type="dxa"/>
          </w:tcPr>
          <w:p w14:paraId="1756539D">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细碎缓冲矿仓</w:t>
            </w:r>
          </w:p>
        </w:tc>
        <w:tc>
          <w:tcPr>
            <w:tcW w:w="1529" w:type="dxa"/>
          </w:tcPr>
          <w:p w14:paraId="6FAC6E9A">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w:t>
            </w:r>
          </w:p>
        </w:tc>
        <w:tc>
          <w:tcPr>
            <w:tcW w:w="1529" w:type="dxa"/>
          </w:tcPr>
          <w:p w14:paraId="00964AEC">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105</w:t>
            </w:r>
          </w:p>
        </w:tc>
        <w:tc>
          <w:tcPr>
            <w:tcW w:w="1529" w:type="dxa"/>
          </w:tcPr>
          <w:p w14:paraId="0817D802">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1.37h</w:t>
            </w:r>
          </w:p>
        </w:tc>
        <w:tc>
          <w:tcPr>
            <w:tcW w:w="1529" w:type="dxa"/>
          </w:tcPr>
          <w:p w14:paraId="425E046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w:t>
            </w:r>
          </w:p>
        </w:tc>
      </w:tr>
      <w:tr w14:paraId="0BC7C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8" w:type="dxa"/>
          </w:tcPr>
          <w:p w14:paraId="45D62A9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1529" w:type="dxa"/>
          </w:tcPr>
          <w:p w14:paraId="6C66D2E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粉矿仓</w:t>
            </w:r>
          </w:p>
        </w:tc>
        <w:tc>
          <w:tcPr>
            <w:tcW w:w="1529" w:type="dxa"/>
          </w:tcPr>
          <w:p w14:paraId="6A5A091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570</w:t>
            </w:r>
          </w:p>
        </w:tc>
        <w:tc>
          <w:tcPr>
            <w:tcW w:w="1529" w:type="dxa"/>
          </w:tcPr>
          <w:p w14:paraId="7B7163A5">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1065</w:t>
            </w:r>
          </w:p>
        </w:tc>
        <w:tc>
          <w:tcPr>
            <w:tcW w:w="1529" w:type="dxa"/>
          </w:tcPr>
          <w:p w14:paraId="07CA454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2.13d</w:t>
            </w:r>
          </w:p>
        </w:tc>
        <w:tc>
          <w:tcPr>
            <w:tcW w:w="1529" w:type="dxa"/>
          </w:tcPr>
          <w:p w14:paraId="75A566E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w:t>
            </w:r>
          </w:p>
        </w:tc>
      </w:tr>
      <w:tr w14:paraId="55D8B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8" w:type="dxa"/>
          </w:tcPr>
          <w:p w14:paraId="6E206AC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529" w:type="dxa"/>
          </w:tcPr>
          <w:p w14:paraId="080FD1B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精矿仓</w:t>
            </w:r>
          </w:p>
        </w:tc>
        <w:tc>
          <w:tcPr>
            <w:tcW w:w="1529" w:type="dxa"/>
          </w:tcPr>
          <w:p w14:paraId="00628445">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840</w:t>
            </w:r>
          </w:p>
        </w:tc>
        <w:tc>
          <w:tcPr>
            <w:tcW w:w="1529" w:type="dxa"/>
          </w:tcPr>
          <w:p w14:paraId="5F8AB7A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1573</w:t>
            </w:r>
          </w:p>
        </w:tc>
        <w:tc>
          <w:tcPr>
            <w:tcW w:w="1529" w:type="dxa"/>
          </w:tcPr>
          <w:p w14:paraId="7248361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111d</w:t>
            </w:r>
          </w:p>
        </w:tc>
        <w:tc>
          <w:tcPr>
            <w:tcW w:w="1529" w:type="dxa"/>
          </w:tcPr>
          <w:p w14:paraId="02314578">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w:t>
            </w:r>
          </w:p>
        </w:tc>
      </w:tr>
    </w:tbl>
    <w:p w14:paraId="1938F31C">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.5尾矿库及尾矿输送、回水系统</w:t>
      </w:r>
      <w:bookmarkEnd w:id="365"/>
      <w:bookmarkEnd w:id="366"/>
      <w:bookmarkEnd w:id="367"/>
    </w:p>
    <w:p w14:paraId="2F3E0F2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（1）基本情况</w:t>
      </w:r>
    </w:p>
    <w:p w14:paraId="54AB336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本项目尾矿库</w:t>
      </w:r>
      <w:r>
        <w:rPr>
          <w:rFonts w:hint="default" w:ascii="Times New Roman" w:hAnsi="Times New Roman" w:cs="Times New Roman"/>
          <w:color w:val="auto"/>
          <w:highlight w:val="none"/>
        </w:rPr>
        <w:t>库址周边皆为</w:t>
      </w:r>
      <w:r>
        <w:rPr>
          <w:rFonts w:hint="default" w:ascii="Times New Roman" w:hAnsi="Times New Roman" w:cs="Times New Roman"/>
          <w:color w:val="auto"/>
          <w:highlight w:val="none"/>
          <w:lang w:val="en-US" w:eastAsia="zh-CN"/>
        </w:rPr>
        <w:t>草地</w:t>
      </w:r>
      <w:r>
        <w:rPr>
          <w:rFonts w:hint="default" w:ascii="Times New Roman" w:hAnsi="Times New Roman" w:cs="Times New Roman"/>
          <w:color w:val="auto"/>
          <w:highlight w:val="none"/>
        </w:rPr>
        <w:t>，尾矿坝脚下游1km范围内无居民区、工矿企业、公路、铁路等重要设施。选矿厂位于尾矿库南侧</w:t>
      </w:r>
      <w:r>
        <w:rPr>
          <w:rFonts w:hint="default" w:ascii="Times New Roman" w:hAnsi="Times New Roman" w:cs="Times New Roman"/>
          <w:color w:val="auto"/>
          <w:highlight w:val="none"/>
          <w:lang w:val="en-US" w:eastAsia="zh-CN"/>
        </w:rPr>
        <w:t>0.8</w:t>
      </w:r>
      <w:r>
        <w:rPr>
          <w:rFonts w:hint="eastAsia" w:cs="Times New Roman"/>
          <w:color w:val="auto"/>
          <w:highlight w:val="none"/>
          <w:lang w:val="en-US" w:eastAsia="zh-CN"/>
        </w:rPr>
        <w:t>6</w:t>
      </w:r>
      <w:r>
        <w:rPr>
          <w:rFonts w:hint="default" w:ascii="Times New Roman" w:hAnsi="Times New Roman" w:cs="Times New Roman"/>
          <w:color w:val="auto"/>
          <w:highlight w:val="none"/>
        </w:rPr>
        <w:t>公里处，选矿厂地平标高约1097m，尾矿库设计终期坝顶标高1103m。尾矿库西南侧为采矿区范围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尾矿库不在</w:t>
      </w:r>
      <w:r>
        <w:rPr>
          <w:rFonts w:hint="default" w:ascii="Times New Roman" w:hAnsi="Times New Roman" w:cs="Times New Roman"/>
          <w:color w:val="auto"/>
          <w:highlight w:val="none"/>
          <w:lang w:val="en-US" w:eastAsia="zh-CN"/>
        </w:rPr>
        <w:t>采矿权</w:t>
      </w:r>
      <w:r>
        <w:rPr>
          <w:rFonts w:hint="default" w:ascii="Times New Roman" w:hAnsi="Times New Roman" w:cs="Times New Roman"/>
          <w:color w:val="auto"/>
          <w:highlight w:val="none"/>
        </w:rPr>
        <w:t>范围内，不存在压矿现象。</w:t>
      </w:r>
    </w:p>
    <w:p w14:paraId="5BA028E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尾矿库</w:t>
      </w:r>
      <w:r>
        <w:rPr>
          <w:rFonts w:hint="default" w:ascii="Times New Roman" w:hAnsi="Times New Roman" w:cs="Times New Roman"/>
          <w:color w:val="auto"/>
          <w:highlight w:val="none"/>
          <w:lang w:val="en-US" w:eastAsia="zh-CN"/>
        </w:rPr>
        <w:t>为新建，</w:t>
      </w:r>
      <w:r>
        <w:rPr>
          <w:rFonts w:hint="default" w:ascii="Times New Roman" w:hAnsi="Times New Roman" w:cs="Times New Roman"/>
          <w:color w:val="auto"/>
          <w:highlight w:val="none"/>
        </w:rPr>
        <w:t>设计坝高为15m，即设计坝顶标高110</w:t>
      </w:r>
      <w:r>
        <w:rPr>
          <w:rFonts w:hint="default" w:cs="Times New Roman"/>
          <w:color w:val="auto"/>
          <w:highlight w:val="none"/>
          <w:lang w:val="en-US" w:eastAsia="zh-CN"/>
        </w:rPr>
        <w:t>4</w:t>
      </w:r>
      <w:r>
        <w:rPr>
          <w:rFonts w:hint="default" w:ascii="Times New Roman" w:hAnsi="Times New Roman" w:cs="Times New Roman"/>
          <w:color w:val="auto"/>
          <w:highlight w:val="none"/>
        </w:rPr>
        <w:t>m，坝底标高108</w:t>
      </w:r>
      <w:r>
        <w:rPr>
          <w:rFonts w:hint="default" w:cs="Times New Roman"/>
          <w:color w:val="auto"/>
          <w:highlight w:val="none"/>
          <w:lang w:val="en-US" w:eastAsia="zh-CN"/>
        </w:rPr>
        <w:t>9</w:t>
      </w:r>
      <w:r>
        <w:rPr>
          <w:rFonts w:hint="default" w:ascii="Times New Roman" w:hAnsi="Times New Roman" w:cs="Times New Roman"/>
          <w:color w:val="auto"/>
          <w:highlight w:val="none"/>
        </w:rPr>
        <w:t>m。形成的尾矿库总库容为130.5万m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有效库容104.4万m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为四等别平地型尾矿库。选矿厂年产尾砂量</w:t>
      </w:r>
      <w:r>
        <w:rPr>
          <w:rFonts w:hint="default" w:cs="Times New Roman"/>
          <w:color w:val="auto"/>
          <w:highlight w:val="none"/>
          <w:lang w:val="en-US" w:eastAsia="zh-CN"/>
        </w:rPr>
        <w:t>14.58</w:t>
      </w:r>
      <w:r>
        <w:rPr>
          <w:rFonts w:hint="default" w:ascii="Times New Roman" w:hAnsi="Times New Roman" w:cs="Times New Roman"/>
          <w:color w:val="auto"/>
          <w:highlight w:val="none"/>
        </w:rPr>
        <w:t>万t/a；选矿厂排出的尾砂部分用于井下充填，剩余输送至尾矿库堆存；充填量</w:t>
      </w:r>
      <w:r>
        <w:rPr>
          <w:rFonts w:hint="default" w:cs="Times New Roman"/>
          <w:color w:val="auto"/>
          <w:highlight w:val="none"/>
          <w:lang w:val="en-US" w:eastAsia="zh-CN"/>
        </w:rPr>
        <w:t>8.88</w:t>
      </w:r>
      <w:r>
        <w:rPr>
          <w:rFonts w:hint="default" w:ascii="Times New Roman" w:hAnsi="Times New Roman" w:cs="Times New Roman"/>
          <w:color w:val="auto"/>
          <w:highlight w:val="none"/>
        </w:rPr>
        <w:t>万t/a；入库尾砂量</w:t>
      </w:r>
      <w:r>
        <w:rPr>
          <w:rFonts w:hint="default" w:cs="Times New Roman"/>
          <w:color w:val="auto"/>
          <w:highlight w:val="none"/>
          <w:lang w:val="en-US" w:eastAsia="zh-CN"/>
        </w:rPr>
        <w:t>5.7</w:t>
      </w:r>
      <w:r>
        <w:rPr>
          <w:rFonts w:hint="default" w:ascii="Times New Roman" w:hAnsi="Times New Roman" w:cs="Times New Roman"/>
          <w:color w:val="auto"/>
          <w:highlight w:val="none"/>
        </w:rPr>
        <w:t>万t/a，合约</w:t>
      </w:r>
      <w:r>
        <w:rPr>
          <w:rFonts w:hint="default" w:cs="Times New Roman"/>
          <w:color w:val="auto"/>
          <w:highlight w:val="none"/>
          <w:lang w:val="en-US" w:eastAsia="zh-CN"/>
        </w:rPr>
        <w:t>4.1</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/a，尾矿库服务年限约</w:t>
      </w:r>
      <w:r>
        <w:rPr>
          <w:rFonts w:hint="default" w:cs="Times New Roman"/>
          <w:color w:val="auto"/>
          <w:highlight w:val="none"/>
          <w:lang w:val="en-US" w:eastAsia="zh-CN"/>
        </w:rPr>
        <w:t>25</w:t>
      </w:r>
      <w:r>
        <w:rPr>
          <w:rFonts w:hint="default" w:ascii="Times New Roman" w:hAnsi="Times New Roman" w:cs="Times New Roman"/>
          <w:color w:val="auto"/>
          <w:highlight w:val="none"/>
        </w:rPr>
        <w:t>年。</w:t>
      </w:r>
    </w:p>
    <w:p w14:paraId="5100B926">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尾矿坝</w:t>
      </w:r>
    </w:p>
    <w:p w14:paraId="4905A15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坝体结构</w:t>
      </w:r>
    </w:p>
    <w:p w14:paraId="38023B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设计尾矿库坝体一次性筑坝，四面筑坝形式，坝型为碾压土石坝，筑坝材料。坝高为15m，坝顶标高为110</w:t>
      </w:r>
      <w:r>
        <w:rPr>
          <w:rFonts w:hint="default" w:cs="Times New Roman"/>
          <w:color w:val="auto"/>
          <w:highlight w:val="none"/>
          <w:lang w:val="en-US" w:eastAsia="zh-CN"/>
        </w:rPr>
        <w:t>4</w:t>
      </w:r>
      <w:r>
        <w:rPr>
          <w:rFonts w:hint="default" w:ascii="Times New Roman" w:hAnsi="Times New Roman" w:cs="Times New Roman"/>
          <w:color w:val="auto"/>
          <w:highlight w:val="none"/>
        </w:rPr>
        <w:t>m，坝顶宽5m，内坡比为1:2.0，外坡比为1:2.0。坝体内坡采用400g/m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土工布+1.5mmHDPE土工膜+400g/m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土工布作为防渗层。</w:t>
      </w:r>
    </w:p>
    <w:p w14:paraId="5F188FA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最大坝高位于西侧，坝高15m，坝长约295m；最小坝高位于东侧，坝高4m，坝长约295m；北侧坝体坝长约445m；南侧坝体坝长约445m。总坝长</w:t>
      </w:r>
      <w:r>
        <w:rPr>
          <w:rFonts w:hint="default" w:cs="Times New Roman"/>
          <w:color w:val="auto"/>
          <w:highlight w:val="none"/>
          <w:lang w:eastAsia="zh-CN"/>
        </w:rPr>
        <w:t>约</w:t>
      </w:r>
      <w:r>
        <w:rPr>
          <w:rFonts w:hint="default" w:ascii="Times New Roman" w:hAnsi="Times New Roman" w:cs="Times New Roman"/>
          <w:color w:val="auto"/>
          <w:highlight w:val="none"/>
        </w:rPr>
        <w:t>1480m。</w:t>
      </w:r>
    </w:p>
    <w:p w14:paraId="04241B8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堆石棱体</w:t>
      </w:r>
    </w:p>
    <w:p w14:paraId="7683A7F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尾矿坝外坡坡脚设置堆石棱体，棱体顶标高为1088m，堆石棱体顶宽2m，内坡比1:1.8，外坡比1:1.8。</w:t>
      </w:r>
    </w:p>
    <w:p w14:paraId="5A9430A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w:t>
      </w:r>
      <w:r>
        <w:rPr>
          <w:rFonts w:hint="default" w:ascii="Times New Roman" w:hAnsi="Times New Roman" w:cs="Times New Roman"/>
          <w:color w:val="auto"/>
          <w:highlight w:val="none"/>
        </w:rPr>
        <w:t>库区防渗</w:t>
      </w:r>
    </w:p>
    <w:p w14:paraId="5126983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库区防渗设施通过布置400g/m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土工布+1.5mmHDPE土工膜+400g/m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土工布的方法进行库区防渗。</w:t>
      </w:r>
    </w:p>
    <w:p w14:paraId="0E68CE4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④</w:t>
      </w:r>
      <w:r>
        <w:rPr>
          <w:rFonts w:hint="default" w:ascii="Times New Roman" w:hAnsi="Times New Roman" w:cs="Times New Roman"/>
          <w:color w:val="auto"/>
          <w:highlight w:val="none"/>
        </w:rPr>
        <w:t>截洪引流明渠</w:t>
      </w:r>
    </w:p>
    <w:p w14:paraId="5F9FDE1B">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从尾矿库外围设置截洪引流明渠，东侧断面为梯形断面顶宽3m，底宽2m，高2m。浆砌石结构壁厚400mm。南侧和北侧为倒梯形断面宽2m，底宽1.5m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高1.5m。浆砌石结构壁厚400mm</w:t>
      </w:r>
      <w:r>
        <w:rPr>
          <w:rFonts w:hint="default" w:ascii="Times New Roman" w:hAnsi="Times New Roman" w:cs="Times New Roman"/>
          <w:color w:val="auto"/>
          <w:highlight w:val="none"/>
          <w:lang w:eastAsia="zh-CN"/>
        </w:rPr>
        <w:t>。</w:t>
      </w:r>
    </w:p>
    <w:p w14:paraId="4E66BB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⑤</w:t>
      </w:r>
      <w:r>
        <w:rPr>
          <w:rFonts w:hint="default" w:ascii="Times New Roman" w:hAnsi="Times New Roman" w:cs="Times New Roman"/>
          <w:color w:val="auto"/>
          <w:highlight w:val="none"/>
        </w:rPr>
        <w:t>上下踏步</w:t>
      </w:r>
    </w:p>
    <w:p w14:paraId="1ED125C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根据《尾矿库安全规程》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GB39496-2020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要求，坝体设置一条上坝踏步，尾矿库外坡设1条上、下坝踏步。</w:t>
      </w:r>
    </w:p>
    <w:p w14:paraId="12B5E91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）尾矿库排洪系统</w:t>
      </w:r>
    </w:p>
    <w:p w14:paraId="272A744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设计尾矿库为四等库，因此根据《尾矿库安全规程》</w:t>
      </w:r>
      <w:r>
        <w:rPr>
          <w:rFonts w:hint="default" w:cs="Times New Roman"/>
          <w:color w:val="auto"/>
          <w:highlight w:val="none"/>
          <w:lang w:eastAsia="zh-CN"/>
        </w:rPr>
        <w:t>（GB 39496-2020），</w:t>
      </w:r>
      <w:r>
        <w:rPr>
          <w:rFonts w:hint="default" w:cs="Times New Roman"/>
          <w:color w:val="auto"/>
          <w:highlight w:val="none"/>
          <w:lang w:val="en-US" w:eastAsia="zh-CN"/>
        </w:rPr>
        <w:t>本</w:t>
      </w:r>
      <w:r>
        <w:rPr>
          <w:rFonts w:hint="default" w:ascii="Times New Roman" w:hAnsi="Times New Roman" w:cs="Times New Roman"/>
          <w:color w:val="auto"/>
          <w:highlight w:val="none"/>
        </w:rPr>
        <w:t>次确定尾矿库防洪标准取200年一遇，最小安全超高为0.5m，一次性筑坝不做干滩长度要求。具体见表3.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cs="Times New Roman"/>
          <w:color w:val="auto"/>
          <w:highlight w:val="none"/>
          <w:lang w:val="en-US" w:eastAsia="zh-CN"/>
        </w:rPr>
        <w:t>4</w:t>
      </w:r>
      <w:r>
        <w:rPr>
          <w:rFonts w:hint="default" w:ascii="Times New Roman" w:hAnsi="Times New Roman" w:cs="Times New Roman"/>
          <w:color w:val="auto"/>
          <w:highlight w:val="none"/>
        </w:rPr>
        <w:t>。</w:t>
      </w:r>
    </w:p>
    <w:p w14:paraId="6D6C3E5F">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w:t>
      </w:r>
      <w:r>
        <w:rPr>
          <w:rFonts w:hint="default" w:cs="Times New Roman"/>
          <w:b/>
          <w:color w:val="auto"/>
          <w:highlight w:val="none"/>
          <w:lang w:val="en-US" w:eastAsia="zh-CN"/>
        </w:rPr>
        <w:t>4</w:t>
      </w:r>
      <w:r>
        <w:rPr>
          <w:rFonts w:hint="default" w:ascii="Times New Roman" w:hAnsi="Times New Roman" w:cs="Times New Roman"/>
          <w:b/>
          <w:color w:val="auto"/>
          <w:highlight w:val="none"/>
        </w:rPr>
        <w:t xml:space="preserve">    尾矿库的防洪标准</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2391"/>
        <w:gridCol w:w="1310"/>
        <w:gridCol w:w="1176"/>
        <w:gridCol w:w="1176"/>
        <w:gridCol w:w="682"/>
      </w:tblGrid>
      <w:tr w14:paraId="66789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7" w:type="pct"/>
            <w:vAlign w:val="center"/>
          </w:tcPr>
          <w:p w14:paraId="54C98FC1">
            <w:pPr>
              <w:pStyle w:val="51"/>
              <w:spacing w:after="0"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尾矿库等别</w:t>
            </w:r>
          </w:p>
        </w:tc>
        <w:tc>
          <w:tcPr>
            <w:tcW w:w="1303" w:type="pct"/>
            <w:vAlign w:val="center"/>
          </w:tcPr>
          <w:p w14:paraId="7A3875F3">
            <w:pPr>
              <w:pStyle w:val="51"/>
              <w:spacing w:after="0"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一</w:t>
            </w:r>
          </w:p>
        </w:tc>
        <w:tc>
          <w:tcPr>
            <w:tcW w:w="714" w:type="pct"/>
            <w:vAlign w:val="center"/>
          </w:tcPr>
          <w:p w14:paraId="1031FAD6">
            <w:pPr>
              <w:pStyle w:val="51"/>
              <w:spacing w:after="0"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二</w:t>
            </w:r>
          </w:p>
        </w:tc>
        <w:tc>
          <w:tcPr>
            <w:tcW w:w="641" w:type="pct"/>
            <w:vAlign w:val="center"/>
          </w:tcPr>
          <w:p w14:paraId="05E89F84">
            <w:pPr>
              <w:pStyle w:val="51"/>
              <w:spacing w:after="0"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三</w:t>
            </w:r>
          </w:p>
        </w:tc>
        <w:tc>
          <w:tcPr>
            <w:tcW w:w="641" w:type="pct"/>
            <w:vAlign w:val="center"/>
          </w:tcPr>
          <w:p w14:paraId="75837FC4">
            <w:pPr>
              <w:pStyle w:val="51"/>
              <w:spacing w:after="0"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四</w:t>
            </w:r>
          </w:p>
        </w:tc>
        <w:tc>
          <w:tcPr>
            <w:tcW w:w="371" w:type="pct"/>
            <w:vAlign w:val="center"/>
          </w:tcPr>
          <w:p w14:paraId="474FAF20">
            <w:pPr>
              <w:pStyle w:val="51"/>
              <w:spacing w:after="0"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eastAsia="宋体" w:cs="Times New Roman"/>
                <w:b/>
                <w:bCs/>
                <w:color w:val="auto"/>
                <w:sz w:val="21"/>
                <w:highlight w:val="none"/>
                <w:lang w:val="en-US" w:eastAsia="zh-CN"/>
              </w:rPr>
              <w:t>五</w:t>
            </w:r>
          </w:p>
        </w:tc>
      </w:tr>
      <w:tr w14:paraId="02621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7" w:type="pct"/>
            <w:vAlign w:val="center"/>
          </w:tcPr>
          <w:p w14:paraId="0FAF5534">
            <w:pPr>
              <w:pStyle w:val="51"/>
              <w:spacing w:after="0" w:line="360" w:lineRule="exact"/>
              <w:ind w:firstLine="0" w:firstLineChars="0"/>
              <w:jc w:val="center"/>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洪水重现期（年）</w:t>
            </w:r>
          </w:p>
        </w:tc>
        <w:tc>
          <w:tcPr>
            <w:tcW w:w="1303" w:type="pct"/>
            <w:vAlign w:val="center"/>
          </w:tcPr>
          <w:p w14:paraId="48A83FFC">
            <w:pPr>
              <w:pStyle w:val="51"/>
              <w:spacing w:after="0" w:line="360" w:lineRule="exact"/>
              <w:ind w:firstLine="0" w:firstLineChars="0"/>
              <w:jc w:val="center"/>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1000-5000或PMF</w:t>
            </w:r>
          </w:p>
        </w:tc>
        <w:tc>
          <w:tcPr>
            <w:tcW w:w="714" w:type="pct"/>
            <w:vAlign w:val="center"/>
          </w:tcPr>
          <w:p w14:paraId="4DD3C765">
            <w:pPr>
              <w:pStyle w:val="51"/>
              <w:spacing w:after="0" w:line="360" w:lineRule="exact"/>
              <w:ind w:firstLine="0" w:firstLineChars="0"/>
              <w:jc w:val="center"/>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500-1000</w:t>
            </w:r>
          </w:p>
        </w:tc>
        <w:tc>
          <w:tcPr>
            <w:tcW w:w="641" w:type="pct"/>
            <w:vAlign w:val="center"/>
          </w:tcPr>
          <w:p w14:paraId="635DEE85">
            <w:pPr>
              <w:pStyle w:val="51"/>
              <w:spacing w:after="0" w:line="360" w:lineRule="exact"/>
              <w:ind w:firstLine="0" w:firstLineChars="0"/>
              <w:jc w:val="center"/>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200-500</w:t>
            </w:r>
          </w:p>
        </w:tc>
        <w:tc>
          <w:tcPr>
            <w:tcW w:w="641" w:type="pct"/>
            <w:vAlign w:val="center"/>
          </w:tcPr>
          <w:p w14:paraId="30B3313F">
            <w:pPr>
              <w:pStyle w:val="51"/>
              <w:spacing w:after="0" w:line="360" w:lineRule="exact"/>
              <w:ind w:firstLine="0" w:firstLineChars="0"/>
              <w:jc w:val="center"/>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100-200</w:t>
            </w:r>
          </w:p>
        </w:tc>
        <w:tc>
          <w:tcPr>
            <w:tcW w:w="371" w:type="pct"/>
            <w:vAlign w:val="center"/>
          </w:tcPr>
          <w:p w14:paraId="487B5F9F">
            <w:pPr>
              <w:pStyle w:val="51"/>
              <w:spacing w:after="0" w:line="360" w:lineRule="exact"/>
              <w:ind w:firstLine="0" w:firstLineChars="0"/>
              <w:jc w:val="center"/>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100</w:t>
            </w:r>
          </w:p>
        </w:tc>
      </w:tr>
    </w:tbl>
    <w:p w14:paraId="70180A0D">
      <w:pPr>
        <w:overflowPunct w:val="0"/>
        <w:topLinePunct/>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根据项目可研计算，尾矿库汇水面积为0.14km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p>
    <w:p w14:paraId="524CA37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阿克塔斯尾矿库库区排洪方式采用溢洪道-明渠系统。根据库区的实际地形及洪水计算结果，设计库区的排洪形式为溢洪道-明渠系统，尾矿库的溢洪道-明渠系统位于库区的东北侧，溢洪道-明渠系统由进水口、泄槽、消力池及库外明渠段组成。</w:t>
      </w:r>
    </w:p>
    <w:p w14:paraId="618EEE9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溢洪道进水标高1101m，溢洪道进口宽度为1.2m，C25钢筋混凝土结构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泄槽段断面尺寸为B×H=1.2×1.0m，C25钢筋混凝土结构;消力池尺寸为5.0×5.0×2.0m。C25钢筋混凝土结构带防水；库外明渠段为C25钢筋混凝土结构，矩形断面，断面尺寸B×H=1.0×1.0m。明渠段布置底坡i≥0.01，排水明渠末端汇流至集水池</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容积为384m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14:paraId="0B7FB8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）尾矿输送、回水系统</w:t>
      </w:r>
    </w:p>
    <w:p w14:paraId="25258B7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①尾矿输送系统</w:t>
      </w:r>
    </w:p>
    <w:p w14:paraId="473F2F3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本次尾矿输送的输送方式为压力输送，矿浆从选矿厂到尾矿库的输送管径未占用农田，周边无居住区，无不良地质，输送管材选用DN125耐磨管，长度</w:t>
      </w:r>
      <w:r>
        <w:rPr>
          <w:rFonts w:hint="eastAsia" w:cs="Times New Roman"/>
          <w:color w:val="auto"/>
          <w:highlight w:val="none"/>
          <w:lang w:val="en-US" w:eastAsia="zh-CN"/>
        </w:rPr>
        <w:t>21</w:t>
      </w:r>
      <w:r>
        <w:rPr>
          <w:rFonts w:hint="default" w:ascii="Times New Roman" w:hAnsi="Times New Roman" w:cs="Times New Roman"/>
          <w:color w:val="auto"/>
          <w:highlight w:val="none"/>
        </w:rPr>
        <w:t>00m，一用一备。</w:t>
      </w:r>
    </w:p>
    <w:p w14:paraId="465AE91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尾矿输送泵四台，两两串联，两个系列，一备一用。单台泵参数：扬程87m，流量86.7m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/h，功率75kW。</w:t>
      </w:r>
    </w:p>
    <w:p w14:paraId="50FAC13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②尾矿库回水</w:t>
      </w:r>
    </w:p>
    <w:p w14:paraId="62822E5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尾矿库采用库内回水的方式，库内设浮船回水设施，在库内浮船与库外山坡之间设置</w:t>
      </w:r>
      <w:r>
        <w:rPr>
          <w:rFonts w:hint="default" w:cs="Times New Roman"/>
          <w:color w:val="auto"/>
          <w:highlight w:val="none"/>
          <w:lang w:eastAsia="zh-CN"/>
        </w:rPr>
        <w:t>连接</w:t>
      </w:r>
      <w:r>
        <w:rPr>
          <w:rFonts w:hint="default" w:ascii="Times New Roman" w:hAnsi="Times New Roman" w:cs="Times New Roman"/>
          <w:color w:val="auto"/>
          <w:highlight w:val="none"/>
        </w:rPr>
        <w:t>浮桥。浮船照明由选矿厂统一供电，浮船设24h照明设施。</w:t>
      </w:r>
    </w:p>
    <w:p w14:paraId="5F146C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回水浮船四周应设防护栏杆（高1.5m），并放置救生器材（圈）等，浮船与库外山坡设置的固定桩采用绳索进行固定。日常运行中电路与船体必须搞好绝缘，严防漏电。</w:t>
      </w:r>
    </w:p>
    <w:p w14:paraId="19E4507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尾矿库采用库内浮船回水，尾矿库中的澄清水通过水泵泵送至选矿厂高位水池，回水量534.63m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/d，回水管为D108×4无缝钢管，40mm厚聚氨酯保温，架空安装。</w:t>
      </w:r>
    </w:p>
    <w:p w14:paraId="032E3A5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设计采用水泵两台，一用一备。扬程101m，流量：44.3m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/h，水泵功率30kW。</w:t>
      </w:r>
    </w:p>
    <w:p w14:paraId="4CFC141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安全</w:t>
      </w:r>
      <w:r>
        <w:rPr>
          <w:rFonts w:hint="default" w:ascii="Times New Roman" w:hAnsi="Times New Roman" w:cs="Times New Roman"/>
          <w:color w:val="auto"/>
          <w:highlight w:val="none"/>
        </w:rPr>
        <w:t>监测系统</w:t>
      </w:r>
    </w:p>
    <w:p w14:paraId="59CFD81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该尾矿库为四等别平地型尾矿库，</w:t>
      </w:r>
      <w:r>
        <w:rPr>
          <w:rFonts w:hint="default" w:ascii="Times New Roman" w:hAnsi="Times New Roman" w:cs="Times New Roman"/>
          <w:color w:val="auto"/>
          <w:highlight w:val="none"/>
          <w:lang w:val="en-US" w:eastAsia="zh-CN"/>
        </w:rPr>
        <w:t>根据</w:t>
      </w:r>
      <w:r>
        <w:rPr>
          <w:rFonts w:hint="default" w:ascii="Times New Roman" w:hAnsi="Times New Roman" w:cs="Times New Roman"/>
          <w:color w:val="auto"/>
          <w:highlight w:val="none"/>
        </w:rPr>
        <w:t>《尾矿设施设计规范》《尾矿库安全监测技术规范》（AQ2030-2010）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《尾矿库安全规程》（GB39496-2020）</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《关于加强非煤矿山安全生产工作的指导意见》（矿安〔2022〕4号）</w:t>
      </w:r>
      <w:r>
        <w:rPr>
          <w:rFonts w:hint="default" w:ascii="Times New Roman" w:hAnsi="Times New Roman" w:cs="Times New Roman"/>
          <w:color w:val="auto"/>
          <w:highlight w:val="none"/>
          <w:lang w:val="en-US" w:eastAsia="zh-CN"/>
        </w:rPr>
        <w:t>等文件相关要求，</w:t>
      </w:r>
      <w:r>
        <w:rPr>
          <w:rFonts w:hint="default" w:ascii="Times New Roman" w:hAnsi="Times New Roman" w:cs="Times New Roman"/>
          <w:color w:val="auto"/>
          <w:highlight w:val="none"/>
        </w:rPr>
        <w:t>尾矿库安全监测等级为Ⅱ级，尾矿库采用在线监测和人工观测相结合的方式，人工监测包括坝体位移监测、浸润线监测及库水位监测；在线监测包括坝体表面位移监测、坝体浸润线监测、降雨量监测和重点部位的视频监控。</w:t>
      </w:r>
    </w:p>
    <w:p w14:paraId="27DFBC9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）尾矿库的附属设施</w:t>
      </w:r>
    </w:p>
    <w:p w14:paraId="1ABDB69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库区值班房</w:t>
      </w:r>
    </w:p>
    <w:p w14:paraId="52FA9A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值班室布置于尾矿库南侧较高处，值班室内应张贴尾矿库管理制度、安全生产责任制和尾矿库风险点公示牌。值班室旁设应急物资库，配备相应的应急救援物资。</w:t>
      </w:r>
    </w:p>
    <w:p w14:paraId="6CAE838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上坝道路</w:t>
      </w:r>
    </w:p>
    <w:p w14:paraId="507C929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设计在尾矿库南侧新建尾矿库上坝道路，上坝道路与库外道路保持畅通。道路采用四级场外道路标准设置，路宽不小于5m，碎石路面，以满足尾矿库施工和日常管理要求，日常管理中及时维护，确保畅通。</w:t>
      </w:r>
    </w:p>
    <w:p w14:paraId="7CC2B00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w:t>
      </w:r>
      <w:r>
        <w:rPr>
          <w:rFonts w:hint="default" w:ascii="Times New Roman" w:hAnsi="Times New Roman" w:cs="Times New Roman"/>
          <w:color w:val="auto"/>
          <w:highlight w:val="none"/>
        </w:rPr>
        <w:t>通讯设施</w:t>
      </w:r>
    </w:p>
    <w:p w14:paraId="3C19CC4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尾矿库值班室内安装有线电话一部，尾矿库操作、管理人员均配备有移动电话，并确保畅通，以便及时与选厂联系。增加尾矿库应急广播系统。</w:t>
      </w:r>
    </w:p>
    <w:p w14:paraId="64DDDC2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④</w:t>
      </w:r>
      <w:r>
        <w:rPr>
          <w:rFonts w:hint="default" w:ascii="Times New Roman" w:hAnsi="Times New Roman" w:cs="Times New Roman"/>
          <w:color w:val="auto"/>
          <w:highlight w:val="none"/>
        </w:rPr>
        <w:t>坝上照明</w:t>
      </w:r>
    </w:p>
    <w:p w14:paraId="51827AC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置专线用于坝上照明，并保证足够的照明度。坝上配备投光灯和马路灯相结合，投光灯照射范围不小于50m。投光灯分别设在坝肩的两侧山坡上的适当位置，一盏照射坝上及库内，另一盏照射坝外坡及下游。沿尾矿库上坝道路及周边设置马路灯。照明设施采用架空线路供电，路灯各光源间隔接入三相电源，照明设施电气设备接地采用中性点接地的TN-C-S系统，地面电气设备采用接零保护，距变电所较远的设备设重复接地保护。电气设备的接地电阻值不得大于4Ω，如实测达不到要求，应补打人工接地极或使用降阻剂。</w:t>
      </w:r>
    </w:p>
    <w:p w14:paraId="3B72135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⑤</w:t>
      </w:r>
      <w:r>
        <w:rPr>
          <w:rFonts w:hint="default" w:ascii="Times New Roman" w:hAnsi="Times New Roman" w:cs="Times New Roman"/>
          <w:color w:val="auto"/>
          <w:highlight w:val="none"/>
        </w:rPr>
        <w:t>库区防护围栏</w:t>
      </w:r>
    </w:p>
    <w:p w14:paraId="36E2328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为避免与尾矿库无关的人员进入尾矿库，库区严禁放牧，设计建议沿库区边界线设置防护围栏。</w:t>
      </w:r>
    </w:p>
    <w:p w14:paraId="5E4C202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）尾矿库使用终期的复垦</w:t>
      </w:r>
    </w:p>
    <w:p w14:paraId="305CE76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使用终结后，应对尾矿库进行必要的复垦。在尾矿库冲积滩上普遍覆盖0.3m以上山皮土，根据当地实际情况决定选择草种。因尾矿库为永久设施，所以，尾矿库使用结束后最后一个排洪塔不能封堵，依然排出尾矿库汇水面积内的降水。</w:t>
      </w:r>
    </w:p>
    <w:p w14:paraId="24C6CD6E">
      <w:pPr>
        <w:pStyle w:val="4"/>
        <w:rPr>
          <w:rFonts w:hint="default" w:ascii="Times New Roman" w:hAnsi="Times New Roman" w:cs="Times New Roman"/>
          <w:color w:val="auto"/>
          <w:highlight w:val="none"/>
        </w:rPr>
      </w:pPr>
      <w:bookmarkStart w:id="368" w:name="_Toc26098"/>
      <w:bookmarkStart w:id="369" w:name="_Toc18035"/>
      <w:bookmarkStart w:id="370" w:name="_Toc32708"/>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bookmarkEnd w:id="358"/>
      <w:bookmarkEnd w:id="359"/>
      <w:bookmarkEnd w:id="360"/>
      <w:bookmarkEnd w:id="361"/>
      <w:bookmarkEnd w:id="362"/>
      <w:r>
        <w:rPr>
          <w:rFonts w:hint="default" w:ascii="Times New Roman" w:hAnsi="Times New Roman" w:cs="Times New Roman"/>
          <w:color w:val="auto"/>
          <w:highlight w:val="none"/>
        </w:rPr>
        <w:t>6工程占地</w:t>
      </w:r>
      <w:bookmarkEnd w:id="368"/>
      <w:bookmarkEnd w:id="369"/>
      <w:bookmarkEnd w:id="370"/>
    </w:p>
    <w:p w14:paraId="20422730">
      <w:pPr>
        <w:pStyle w:val="54"/>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总</w:t>
      </w:r>
      <w:r>
        <w:rPr>
          <w:rFonts w:hint="default" w:ascii="Times New Roman" w:hAnsi="Times New Roman" w:cs="Times New Roman"/>
          <w:color w:val="auto"/>
          <w:sz w:val="24"/>
          <w:highlight w:val="none"/>
        </w:rPr>
        <w:t>占地面积</w:t>
      </w:r>
      <w:r>
        <w:rPr>
          <w:rFonts w:hint="eastAsia" w:cs="Times New Roman"/>
          <w:color w:val="auto"/>
          <w:sz w:val="24"/>
          <w:highlight w:val="none"/>
          <w:lang w:val="en-US" w:eastAsia="zh-CN"/>
        </w:rPr>
        <w:t>33.6</w:t>
      </w:r>
      <w:r>
        <w:rPr>
          <w:rFonts w:hint="default" w:ascii="Times New Roman" w:hAnsi="Times New Roman" w:cs="Times New Roman"/>
          <w:color w:val="auto"/>
          <w:sz w:val="24"/>
          <w:highlight w:val="none"/>
        </w:rPr>
        <w:t>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包括选矿厂、尾矿库及办公生活区。本项目</w:t>
      </w:r>
      <w:r>
        <w:rPr>
          <w:rFonts w:hint="default" w:ascii="Times New Roman" w:hAnsi="Times New Roman" w:cs="Times New Roman"/>
          <w:color w:val="auto"/>
          <w:sz w:val="24"/>
          <w:highlight w:val="none"/>
        </w:rPr>
        <w:t>占地面积详见表3.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w:t>
      </w:r>
      <w:r>
        <w:rPr>
          <w:rFonts w:hint="default" w:cs="Times New Roman"/>
          <w:color w:val="auto"/>
          <w:sz w:val="24"/>
          <w:highlight w:val="none"/>
          <w:lang w:val="en-US" w:eastAsia="zh-CN"/>
        </w:rPr>
        <w:t>5</w:t>
      </w:r>
      <w:r>
        <w:rPr>
          <w:rFonts w:hint="default" w:ascii="Times New Roman" w:hAnsi="Times New Roman" w:cs="Times New Roman"/>
          <w:color w:val="auto"/>
          <w:sz w:val="24"/>
          <w:highlight w:val="none"/>
        </w:rPr>
        <w:t>。</w:t>
      </w:r>
    </w:p>
    <w:p w14:paraId="14BD4724">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w:t>
      </w:r>
      <w:r>
        <w:rPr>
          <w:rFonts w:hint="default" w:cs="Times New Roman"/>
          <w:b/>
          <w:color w:val="auto"/>
          <w:highlight w:val="none"/>
          <w:lang w:val="en-US" w:eastAsia="zh-CN"/>
        </w:rPr>
        <w:t>5</w:t>
      </w:r>
      <w:r>
        <w:rPr>
          <w:rFonts w:hint="default" w:ascii="Times New Roman" w:hAnsi="Times New Roman" w:cs="Times New Roman"/>
          <w:b/>
          <w:color w:val="auto"/>
          <w:highlight w:val="none"/>
        </w:rPr>
        <w:t xml:space="preserve">    本项目占地情况一览表</w:t>
      </w:r>
    </w:p>
    <w:tbl>
      <w:tblPr>
        <w:tblStyle w:val="33"/>
        <w:tblW w:w="9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2058"/>
        <w:gridCol w:w="2716"/>
        <w:gridCol w:w="2716"/>
      </w:tblGrid>
      <w:tr w14:paraId="188F3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678" w:type="dxa"/>
            <w:tcBorders>
              <w:tl2br w:val="nil"/>
              <w:tr2bl w:val="nil"/>
            </w:tcBorders>
            <w:shd w:val="clear" w:color="auto" w:fill="auto"/>
            <w:vAlign w:val="center"/>
          </w:tcPr>
          <w:p w14:paraId="676DFB8B">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2058" w:type="dxa"/>
            <w:tcBorders>
              <w:tl2br w:val="nil"/>
              <w:tr2bl w:val="nil"/>
            </w:tcBorders>
            <w:shd w:val="clear" w:color="auto" w:fill="auto"/>
            <w:vAlign w:val="center"/>
          </w:tcPr>
          <w:p w14:paraId="5CB9FD07">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名称</w:t>
            </w:r>
          </w:p>
        </w:tc>
        <w:tc>
          <w:tcPr>
            <w:tcW w:w="2716" w:type="dxa"/>
            <w:tcBorders>
              <w:tl2br w:val="nil"/>
              <w:tr2bl w:val="nil"/>
            </w:tcBorders>
            <w:shd w:val="clear" w:color="auto" w:fill="auto"/>
            <w:vAlign w:val="center"/>
          </w:tcPr>
          <w:p w14:paraId="14F68B37">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数量（hm</w:t>
            </w:r>
            <w:r>
              <w:rPr>
                <w:rFonts w:hint="default" w:ascii="Times New Roman" w:hAnsi="Times New Roman" w:cs="Times New Roman"/>
                <w:b/>
                <w:bCs/>
                <w:color w:val="auto"/>
                <w:kern w:val="0"/>
                <w:sz w:val="21"/>
                <w:szCs w:val="21"/>
                <w:highlight w:val="none"/>
                <w:vertAlign w:val="superscript"/>
              </w:rPr>
              <w:t>2</w:t>
            </w:r>
            <w:r>
              <w:rPr>
                <w:rFonts w:hint="default" w:ascii="Times New Roman" w:hAnsi="Times New Roman" w:cs="Times New Roman"/>
                <w:b/>
                <w:bCs/>
                <w:color w:val="auto"/>
                <w:kern w:val="0"/>
                <w:sz w:val="21"/>
                <w:szCs w:val="21"/>
                <w:highlight w:val="none"/>
              </w:rPr>
              <w:t>）</w:t>
            </w:r>
          </w:p>
        </w:tc>
        <w:tc>
          <w:tcPr>
            <w:tcW w:w="2716" w:type="dxa"/>
            <w:tcBorders>
              <w:tl2br w:val="nil"/>
              <w:tr2bl w:val="nil"/>
            </w:tcBorders>
            <w:shd w:val="clear" w:color="auto" w:fill="auto"/>
            <w:vAlign w:val="center"/>
          </w:tcPr>
          <w:p w14:paraId="667BDFE1">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备注</w:t>
            </w:r>
          </w:p>
        </w:tc>
      </w:tr>
      <w:tr w14:paraId="01DD3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tcBorders>
              <w:tl2br w:val="nil"/>
              <w:tr2bl w:val="nil"/>
            </w:tcBorders>
            <w:shd w:val="clear" w:color="auto" w:fill="auto"/>
            <w:vAlign w:val="center"/>
          </w:tcPr>
          <w:p w14:paraId="5C236F7A">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2058" w:type="dxa"/>
            <w:tcBorders>
              <w:tl2br w:val="nil"/>
              <w:tr2bl w:val="nil"/>
            </w:tcBorders>
            <w:shd w:val="clear" w:color="auto" w:fill="auto"/>
            <w:vAlign w:val="center"/>
          </w:tcPr>
          <w:p w14:paraId="58AAAFBF">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选矿厂</w:t>
            </w:r>
          </w:p>
        </w:tc>
        <w:tc>
          <w:tcPr>
            <w:tcW w:w="2716" w:type="dxa"/>
            <w:tcBorders>
              <w:tl2br w:val="nil"/>
              <w:tr2bl w:val="nil"/>
            </w:tcBorders>
            <w:shd w:val="clear" w:color="auto" w:fill="auto"/>
            <w:vAlign w:val="center"/>
          </w:tcPr>
          <w:p w14:paraId="25ABD108">
            <w:pPr>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5.57</w:t>
            </w:r>
            <w:r>
              <w:rPr>
                <w:rFonts w:hint="default" w:ascii="Times New Roman" w:hAnsi="Times New Roman"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85</w:t>
            </w:r>
            <w:r>
              <w:rPr>
                <w:rFonts w:hint="default" w:ascii="Times New Roman" w:hAnsi="Times New Roman" w:cs="Times New Roman"/>
                <w:color w:val="auto"/>
                <w:kern w:val="0"/>
                <w:sz w:val="21"/>
                <w:szCs w:val="21"/>
                <w:highlight w:val="none"/>
                <w:lang w:val="en-US" w:eastAsia="zh-CN"/>
              </w:rPr>
              <w:t>亩</w:t>
            </w:r>
            <w:r>
              <w:rPr>
                <w:rFonts w:hint="default" w:ascii="Times New Roman" w:hAnsi="Times New Roman" w:cs="Times New Roman"/>
                <w:color w:val="auto"/>
                <w:kern w:val="0"/>
                <w:sz w:val="21"/>
                <w:szCs w:val="21"/>
                <w:highlight w:val="none"/>
                <w:lang w:eastAsia="zh-CN"/>
              </w:rPr>
              <w:t>）</w:t>
            </w:r>
          </w:p>
        </w:tc>
        <w:tc>
          <w:tcPr>
            <w:tcW w:w="2716" w:type="dxa"/>
            <w:tcBorders>
              <w:tl2br w:val="nil"/>
              <w:tr2bl w:val="nil"/>
            </w:tcBorders>
            <w:shd w:val="clear" w:color="auto" w:fill="auto"/>
            <w:vAlign w:val="center"/>
          </w:tcPr>
          <w:p w14:paraId="14397DAC">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牧草地</w:t>
            </w:r>
          </w:p>
        </w:tc>
      </w:tr>
      <w:tr w14:paraId="638FA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tcBorders>
              <w:tl2br w:val="nil"/>
              <w:tr2bl w:val="nil"/>
            </w:tcBorders>
            <w:shd w:val="clear" w:color="auto" w:fill="auto"/>
            <w:vAlign w:val="center"/>
          </w:tcPr>
          <w:p w14:paraId="4284EE65">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2058" w:type="dxa"/>
            <w:tcBorders>
              <w:tl2br w:val="nil"/>
              <w:tr2bl w:val="nil"/>
            </w:tcBorders>
            <w:shd w:val="clear" w:color="auto" w:fill="auto"/>
            <w:vAlign w:val="center"/>
          </w:tcPr>
          <w:p w14:paraId="6DF83562">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尾矿库</w:t>
            </w:r>
          </w:p>
        </w:tc>
        <w:tc>
          <w:tcPr>
            <w:tcW w:w="2716" w:type="dxa"/>
            <w:tcBorders>
              <w:tl2br w:val="nil"/>
              <w:tr2bl w:val="nil"/>
            </w:tcBorders>
            <w:shd w:val="clear" w:color="auto" w:fill="auto"/>
            <w:vAlign w:val="center"/>
          </w:tcPr>
          <w:p w14:paraId="7AD14A5E">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26.0</w:t>
            </w:r>
            <w:r>
              <w:rPr>
                <w:rFonts w:hint="default" w:ascii="Times New Roman" w:hAnsi="Times New Roman"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390</w:t>
            </w:r>
            <w:r>
              <w:rPr>
                <w:rFonts w:hint="default" w:ascii="Times New Roman" w:hAnsi="Times New Roman" w:cs="Times New Roman"/>
                <w:color w:val="auto"/>
                <w:kern w:val="0"/>
                <w:sz w:val="21"/>
                <w:szCs w:val="21"/>
                <w:highlight w:val="none"/>
                <w:lang w:val="en-US" w:eastAsia="zh-CN"/>
              </w:rPr>
              <w:t>亩</w:t>
            </w:r>
            <w:r>
              <w:rPr>
                <w:rFonts w:hint="default" w:ascii="Times New Roman" w:hAnsi="Times New Roman" w:cs="Times New Roman"/>
                <w:color w:val="auto"/>
                <w:kern w:val="0"/>
                <w:sz w:val="21"/>
                <w:szCs w:val="21"/>
                <w:highlight w:val="none"/>
                <w:lang w:eastAsia="zh-CN"/>
              </w:rPr>
              <w:t>）</w:t>
            </w:r>
          </w:p>
        </w:tc>
        <w:tc>
          <w:tcPr>
            <w:tcW w:w="2716" w:type="dxa"/>
            <w:tcBorders>
              <w:tl2br w:val="nil"/>
              <w:tr2bl w:val="nil"/>
            </w:tcBorders>
            <w:shd w:val="clear" w:color="auto" w:fill="auto"/>
            <w:vAlign w:val="center"/>
          </w:tcPr>
          <w:p w14:paraId="1E61E83B">
            <w:pPr>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cs="Times New Roman"/>
                <w:color w:val="auto"/>
                <w:kern w:val="0"/>
                <w:sz w:val="21"/>
                <w:szCs w:val="21"/>
                <w:highlight w:val="none"/>
                <w:lang w:val="en-US" w:eastAsia="zh-CN"/>
              </w:rPr>
              <w:t>牧草地</w:t>
            </w:r>
          </w:p>
        </w:tc>
      </w:tr>
      <w:tr w14:paraId="4AF1F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tcBorders>
              <w:tl2br w:val="nil"/>
              <w:tr2bl w:val="nil"/>
            </w:tcBorders>
            <w:shd w:val="clear" w:color="auto" w:fill="auto"/>
            <w:vAlign w:val="center"/>
          </w:tcPr>
          <w:p w14:paraId="540E5AB3">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2058" w:type="dxa"/>
            <w:tcBorders>
              <w:tl2br w:val="nil"/>
              <w:tr2bl w:val="nil"/>
            </w:tcBorders>
            <w:shd w:val="clear" w:color="auto" w:fill="auto"/>
            <w:vAlign w:val="center"/>
          </w:tcPr>
          <w:p w14:paraId="03CA48B5">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办公生活区</w:t>
            </w:r>
          </w:p>
        </w:tc>
        <w:tc>
          <w:tcPr>
            <w:tcW w:w="2716" w:type="dxa"/>
            <w:tcBorders>
              <w:tl2br w:val="nil"/>
              <w:tr2bl w:val="nil"/>
            </w:tcBorders>
            <w:shd w:val="clear" w:color="auto" w:fill="auto"/>
            <w:vAlign w:val="center"/>
          </w:tcPr>
          <w:p w14:paraId="508C0297">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1.3</w:t>
            </w:r>
            <w:r>
              <w:rPr>
                <w:rFonts w:hint="eastAsia" w:cs="Times New Roman"/>
                <w:color w:val="auto"/>
                <w:kern w:val="0"/>
                <w:sz w:val="21"/>
                <w:szCs w:val="21"/>
                <w:highlight w:val="none"/>
                <w:lang w:val="en-US" w:eastAsia="zh-CN"/>
              </w:rPr>
              <w:t>3</w:t>
            </w:r>
            <w:r>
              <w:rPr>
                <w:rFonts w:hint="default" w:ascii="Times New Roman" w:hAnsi="Times New Roman"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20</w:t>
            </w:r>
            <w:r>
              <w:rPr>
                <w:rFonts w:hint="default" w:ascii="Times New Roman" w:hAnsi="Times New Roman" w:cs="Times New Roman"/>
                <w:color w:val="auto"/>
                <w:kern w:val="0"/>
                <w:sz w:val="21"/>
                <w:szCs w:val="21"/>
                <w:highlight w:val="none"/>
                <w:lang w:val="en-US" w:eastAsia="zh-CN"/>
              </w:rPr>
              <w:t>亩</w:t>
            </w:r>
            <w:r>
              <w:rPr>
                <w:rFonts w:hint="default" w:ascii="Times New Roman" w:hAnsi="Times New Roman" w:cs="Times New Roman"/>
                <w:color w:val="auto"/>
                <w:kern w:val="0"/>
                <w:sz w:val="21"/>
                <w:szCs w:val="21"/>
                <w:highlight w:val="none"/>
                <w:lang w:eastAsia="zh-CN"/>
              </w:rPr>
              <w:t>）</w:t>
            </w:r>
          </w:p>
        </w:tc>
        <w:tc>
          <w:tcPr>
            <w:tcW w:w="2716" w:type="dxa"/>
            <w:tcBorders>
              <w:tl2br w:val="nil"/>
              <w:tr2bl w:val="nil"/>
            </w:tcBorders>
            <w:shd w:val="clear" w:color="auto" w:fill="auto"/>
            <w:vAlign w:val="center"/>
          </w:tcPr>
          <w:p w14:paraId="2882045D">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牧草地</w:t>
            </w:r>
          </w:p>
        </w:tc>
      </w:tr>
      <w:tr w14:paraId="50475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tcBorders>
              <w:tl2br w:val="nil"/>
              <w:tr2bl w:val="nil"/>
            </w:tcBorders>
            <w:shd w:val="clear" w:color="auto" w:fill="auto"/>
            <w:vAlign w:val="center"/>
          </w:tcPr>
          <w:p w14:paraId="1A25EF2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4</w:t>
            </w:r>
          </w:p>
        </w:tc>
        <w:tc>
          <w:tcPr>
            <w:tcW w:w="2058" w:type="dxa"/>
            <w:tcBorders>
              <w:tl2br w:val="nil"/>
              <w:tr2bl w:val="nil"/>
            </w:tcBorders>
            <w:shd w:val="clear" w:color="auto" w:fill="auto"/>
            <w:vAlign w:val="center"/>
          </w:tcPr>
          <w:p w14:paraId="27BC311B">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道路占地</w:t>
            </w:r>
          </w:p>
        </w:tc>
        <w:tc>
          <w:tcPr>
            <w:tcW w:w="2716" w:type="dxa"/>
            <w:tcBorders>
              <w:tl2br w:val="nil"/>
              <w:tr2bl w:val="nil"/>
            </w:tcBorders>
            <w:shd w:val="clear" w:color="auto" w:fill="auto"/>
            <w:vAlign w:val="center"/>
          </w:tcPr>
          <w:p w14:paraId="5BC0102A">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0.7（10.5亩）</w:t>
            </w:r>
          </w:p>
        </w:tc>
        <w:tc>
          <w:tcPr>
            <w:tcW w:w="2716" w:type="dxa"/>
            <w:tcBorders>
              <w:tl2br w:val="nil"/>
              <w:tr2bl w:val="nil"/>
            </w:tcBorders>
            <w:shd w:val="clear" w:color="auto" w:fill="auto"/>
            <w:vAlign w:val="center"/>
          </w:tcPr>
          <w:p w14:paraId="659A46A0">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牧草地</w:t>
            </w:r>
          </w:p>
        </w:tc>
      </w:tr>
      <w:tr w14:paraId="64854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36" w:type="dxa"/>
            <w:gridSpan w:val="2"/>
            <w:tcBorders>
              <w:tl2br w:val="nil"/>
              <w:tr2bl w:val="nil"/>
            </w:tcBorders>
            <w:shd w:val="clear" w:color="auto" w:fill="auto"/>
            <w:vAlign w:val="center"/>
          </w:tcPr>
          <w:p w14:paraId="739342A1">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合计</w:t>
            </w:r>
          </w:p>
        </w:tc>
        <w:tc>
          <w:tcPr>
            <w:tcW w:w="2716" w:type="dxa"/>
            <w:tcBorders>
              <w:tl2br w:val="nil"/>
              <w:tr2bl w:val="nil"/>
            </w:tcBorders>
            <w:shd w:val="clear" w:color="auto" w:fill="auto"/>
            <w:vAlign w:val="center"/>
          </w:tcPr>
          <w:p w14:paraId="09CF2BC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33.6</w:t>
            </w:r>
          </w:p>
        </w:tc>
        <w:tc>
          <w:tcPr>
            <w:tcW w:w="2716" w:type="dxa"/>
            <w:tcBorders>
              <w:tl2br w:val="nil"/>
              <w:tr2bl w:val="nil"/>
            </w:tcBorders>
            <w:shd w:val="clear" w:color="auto" w:fill="auto"/>
            <w:vAlign w:val="center"/>
          </w:tcPr>
          <w:p w14:paraId="1CD6589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r>
    </w:tbl>
    <w:p w14:paraId="595B7F14">
      <w:pPr>
        <w:pStyle w:val="4"/>
        <w:rPr>
          <w:rFonts w:hint="default" w:ascii="Times New Roman" w:hAnsi="Times New Roman" w:cs="Times New Roman"/>
          <w:color w:val="auto"/>
          <w:highlight w:val="none"/>
        </w:rPr>
      </w:pPr>
      <w:bookmarkStart w:id="371" w:name="_Toc20881"/>
      <w:bookmarkStart w:id="372" w:name="_Toc8567"/>
      <w:bookmarkStart w:id="373" w:name="_Toc2158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.7公用工程</w:t>
      </w:r>
      <w:bookmarkEnd w:id="371"/>
      <w:bookmarkEnd w:id="372"/>
      <w:bookmarkEnd w:id="373"/>
    </w:p>
    <w:p w14:paraId="2BDD997B">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.7.1给水工程</w:t>
      </w:r>
    </w:p>
    <w:p w14:paraId="59291990">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（1）用水量</w:t>
      </w:r>
    </w:p>
    <w:p w14:paraId="01E2509E">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本项目用水</w:t>
      </w:r>
      <w:r>
        <w:rPr>
          <w:rFonts w:hint="default" w:ascii="Times New Roman" w:hAnsi="Times New Roman" w:cs="Times New Roman"/>
          <w:color w:val="auto"/>
          <w:highlight w:val="none"/>
        </w:rPr>
        <w:t>主要包括生活用水、</w:t>
      </w:r>
      <w:r>
        <w:rPr>
          <w:rFonts w:hint="default" w:ascii="Times New Roman" w:hAnsi="Times New Roman" w:cs="Times New Roman"/>
          <w:color w:val="auto"/>
          <w:highlight w:val="none"/>
          <w:lang w:val="en-US" w:eastAsia="zh-CN"/>
        </w:rPr>
        <w:t>生产用水、降尘冲洗等生产辅助用水及不可预见用水</w:t>
      </w:r>
      <w:r>
        <w:rPr>
          <w:rFonts w:hint="default" w:ascii="Times New Roman" w:hAnsi="Times New Roman" w:cs="Times New Roman"/>
          <w:color w:val="auto"/>
          <w:highlight w:val="none"/>
        </w:rPr>
        <w:t>。本</w:t>
      </w:r>
      <w:r>
        <w:rPr>
          <w:rFonts w:hint="default" w:ascii="Times New Roman" w:hAnsi="Times New Roman" w:cs="Times New Roman"/>
          <w:color w:val="auto"/>
          <w:spacing w:val="-10"/>
          <w:highlight w:val="none"/>
        </w:rPr>
        <w:t>项目</w:t>
      </w:r>
      <w:r>
        <w:rPr>
          <w:rFonts w:hint="default" w:ascii="Times New Roman" w:hAnsi="Times New Roman" w:cs="Times New Roman"/>
          <w:color w:val="auto"/>
          <w:highlight w:val="none"/>
          <w:lang w:val="en-US" w:eastAsia="zh-CN"/>
        </w:rPr>
        <w:t>灌溉期总用水量为972.35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23.3364</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，非灌溉期用水量为</w:t>
      </w:r>
      <w:r>
        <w:rPr>
          <w:rFonts w:hint="default" w:ascii="Times New Roman" w:hAnsi="Times New Roman" w:cs="Times New Roman"/>
          <w:color w:val="auto"/>
          <w:spacing w:val="-10"/>
          <w:highlight w:val="none"/>
          <w:lang w:val="en-US" w:eastAsia="zh-CN"/>
        </w:rPr>
        <w:t>932.35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22.3764</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10"/>
          <w:highlight w:val="none"/>
        </w:rPr>
        <w:t>新鲜水用水量为</w:t>
      </w:r>
      <w:r>
        <w:rPr>
          <w:rFonts w:hint="default" w:ascii="Times New Roman" w:hAnsi="Times New Roman" w:cs="Times New Roman"/>
          <w:color w:val="auto"/>
          <w:spacing w:val="-10"/>
          <w:highlight w:val="none"/>
          <w:lang w:val="en-US" w:eastAsia="zh-CN"/>
        </w:rPr>
        <w:t>80.804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1.9393</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highlight w:val="none"/>
          <w:lang w:eastAsia="zh-CN"/>
        </w:rPr>
        <w:t>，</w:t>
      </w:r>
      <w:r>
        <w:rPr>
          <w:rFonts w:hint="eastAsia" w:cs="Times New Roman"/>
          <w:color w:val="auto"/>
          <w:highlight w:val="none"/>
          <w:lang w:val="en-US" w:eastAsia="zh-CN"/>
        </w:rPr>
        <w:t>包括生活用水0.25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highlight w:val="none"/>
          <w:lang w:val="en-US" w:eastAsia="zh-CN"/>
        </w:rPr>
        <w:t>及工业用水1.6893</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spacing w:val="-10"/>
          <w:highlight w:val="none"/>
        </w:rPr>
        <w:t>主要用水量估算如下：</w:t>
      </w:r>
    </w:p>
    <w:p w14:paraId="54C01E12">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①办公生活用水</w:t>
      </w:r>
    </w:p>
    <w:p w14:paraId="7800E985">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103</w:t>
      </w:r>
      <w:r>
        <w:rPr>
          <w:rFonts w:hint="default" w:ascii="Times New Roman" w:hAnsi="Times New Roman" w:cs="Times New Roman"/>
          <w:color w:val="auto"/>
          <w:highlight w:val="none"/>
        </w:rPr>
        <w:t>人，生活用水包括饮用水、淋浴用水及其它冲洗用水，根据</w:t>
      </w:r>
      <w:r>
        <w:rPr>
          <w:rFonts w:hint="default" w:ascii="Times New Roman" w:hAnsi="Times New Roman" w:cs="Times New Roman"/>
          <w:color w:val="auto"/>
          <w:szCs w:val="24"/>
          <w:highlight w:val="none"/>
        </w:rPr>
        <w:t>《新疆维吾尔自治区生活用水定额》</w:t>
      </w:r>
      <w:r>
        <w:rPr>
          <w:rFonts w:hint="default" w:ascii="Times New Roman" w:hAnsi="Times New Roman" w:cs="Times New Roman"/>
          <w:color w:val="auto"/>
          <w:highlight w:val="none"/>
        </w:rPr>
        <w:t>每人每天用水量约为100L，则总用水量约1</w:t>
      </w:r>
      <w:r>
        <w:rPr>
          <w:rFonts w:hint="default" w:ascii="Times New Roman" w:hAnsi="Times New Roman" w:cs="Times New Roman"/>
          <w:color w:val="auto"/>
          <w:highlight w:val="none"/>
          <w:lang w:val="en-US" w:eastAsia="zh-CN"/>
        </w:rPr>
        <w:t>0.3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均来自于白杨河村供水</w:t>
      </w:r>
      <w:r>
        <w:rPr>
          <w:rFonts w:hint="default" w:ascii="Times New Roman" w:hAnsi="Times New Roman" w:cs="Times New Roman"/>
          <w:color w:val="auto"/>
          <w:highlight w:val="none"/>
        </w:rPr>
        <w:t>。</w:t>
      </w:r>
    </w:p>
    <w:p w14:paraId="1C432D28">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②</w:t>
      </w:r>
      <w:r>
        <w:rPr>
          <w:rFonts w:hint="default" w:ascii="Times New Roman" w:hAnsi="Times New Roman" w:cs="Times New Roman"/>
          <w:color w:val="auto"/>
          <w:szCs w:val="28"/>
          <w:highlight w:val="none"/>
          <w:lang w:val="en-US" w:eastAsia="zh-CN"/>
        </w:rPr>
        <w:t>选矿</w:t>
      </w:r>
      <w:r>
        <w:rPr>
          <w:rFonts w:hint="default" w:ascii="Times New Roman" w:hAnsi="Times New Roman" w:cs="Times New Roman"/>
          <w:color w:val="auto"/>
          <w:szCs w:val="28"/>
          <w:highlight w:val="none"/>
        </w:rPr>
        <w:t>生产用水</w:t>
      </w:r>
    </w:p>
    <w:p w14:paraId="1C49AB8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选矿生产用水主要为选矿工艺用水，根据</w:t>
      </w:r>
      <w:r>
        <w:rPr>
          <w:rFonts w:hint="default" w:ascii="Times New Roman" w:hAnsi="Times New Roman" w:cs="Times New Roman"/>
          <w:color w:val="auto"/>
          <w:highlight w:val="none"/>
          <w:lang w:val="en-US" w:eastAsia="zh-CN"/>
        </w:rPr>
        <w:t>本项目可研报告描述</w:t>
      </w:r>
      <w:r>
        <w:rPr>
          <w:rFonts w:hint="default" w:ascii="Times New Roman" w:hAnsi="Times New Roman" w:cs="Times New Roman"/>
          <w:color w:val="auto"/>
          <w:highlight w:val="none"/>
        </w:rPr>
        <w:t>，选矿生产总用水量</w:t>
      </w:r>
      <w:r>
        <w:rPr>
          <w:rFonts w:hint="default" w:ascii="Times New Roman" w:hAnsi="Times New Roman" w:cs="Times New Roman"/>
          <w:color w:val="auto"/>
          <w:highlight w:val="none"/>
          <w:lang w:val="en-US" w:eastAsia="zh-CN"/>
        </w:rPr>
        <w:t>828.05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19.3210</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/a），选矿工艺回用水量</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补充水量238.698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5.7288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/a）来自</w:t>
      </w:r>
      <w:r>
        <w:rPr>
          <w:rFonts w:hint="default" w:ascii="Times New Roman" w:hAnsi="Times New Roman" w:cs="Times New Roman"/>
          <w:color w:val="auto"/>
          <w:highlight w:val="none"/>
          <w:lang w:val="en-US" w:eastAsia="zh-CN"/>
        </w:rPr>
        <w:t>15万吨/年</w:t>
      </w:r>
      <w:r>
        <w:rPr>
          <w:rFonts w:hint="default" w:ascii="Times New Roman" w:hAnsi="Times New Roman" w:cs="Times New Roman"/>
          <w:color w:val="auto"/>
          <w:highlight w:val="none"/>
        </w:rPr>
        <w:t>采矿工程矿井涌水。</w:t>
      </w:r>
    </w:p>
    <w:p w14:paraId="2FA85176">
      <w:pPr>
        <w:overflowPunct w:val="0"/>
        <w:topLinePunct/>
        <w:ind w:firstLine="480"/>
        <w:rPr>
          <w:rFonts w:hint="default" w:ascii="Times New Roman" w:hAnsi="Times New Roman" w:eastAsia="宋体" w:cs="Times New Roman"/>
          <w:color w:val="auto"/>
          <w:szCs w:val="28"/>
          <w:highlight w:val="none"/>
          <w:lang w:val="en-US" w:eastAsia="zh-CN"/>
        </w:rPr>
      </w:pPr>
      <w:r>
        <w:rPr>
          <w:rFonts w:hint="default" w:ascii="Times New Roman" w:hAnsi="Times New Roman" w:cs="Times New Roman"/>
          <w:color w:val="auto"/>
          <w:szCs w:val="28"/>
          <w:highlight w:val="none"/>
        </w:rPr>
        <w:t>③</w:t>
      </w:r>
      <w:r>
        <w:rPr>
          <w:rFonts w:hint="default" w:ascii="Times New Roman" w:hAnsi="Times New Roman" w:cs="Times New Roman"/>
          <w:color w:val="auto"/>
          <w:szCs w:val="28"/>
          <w:highlight w:val="none"/>
          <w:lang w:val="en-US" w:eastAsia="zh-CN"/>
        </w:rPr>
        <w:t>生产辅助用水</w:t>
      </w:r>
    </w:p>
    <w:p w14:paraId="21EDA677">
      <w:pPr>
        <w:overflowPunct w:val="0"/>
        <w:topLinePunct/>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本项目可研报告描述</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bidi="ar"/>
        </w:rPr>
        <w:t>本项目</w:t>
      </w:r>
      <w:r>
        <w:rPr>
          <w:rFonts w:hint="default" w:ascii="Times New Roman" w:hAnsi="Times New Roman" w:cs="Times New Roman"/>
          <w:color w:val="auto"/>
          <w:highlight w:val="none"/>
          <w:lang w:val="en-US" w:eastAsia="zh-CN" w:bidi="ar"/>
        </w:rPr>
        <w:t>生产辅助用水主要为降尘、冲洗</w:t>
      </w:r>
      <w:r>
        <w:rPr>
          <w:rFonts w:hint="default" w:cs="Times New Roman"/>
          <w:color w:val="auto"/>
          <w:highlight w:val="none"/>
          <w:lang w:val="en-US" w:eastAsia="zh-CN" w:bidi="ar"/>
        </w:rPr>
        <w:t>、药剂配置</w:t>
      </w:r>
      <w:r>
        <w:rPr>
          <w:rFonts w:hint="default" w:ascii="Times New Roman" w:hAnsi="Times New Roman" w:cs="Times New Roman"/>
          <w:color w:val="auto"/>
          <w:highlight w:val="none"/>
          <w:lang w:val="en-US" w:eastAsia="zh-CN" w:bidi="ar"/>
        </w:rPr>
        <w:t>等用水，用水量为64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1.56</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其中56.904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8.5657</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来自于15万吨/年</w:t>
      </w:r>
      <w:r>
        <w:rPr>
          <w:rFonts w:hint="default" w:ascii="Times New Roman" w:hAnsi="Times New Roman" w:cs="Times New Roman"/>
          <w:color w:val="auto"/>
          <w:highlight w:val="none"/>
        </w:rPr>
        <w:t>采矿工程矿井涌水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其余部分</w:t>
      </w:r>
      <w:r>
        <w:rPr>
          <w:rFonts w:hint="default" w:cs="Times New Roman"/>
          <w:color w:val="auto"/>
          <w:highlight w:val="none"/>
          <w:lang w:val="en-US" w:eastAsia="zh-CN"/>
        </w:rPr>
        <w:t>来自于新疆富蕴县黑龙江富蕴工业园区</w:t>
      </w:r>
      <w:r>
        <w:rPr>
          <w:rFonts w:hint="eastAsia" w:cs="Times New Roman"/>
          <w:color w:val="auto"/>
          <w:highlight w:val="none"/>
          <w:lang w:val="en-US" w:eastAsia="zh-CN"/>
        </w:rPr>
        <w:t>工业用水</w:t>
      </w:r>
      <w:r>
        <w:rPr>
          <w:rFonts w:hint="default" w:ascii="Times New Roman" w:hAnsi="Times New Roman" w:cs="Times New Roman"/>
          <w:color w:val="auto"/>
          <w:highlight w:val="none"/>
        </w:rPr>
        <w:t>。</w:t>
      </w:r>
    </w:p>
    <w:p w14:paraId="0D93933E">
      <w:pPr>
        <w:overflowPunct w:val="0"/>
        <w:topLinePunct/>
        <w:ind w:firstLine="480"/>
        <w:rPr>
          <w:rFonts w:hint="default" w:ascii="Times New Roman" w:hAnsi="Times New Roman" w:cs="Times New Roman"/>
          <w:color w:val="auto"/>
          <w:highlight w:val="none"/>
          <w:lang w:val="en-US" w:eastAsia="zh-CN" w:bidi="ar"/>
        </w:rPr>
      </w:pPr>
      <w:r>
        <w:rPr>
          <w:rFonts w:hint="default" w:ascii="Times New Roman" w:hAnsi="Times New Roman" w:cs="Times New Roman"/>
          <w:color w:val="auto"/>
          <w:highlight w:val="none"/>
          <w:lang w:val="en-US" w:eastAsia="zh-CN" w:bidi="ar"/>
        </w:rPr>
        <w:t>④绿化用水</w:t>
      </w:r>
    </w:p>
    <w:p w14:paraId="7765036E">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highlight w:val="none"/>
          <w:lang w:val="en-US" w:eastAsia="zh-CN" w:bidi="ar"/>
        </w:rPr>
        <w:t>本项目拟在办公生活区及选矿厂之间设置绿化带隔离，</w:t>
      </w:r>
      <w:r>
        <w:rPr>
          <w:rFonts w:hint="default" w:ascii="Times New Roman" w:hAnsi="Times New Roman" w:cs="Times New Roman"/>
          <w:color w:val="auto"/>
          <w:highlight w:val="none"/>
          <w:lang w:bidi="ar"/>
        </w:rPr>
        <w:t>绿化面积约</w:t>
      </w:r>
      <w:r>
        <w:rPr>
          <w:rFonts w:hint="default" w:ascii="Times New Roman" w:hAnsi="Times New Roman" w:cs="Times New Roman"/>
          <w:color w:val="auto"/>
          <w:highlight w:val="none"/>
          <w:lang w:val="en-US" w:eastAsia="zh-CN" w:bidi="ar"/>
        </w:rPr>
        <w:t>1.334</w:t>
      </w:r>
      <w:r>
        <w:rPr>
          <w:rFonts w:hint="default" w:ascii="Times New Roman" w:hAnsi="Times New Roman" w:cs="Times New Roman"/>
          <w:color w:val="auto"/>
          <w:highlight w:val="none"/>
          <w:lang w:bidi="ar"/>
        </w:rPr>
        <w:t>hm</w:t>
      </w:r>
      <w:r>
        <w:rPr>
          <w:rFonts w:hint="default" w:ascii="Times New Roman" w:hAnsi="Times New Roman" w:cs="Times New Roman"/>
          <w:color w:val="auto"/>
          <w:highlight w:val="none"/>
          <w:vertAlign w:val="superscript"/>
          <w:lang w:bidi="ar"/>
        </w:rPr>
        <w:t>2</w:t>
      </w:r>
      <w:r>
        <w:rPr>
          <w:rFonts w:hint="default" w:ascii="Times New Roman" w:hAnsi="Times New Roman" w:cs="Times New Roman"/>
          <w:color w:val="auto"/>
          <w:highlight w:val="none"/>
          <w:vertAlign w:val="baseline"/>
          <w:lang w:eastAsia="zh-CN" w:bidi="ar"/>
        </w:rPr>
        <w:t>（</w:t>
      </w:r>
      <w:r>
        <w:rPr>
          <w:rFonts w:hint="default" w:ascii="Times New Roman" w:hAnsi="Times New Roman" w:cs="Times New Roman"/>
          <w:color w:val="auto"/>
          <w:highlight w:val="none"/>
          <w:vertAlign w:val="baseline"/>
          <w:lang w:val="en-US" w:eastAsia="zh-CN" w:bidi="ar"/>
        </w:rPr>
        <w:t>20亩</w:t>
      </w:r>
      <w:r>
        <w:rPr>
          <w:rFonts w:hint="default" w:ascii="Times New Roman" w:hAnsi="Times New Roman" w:cs="Times New Roman"/>
          <w:color w:val="auto"/>
          <w:highlight w:val="none"/>
          <w:vertAlign w:val="baseline"/>
          <w:lang w:eastAsia="zh-CN" w:bidi="ar"/>
        </w:rPr>
        <w:t>）</w:t>
      </w:r>
      <w:r>
        <w:rPr>
          <w:rFonts w:hint="default" w:ascii="Times New Roman" w:hAnsi="Times New Roman" w:cs="Times New Roman"/>
          <w:color w:val="auto"/>
          <w:highlight w:val="none"/>
          <w:lang w:bidi="ar"/>
        </w:rPr>
        <w:t>，按照用水定额标准绿地1.0-3.0L/m</w:t>
      </w:r>
      <w:r>
        <w:rPr>
          <w:rFonts w:hint="default" w:ascii="Times New Roman" w:hAnsi="Times New Roman" w:cs="Times New Roman"/>
          <w:color w:val="auto"/>
          <w:highlight w:val="none"/>
          <w:vertAlign w:val="superscript"/>
          <w:lang w:bidi="ar"/>
        </w:rPr>
        <w:t>2</w:t>
      </w:r>
      <w:r>
        <w:rPr>
          <w:rFonts w:hint="default" w:ascii="Times New Roman" w:hAnsi="Times New Roman" w:cs="Times New Roman"/>
          <w:color w:val="auto"/>
          <w:highlight w:val="none"/>
          <w:lang w:bidi="ar"/>
        </w:rPr>
        <w:t>·d来计算，每日绿化用水量</w:t>
      </w:r>
      <w:r>
        <w:rPr>
          <w:rFonts w:hint="default" w:ascii="Times New Roman" w:hAnsi="Times New Roman" w:cs="Times New Roman"/>
          <w:color w:val="auto"/>
          <w:highlight w:val="none"/>
          <w:lang w:val="en-US" w:eastAsia="zh-CN" w:bidi="ar"/>
        </w:rPr>
        <w:t>40</w:t>
      </w:r>
      <w:r>
        <w:rPr>
          <w:rFonts w:hint="default" w:ascii="Times New Roman" w:hAnsi="Times New Roman" w:cs="Times New Roman"/>
          <w:color w:val="auto"/>
          <w:highlight w:val="none"/>
          <w:lang w:bidi="ar"/>
        </w:rPr>
        <w:t>m</w:t>
      </w:r>
      <w:r>
        <w:rPr>
          <w:rFonts w:hint="default" w:ascii="Times New Roman" w:hAnsi="Times New Roman" w:cs="Times New Roman"/>
          <w:color w:val="auto"/>
          <w:highlight w:val="none"/>
          <w:vertAlign w:val="superscript"/>
          <w:lang w:bidi="ar"/>
        </w:rPr>
        <w:t>3</w:t>
      </w:r>
      <w:r>
        <w:rPr>
          <w:rFonts w:hint="default" w:ascii="Times New Roman" w:hAnsi="Times New Roman" w:cs="Times New Roman"/>
          <w:color w:val="auto"/>
          <w:highlight w:val="none"/>
          <w:lang w:bidi="ar"/>
        </w:rPr>
        <w:t>，则灌溉期绿化用水量为0.</w:t>
      </w:r>
      <w:r>
        <w:rPr>
          <w:rFonts w:hint="default" w:ascii="Times New Roman" w:hAnsi="Times New Roman" w:cs="Times New Roman"/>
          <w:color w:val="auto"/>
          <w:highlight w:val="none"/>
          <w:lang w:val="en-US" w:eastAsia="zh-CN" w:bidi="ar"/>
        </w:rPr>
        <w:t>2</w:t>
      </w:r>
      <w:r>
        <w:rPr>
          <w:rFonts w:hint="default" w:ascii="Times New Roman" w:hAnsi="Times New Roman" w:cs="Times New Roman"/>
          <w:color w:val="auto"/>
          <w:highlight w:val="none"/>
          <w:lang w:bidi="ar"/>
        </w:rPr>
        <w:t>万m</w:t>
      </w:r>
      <w:r>
        <w:rPr>
          <w:rFonts w:hint="default" w:ascii="Times New Roman" w:hAnsi="Times New Roman" w:cs="Times New Roman"/>
          <w:color w:val="auto"/>
          <w:highlight w:val="none"/>
          <w:vertAlign w:val="superscript"/>
          <w:lang w:bidi="ar"/>
        </w:rPr>
        <w:t>3</w:t>
      </w:r>
      <w:r>
        <w:rPr>
          <w:rFonts w:hint="default" w:ascii="Times New Roman" w:hAnsi="Times New Roman" w:cs="Times New Roman"/>
          <w:color w:val="auto"/>
          <w:highlight w:val="none"/>
          <w:lang w:bidi="ar"/>
        </w:rPr>
        <w:t>/a（按150天计）</w:t>
      </w:r>
      <w:r>
        <w:rPr>
          <w:rFonts w:hint="default" w:ascii="Times New Roman" w:hAnsi="Times New Roman" w:cs="Times New Roman"/>
          <w:color w:val="auto"/>
          <w:highlight w:val="none"/>
          <w:lang w:eastAsia="zh-CN" w:bidi="ar"/>
        </w:rPr>
        <w:t>，</w:t>
      </w:r>
      <w:r>
        <w:rPr>
          <w:rFonts w:hint="default" w:ascii="Times New Roman" w:hAnsi="Times New Roman" w:cs="Times New Roman"/>
          <w:color w:val="auto"/>
          <w:highlight w:val="none"/>
          <w:lang w:val="en-US" w:eastAsia="zh-CN"/>
        </w:rPr>
        <w:t>均来自于</w:t>
      </w:r>
      <w:r>
        <w:rPr>
          <w:rFonts w:hint="default" w:cs="Times New Roman"/>
          <w:color w:val="auto"/>
          <w:highlight w:val="none"/>
          <w:lang w:val="en-US" w:eastAsia="zh-CN"/>
        </w:rPr>
        <w:t>新疆富蕴县黑龙江富蕴工业园区</w:t>
      </w:r>
      <w:r>
        <w:rPr>
          <w:rFonts w:hint="eastAsia" w:cs="Times New Roman"/>
          <w:color w:val="auto"/>
          <w:highlight w:val="none"/>
          <w:lang w:val="en-US" w:eastAsia="zh-CN"/>
        </w:rPr>
        <w:t>工业用水</w:t>
      </w:r>
      <w:r>
        <w:rPr>
          <w:rFonts w:hint="default" w:ascii="Times New Roman" w:hAnsi="Times New Roman" w:cs="Times New Roman"/>
          <w:color w:val="auto"/>
          <w:highlight w:val="none"/>
        </w:rPr>
        <w:t>。</w:t>
      </w:r>
    </w:p>
    <w:p w14:paraId="1D8C6E4A">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⑤</w:t>
      </w:r>
      <w:r>
        <w:rPr>
          <w:rFonts w:hint="default" w:ascii="Times New Roman" w:hAnsi="Times New Roman" w:cs="Times New Roman"/>
          <w:color w:val="auto"/>
          <w:szCs w:val="28"/>
          <w:highlight w:val="none"/>
        </w:rPr>
        <w:t>不可预见用水</w:t>
      </w:r>
    </w:p>
    <w:p w14:paraId="72F19369">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本项目可研报告描述</w:t>
      </w:r>
      <w:r>
        <w:rPr>
          <w:rFonts w:hint="default" w:ascii="Times New Roman" w:hAnsi="Times New Roman" w:cs="Times New Roman"/>
          <w:color w:val="auto"/>
          <w:highlight w:val="none"/>
        </w:rPr>
        <w:t>，</w:t>
      </w:r>
      <w:r>
        <w:rPr>
          <w:rFonts w:hint="default" w:ascii="Times New Roman" w:hAnsi="Times New Roman" w:cs="Times New Roman"/>
          <w:color w:val="auto"/>
          <w:szCs w:val="28"/>
          <w:highlight w:val="none"/>
        </w:rPr>
        <w:t>不可预见</w:t>
      </w:r>
      <w:r>
        <w:rPr>
          <w:rFonts w:hint="default" w:ascii="Times New Roman" w:hAnsi="Times New Roman" w:cs="Times New Roman"/>
          <w:color w:val="auto"/>
          <w:highlight w:val="none"/>
        </w:rPr>
        <w:t>用水量为</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均来自于</w:t>
      </w:r>
      <w:r>
        <w:rPr>
          <w:rFonts w:hint="default" w:cs="Times New Roman"/>
          <w:color w:val="auto"/>
          <w:highlight w:val="none"/>
          <w:lang w:val="en-US" w:eastAsia="zh-CN"/>
        </w:rPr>
        <w:t>新疆富蕴县黑龙江富蕴工业园区</w:t>
      </w:r>
      <w:r>
        <w:rPr>
          <w:rFonts w:hint="eastAsia" w:cs="Times New Roman"/>
          <w:color w:val="auto"/>
          <w:highlight w:val="none"/>
          <w:lang w:val="en-US" w:eastAsia="zh-CN"/>
        </w:rPr>
        <w:t>工业用水</w:t>
      </w:r>
      <w:r>
        <w:rPr>
          <w:rFonts w:hint="default" w:ascii="Times New Roman" w:hAnsi="Times New Roman" w:cs="Times New Roman"/>
          <w:color w:val="auto"/>
          <w:highlight w:val="none"/>
        </w:rPr>
        <w:t>。</w:t>
      </w:r>
    </w:p>
    <w:p w14:paraId="4EDD474B">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（2）水源及供水系统</w:t>
      </w:r>
    </w:p>
    <w:p w14:paraId="7CF523F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①水源</w:t>
      </w:r>
    </w:p>
    <w:p w14:paraId="2222C23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矿区东北侧白杨沟村已通自来水，该村水源</w:t>
      </w:r>
      <w:r>
        <w:rPr>
          <w:rFonts w:hint="default" w:ascii="Times New Roman" w:hAnsi="Times New Roman" w:cs="Times New Roman"/>
          <w:color w:val="auto"/>
          <w:highlight w:val="none"/>
        </w:rPr>
        <w:t>作为选矿厂生活供水水源</w:t>
      </w:r>
      <w:r>
        <w:rPr>
          <w:rFonts w:hint="eastAsia" w:cs="Times New Roman"/>
          <w:color w:val="auto"/>
          <w:highlight w:val="none"/>
          <w:lang w:eastAsia="zh-CN"/>
        </w:rPr>
        <w:t>；</w:t>
      </w:r>
      <w:r>
        <w:rPr>
          <w:rFonts w:hint="default" w:ascii="Times New Roman" w:hAnsi="Times New Roman" w:cs="Times New Roman"/>
          <w:color w:val="auto"/>
          <w:highlight w:val="none"/>
        </w:rPr>
        <w:t>采矿工程矿井涌水</w:t>
      </w:r>
      <w:r>
        <w:rPr>
          <w:rFonts w:hint="eastAsia" w:cs="Times New Roman"/>
          <w:color w:val="auto"/>
          <w:highlight w:val="none"/>
          <w:lang w:val="en-US" w:eastAsia="zh-CN"/>
        </w:rPr>
        <w:t>及新疆富蕴县黑龙江富蕴工业园区工业用水</w:t>
      </w:r>
      <w:r>
        <w:rPr>
          <w:rFonts w:hint="default" w:ascii="Times New Roman" w:hAnsi="Times New Roman" w:cs="Times New Roman"/>
          <w:color w:val="auto"/>
          <w:highlight w:val="none"/>
        </w:rPr>
        <w:t>为选矿厂的生产水源</w:t>
      </w:r>
      <w:r>
        <w:rPr>
          <w:rFonts w:hint="eastAsia" w:cs="Times New Roman"/>
          <w:color w:val="auto"/>
          <w:highlight w:val="none"/>
          <w:lang w:eastAsia="zh-CN"/>
        </w:rPr>
        <w:t>，</w:t>
      </w:r>
      <w:r>
        <w:rPr>
          <w:rFonts w:hint="eastAsia" w:cs="Times New Roman"/>
          <w:color w:val="auto"/>
          <w:highlight w:val="none"/>
          <w:lang w:val="en-US" w:eastAsia="zh-CN"/>
        </w:rPr>
        <w:t>优先使用采矿工程矿井涌水，当矿井涌水不足时由黑龙江富蕴工业园区工业用水作为补充水使用</w:t>
      </w:r>
      <w:r>
        <w:rPr>
          <w:rFonts w:hint="default" w:ascii="Times New Roman" w:hAnsi="Times New Roman" w:cs="Times New Roman"/>
          <w:color w:val="auto"/>
          <w:highlight w:val="none"/>
        </w:rPr>
        <w:t>。</w:t>
      </w:r>
    </w:p>
    <w:p w14:paraId="11754B5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根据《新疆富蕴县阿克塔斯矿区金矿采矿工程环境影响报告书》，采矿工程</w:t>
      </w:r>
      <w:r>
        <w:rPr>
          <w:rFonts w:hint="default" w:ascii="Times New Roman" w:hAnsi="Times New Roman" w:cs="Times New Roman"/>
          <w:color w:val="auto"/>
          <w:highlight w:val="none"/>
          <w:lang w:val="en-US" w:eastAsia="zh-CN"/>
        </w:rPr>
        <w:t>井下正常</w:t>
      </w:r>
      <w:r>
        <w:rPr>
          <w:rFonts w:hint="default" w:ascii="Times New Roman" w:hAnsi="Times New Roman" w:cs="Times New Roman"/>
          <w:color w:val="auto"/>
          <w:highlight w:val="none"/>
        </w:rPr>
        <w:t>涌水量</w:t>
      </w:r>
      <w:r>
        <w:rPr>
          <w:rFonts w:hint="default" w:ascii="Times New Roman" w:hAnsi="Times New Roman" w:cs="Times New Roman"/>
          <w:color w:val="auto"/>
          <w:highlight w:val="none"/>
          <w:lang w:val="en-US" w:eastAsia="zh-CN" w:bidi="ar"/>
        </w:rPr>
        <w:t>1064</w:t>
      </w:r>
      <w:r>
        <w:rPr>
          <w:rFonts w:hint="default" w:ascii="Times New Roman" w:hAnsi="Times New Roman" w:cs="Times New Roman"/>
          <w:color w:val="auto"/>
          <w:highlight w:val="none"/>
          <w:lang w:bidi="ar"/>
        </w:rPr>
        <w:t>m</w:t>
      </w:r>
      <w:r>
        <w:rPr>
          <w:rFonts w:hint="default" w:ascii="Times New Roman" w:hAnsi="Times New Roman" w:cs="Times New Roman"/>
          <w:color w:val="auto"/>
          <w:highlight w:val="none"/>
          <w:vertAlign w:val="superscript"/>
          <w:lang w:bidi="ar"/>
        </w:rPr>
        <w:t>3</w:t>
      </w:r>
      <w:r>
        <w:rPr>
          <w:rFonts w:hint="default" w:ascii="Times New Roman" w:hAnsi="Times New Roman" w:cs="Times New Roman"/>
          <w:color w:val="auto"/>
          <w:highlight w:val="none"/>
          <w:lang w:bidi="ar"/>
        </w:rPr>
        <w:t>/d，</w:t>
      </w:r>
      <w:r>
        <w:rPr>
          <w:rFonts w:hint="default" w:cs="Times New Roman"/>
          <w:color w:val="auto"/>
          <w:highlight w:val="none"/>
          <w:lang w:val="en-US" w:eastAsia="zh-CN" w:bidi="ar"/>
        </w:rPr>
        <w:t>由于区域水质较好，</w:t>
      </w:r>
      <w:r>
        <w:rPr>
          <w:rFonts w:hint="default" w:ascii="Times New Roman" w:hAnsi="Times New Roman" w:cs="Times New Roman"/>
          <w:color w:val="auto"/>
          <w:highlight w:val="none"/>
          <w:lang w:bidi="ar"/>
        </w:rPr>
        <w:t>采用沉淀处理后暂存于回用水池，全部用于井下凿岩及降尘、排土场及道路降尘、</w:t>
      </w:r>
      <w:r>
        <w:rPr>
          <w:rFonts w:hint="default" w:ascii="Times New Roman" w:hAnsi="Times New Roman" w:cs="Times New Roman"/>
          <w:color w:val="auto"/>
          <w:highlight w:val="none"/>
          <w:lang w:val="en-US" w:eastAsia="zh-CN" w:bidi="ar"/>
        </w:rPr>
        <w:t>充填站、</w:t>
      </w:r>
      <w:r>
        <w:rPr>
          <w:rFonts w:hint="default" w:ascii="Times New Roman" w:hAnsi="Times New Roman" w:cs="Times New Roman"/>
          <w:color w:val="auto"/>
          <w:highlight w:val="none"/>
          <w:lang w:bidi="ar"/>
        </w:rPr>
        <w:t>选矿厂选矿用水等，不外排，</w:t>
      </w:r>
      <w:r>
        <w:rPr>
          <w:rFonts w:hint="default" w:ascii="Times New Roman" w:hAnsi="Times New Roman" w:cs="Times New Roman"/>
          <w:color w:val="auto"/>
          <w:highlight w:val="none"/>
          <w:lang w:val="en-US" w:eastAsia="zh-CN" w:bidi="ar"/>
        </w:rPr>
        <w:t>其中选矿用水量为295.6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/d。建设单位拟在</w:t>
      </w:r>
      <w:r>
        <w:rPr>
          <w:rFonts w:hint="default" w:ascii="Times New Roman" w:hAnsi="Times New Roman" w:cs="Times New Roman"/>
          <w:color w:val="auto"/>
          <w:highlight w:val="none"/>
          <w:lang w:bidi="ar"/>
        </w:rPr>
        <w:t>矿区工业场地与选矿厂间新建输水管线，用于运输矿井涌水，作为选矿用水，管道全长约</w:t>
      </w:r>
      <w:r>
        <w:rPr>
          <w:rFonts w:hint="default" w:ascii="Times New Roman" w:hAnsi="Times New Roman" w:cs="Times New Roman"/>
          <w:color w:val="auto"/>
          <w:highlight w:val="none"/>
          <w:lang w:val="en-US" w:eastAsia="zh-CN" w:bidi="ar"/>
        </w:rPr>
        <w:t>2</w:t>
      </w:r>
      <w:r>
        <w:rPr>
          <w:rFonts w:hint="default" w:ascii="Times New Roman" w:hAnsi="Times New Roman" w:cs="Times New Roman"/>
          <w:color w:val="auto"/>
          <w:highlight w:val="none"/>
          <w:lang w:bidi="ar"/>
        </w:rPr>
        <w:t>km，输水管线为本项目公用工程建设内容，</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万t/a采矿工程与本项目同时建设、同时运行，待全部建成后，</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万t/a采矿工程矿井涌水用于本项目选矿使用合理可行。</w:t>
      </w:r>
    </w:p>
    <w:p w14:paraId="334E0245">
      <w:pPr>
        <w:overflowPunct w:val="0"/>
        <w:topLinePunct/>
        <w:ind w:firstLine="480"/>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新疆富蕴县黑龙江富蕴工业园区已建成规模为</w:t>
      </w:r>
      <w:r>
        <w:rPr>
          <w:rStyle w:val="36"/>
          <w:rFonts w:hint="default" w:ascii="Times New Roman" w:hAnsi="Times New Roman" w:eastAsia="宋体" w:cs="Times New Roman"/>
          <w:b w:val="0"/>
          <w:bCs w:val="0"/>
          <w:color w:val="auto"/>
          <w:sz w:val="24"/>
          <w:szCs w:val="24"/>
        </w:rPr>
        <w:t>5000m³/d</w:t>
      </w:r>
      <w:r>
        <w:rPr>
          <w:rFonts w:hint="default" w:ascii="Times New Roman" w:hAnsi="Times New Roman" w:eastAsia="宋体" w:cs="Times New Roman"/>
          <w:b w:val="0"/>
          <w:bCs w:val="0"/>
          <w:color w:val="auto"/>
          <w:sz w:val="24"/>
          <w:szCs w:val="24"/>
        </w:rPr>
        <w:t>工业污水处理厂</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目前正在提标改造中，预计2026年底完成改造，改造后</w:t>
      </w:r>
      <w:r>
        <w:rPr>
          <w:rFonts w:hint="default" w:ascii="Times New Roman" w:hAnsi="Times New Roman" w:eastAsia="宋体" w:cs="Times New Roman"/>
          <w:b w:val="0"/>
          <w:bCs w:val="0"/>
          <w:color w:val="auto"/>
          <w:sz w:val="24"/>
          <w:szCs w:val="24"/>
        </w:rPr>
        <w:t>工业污水处理厂</w:t>
      </w:r>
      <w:r>
        <w:rPr>
          <w:rFonts w:hint="default" w:ascii="Times New Roman" w:hAnsi="Times New Roman" w:eastAsia="宋体" w:cs="Times New Roman"/>
          <w:b w:val="0"/>
          <w:bCs w:val="0"/>
          <w:color w:val="auto"/>
          <w:sz w:val="24"/>
          <w:szCs w:val="24"/>
          <w:lang w:val="en-US" w:eastAsia="zh-CN"/>
        </w:rPr>
        <w:t>处理能力为1.5万m³/d，出水可达《城镇污水处理厂污染物排放标准》</w:t>
      </w:r>
      <w:r>
        <w:rPr>
          <w:rFonts w:hint="eastAsia" w:ascii="Times New Roman" w:hAnsi="Times New Roman" w:eastAsia="宋体" w:cs="Times New Roman"/>
          <w:b w:val="0"/>
          <w:bCs w:val="0"/>
          <w:color w:val="auto"/>
          <w:sz w:val="24"/>
          <w:szCs w:val="24"/>
          <w:lang w:val="en-US" w:eastAsia="zh-CN"/>
        </w:rPr>
        <w:t>（GB18918-2002）中</w:t>
      </w:r>
      <w:r>
        <w:rPr>
          <w:rFonts w:hint="default" w:ascii="Times New Roman" w:hAnsi="Times New Roman" w:eastAsia="宋体" w:cs="Times New Roman"/>
          <w:b w:val="0"/>
          <w:bCs w:val="0"/>
          <w:color w:val="auto"/>
          <w:sz w:val="24"/>
          <w:szCs w:val="24"/>
          <w:lang w:val="en-US" w:eastAsia="zh-CN"/>
        </w:rPr>
        <w:t>一级A标准。本项目距离</w:t>
      </w:r>
      <w:r>
        <w:rPr>
          <w:rFonts w:hint="default" w:ascii="Times New Roman" w:hAnsi="Times New Roman" w:cs="Times New Roman"/>
          <w:b w:val="0"/>
          <w:bCs w:val="0"/>
          <w:color w:val="auto"/>
          <w:highlight w:val="none"/>
          <w:lang w:val="en-US" w:eastAsia="zh-CN"/>
        </w:rPr>
        <w:t>新疆富蕴县黑龙江富蕴工业园区约7km，再生水</w:t>
      </w:r>
      <w:r>
        <w:rPr>
          <w:rFonts w:hint="default" w:ascii="Times New Roman" w:hAnsi="Times New Roman" w:eastAsia="宋体" w:cs="Times New Roman"/>
          <w:b w:val="0"/>
          <w:bCs w:val="0"/>
          <w:color w:val="auto"/>
          <w:sz w:val="24"/>
          <w:szCs w:val="24"/>
          <w:lang w:val="en-US" w:eastAsia="zh-CN"/>
        </w:rPr>
        <w:t>可作为本项目工业用水水源，目前建设单位与</w:t>
      </w:r>
      <w:r>
        <w:rPr>
          <w:rFonts w:hint="eastAsia" w:ascii="Times New Roman" w:hAnsi="Times New Roman" w:eastAsia="宋体" w:cs="Times New Roman"/>
          <w:b w:val="0"/>
          <w:bCs w:val="0"/>
          <w:color w:val="auto"/>
          <w:sz w:val="24"/>
          <w:szCs w:val="24"/>
          <w:lang w:val="en-US" w:eastAsia="zh-CN"/>
        </w:rPr>
        <w:t>工业园区</w:t>
      </w:r>
      <w:r>
        <w:rPr>
          <w:rFonts w:hint="default" w:ascii="Times New Roman" w:hAnsi="Times New Roman" w:eastAsia="宋体" w:cs="Times New Roman"/>
          <w:b w:val="0"/>
          <w:bCs w:val="0"/>
          <w:color w:val="auto"/>
          <w:sz w:val="24"/>
          <w:szCs w:val="24"/>
          <w:lang w:val="en-US" w:eastAsia="zh-CN"/>
        </w:rPr>
        <w:t>已达成初步协议。</w:t>
      </w:r>
    </w:p>
    <w:p w14:paraId="46DEAC67">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②供水系统</w:t>
      </w:r>
    </w:p>
    <w:p w14:paraId="5B73082D">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highlight w:val="none"/>
        </w:rPr>
        <w:t>新建选矿厂给水工程主要由水源泵房、高位水池、循环水池、生产新水池等组成。</w:t>
      </w:r>
      <w:r>
        <w:rPr>
          <w:rFonts w:hint="default" w:ascii="Times New Roman" w:hAnsi="Times New Roman" w:cs="Times New Roman"/>
          <w:color w:val="auto"/>
          <w:szCs w:val="28"/>
          <w:highlight w:val="none"/>
        </w:rPr>
        <w:t>选厂生产用水储存于400m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回水池内，通过水泵供给，给水管路采用D159×4.5无缝钢管，管路直埋敷设，管顶最小覆土深度不小于土壤冰冻线以下0.15m。</w:t>
      </w:r>
    </w:p>
    <w:p w14:paraId="7824D35E">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在生活区的办公楼设备间内设1个20m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生活水箱、1套全自动供水设备，供生活区生活用水，管路采用D57×3无缝钢管，管路直埋敷设，管顶最小覆土深度不小于土壤冰冻线以下0.15m。</w:t>
      </w:r>
    </w:p>
    <w:p w14:paraId="0EE68A2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.7.2排水工程</w:t>
      </w:r>
    </w:p>
    <w:p w14:paraId="60395969">
      <w:pPr>
        <w:pStyle w:val="84"/>
        <w:overflowPunct w:val="0"/>
        <w:topLinePunct/>
        <w:spacing w:beforeLines="0" w:afterLines="0" w:line="480" w:lineRule="exact"/>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（1）废水量</w:t>
      </w:r>
    </w:p>
    <w:p w14:paraId="2FB371B3">
      <w:pPr>
        <w:pStyle w:val="84"/>
        <w:overflowPunct w:val="0"/>
        <w:topLinePunct/>
        <w:spacing w:beforeLines="0" w:afterLines="0" w:line="480" w:lineRule="exact"/>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本项目废水主要为选矿工艺产生的选矿废水</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办公生活区产生的生活污水，废水总量为</w:t>
      </w:r>
      <w:r>
        <w:rPr>
          <w:rFonts w:hint="default" w:ascii="Times New Roman" w:hAnsi="Times New Roman" w:cs="Times New Roman"/>
          <w:color w:val="auto"/>
          <w:highlight w:val="none"/>
          <w:lang w:val="en-US" w:eastAsia="zh-CN"/>
        </w:rPr>
        <w:t>597.592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d（14.3422万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w:t>
      </w:r>
    </w:p>
    <w:p w14:paraId="67F1E14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①选矿废水</w:t>
      </w:r>
    </w:p>
    <w:p w14:paraId="70DAD81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本项目运营期选矿废水产生于选矿过程中，选矿废水量约为</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/a）。选矿废水部分被</w:t>
      </w:r>
      <w:r>
        <w:rPr>
          <w:rFonts w:hint="default" w:ascii="Times New Roman" w:hAnsi="Times New Roman" w:cs="Times New Roman"/>
          <w:color w:val="auto"/>
          <w:highlight w:val="none"/>
          <w:lang w:val="en-US" w:eastAsia="zh-CN"/>
        </w:rPr>
        <w:t>金</w:t>
      </w:r>
      <w:r>
        <w:rPr>
          <w:rFonts w:hint="default" w:ascii="Times New Roman" w:hAnsi="Times New Roman" w:cs="Times New Roman"/>
          <w:color w:val="auto"/>
          <w:highlight w:val="none"/>
        </w:rPr>
        <w:t>精粉带走，精矿过滤水、尾矿浓缩压滤溢流水返回生产工序循环利用，尾矿矿浆通过管道输送至尾矿库，尾矿库设有回水系统，使用水泵将库内澄清水通过管道泵送至选矿厂生产回水池，供选矿循环使用，实现生产废水“闭路循环”，不外排。</w:t>
      </w:r>
    </w:p>
    <w:p w14:paraId="5E02B5F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②生活污水</w:t>
      </w:r>
    </w:p>
    <w:p w14:paraId="0675FD9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生活污水产生量按照生活用水量的8</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%计，生活污水量约</w:t>
      </w:r>
      <w:r>
        <w:rPr>
          <w:rFonts w:hint="default" w:ascii="Times New Roman" w:hAnsi="Times New Roman" w:cs="Times New Roman"/>
          <w:color w:val="auto"/>
          <w:highlight w:val="none"/>
          <w:lang w:val="en-US" w:eastAsia="zh-CN"/>
        </w:rPr>
        <w:t>8.24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1978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/a）。生活污水通过下水管道进入</w:t>
      </w:r>
      <w:r>
        <w:rPr>
          <w:rFonts w:hint="default" w:ascii="Times New Roman" w:hAnsi="Times New Roman" w:cs="Times New Roman"/>
          <w:color w:val="auto"/>
          <w:highlight w:val="none"/>
          <w:lang w:val="en-US" w:eastAsia="zh-CN"/>
        </w:rPr>
        <w:t>生活污水处理站</w:t>
      </w:r>
      <w:r>
        <w:rPr>
          <w:rFonts w:hint="default" w:ascii="Times New Roman" w:hAnsi="Times New Roman" w:cs="Times New Roman"/>
          <w:color w:val="auto"/>
          <w:highlight w:val="none"/>
        </w:rPr>
        <w:t>处理后，灌溉期用于绿化，非灌溉期全部通过管路输入选矿生产工序循环使用，做到零排放。</w:t>
      </w:r>
    </w:p>
    <w:p w14:paraId="2747755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（2）排水方案</w:t>
      </w:r>
    </w:p>
    <w:p w14:paraId="052DD19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①选矿废水</w:t>
      </w:r>
    </w:p>
    <w:p w14:paraId="40B0FDA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本项目选矿工艺废水“闭路循环”，正常工况下不外排；非正常工况下，选矿水溢出，立即停止生产，溢出水排入车间排水沟，最终由车间回水泵排入选矿车间</w:t>
      </w:r>
      <w:r>
        <w:rPr>
          <w:rFonts w:hint="default" w:cs="Times New Roman"/>
          <w:color w:val="auto"/>
          <w:highlight w:val="none"/>
          <w:lang w:val="en-US" w:eastAsia="zh-CN"/>
        </w:rPr>
        <w:t>15</w:t>
      </w:r>
      <w:r>
        <w:rPr>
          <w:rFonts w:hint="default" w:ascii="Times New Roman" w:hAnsi="Times New Roman" w:cs="Times New Roman"/>
          <w:color w:val="auto"/>
          <w:highlight w:val="none"/>
        </w:rPr>
        <w:t>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防渗事故池</w:t>
      </w:r>
      <w:r>
        <w:rPr>
          <w:rFonts w:hint="default" w:cs="Times New Roman"/>
          <w:color w:val="auto"/>
          <w:highlight w:val="none"/>
          <w:lang w:val="en-US" w:eastAsia="zh-CN"/>
        </w:rPr>
        <w:t>内</w:t>
      </w:r>
      <w:r>
        <w:rPr>
          <w:rFonts w:hint="default" w:ascii="Times New Roman" w:hAnsi="Times New Roman" w:cs="Times New Roman"/>
          <w:color w:val="auto"/>
          <w:highlight w:val="none"/>
        </w:rPr>
        <w:t>，</w:t>
      </w:r>
      <w:r>
        <w:rPr>
          <w:rFonts w:hint="default" w:cs="Times New Roman"/>
          <w:color w:val="auto"/>
          <w:highlight w:val="none"/>
          <w:lang w:val="en-US" w:eastAsia="zh-CN"/>
        </w:rPr>
        <w:t>确保</w:t>
      </w:r>
      <w:r>
        <w:rPr>
          <w:rFonts w:hint="default" w:ascii="Times New Roman" w:hAnsi="Times New Roman" w:cs="Times New Roman"/>
          <w:color w:val="auto"/>
          <w:highlight w:val="none"/>
        </w:rPr>
        <w:t>不外排。</w:t>
      </w:r>
    </w:p>
    <w:p w14:paraId="10D5591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②生活污水</w:t>
      </w:r>
    </w:p>
    <w:p w14:paraId="17967C6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本项目生活废水</w:t>
      </w:r>
      <w:r>
        <w:rPr>
          <w:rFonts w:hint="default" w:ascii="Times New Roman" w:hAnsi="Times New Roman" w:cs="Times New Roman"/>
          <w:color w:val="auto"/>
          <w:highlight w:val="none"/>
        </w:rPr>
        <w:t>排入</w:t>
      </w:r>
      <w:r>
        <w:rPr>
          <w:rFonts w:hint="default" w:ascii="Times New Roman" w:hAnsi="Times New Roman" w:cs="Times New Roman"/>
          <w:color w:val="auto"/>
          <w:highlight w:val="none"/>
          <w:lang w:val="en-US" w:eastAsia="zh-CN"/>
        </w:rPr>
        <w:t>化粪池后，出水进入</w:t>
      </w:r>
      <w:r>
        <w:rPr>
          <w:rFonts w:hint="default" w:ascii="Times New Roman" w:hAnsi="Times New Roman" w:cs="Times New Roman"/>
          <w:color w:val="auto"/>
          <w:highlight w:val="none"/>
        </w:rPr>
        <w:t>地埋式一体化生活污水处理设施</w:t>
      </w:r>
      <w:r>
        <w:rPr>
          <w:rFonts w:hint="default" w:ascii="Times New Roman" w:hAnsi="Times New Roman" w:cs="Times New Roman"/>
          <w:color w:val="auto"/>
          <w:highlight w:val="none"/>
          <w:lang w:val="zh-CN"/>
        </w:rPr>
        <w:t>（主要工艺：</w:t>
      </w:r>
      <w:r>
        <w:rPr>
          <w:rFonts w:hint="default" w:ascii="Times New Roman" w:hAnsi="Times New Roman" w:cs="Times New Roman"/>
          <w:color w:val="auto"/>
          <w:highlight w:val="none"/>
          <w:lang w:val="en-US" w:eastAsia="zh-CN"/>
        </w:rPr>
        <w:t>沉淀-A</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O-过滤-消毒工艺</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处理达到《农村生活污水处理排放标准》（DB65 4275-2019）表2规定的A级排放限值以及《城市污水再生利用 城市杂用水水质》（GB/T18920-2020）中的城市绿化、道路清扫、消防、建筑施工限值后，灌溉期</w:t>
      </w:r>
      <w:r>
        <w:rPr>
          <w:rFonts w:hint="default" w:ascii="Times New Roman" w:hAnsi="Times New Roman" w:cs="Times New Roman"/>
          <w:color w:val="auto"/>
          <w:spacing w:val="-1"/>
          <w:highlight w:val="none"/>
        </w:rPr>
        <w:t>用于绿化，非灌溉期用于选矿生产工序循环利用</w:t>
      </w:r>
      <w:r>
        <w:rPr>
          <w:rFonts w:hint="default" w:ascii="Times New Roman" w:hAnsi="Times New Roman" w:cs="Times New Roman"/>
          <w:color w:val="auto"/>
          <w:highlight w:val="none"/>
        </w:rPr>
        <w:t>，不外排。</w:t>
      </w:r>
    </w:p>
    <w:p w14:paraId="5613AF0F">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.7.3供热工程</w:t>
      </w:r>
    </w:p>
    <w:p w14:paraId="677FC4C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（1）热源</w:t>
      </w:r>
    </w:p>
    <w:p w14:paraId="036D73C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项目区无工业余热、区域热源及气源，在选厂新建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座</w:t>
      </w:r>
      <w:r>
        <w:rPr>
          <w:rFonts w:hint="default" w:ascii="Times New Roman" w:hAnsi="Times New Roman" w:cs="Times New Roman"/>
          <w:color w:val="auto"/>
          <w:highlight w:val="none"/>
          <w:lang w:val="en-US" w:eastAsia="zh-CN"/>
        </w:rPr>
        <w:t>锅炉房，锅炉房内配备1台电热水锅炉</w:t>
      </w:r>
      <w:r>
        <w:rPr>
          <w:rFonts w:hint="default" w:ascii="Times New Roman" w:hAnsi="Times New Roman" w:cs="Times New Roman"/>
          <w:color w:val="auto"/>
          <w:highlight w:val="none"/>
        </w:rPr>
        <w:t>。</w:t>
      </w:r>
    </w:p>
    <w:p w14:paraId="64780AC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选矿厂房供暖热媒为</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60</w:t>
      </w:r>
      <w:r>
        <w:rPr>
          <w:rFonts w:hint="default" w:ascii="Times New Roman" w:hAnsi="Times New Roman" w:cs="Times New Roman"/>
          <w:color w:val="auto"/>
          <w:highlight w:val="none"/>
        </w:rPr>
        <w:t>℃低温热水，热媒由水源热泵房提供，各建筑物内采暖采用独立的上供下回双管同程式采暖系统，工业厂房末端采用钢制热水排管散热器，民用建筑末端采用灰铸铁柱翼型散热器。</w:t>
      </w:r>
    </w:p>
    <w:p w14:paraId="63C9C8A6">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热力管网</w:t>
      </w:r>
    </w:p>
    <w:p w14:paraId="7B3750E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本项目供热范围包括选矿厂及办公生活区，</w:t>
      </w:r>
      <w:r>
        <w:rPr>
          <w:rFonts w:hint="default" w:ascii="Times New Roman" w:hAnsi="Times New Roman" w:cs="Times New Roman"/>
          <w:color w:val="auto"/>
          <w:highlight w:val="none"/>
        </w:rPr>
        <w:t>热力管网采用无补偿直埋管敷设，管道埋设深度不小于0.7米。热力管道采用D159×4.5无缝钢管焊接，保温材料为δ=50mm聚氨酯硬质泡沫塑料保温层，外设δ=3mm高密度聚乙烯套管作保护层。</w:t>
      </w:r>
    </w:p>
    <w:p w14:paraId="31FC87E6">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.7.4供电工程</w:t>
      </w:r>
    </w:p>
    <w:p w14:paraId="6F590864">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本次设计在选矿厂新建35/10kV变电站一座，两路35kV电源分引自矿区西侧喀拉通克铜镍矿35/10kV变电站10kV侧不同母线段，喀拉通克铜镍矿35/10kV变电站两回35kV电源由新疆阿勒泰电力公司电力网供电，一回主供电源引自富蕴县110kV变电所，另一回路备用电源线路引自可可托海二厂房，两路电源相互独立。</w:t>
      </w:r>
    </w:p>
    <w:p w14:paraId="6691043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消防</w:t>
      </w:r>
    </w:p>
    <w:p w14:paraId="36B1A2FC">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供水设施</w:t>
      </w:r>
    </w:p>
    <w:p w14:paraId="75B8DE8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消防用水储存于选矿厂</w:t>
      </w:r>
      <w:r>
        <w:rPr>
          <w:rFonts w:hint="default" w:cs="Times New Roman"/>
          <w:color w:val="auto"/>
          <w:highlight w:val="none"/>
          <w:lang w:val="en-US" w:eastAsia="zh-CN"/>
        </w:rPr>
        <w:t>3</w:t>
      </w:r>
      <w:r>
        <w:rPr>
          <w:rFonts w:hint="default" w:ascii="Times New Roman" w:hAnsi="Times New Roman" w:cs="Times New Roman"/>
          <w:color w:val="auto"/>
          <w:highlight w:val="none"/>
        </w:rPr>
        <w:t>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清水池内，消防水池设防冻措施，设就地水位检测系统，并在值班室设高低水位报警，且采取措施保证消防用水不被挪作他用。</w:t>
      </w:r>
    </w:p>
    <w:p w14:paraId="0273167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室内、外消防给水管网合建，给水系统采用临高压消防给水系统，通过消防水泵供给，自建筑物室外地面算，供水压力不低于0.25MPa。消防稳压设施，包括一组稳压泵和一个稳压罐，稳压泵</w:t>
      </w:r>
      <w:r>
        <w:rPr>
          <w:rFonts w:hint="default" w:cs="Times New Roman"/>
          <w:color w:val="auto"/>
          <w:highlight w:val="none"/>
          <w:lang w:eastAsia="zh-CN"/>
        </w:rPr>
        <w:t>两台</w:t>
      </w:r>
      <w:r>
        <w:rPr>
          <w:rFonts w:hint="default" w:ascii="Times New Roman" w:hAnsi="Times New Roman" w:cs="Times New Roman"/>
          <w:color w:val="auto"/>
          <w:highlight w:val="none"/>
        </w:rPr>
        <w:t>，一工一备。Q=2L/s，H=25m，N=5.5kW。</w:t>
      </w:r>
    </w:p>
    <w:p w14:paraId="06BE79B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室外消防给水管网，采用D159×4.5无缝钢管环状布置，管路直埋敷设，</w:t>
      </w:r>
    </w:p>
    <w:p w14:paraId="28FE6B5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管顶最小覆土深度不小于土壤冰冻线以下0.30米。</w:t>
      </w:r>
    </w:p>
    <w:p w14:paraId="3FC2194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）室内外消火栓系统</w:t>
      </w:r>
    </w:p>
    <w:p w14:paraId="2BEE722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设置室内消火栓的建筑，消火栓的布置满足同一平面有2</w:t>
      </w:r>
      <w:r>
        <w:rPr>
          <w:rFonts w:hint="default" w:cs="Times New Roman"/>
          <w:color w:val="auto"/>
          <w:highlight w:val="none"/>
          <w:lang w:eastAsia="zh-CN"/>
        </w:rPr>
        <w:t>支</w:t>
      </w:r>
      <w:r>
        <w:rPr>
          <w:rFonts w:hint="default" w:ascii="Times New Roman" w:hAnsi="Times New Roman" w:cs="Times New Roman"/>
          <w:color w:val="auto"/>
          <w:highlight w:val="none"/>
        </w:rPr>
        <w:t>消防水枪的2股充实水柱同时达到任何部位，消火栓配置公称直径65有内衬里的消防水带，长度25m，消防水枪喷嘴直径19mm。</w:t>
      </w:r>
    </w:p>
    <w:p w14:paraId="52CF8DE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室外消火栓沿建筑物周围均匀布置，建筑消防扑救面一侧不少于2个，室外消火栓布置间距不大于120m，保护半径不大于150m。</w:t>
      </w:r>
    </w:p>
    <w:p w14:paraId="2255E154">
      <w:pPr>
        <w:overflowPunct w:val="0"/>
        <w:topLinePun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（3）灭火器配置</w:t>
      </w:r>
    </w:p>
    <w:p w14:paraId="17E5D8BD">
      <w:pPr>
        <w:overflowPunct w:val="0"/>
        <w:topLinePun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根据各建筑物危险等级、灭火器的最低配置级别、灭火器单位灭火级别最大保护面积、灭火器最大保护距离等，在各建筑物内配置磷酸铵盐干粉灭火器。</w:t>
      </w:r>
    </w:p>
    <w:p w14:paraId="0C8372A4">
      <w:pPr>
        <w:pStyle w:val="4"/>
        <w:rPr>
          <w:rFonts w:hint="default" w:ascii="Times New Roman" w:hAnsi="Times New Roman" w:cs="Times New Roman"/>
          <w:color w:val="auto"/>
          <w:highlight w:val="none"/>
        </w:rPr>
      </w:pPr>
      <w:bookmarkStart w:id="374" w:name="_Toc10820"/>
      <w:bookmarkStart w:id="375" w:name="_Toc6018"/>
      <w:bookmarkStart w:id="376" w:name="_Toc2392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.8项目总平面布置</w:t>
      </w:r>
      <w:bookmarkEnd w:id="374"/>
      <w:bookmarkEnd w:id="375"/>
      <w:bookmarkEnd w:id="376"/>
    </w:p>
    <w:p w14:paraId="634879B8">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lang w:val="en-US" w:eastAsia="zh-CN"/>
        </w:rPr>
        <w:t>1</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项目组成</w:t>
      </w:r>
    </w:p>
    <w:p w14:paraId="6A0DEB5E">
      <w:pPr>
        <w:overflowPunct w:val="0"/>
        <w:topLinePunct/>
        <w:ind w:firstLine="480"/>
        <w:rPr>
          <w:rFonts w:hint="default"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本项目组成包括选矿厂、办公生活区及尾矿库。尾矿库南距采矿工程约1.</w:t>
      </w:r>
      <w:r>
        <w:rPr>
          <w:rFonts w:hint="default" w:cs="Times New Roman"/>
          <w:color w:val="auto"/>
          <w:szCs w:val="28"/>
          <w:highlight w:val="none"/>
          <w:lang w:val="en-US" w:eastAsia="zh-CN"/>
        </w:rPr>
        <w:t>02</w:t>
      </w:r>
      <w:r>
        <w:rPr>
          <w:rFonts w:hint="default" w:ascii="Times New Roman" w:hAnsi="Times New Roman" w:cs="Times New Roman"/>
          <w:color w:val="auto"/>
          <w:szCs w:val="28"/>
          <w:highlight w:val="none"/>
          <w:lang w:val="en-US" w:eastAsia="zh-CN"/>
        </w:rPr>
        <w:t>km，选矿厂西距采矿工程约</w:t>
      </w:r>
      <w:r>
        <w:rPr>
          <w:rFonts w:hint="default" w:cs="Times New Roman"/>
          <w:color w:val="auto"/>
          <w:szCs w:val="28"/>
          <w:highlight w:val="none"/>
          <w:lang w:val="en-US" w:eastAsia="zh-CN"/>
        </w:rPr>
        <w:t>65</w:t>
      </w:r>
      <w:r>
        <w:rPr>
          <w:rFonts w:hint="default" w:ascii="Times New Roman" w:hAnsi="Times New Roman" w:cs="Times New Roman"/>
          <w:color w:val="auto"/>
          <w:szCs w:val="28"/>
          <w:highlight w:val="none"/>
          <w:lang w:val="en-US" w:eastAsia="zh-CN"/>
        </w:rPr>
        <w:t>0m，办公生活区紧邻选矿厂南侧。</w:t>
      </w:r>
    </w:p>
    <w:p w14:paraId="36E8F071">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其中选矿厂</w:t>
      </w:r>
      <w:r>
        <w:rPr>
          <w:rFonts w:hint="default" w:ascii="Times New Roman" w:hAnsi="Times New Roman" w:cs="Times New Roman"/>
          <w:color w:val="auto"/>
          <w:szCs w:val="28"/>
          <w:highlight w:val="none"/>
        </w:rPr>
        <w:t>布置主要包括原矿堆场、原矿仓、粗碎厂房、中细碎、筛分厂房、粉矿仓、磨矿分级厂房、浮选厂房、药剂制备间、化验室、精矿脱水厂房、精矿库、尾矿浓密机、主厂房变电所水泵房、300m</w:t>
      </w:r>
      <w:r>
        <w:rPr>
          <w:rFonts w:hint="default" w:cs="Times New Roman"/>
          <w:color w:val="auto"/>
          <w:szCs w:val="28"/>
          <w:highlight w:val="none"/>
          <w:vertAlign w:val="superscript"/>
          <w:lang w:val="en-US" w:eastAsia="zh-CN"/>
        </w:rPr>
        <w:t>3</w:t>
      </w:r>
      <w:r>
        <w:rPr>
          <w:rFonts w:hint="default" w:ascii="Times New Roman" w:hAnsi="Times New Roman" w:cs="Times New Roman"/>
          <w:color w:val="auto"/>
          <w:szCs w:val="28"/>
          <w:highlight w:val="none"/>
        </w:rPr>
        <w:t>清水池、回水池、选厂办公室、变电站、锅炉房及其变电所、维修车间、材料库等。生活办公区主要包括办公楼、宿舍楼、食堂、浴室等。尾矿库总容量</w:t>
      </w:r>
      <w:r>
        <w:rPr>
          <w:rFonts w:hint="default" w:cs="Times New Roman"/>
          <w:color w:val="auto"/>
          <w:szCs w:val="28"/>
          <w:highlight w:val="none"/>
          <w:lang w:val="en-US" w:eastAsia="zh-CN"/>
        </w:rPr>
        <w:t>130.5</w:t>
      </w:r>
      <w:r>
        <w:rPr>
          <w:rFonts w:hint="default" w:ascii="Times New Roman" w:hAnsi="Times New Roman" w:cs="Times New Roman"/>
          <w:color w:val="auto"/>
          <w:szCs w:val="28"/>
          <w:highlight w:val="none"/>
        </w:rPr>
        <w:t>万m</w:t>
      </w:r>
      <w:r>
        <w:rPr>
          <w:rFonts w:hint="default" w:ascii="Times New Roman" w:hAnsi="Times New Roman" w:cs="Times New Roman"/>
          <w:color w:val="auto"/>
          <w:szCs w:val="28"/>
          <w:highlight w:val="none"/>
          <w:vertAlign w:val="superscript"/>
          <w:lang w:val="en-US" w:eastAsia="zh-CN"/>
        </w:rPr>
        <w:t>3</w:t>
      </w:r>
      <w:r>
        <w:rPr>
          <w:rFonts w:hint="default" w:ascii="Times New Roman" w:hAnsi="Times New Roman" w:cs="Times New Roman"/>
          <w:color w:val="auto"/>
          <w:szCs w:val="28"/>
          <w:highlight w:val="none"/>
        </w:rPr>
        <w:t>。</w:t>
      </w:r>
    </w:p>
    <w:p w14:paraId="54E67B83">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lang w:val="en-US" w:eastAsia="zh-CN"/>
        </w:rPr>
        <w:t>2</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总平面布置形式</w:t>
      </w:r>
    </w:p>
    <w:p w14:paraId="2C8A9517">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①</w:t>
      </w:r>
      <w:r>
        <w:rPr>
          <w:rFonts w:hint="default" w:ascii="Times New Roman" w:hAnsi="Times New Roman" w:cs="Times New Roman"/>
          <w:color w:val="auto"/>
          <w:szCs w:val="28"/>
          <w:highlight w:val="none"/>
        </w:rPr>
        <w:t>选矿工业场地</w:t>
      </w:r>
    </w:p>
    <w:p w14:paraId="3D8E8E3A">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选矿工业场地位于主、副井东北侧，平面布置为方形，占地面积约85亩。原矿堆场位于场地东侧，原矿由主井提升至地表后经车辆运至选矿工业场地的原矿堆场然后由装载机送至原矿仓，矿石进入原矿仓后送至破碎厂房，然后由皮带与筛分厂房连接，筛分处理后经皮带送至粉矿仓，经处理后通过皮带与主厂房相连。</w:t>
      </w:r>
    </w:p>
    <w:p w14:paraId="17BCEA65">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主厂房北侧为材料库、鼓风机房、药剂制备间，东侧布置主厂房变电所。在中细碎厂房与筛分厂房之间的皮带廊南侧布置维修车间和选厂办公室。</w:t>
      </w:r>
    </w:p>
    <w:p w14:paraId="09AC3F51">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在选矿工业场地南侧布置变电站及室外箱变、300m</w:t>
      </w:r>
      <w:r>
        <w:rPr>
          <w:rFonts w:hint="default" w:ascii="Times New Roman" w:hAnsi="Times New Roman" w:cs="Times New Roman"/>
          <w:color w:val="auto"/>
          <w:szCs w:val="28"/>
          <w:highlight w:val="none"/>
          <w:vertAlign w:val="superscript"/>
          <w:lang w:val="en-US" w:eastAsia="zh-CN"/>
        </w:rPr>
        <w:t>3</w:t>
      </w:r>
      <w:r>
        <w:rPr>
          <w:rFonts w:hint="default" w:ascii="Times New Roman" w:hAnsi="Times New Roman" w:cs="Times New Roman"/>
          <w:color w:val="auto"/>
          <w:szCs w:val="28"/>
          <w:highlight w:val="none"/>
        </w:rPr>
        <w:t>清水池和回水池及水泵房。场地内通过新建道路相连，新建道路宽6.0米。</w:t>
      </w:r>
    </w:p>
    <w:p w14:paraId="546A0020">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②</w:t>
      </w:r>
      <w:r>
        <w:rPr>
          <w:rFonts w:hint="default" w:ascii="Times New Roman" w:hAnsi="Times New Roman" w:cs="Times New Roman"/>
          <w:color w:val="auto"/>
          <w:szCs w:val="28"/>
          <w:highlight w:val="none"/>
        </w:rPr>
        <w:t>生活办公区</w:t>
      </w:r>
    </w:p>
    <w:p w14:paraId="296704A8">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生活办公区位于选矿工业场地南侧，与选矿厂之间设置绿化带隔离。平面呈长方形布置，建筑布局为半围合形式。占地面积约20亩。北侧布置一栋办公楼，共两层，一层为食堂，二层作为办公室使用；东侧和西侧各布置一栋宿舍楼，共三层，其中一层为浴室。</w:t>
      </w:r>
    </w:p>
    <w:p w14:paraId="7BD09DEE">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③</w:t>
      </w:r>
      <w:r>
        <w:rPr>
          <w:rFonts w:hint="default" w:ascii="Times New Roman" w:hAnsi="Times New Roman" w:cs="Times New Roman"/>
          <w:color w:val="auto"/>
          <w:szCs w:val="28"/>
          <w:highlight w:val="none"/>
        </w:rPr>
        <w:t>尾矿库</w:t>
      </w:r>
    </w:p>
    <w:p w14:paraId="06A1494B">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尾矿库位于整个场地的最北端，占地约390亩。采用湿排的排放方式。</w:t>
      </w:r>
    </w:p>
    <w:p w14:paraId="6FF13ACB">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lang w:val="en-US" w:eastAsia="zh-CN"/>
        </w:rPr>
        <w:t>3</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工业场地竖向布置方案</w:t>
      </w:r>
    </w:p>
    <w:p w14:paraId="439E980F">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根据工艺流程要求及选厂区域地形条件，选厂区域整体场平1095m。各厂房基本位于统一高程，因工艺需要精矿库标高低于其他厂房3m，为有效节约厂前空间，门前场地与其他厂房设置3米高挡土墙。原矿堆场标高2007m，与工业场地及周边采用挡土墙连接，挡土墙高约10-12m，采用衡重式挡土墙。</w:t>
      </w:r>
    </w:p>
    <w:p w14:paraId="6E3C2F29">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本项目总平面布置见图3.</w:t>
      </w:r>
      <w:r>
        <w:rPr>
          <w:rFonts w:hint="eastAsia" w:cs="Times New Roman"/>
          <w:color w:val="auto"/>
          <w:szCs w:val="28"/>
          <w:highlight w:val="none"/>
          <w:lang w:val="en-US" w:eastAsia="zh-CN"/>
        </w:rPr>
        <w:t>1</w:t>
      </w:r>
      <w:r>
        <w:rPr>
          <w:rFonts w:hint="default" w:ascii="Times New Roman" w:hAnsi="Times New Roman" w:cs="Times New Roman"/>
          <w:color w:val="auto"/>
          <w:szCs w:val="28"/>
          <w:highlight w:val="none"/>
        </w:rPr>
        <w:t>-7。选矿厂平面布置见图3.</w:t>
      </w:r>
      <w:r>
        <w:rPr>
          <w:rFonts w:hint="eastAsia" w:cs="Times New Roman"/>
          <w:color w:val="auto"/>
          <w:szCs w:val="28"/>
          <w:highlight w:val="none"/>
          <w:lang w:val="en-US" w:eastAsia="zh-CN"/>
        </w:rPr>
        <w:t>1</w:t>
      </w:r>
      <w:r>
        <w:rPr>
          <w:rFonts w:hint="default" w:ascii="Times New Roman" w:hAnsi="Times New Roman" w:cs="Times New Roman"/>
          <w:color w:val="auto"/>
          <w:szCs w:val="28"/>
          <w:highlight w:val="none"/>
        </w:rPr>
        <w:t>-8、尾矿库平面布置见图3.</w:t>
      </w:r>
      <w:r>
        <w:rPr>
          <w:rFonts w:hint="eastAsia" w:cs="Times New Roman"/>
          <w:color w:val="auto"/>
          <w:szCs w:val="28"/>
          <w:highlight w:val="none"/>
          <w:lang w:val="en-US" w:eastAsia="zh-CN"/>
        </w:rPr>
        <w:t>1</w:t>
      </w:r>
      <w:r>
        <w:rPr>
          <w:rFonts w:hint="default" w:ascii="Times New Roman" w:hAnsi="Times New Roman" w:cs="Times New Roman"/>
          <w:color w:val="auto"/>
          <w:szCs w:val="28"/>
          <w:highlight w:val="none"/>
        </w:rPr>
        <w:t>-9。</w:t>
      </w:r>
    </w:p>
    <w:p w14:paraId="7932A76B">
      <w:pPr>
        <w:numPr>
          <w:ilvl w:val="0"/>
          <w:numId w:val="2"/>
        </w:numPr>
        <w:overflowPunct w:val="0"/>
        <w:topLinePunct/>
        <w:ind w:left="0" w:leftChars="0" w:firstLine="480" w:firstLineChars="20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平面布置合理性分析</w:t>
      </w:r>
    </w:p>
    <w:p w14:paraId="45D125F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生活办公区</w:t>
      </w:r>
      <w:r>
        <w:rPr>
          <w:rFonts w:hint="default" w:ascii="Times New Roman" w:hAnsi="Times New Roman" w:cs="Times New Roman"/>
          <w:color w:val="auto"/>
          <w:highlight w:val="none"/>
          <w:lang w:val="en-US" w:eastAsia="zh-CN"/>
        </w:rPr>
        <w:t>紧邻</w:t>
      </w:r>
      <w:r>
        <w:rPr>
          <w:rFonts w:hint="default" w:ascii="Times New Roman" w:hAnsi="Times New Roman" w:cs="Times New Roman"/>
          <w:color w:val="auto"/>
          <w:highlight w:val="none"/>
        </w:rPr>
        <w:t>选矿厂南侧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生活办公区</w:t>
      </w:r>
      <w:r>
        <w:rPr>
          <w:rFonts w:hint="default" w:ascii="Times New Roman" w:hAnsi="Times New Roman" w:cs="Times New Roman"/>
          <w:color w:val="auto"/>
          <w:highlight w:val="none"/>
          <w:lang w:val="en-US" w:eastAsia="zh-CN"/>
        </w:rPr>
        <w:t>位于采矿场东侧约690m</w:t>
      </w:r>
      <w:r>
        <w:rPr>
          <w:rFonts w:hint="default" w:ascii="Times New Roman" w:hAnsi="Times New Roman" w:cs="Times New Roman"/>
          <w:color w:val="auto"/>
          <w:highlight w:val="none"/>
        </w:rPr>
        <w:t>，处于选矿厂</w:t>
      </w:r>
      <w:r>
        <w:rPr>
          <w:rFonts w:hint="default" w:ascii="Times New Roman" w:hAnsi="Times New Roman" w:cs="Times New Roman"/>
          <w:color w:val="auto"/>
          <w:highlight w:val="none"/>
          <w:lang w:val="en-US" w:eastAsia="zh-CN"/>
        </w:rPr>
        <w:t>及尾矿库的侧风向，采矿场的下风向</w:t>
      </w:r>
      <w:r>
        <w:rPr>
          <w:rFonts w:hint="default" w:ascii="Times New Roman" w:hAnsi="Times New Roman" w:cs="Times New Roman"/>
          <w:color w:val="auto"/>
          <w:highlight w:val="none"/>
        </w:rPr>
        <w:t>，且距尾矿库较远，不受工业噪声的影响，粉尘在采取严格的治理措施后，生活办公区受大气污染的影响可接受，由此可见，</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总平面布置较合理。</w:t>
      </w:r>
    </w:p>
    <w:p w14:paraId="6C1B7339">
      <w:pPr>
        <w:pStyle w:val="4"/>
        <w:rPr>
          <w:rFonts w:hint="default" w:ascii="Times New Roman" w:hAnsi="Times New Roman" w:cs="Times New Roman"/>
          <w:color w:val="auto"/>
          <w:highlight w:val="none"/>
        </w:rPr>
      </w:pPr>
      <w:bookmarkStart w:id="377" w:name="_Toc19004"/>
      <w:bookmarkStart w:id="378" w:name="_Toc7124"/>
      <w:bookmarkStart w:id="379" w:name="_Toc1750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.9选址合理性分析</w:t>
      </w:r>
      <w:bookmarkEnd w:id="377"/>
      <w:bookmarkEnd w:id="378"/>
      <w:bookmarkEnd w:id="379"/>
    </w:p>
    <w:p w14:paraId="4ECB992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.9.1选矿厂选址合理性分析</w:t>
      </w:r>
    </w:p>
    <w:p w14:paraId="1376AEC3">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本项目</w:t>
      </w:r>
      <w:r>
        <w:rPr>
          <w:rFonts w:hint="default" w:ascii="Times New Roman" w:hAnsi="Times New Roman" w:cs="Times New Roman"/>
          <w:color w:val="auto"/>
          <w:szCs w:val="28"/>
          <w:highlight w:val="none"/>
        </w:rPr>
        <w:t>选矿厂拟选址于</w:t>
      </w:r>
      <w:r>
        <w:rPr>
          <w:rFonts w:hint="default" w:ascii="Times New Roman" w:hAnsi="Times New Roman" w:cs="Times New Roman"/>
          <w:color w:val="auto"/>
          <w:highlight w:val="none"/>
          <w:lang w:val="en-US" w:eastAsia="zh-CN"/>
        </w:rPr>
        <w:t>采矿场东北侧约6</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0m处</w:t>
      </w:r>
      <w:r>
        <w:rPr>
          <w:rFonts w:hint="default" w:ascii="Times New Roman" w:hAnsi="Times New Roman" w:cs="Times New Roman"/>
          <w:color w:val="auto"/>
          <w:highlight w:val="none"/>
        </w:rPr>
        <w:t>，区域地势平坦，占地性质为天然牧草地，建设条件良好，不占用基本农田，不在自然保护区、世界自然遗产地、风景名胜区、森林公园、地质公园、重要湿地、饮用水水源保护区等重点保护区域内及其它法律法规禁止的区域，选址基本合理。</w:t>
      </w:r>
    </w:p>
    <w:p w14:paraId="6B6BB81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.9.2办公生活区选址合理性分析</w:t>
      </w:r>
    </w:p>
    <w:p w14:paraId="3A2AC3F7">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highlight w:val="none"/>
        </w:rPr>
        <w:t>办公生活区选址</w:t>
      </w:r>
      <w:r>
        <w:rPr>
          <w:rFonts w:hint="default" w:cs="Times New Roman"/>
          <w:color w:val="auto"/>
          <w:highlight w:val="none"/>
          <w:lang w:eastAsia="zh-CN"/>
        </w:rPr>
        <w:t>位于</w:t>
      </w:r>
      <w:r>
        <w:rPr>
          <w:rFonts w:hint="default" w:ascii="Times New Roman" w:hAnsi="Times New Roman" w:cs="Times New Roman"/>
          <w:color w:val="auto"/>
          <w:highlight w:val="none"/>
          <w:lang w:val="en-US" w:eastAsia="zh-CN"/>
        </w:rPr>
        <w:t>采矿场东侧约690m</w:t>
      </w:r>
      <w:r>
        <w:rPr>
          <w:rFonts w:hint="default" w:ascii="Times New Roman" w:hAnsi="Times New Roman" w:cs="Times New Roman"/>
          <w:color w:val="auto"/>
          <w:highlight w:val="none"/>
        </w:rPr>
        <w:t>，处于选矿厂</w:t>
      </w:r>
      <w:r>
        <w:rPr>
          <w:rFonts w:hint="default" w:ascii="Times New Roman" w:hAnsi="Times New Roman" w:cs="Times New Roman"/>
          <w:color w:val="auto"/>
          <w:highlight w:val="none"/>
          <w:lang w:val="en-US" w:eastAsia="zh-CN"/>
        </w:rPr>
        <w:t>及尾矿库的侧风向，</w:t>
      </w:r>
      <w:r>
        <w:rPr>
          <w:rFonts w:hint="default" w:ascii="Times New Roman" w:hAnsi="Times New Roman" w:cs="Times New Roman"/>
          <w:color w:val="auto"/>
          <w:highlight w:val="none"/>
        </w:rPr>
        <w:t>且距尾矿库较远，周边地势较为平坦，占地性质为天然牧草地，建设条件良好，该办公生活区选址基本合理。</w:t>
      </w:r>
    </w:p>
    <w:p w14:paraId="7E1FA201">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.9.3尾矿库选址合理性分析</w:t>
      </w:r>
    </w:p>
    <w:p w14:paraId="3CB5642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1）比选方案</w:t>
      </w:r>
    </w:p>
    <w:p w14:paraId="64627E57">
      <w:pPr>
        <w:overflowPunct w:val="0"/>
        <w:topLinePunct/>
        <w:ind w:firstLine="480"/>
        <w:rPr>
          <w:color w:val="auto"/>
        </w:rPr>
      </w:pPr>
      <w:r>
        <w:rPr>
          <w:rFonts w:hint="eastAsia"/>
          <w:color w:val="auto"/>
        </w:rPr>
        <w:t>1）比选方案</w:t>
      </w:r>
    </w:p>
    <w:p w14:paraId="17621FCB">
      <w:pPr>
        <w:overflowPunct w:val="0"/>
        <w:topLinePunct/>
        <w:ind w:firstLine="480"/>
        <w:rPr>
          <w:color w:val="auto"/>
        </w:rPr>
      </w:pPr>
      <w:r>
        <w:rPr>
          <w:rFonts w:hint="eastAsia"/>
          <w:color w:val="auto"/>
        </w:rPr>
        <w:t>根据</w:t>
      </w:r>
      <w:r>
        <w:rPr>
          <w:rFonts w:hint="eastAsia"/>
          <w:color w:val="auto"/>
          <w:lang w:val="en-US" w:eastAsia="zh-CN"/>
        </w:rPr>
        <w:t>本项目可研报告</w:t>
      </w:r>
      <w:r>
        <w:rPr>
          <w:rFonts w:hint="eastAsia"/>
          <w:color w:val="auto"/>
        </w:rPr>
        <w:t>，</w:t>
      </w:r>
      <w:r>
        <w:rPr>
          <w:color w:val="auto"/>
        </w:rPr>
        <w:t>在选矿厂周边有两个库址可供选择</w:t>
      </w:r>
      <w:r>
        <w:rPr>
          <w:rFonts w:hint="eastAsia"/>
          <w:color w:val="auto"/>
        </w:rPr>
        <w:t>，故而建设单位提出2个尾矿库拟选址方案。</w:t>
      </w:r>
    </w:p>
    <w:p w14:paraId="15D3887A">
      <w:pPr>
        <w:overflowPunct w:val="0"/>
        <w:topLinePunct/>
        <w:ind w:firstLine="480"/>
        <w:rPr>
          <w:color w:val="auto"/>
        </w:rPr>
      </w:pPr>
      <w:r>
        <w:rPr>
          <w:color w:val="auto"/>
        </w:rPr>
        <w:t>①</w:t>
      </w:r>
      <w:r>
        <w:rPr>
          <w:rFonts w:hint="eastAsia"/>
          <w:color w:val="auto"/>
        </w:rPr>
        <w:t>库址一</w:t>
      </w:r>
    </w:p>
    <w:p w14:paraId="7E06B4FC">
      <w:pPr>
        <w:overflowPunct w:val="0"/>
        <w:topLinePunct/>
        <w:ind w:firstLine="480"/>
        <w:rPr>
          <w:color w:val="auto"/>
        </w:rPr>
      </w:pPr>
      <w:r>
        <w:rPr>
          <w:rFonts w:hint="eastAsia"/>
          <w:color w:val="auto"/>
        </w:rPr>
        <w:t>库址一</w:t>
      </w:r>
      <w:r>
        <w:rPr>
          <w:color w:val="auto"/>
        </w:rPr>
        <w:t>位于</w:t>
      </w:r>
      <w:r>
        <w:rPr>
          <w:rFonts w:hint="eastAsia"/>
          <w:color w:val="auto"/>
          <w:lang w:val="en-US" w:eastAsia="zh-CN"/>
        </w:rPr>
        <w:t>选矿厂</w:t>
      </w:r>
      <w:r>
        <w:rPr>
          <w:color w:val="auto"/>
        </w:rPr>
        <w:t>北侧</w:t>
      </w:r>
      <w:r>
        <w:rPr>
          <w:rFonts w:hint="eastAsia"/>
          <w:color w:val="auto"/>
          <w:lang w:val="en-US" w:eastAsia="zh-CN"/>
        </w:rPr>
        <w:t>1.1</w:t>
      </w:r>
      <w:r>
        <w:rPr>
          <w:color w:val="auto"/>
        </w:rPr>
        <w:t>千米处的</w:t>
      </w:r>
      <w:r>
        <w:rPr>
          <w:rFonts w:hint="eastAsia"/>
          <w:color w:val="auto"/>
          <w:lang w:val="en-US" w:eastAsia="zh-CN"/>
        </w:rPr>
        <w:t>平地</w:t>
      </w:r>
      <w:r>
        <w:rPr>
          <w:color w:val="auto"/>
        </w:rPr>
        <w:t>，属于</w:t>
      </w:r>
      <w:r>
        <w:rPr>
          <w:rFonts w:hint="default" w:ascii="Times New Roman" w:hAnsi="Times New Roman" w:cs="Times New Roman"/>
          <w:color w:val="auto"/>
          <w:highlight w:val="none"/>
        </w:rPr>
        <w:t>平地型尾矿库</w:t>
      </w:r>
      <w:r>
        <w:rPr>
          <w:color w:val="auto"/>
        </w:rPr>
        <w:t>，占地面积</w:t>
      </w:r>
      <w:r>
        <w:rPr>
          <w:rFonts w:hint="eastAsia"/>
          <w:color w:val="auto"/>
          <w:lang w:val="en-US" w:eastAsia="zh-CN"/>
        </w:rPr>
        <w:t>390亩</w:t>
      </w:r>
      <w:r>
        <w:rPr>
          <w:rFonts w:hint="eastAsia"/>
          <w:color w:val="auto"/>
        </w:rPr>
        <w:t>（约</w:t>
      </w:r>
      <w:r>
        <w:rPr>
          <w:rFonts w:hint="eastAsia"/>
          <w:color w:val="auto"/>
          <w:lang w:val="en-US" w:eastAsia="zh-CN"/>
        </w:rPr>
        <w:t>26</w:t>
      </w:r>
      <w:r>
        <w:rPr>
          <w:rFonts w:hint="eastAsia"/>
          <w:color w:val="auto"/>
        </w:rPr>
        <w:t>hm</w:t>
      </w:r>
      <w:r>
        <w:rPr>
          <w:color w:val="auto"/>
          <w:vertAlign w:val="superscript"/>
        </w:rPr>
        <w:t>2</w:t>
      </w:r>
      <w:r>
        <w:rPr>
          <w:rFonts w:hint="eastAsia"/>
          <w:color w:val="auto"/>
        </w:rPr>
        <w:t>）</w:t>
      </w:r>
      <w:r>
        <w:rPr>
          <w:color w:val="auto"/>
        </w:rPr>
        <w:t>，</w:t>
      </w:r>
      <w:r>
        <w:rPr>
          <w:rFonts w:hint="eastAsia"/>
          <w:color w:val="auto"/>
        </w:rPr>
        <w:t>形成尾矿库库容123万m</w:t>
      </w:r>
      <w:r>
        <w:rPr>
          <w:rFonts w:hint="eastAsia"/>
          <w:color w:val="auto"/>
          <w:vertAlign w:val="superscript"/>
        </w:rPr>
        <w:t>3</w:t>
      </w:r>
      <w:r>
        <w:rPr>
          <w:rFonts w:hint="eastAsia"/>
          <w:color w:val="auto"/>
        </w:rPr>
        <w:t>，尾矿库服务约为18.1年</w:t>
      </w:r>
      <w:r>
        <w:rPr>
          <w:rFonts w:hint="eastAsia"/>
          <w:color w:val="auto"/>
          <w:lang w:eastAsia="zh-CN"/>
        </w:rPr>
        <w:t>，</w:t>
      </w:r>
      <w:r>
        <w:rPr>
          <w:rFonts w:hint="eastAsia"/>
          <w:color w:val="auto"/>
        </w:rPr>
        <w:t>为四等别尾矿库</w:t>
      </w:r>
      <w:r>
        <w:rPr>
          <w:rFonts w:hint="eastAsia"/>
          <w:color w:val="auto"/>
          <w:lang w:eastAsia="zh-CN"/>
        </w:rPr>
        <w:t>，</w:t>
      </w:r>
      <w:r>
        <w:rPr>
          <w:color w:val="auto"/>
        </w:rPr>
        <w:t>占地性质为天然牧草地，不占用基本农田，不在大型水源地、水产基地和大居民区的上游，尾矿库的建设不存在拆迁，库区域无压覆矿产问题</w:t>
      </w:r>
      <w:r>
        <w:rPr>
          <w:rFonts w:hint="eastAsia"/>
          <w:color w:val="auto"/>
          <w:lang w:eastAsia="zh-CN"/>
        </w:rPr>
        <w:t>，</w:t>
      </w:r>
      <w:r>
        <w:rPr>
          <w:rFonts w:hint="eastAsia"/>
          <w:color w:val="auto"/>
          <w:lang w:val="en-US" w:eastAsia="zh-CN"/>
        </w:rPr>
        <w:t>距离喀拉通克河左支一河826m，距离耕地245m</w:t>
      </w:r>
      <w:r>
        <w:rPr>
          <w:color w:val="auto"/>
        </w:rPr>
        <w:t>。</w:t>
      </w:r>
    </w:p>
    <w:p w14:paraId="719E7E5F">
      <w:pPr>
        <w:overflowPunct w:val="0"/>
        <w:topLinePunct/>
        <w:ind w:firstLine="480"/>
        <w:rPr>
          <w:color w:val="auto"/>
        </w:rPr>
      </w:pPr>
      <w:r>
        <w:rPr>
          <w:color w:val="auto"/>
        </w:rPr>
        <w:t>②</w:t>
      </w:r>
      <w:r>
        <w:rPr>
          <w:rFonts w:hint="eastAsia"/>
          <w:color w:val="auto"/>
        </w:rPr>
        <w:t>库址</w:t>
      </w:r>
      <w:r>
        <w:rPr>
          <w:color w:val="auto"/>
        </w:rPr>
        <w:t>二</w:t>
      </w:r>
    </w:p>
    <w:p w14:paraId="763310E0">
      <w:pPr>
        <w:overflowPunct w:val="0"/>
        <w:topLinePunct/>
        <w:ind w:firstLine="480"/>
        <w:rPr>
          <w:color w:val="auto"/>
        </w:rPr>
      </w:pPr>
      <w:r>
        <w:rPr>
          <w:rFonts w:hint="eastAsia"/>
          <w:color w:val="auto"/>
        </w:rPr>
        <w:t>库址一</w:t>
      </w:r>
      <w:r>
        <w:rPr>
          <w:color w:val="auto"/>
        </w:rPr>
        <w:t>位于</w:t>
      </w:r>
      <w:r>
        <w:rPr>
          <w:rFonts w:hint="eastAsia"/>
          <w:color w:val="auto"/>
          <w:lang w:val="en-US" w:eastAsia="zh-CN"/>
        </w:rPr>
        <w:t>选矿厂</w:t>
      </w:r>
      <w:r>
        <w:rPr>
          <w:color w:val="auto"/>
        </w:rPr>
        <w:t>北侧</w:t>
      </w:r>
      <w:r>
        <w:rPr>
          <w:rFonts w:hint="eastAsia"/>
          <w:color w:val="auto"/>
          <w:lang w:val="en-US" w:eastAsia="zh-CN"/>
        </w:rPr>
        <w:t>0.86</w:t>
      </w:r>
      <w:r>
        <w:rPr>
          <w:color w:val="auto"/>
        </w:rPr>
        <w:t>千米处的</w:t>
      </w:r>
      <w:r>
        <w:rPr>
          <w:rFonts w:hint="eastAsia"/>
          <w:color w:val="auto"/>
          <w:lang w:val="en-US" w:eastAsia="zh-CN"/>
        </w:rPr>
        <w:t>平地</w:t>
      </w:r>
      <w:r>
        <w:rPr>
          <w:color w:val="auto"/>
        </w:rPr>
        <w:t>，属于</w:t>
      </w:r>
      <w:r>
        <w:rPr>
          <w:rFonts w:hint="default" w:ascii="Times New Roman" w:hAnsi="Times New Roman" w:cs="Times New Roman"/>
          <w:color w:val="auto"/>
          <w:highlight w:val="none"/>
        </w:rPr>
        <w:t>平地型尾矿库</w:t>
      </w:r>
      <w:r>
        <w:rPr>
          <w:color w:val="auto"/>
        </w:rPr>
        <w:t>，占地面积</w:t>
      </w:r>
      <w:r>
        <w:rPr>
          <w:rFonts w:hint="eastAsia"/>
          <w:color w:val="auto"/>
          <w:lang w:val="en-US" w:eastAsia="zh-CN"/>
        </w:rPr>
        <w:t>390亩</w:t>
      </w:r>
      <w:r>
        <w:rPr>
          <w:rFonts w:hint="eastAsia"/>
          <w:color w:val="auto"/>
        </w:rPr>
        <w:t>（约</w:t>
      </w:r>
      <w:r>
        <w:rPr>
          <w:rFonts w:hint="eastAsia"/>
          <w:color w:val="auto"/>
          <w:lang w:val="en-US" w:eastAsia="zh-CN"/>
        </w:rPr>
        <w:t>26</w:t>
      </w:r>
      <w:r>
        <w:rPr>
          <w:rFonts w:hint="eastAsia"/>
          <w:color w:val="auto"/>
        </w:rPr>
        <w:t>hm</w:t>
      </w:r>
      <w:r>
        <w:rPr>
          <w:color w:val="auto"/>
          <w:vertAlign w:val="superscript"/>
        </w:rPr>
        <w:t>2</w:t>
      </w:r>
      <w:r>
        <w:rPr>
          <w:rFonts w:hint="eastAsia"/>
          <w:color w:val="auto"/>
        </w:rPr>
        <w:t>）</w:t>
      </w:r>
      <w:r>
        <w:rPr>
          <w:color w:val="auto"/>
        </w:rPr>
        <w:t>，</w:t>
      </w:r>
      <w:r>
        <w:rPr>
          <w:rFonts w:hint="eastAsia"/>
          <w:color w:val="auto"/>
        </w:rPr>
        <w:t>形成尾矿库库容</w:t>
      </w:r>
      <w:r>
        <w:rPr>
          <w:rFonts w:hint="default" w:ascii="Times New Roman" w:hAnsi="Times New Roman" w:cs="Times New Roman"/>
          <w:color w:val="auto"/>
          <w:highlight w:val="none"/>
        </w:rPr>
        <w:t>130.5万m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eastAsia"/>
          <w:color w:val="auto"/>
        </w:rPr>
        <w:t>尾矿库服务约为</w:t>
      </w:r>
      <w:r>
        <w:rPr>
          <w:rFonts w:hint="eastAsia"/>
          <w:color w:val="auto"/>
          <w:lang w:val="en-US" w:eastAsia="zh-CN"/>
        </w:rPr>
        <w:t>25</w:t>
      </w:r>
      <w:r>
        <w:rPr>
          <w:rFonts w:hint="eastAsia"/>
          <w:color w:val="auto"/>
        </w:rPr>
        <w:t>年</w:t>
      </w:r>
      <w:r>
        <w:rPr>
          <w:rFonts w:hint="eastAsia"/>
          <w:color w:val="auto"/>
          <w:lang w:eastAsia="zh-CN"/>
        </w:rPr>
        <w:t>，</w:t>
      </w:r>
      <w:r>
        <w:rPr>
          <w:rFonts w:hint="eastAsia"/>
          <w:color w:val="auto"/>
        </w:rPr>
        <w:t>为四等别尾矿库</w:t>
      </w:r>
      <w:r>
        <w:rPr>
          <w:rFonts w:hint="eastAsia"/>
          <w:color w:val="auto"/>
          <w:lang w:eastAsia="zh-CN"/>
        </w:rPr>
        <w:t>，</w:t>
      </w:r>
      <w:r>
        <w:rPr>
          <w:color w:val="auto"/>
        </w:rPr>
        <w:t>占地性质为天然牧草地，不占用基本农田，不在大型水源地、水产基地和大居民区的上游，尾矿库的建设不存在拆迁，库区域无压覆矿产问题</w:t>
      </w:r>
      <w:r>
        <w:rPr>
          <w:rFonts w:hint="eastAsia"/>
          <w:color w:val="auto"/>
          <w:lang w:eastAsia="zh-CN"/>
        </w:rPr>
        <w:t>，</w:t>
      </w:r>
      <w:r>
        <w:rPr>
          <w:rFonts w:hint="eastAsia"/>
          <w:color w:val="auto"/>
          <w:lang w:val="en-US" w:eastAsia="zh-CN"/>
        </w:rPr>
        <w:t>距离喀拉通克河左支一河1.02km，距离耕地320m</w:t>
      </w:r>
      <w:r>
        <w:rPr>
          <w:color w:val="auto"/>
        </w:rPr>
        <w:t>。</w:t>
      </w:r>
    </w:p>
    <w:p w14:paraId="0E28291D">
      <w:pPr>
        <w:ind w:firstLine="480"/>
        <w:rPr>
          <w:color w:val="auto"/>
          <w:szCs w:val="28"/>
        </w:rPr>
      </w:pPr>
      <w:r>
        <w:rPr>
          <w:rFonts w:hint="eastAsia"/>
          <w:color w:val="auto"/>
          <w:szCs w:val="28"/>
        </w:rPr>
        <w:t>尾矿库方案比选情况见表3.</w:t>
      </w:r>
      <w:r>
        <w:rPr>
          <w:rFonts w:hint="eastAsia"/>
          <w:color w:val="auto"/>
          <w:szCs w:val="28"/>
          <w:lang w:val="en-US" w:eastAsia="zh-CN"/>
        </w:rPr>
        <w:t>1-16</w:t>
      </w:r>
      <w:r>
        <w:rPr>
          <w:rFonts w:hint="eastAsia"/>
          <w:color w:val="auto"/>
          <w:szCs w:val="28"/>
        </w:rPr>
        <w:t>。</w:t>
      </w:r>
    </w:p>
    <w:p w14:paraId="3FEF322D">
      <w:pPr>
        <w:ind w:firstLine="0" w:firstLineChars="0"/>
        <w:jc w:val="center"/>
        <w:rPr>
          <w:b/>
          <w:bCs/>
          <w:color w:val="auto"/>
          <w:szCs w:val="28"/>
        </w:rPr>
      </w:pPr>
      <w:r>
        <w:rPr>
          <w:rFonts w:hint="eastAsia"/>
          <w:b/>
          <w:bCs/>
          <w:color w:val="auto"/>
          <w:szCs w:val="28"/>
        </w:rPr>
        <w:t>表3.</w:t>
      </w:r>
      <w:r>
        <w:rPr>
          <w:rFonts w:hint="eastAsia"/>
          <w:b/>
          <w:bCs/>
          <w:color w:val="auto"/>
          <w:szCs w:val="28"/>
          <w:lang w:val="en-US" w:eastAsia="zh-CN"/>
        </w:rPr>
        <w:t>1-16</w:t>
      </w:r>
      <w:r>
        <w:rPr>
          <w:rFonts w:hint="eastAsia"/>
          <w:b/>
          <w:bCs/>
          <w:color w:val="auto"/>
          <w:szCs w:val="28"/>
        </w:rPr>
        <w:t xml:space="preserve">    </w:t>
      </w:r>
      <w:r>
        <w:rPr>
          <w:b/>
          <w:bCs/>
          <w:color w:val="auto"/>
          <w:kern w:val="0"/>
        </w:rPr>
        <w:t>尾矿库方案比较表</w:t>
      </w:r>
    </w:p>
    <w:tbl>
      <w:tblPr>
        <w:tblStyle w:val="33"/>
        <w:tblW w:w="91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1"/>
        <w:gridCol w:w="1164"/>
        <w:gridCol w:w="3550"/>
        <w:gridCol w:w="4015"/>
      </w:tblGrid>
      <w:tr w14:paraId="76CAC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441" w:type="dxa"/>
            <w:vMerge w:val="restart"/>
            <w:vAlign w:val="center"/>
          </w:tcPr>
          <w:p w14:paraId="7E0220EB">
            <w:pPr>
              <w:adjustRightInd w:val="0"/>
              <w:snapToGrid w:val="0"/>
              <w:spacing w:line="360" w:lineRule="exact"/>
              <w:ind w:firstLine="0" w:firstLineChars="0"/>
              <w:jc w:val="center"/>
              <w:rPr>
                <w:b/>
                <w:color w:val="auto"/>
                <w:sz w:val="21"/>
                <w:szCs w:val="21"/>
              </w:rPr>
            </w:pPr>
            <w:r>
              <w:rPr>
                <w:b/>
                <w:color w:val="auto"/>
                <w:sz w:val="21"/>
                <w:szCs w:val="21"/>
              </w:rPr>
              <w:t>序号</w:t>
            </w:r>
          </w:p>
        </w:tc>
        <w:tc>
          <w:tcPr>
            <w:tcW w:w="1164" w:type="dxa"/>
            <w:vMerge w:val="restart"/>
            <w:vAlign w:val="center"/>
          </w:tcPr>
          <w:p w14:paraId="47211946">
            <w:pPr>
              <w:adjustRightInd w:val="0"/>
              <w:snapToGrid w:val="0"/>
              <w:spacing w:line="360" w:lineRule="exact"/>
              <w:ind w:firstLine="0" w:firstLineChars="0"/>
              <w:jc w:val="center"/>
              <w:rPr>
                <w:b/>
                <w:color w:val="auto"/>
                <w:sz w:val="21"/>
                <w:szCs w:val="21"/>
              </w:rPr>
            </w:pPr>
            <w:r>
              <w:rPr>
                <w:b/>
                <w:color w:val="auto"/>
                <w:sz w:val="21"/>
                <w:szCs w:val="21"/>
              </w:rPr>
              <w:t>项目</w:t>
            </w:r>
          </w:p>
        </w:tc>
        <w:tc>
          <w:tcPr>
            <w:tcW w:w="7565" w:type="dxa"/>
            <w:gridSpan w:val="2"/>
            <w:vAlign w:val="center"/>
          </w:tcPr>
          <w:p w14:paraId="76BA9BF6">
            <w:pPr>
              <w:adjustRightInd w:val="0"/>
              <w:snapToGrid w:val="0"/>
              <w:spacing w:line="360" w:lineRule="exact"/>
              <w:ind w:firstLine="0" w:firstLineChars="0"/>
              <w:jc w:val="center"/>
              <w:rPr>
                <w:b/>
                <w:color w:val="auto"/>
                <w:sz w:val="21"/>
                <w:szCs w:val="21"/>
              </w:rPr>
            </w:pPr>
            <w:r>
              <w:rPr>
                <w:b/>
                <w:color w:val="auto"/>
                <w:sz w:val="21"/>
                <w:szCs w:val="21"/>
              </w:rPr>
              <w:t>库址</w:t>
            </w:r>
          </w:p>
        </w:tc>
      </w:tr>
      <w:tr w14:paraId="4C92B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441" w:type="dxa"/>
            <w:vMerge w:val="continue"/>
            <w:vAlign w:val="center"/>
          </w:tcPr>
          <w:p w14:paraId="102A4B05">
            <w:pPr>
              <w:adjustRightInd w:val="0"/>
              <w:snapToGrid w:val="0"/>
              <w:spacing w:line="360" w:lineRule="exact"/>
              <w:ind w:firstLine="0" w:firstLineChars="0"/>
              <w:jc w:val="center"/>
              <w:rPr>
                <w:b/>
                <w:color w:val="auto"/>
                <w:sz w:val="21"/>
                <w:szCs w:val="21"/>
              </w:rPr>
            </w:pPr>
          </w:p>
        </w:tc>
        <w:tc>
          <w:tcPr>
            <w:tcW w:w="1164" w:type="dxa"/>
            <w:vMerge w:val="continue"/>
            <w:vAlign w:val="center"/>
          </w:tcPr>
          <w:p w14:paraId="323AE7AE">
            <w:pPr>
              <w:adjustRightInd w:val="0"/>
              <w:snapToGrid w:val="0"/>
              <w:spacing w:line="360" w:lineRule="exact"/>
              <w:ind w:firstLine="0" w:firstLineChars="0"/>
              <w:jc w:val="center"/>
              <w:rPr>
                <w:b/>
                <w:color w:val="auto"/>
                <w:sz w:val="21"/>
                <w:szCs w:val="21"/>
              </w:rPr>
            </w:pPr>
          </w:p>
        </w:tc>
        <w:tc>
          <w:tcPr>
            <w:tcW w:w="3550" w:type="dxa"/>
            <w:vAlign w:val="center"/>
          </w:tcPr>
          <w:p w14:paraId="7935F03D">
            <w:pPr>
              <w:adjustRightInd w:val="0"/>
              <w:snapToGrid w:val="0"/>
              <w:spacing w:line="360" w:lineRule="exact"/>
              <w:ind w:firstLine="0" w:firstLineChars="0"/>
              <w:jc w:val="center"/>
              <w:rPr>
                <w:b/>
                <w:color w:val="auto"/>
                <w:sz w:val="21"/>
                <w:szCs w:val="21"/>
              </w:rPr>
            </w:pPr>
            <w:r>
              <w:rPr>
                <w:b/>
                <w:color w:val="auto"/>
                <w:sz w:val="21"/>
                <w:szCs w:val="21"/>
              </w:rPr>
              <w:t>方案</w:t>
            </w:r>
            <w:r>
              <w:rPr>
                <w:rFonts w:hint="eastAsia"/>
                <w:b/>
                <w:color w:val="auto"/>
                <w:sz w:val="21"/>
                <w:szCs w:val="21"/>
              </w:rPr>
              <w:t>一</w:t>
            </w:r>
          </w:p>
        </w:tc>
        <w:tc>
          <w:tcPr>
            <w:tcW w:w="4015" w:type="dxa"/>
            <w:vAlign w:val="center"/>
          </w:tcPr>
          <w:p w14:paraId="5F2BEA09">
            <w:pPr>
              <w:adjustRightInd w:val="0"/>
              <w:snapToGrid w:val="0"/>
              <w:spacing w:line="360" w:lineRule="exact"/>
              <w:ind w:firstLine="0" w:firstLineChars="0"/>
              <w:jc w:val="center"/>
              <w:rPr>
                <w:b/>
                <w:color w:val="auto"/>
                <w:sz w:val="21"/>
                <w:szCs w:val="21"/>
              </w:rPr>
            </w:pPr>
            <w:r>
              <w:rPr>
                <w:b/>
                <w:color w:val="auto"/>
                <w:sz w:val="21"/>
                <w:szCs w:val="21"/>
              </w:rPr>
              <w:t>方案</w:t>
            </w:r>
            <w:r>
              <w:rPr>
                <w:rFonts w:hint="eastAsia"/>
                <w:b/>
                <w:color w:val="auto"/>
                <w:sz w:val="21"/>
                <w:szCs w:val="21"/>
              </w:rPr>
              <w:t>二</w:t>
            </w:r>
          </w:p>
        </w:tc>
      </w:tr>
      <w:tr w14:paraId="70F15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41" w:type="dxa"/>
            <w:vAlign w:val="center"/>
          </w:tcPr>
          <w:p w14:paraId="251AB226">
            <w:pPr>
              <w:adjustRightInd w:val="0"/>
              <w:snapToGrid w:val="0"/>
              <w:spacing w:line="360" w:lineRule="exact"/>
              <w:ind w:firstLine="0" w:firstLineChars="0"/>
              <w:jc w:val="center"/>
              <w:rPr>
                <w:color w:val="auto"/>
                <w:sz w:val="21"/>
                <w:szCs w:val="21"/>
              </w:rPr>
            </w:pPr>
            <w:r>
              <w:rPr>
                <w:rFonts w:hint="eastAsia"/>
                <w:color w:val="auto"/>
                <w:sz w:val="21"/>
                <w:szCs w:val="21"/>
              </w:rPr>
              <w:t>1</w:t>
            </w:r>
          </w:p>
        </w:tc>
        <w:tc>
          <w:tcPr>
            <w:tcW w:w="1164" w:type="dxa"/>
            <w:vAlign w:val="center"/>
          </w:tcPr>
          <w:p w14:paraId="1A410E41">
            <w:pPr>
              <w:adjustRightInd w:val="0"/>
              <w:snapToGrid w:val="0"/>
              <w:spacing w:line="360" w:lineRule="exact"/>
              <w:ind w:firstLine="0" w:firstLineChars="0"/>
              <w:jc w:val="center"/>
              <w:rPr>
                <w:color w:val="auto"/>
                <w:sz w:val="21"/>
                <w:szCs w:val="21"/>
              </w:rPr>
            </w:pPr>
            <w:r>
              <w:rPr>
                <w:color w:val="auto"/>
                <w:sz w:val="21"/>
                <w:szCs w:val="21"/>
              </w:rPr>
              <w:t>环境</w:t>
            </w:r>
            <w:r>
              <w:rPr>
                <w:rFonts w:hint="eastAsia"/>
                <w:color w:val="auto"/>
                <w:sz w:val="21"/>
                <w:szCs w:val="21"/>
              </w:rPr>
              <w:t>敏感性</w:t>
            </w:r>
          </w:p>
        </w:tc>
        <w:tc>
          <w:tcPr>
            <w:tcW w:w="3550" w:type="dxa"/>
            <w:vAlign w:val="center"/>
          </w:tcPr>
          <w:p w14:paraId="1A85C54D">
            <w:pPr>
              <w:adjustRightInd w:val="0"/>
              <w:snapToGrid w:val="0"/>
              <w:spacing w:line="360" w:lineRule="exact"/>
              <w:ind w:firstLine="0" w:firstLineChars="0"/>
              <w:jc w:val="center"/>
              <w:rPr>
                <w:color w:val="auto"/>
                <w:sz w:val="21"/>
                <w:szCs w:val="21"/>
              </w:rPr>
            </w:pPr>
            <w:r>
              <w:rPr>
                <w:rFonts w:hint="eastAsia"/>
                <w:color w:val="auto"/>
                <w:sz w:val="21"/>
                <w:szCs w:val="21"/>
              </w:rPr>
              <w:t>1、</w:t>
            </w:r>
            <w:r>
              <w:rPr>
                <w:rFonts w:hint="eastAsia"/>
                <w:color w:val="auto"/>
                <w:sz w:val="21"/>
                <w:szCs w:val="21"/>
                <w:lang w:val="en-US" w:eastAsia="zh-CN"/>
              </w:rPr>
              <w:t>北</w:t>
            </w:r>
            <w:r>
              <w:rPr>
                <w:color w:val="auto"/>
                <w:sz w:val="21"/>
                <w:szCs w:val="21"/>
              </w:rPr>
              <w:t>侧距离</w:t>
            </w:r>
            <w:r>
              <w:rPr>
                <w:rFonts w:hint="eastAsia"/>
                <w:color w:val="auto"/>
                <w:sz w:val="21"/>
                <w:szCs w:val="21"/>
                <w:lang w:val="en-US" w:eastAsia="zh-CN"/>
              </w:rPr>
              <w:t>喀拉通克河左支一河</w:t>
            </w:r>
            <w:r>
              <w:rPr>
                <w:color w:val="auto"/>
                <w:sz w:val="21"/>
                <w:szCs w:val="21"/>
              </w:rPr>
              <w:t>最近处</w:t>
            </w:r>
            <w:r>
              <w:rPr>
                <w:rFonts w:hint="eastAsia"/>
                <w:color w:val="auto"/>
                <w:sz w:val="21"/>
                <w:szCs w:val="21"/>
                <w:lang w:val="en-US" w:eastAsia="zh-CN"/>
              </w:rPr>
              <w:t>826</w:t>
            </w:r>
            <w:r>
              <w:rPr>
                <w:color w:val="auto"/>
                <w:sz w:val="21"/>
                <w:szCs w:val="21"/>
              </w:rPr>
              <w:t>m，不存在山体阻隔；</w:t>
            </w:r>
          </w:p>
          <w:p w14:paraId="30F33B79">
            <w:pPr>
              <w:adjustRightInd w:val="0"/>
              <w:snapToGrid w:val="0"/>
              <w:spacing w:line="360" w:lineRule="exact"/>
              <w:ind w:firstLine="0" w:firstLineChars="0"/>
              <w:rPr>
                <w:color w:val="auto"/>
                <w:sz w:val="21"/>
                <w:szCs w:val="21"/>
              </w:rPr>
            </w:pPr>
            <w:r>
              <w:rPr>
                <w:color w:val="auto"/>
                <w:sz w:val="21"/>
                <w:szCs w:val="21"/>
              </w:rPr>
              <w:t>2</w:t>
            </w:r>
            <w:r>
              <w:rPr>
                <w:rFonts w:hint="eastAsia"/>
                <w:color w:val="auto"/>
                <w:sz w:val="21"/>
                <w:szCs w:val="21"/>
              </w:rPr>
              <w:t>、</w:t>
            </w:r>
            <w:r>
              <w:rPr>
                <w:rFonts w:hint="eastAsia"/>
                <w:color w:val="auto"/>
                <w:sz w:val="21"/>
                <w:szCs w:val="21"/>
                <w:lang w:val="en-US" w:eastAsia="zh-CN"/>
              </w:rPr>
              <w:t>距离耕地245</w:t>
            </w:r>
            <w:r>
              <w:rPr>
                <w:rFonts w:hint="eastAsia"/>
                <w:color w:val="auto"/>
                <w:sz w:val="21"/>
                <w:szCs w:val="21"/>
              </w:rPr>
              <w:t>m。</w:t>
            </w:r>
          </w:p>
        </w:tc>
        <w:tc>
          <w:tcPr>
            <w:tcW w:w="4015" w:type="dxa"/>
            <w:vAlign w:val="center"/>
          </w:tcPr>
          <w:p w14:paraId="7D135209">
            <w:pPr>
              <w:adjustRightInd w:val="0"/>
              <w:snapToGrid w:val="0"/>
              <w:spacing w:line="360" w:lineRule="exact"/>
              <w:ind w:firstLine="0" w:firstLineChars="0"/>
              <w:rPr>
                <w:color w:val="auto"/>
                <w:sz w:val="21"/>
                <w:szCs w:val="21"/>
              </w:rPr>
            </w:pPr>
            <w:r>
              <w:rPr>
                <w:rFonts w:hint="eastAsia"/>
                <w:color w:val="auto"/>
                <w:sz w:val="21"/>
                <w:szCs w:val="21"/>
              </w:rPr>
              <w:t>1、</w:t>
            </w:r>
            <w:r>
              <w:rPr>
                <w:rFonts w:hint="eastAsia"/>
                <w:color w:val="auto"/>
                <w:sz w:val="21"/>
                <w:szCs w:val="21"/>
                <w:lang w:val="en-US" w:eastAsia="zh-CN"/>
              </w:rPr>
              <w:t>北</w:t>
            </w:r>
            <w:r>
              <w:rPr>
                <w:color w:val="auto"/>
                <w:sz w:val="21"/>
                <w:szCs w:val="21"/>
              </w:rPr>
              <w:t>侧距离</w:t>
            </w:r>
            <w:r>
              <w:rPr>
                <w:rFonts w:hint="eastAsia"/>
                <w:color w:val="auto"/>
                <w:sz w:val="21"/>
                <w:szCs w:val="21"/>
                <w:lang w:val="en-US" w:eastAsia="zh-CN"/>
              </w:rPr>
              <w:t>喀拉通克河左支一河</w:t>
            </w:r>
            <w:r>
              <w:rPr>
                <w:color w:val="auto"/>
                <w:sz w:val="21"/>
                <w:szCs w:val="21"/>
              </w:rPr>
              <w:t>最近处</w:t>
            </w:r>
            <w:r>
              <w:rPr>
                <w:rFonts w:hint="eastAsia"/>
                <w:color w:val="auto"/>
                <w:sz w:val="21"/>
                <w:szCs w:val="21"/>
                <w:lang w:val="en-US" w:eastAsia="zh-CN"/>
              </w:rPr>
              <w:t>1020</w:t>
            </w:r>
            <w:r>
              <w:rPr>
                <w:color w:val="auto"/>
                <w:sz w:val="21"/>
                <w:szCs w:val="21"/>
              </w:rPr>
              <w:t>m，不存在山体阻隔；</w:t>
            </w:r>
          </w:p>
          <w:p w14:paraId="3978F630">
            <w:pPr>
              <w:adjustRightInd w:val="0"/>
              <w:snapToGrid w:val="0"/>
              <w:spacing w:line="360" w:lineRule="exact"/>
              <w:ind w:firstLine="0" w:firstLineChars="0"/>
              <w:rPr>
                <w:color w:val="auto"/>
                <w:sz w:val="21"/>
                <w:szCs w:val="21"/>
              </w:rPr>
            </w:pPr>
            <w:r>
              <w:rPr>
                <w:color w:val="auto"/>
                <w:sz w:val="21"/>
                <w:szCs w:val="21"/>
              </w:rPr>
              <w:t>2</w:t>
            </w:r>
            <w:r>
              <w:rPr>
                <w:rFonts w:hint="eastAsia"/>
                <w:color w:val="auto"/>
                <w:sz w:val="21"/>
                <w:szCs w:val="21"/>
              </w:rPr>
              <w:t>、</w:t>
            </w:r>
            <w:r>
              <w:rPr>
                <w:rFonts w:hint="eastAsia"/>
                <w:color w:val="auto"/>
                <w:sz w:val="21"/>
                <w:szCs w:val="21"/>
                <w:lang w:val="en-US" w:eastAsia="zh-CN"/>
              </w:rPr>
              <w:t>距离耕地320</w:t>
            </w:r>
            <w:r>
              <w:rPr>
                <w:rFonts w:hint="eastAsia"/>
                <w:color w:val="auto"/>
                <w:sz w:val="21"/>
                <w:szCs w:val="21"/>
              </w:rPr>
              <w:t>m。</w:t>
            </w:r>
          </w:p>
        </w:tc>
      </w:tr>
      <w:tr w14:paraId="0FC5E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41" w:type="dxa"/>
            <w:vAlign w:val="center"/>
          </w:tcPr>
          <w:p w14:paraId="736532CD">
            <w:pPr>
              <w:adjustRightInd w:val="0"/>
              <w:snapToGrid w:val="0"/>
              <w:spacing w:line="360" w:lineRule="exact"/>
              <w:ind w:firstLine="0" w:firstLineChars="0"/>
              <w:jc w:val="center"/>
              <w:rPr>
                <w:color w:val="auto"/>
                <w:sz w:val="21"/>
                <w:szCs w:val="21"/>
              </w:rPr>
            </w:pPr>
            <w:r>
              <w:rPr>
                <w:rFonts w:hint="eastAsia"/>
                <w:color w:val="auto"/>
                <w:sz w:val="21"/>
                <w:szCs w:val="21"/>
              </w:rPr>
              <w:t>2</w:t>
            </w:r>
          </w:p>
        </w:tc>
        <w:tc>
          <w:tcPr>
            <w:tcW w:w="1164" w:type="dxa"/>
            <w:vAlign w:val="center"/>
          </w:tcPr>
          <w:p w14:paraId="0D9C00D1">
            <w:pPr>
              <w:adjustRightInd w:val="0"/>
              <w:snapToGrid w:val="0"/>
              <w:spacing w:line="360" w:lineRule="exact"/>
              <w:ind w:firstLine="0" w:firstLineChars="0"/>
              <w:jc w:val="center"/>
              <w:rPr>
                <w:color w:val="auto"/>
                <w:sz w:val="21"/>
                <w:szCs w:val="21"/>
              </w:rPr>
            </w:pPr>
            <w:r>
              <w:rPr>
                <w:rFonts w:hint="eastAsia"/>
                <w:color w:val="auto"/>
                <w:sz w:val="21"/>
                <w:szCs w:val="21"/>
              </w:rPr>
              <w:t>对周围环境的影响</w:t>
            </w:r>
          </w:p>
        </w:tc>
        <w:tc>
          <w:tcPr>
            <w:tcW w:w="3550" w:type="dxa"/>
            <w:vAlign w:val="center"/>
          </w:tcPr>
          <w:p w14:paraId="3535CDA8">
            <w:pPr>
              <w:adjustRightInd w:val="0"/>
              <w:snapToGrid w:val="0"/>
              <w:spacing w:line="360" w:lineRule="exact"/>
              <w:ind w:firstLine="0" w:firstLineChars="0"/>
              <w:rPr>
                <w:color w:val="auto"/>
                <w:sz w:val="21"/>
                <w:szCs w:val="21"/>
              </w:rPr>
            </w:pPr>
            <w:r>
              <w:rPr>
                <w:rFonts w:hint="eastAsia"/>
                <w:color w:val="auto"/>
                <w:sz w:val="21"/>
                <w:szCs w:val="21"/>
              </w:rPr>
              <w:t>1、尾矿库扬尘可能存在对</w:t>
            </w:r>
            <w:r>
              <w:rPr>
                <w:rFonts w:hint="eastAsia"/>
                <w:color w:val="auto"/>
                <w:sz w:val="21"/>
                <w:szCs w:val="21"/>
                <w:lang w:val="en-US" w:eastAsia="zh-CN"/>
              </w:rPr>
              <w:t>喀拉通克河左支一河</w:t>
            </w:r>
            <w:r>
              <w:rPr>
                <w:rFonts w:hint="eastAsia"/>
                <w:color w:val="auto"/>
                <w:sz w:val="21"/>
                <w:szCs w:val="21"/>
              </w:rPr>
              <w:t>的污染影响。</w:t>
            </w:r>
          </w:p>
          <w:p w14:paraId="3B246953">
            <w:pPr>
              <w:adjustRightInd w:val="0"/>
              <w:snapToGrid w:val="0"/>
              <w:spacing w:line="360" w:lineRule="exact"/>
              <w:ind w:firstLine="0" w:firstLineChars="0"/>
              <w:rPr>
                <w:color w:val="auto"/>
                <w:sz w:val="21"/>
                <w:szCs w:val="21"/>
              </w:rPr>
            </w:pPr>
            <w:r>
              <w:rPr>
                <w:rFonts w:hint="eastAsia"/>
                <w:color w:val="auto"/>
                <w:sz w:val="21"/>
                <w:szCs w:val="21"/>
                <w:lang w:val="en-US" w:eastAsia="zh-CN"/>
              </w:rPr>
              <w:t>2</w:t>
            </w:r>
            <w:r>
              <w:rPr>
                <w:rFonts w:hint="eastAsia"/>
                <w:color w:val="auto"/>
                <w:sz w:val="21"/>
                <w:szCs w:val="21"/>
              </w:rPr>
              <w:t>、库区占地面积相对较大，对生态环境的影响相对较大。</w:t>
            </w:r>
          </w:p>
        </w:tc>
        <w:tc>
          <w:tcPr>
            <w:tcW w:w="4015" w:type="dxa"/>
            <w:vAlign w:val="center"/>
          </w:tcPr>
          <w:p w14:paraId="58797AA9">
            <w:pPr>
              <w:adjustRightInd w:val="0"/>
              <w:snapToGrid w:val="0"/>
              <w:spacing w:line="360" w:lineRule="exact"/>
              <w:ind w:firstLine="0" w:firstLineChars="0"/>
              <w:rPr>
                <w:color w:val="auto"/>
                <w:sz w:val="21"/>
                <w:szCs w:val="21"/>
              </w:rPr>
            </w:pPr>
            <w:r>
              <w:rPr>
                <w:rFonts w:hint="eastAsia"/>
                <w:color w:val="auto"/>
                <w:sz w:val="21"/>
                <w:szCs w:val="21"/>
              </w:rPr>
              <w:t>1、尾矿库扬尘可能存在对</w:t>
            </w:r>
            <w:r>
              <w:rPr>
                <w:rFonts w:hint="eastAsia"/>
                <w:color w:val="auto"/>
                <w:sz w:val="21"/>
                <w:szCs w:val="21"/>
                <w:lang w:val="en-US" w:eastAsia="zh-CN"/>
              </w:rPr>
              <w:t>喀拉通克河左支一河</w:t>
            </w:r>
            <w:r>
              <w:rPr>
                <w:rFonts w:hint="eastAsia"/>
                <w:color w:val="auto"/>
                <w:sz w:val="21"/>
                <w:szCs w:val="21"/>
              </w:rPr>
              <w:t>的污染影响。</w:t>
            </w:r>
          </w:p>
          <w:p w14:paraId="26D43EA7">
            <w:pPr>
              <w:adjustRightInd w:val="0"/>
              <w:snapToGrid w:val="0"/>
              <w:spacing w:line="360" w:lineRule="exact"/>
              <w:ind w:firstLine="0" w:firstLineChars="0"/>
              <w:rPr>
                <w:color w:val="auto"/>
                <w:sz w:val="21"/>
                <w:szCs w:val="21"/>
              </w:rPr>
            </w:pPr>
            <w:r>
              <w:rPr>
                <w:rFonts w:hint="eastAsia"/>
                <w:color w:val="auto"/>
                <w:sz w:val="21"/>
                <w:szCs w:val="21"/>
                <w:lang w:val="en-US" w:eastAsia="zh-CN"/>
              </w:rPr>
              <w:t>2</w:t>
            </w:r>
            <w:r>
              <w:rPr>
                <w:rFonts w:hint="eastAsia"/>
                <w:color w:val="auto"/>
                <w:sz w:val="21"/>
                <w:szCs w:val="21"/>
              </w:rPr>
              <w:t>、库区占地面积相对较大，对生态环境的影响相对较大。</w:t>
            </w:r>
          </w:p>
        </w:tc>
      </w:tr>
      <w:tr w14:paraId="50ADF4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41" w:type="dxa"/>
            <w:vAlign w:val="center"/>
          </w:tcPr>
          <w:p w14:paraId="38B9AD21">
            <w:pPr>
              <w:adjustRightInd w:val="0"/>
              <w:snapToGrid w:val="0"/>
              <w:spacing w:line="360" w:lineRule="exact"/>
              <w:ind w:firstLine="0" w:firstLineChars="0"/>
              <w:jc w:val="center"/>
              <w:rPr>
                <w:color w:val="auto"/>
                <w:sz w:val="21"/>
                <w:szCs w:val="21"/>
              </w:rPr>
            </w:pPr>
            <w:r>
              <w:rPr>
                <w:rFonts w:hint="eastAsia"/>
                <w:color w:val="auto"/>
                <w:sz w:val="21"/>
                <w:szCs w:val="21"/>
              </w:rPr>
              <w:t>3</w:t>
            </w:r>
          </w:p>
        </w:tc>
        <w:tc>
          <w:tcPr>
            <w:tcW w:w="1164" w:type="dxa"/>
            <w:vAlign w:val="center"/>
          </w:tcPr>
          <w:p w14:paraId="4DA49EB9">
            <w:pPr>
              <w:adjustRightInd w:val="0"/>
              <w:snapToGrid w:val="0"/>
              <w:spacing w:line="360" w:lineRule="exact"/>
              <w:ind w:firstLine="0" w:firstLineChars="0"/>
              <w:jc w:val="center"/>
              <w:rPr>
                <w:color w:val="auto"/>
                <w:sz w:val="21"/>
                <w:szCs w:val="21"/>
              </w:rPr>
            </w:pPr>
            <w:r>
              <w:rPr>
                <w:rFonts w:hint="eastAsia"/>
                <w:color w:val="auto"/>
                <w:sz w:val="21"/>
                <w:szCs w:val="21"/>
              </w:rPr>
              <w:t>工程占地</w:t>
            </w:r>
          </w:p>
        </w:tc>
        <w:tc>
          <w:tcPr>
            <w:tcW w:w="3550" w:type="dxa"/>
            <w:vAlign w:val="center"/>
          </w:tcPr>
          <w:p w14:paraId="152B7FDA">
            <w:pPr>
              <w:adjustRightInd w:val="0"/>
              <w:snapToGrid w:val="0"/>
              <w:spacing w:line="360" w:lineRule="exact"/>
              <w:ind w:firstLine="0" w:firstLineChars="0"/>
              <w:jc w:val="both"/>
              <w:rPr>
                <w:color w:val="auto"/>
                <w:sz w:val="21"/>
                <w:szCs w:val="21"/>
              </w:rPr>
            </w:pPr>
            <w:r>
              <w:rPr>
                <w:color w:val="auto"/>
                <w:sz w:val="21"/>
                <w:szCs w:val="21"/>
              </w:rPr>
              <w:t>占地</w:t>
            </w:r>
            <w:r>
              <w:rPr>
                <w:rFonts w:hint="eastAsia"/>
                <w:color w:val="auto"/>
                <w:sz w:val="21"/>
                <w:szCs w:val="21"/>
              </w:rPr>
              <w:t>面积</w:t>
            </w:r>
            <w:r>
              <w:rPr>
                <w:rFonts w:hint="eastAsia"/>
                <w:color w:val="auto"/>
                <w:sz w:val="21"/>
                <w:szCs w:val="21"/>
                <w:lang w:val="en-US" w:eastAsia="zh-CN"/>
              </w:rPr>
              <w:t>26</w:t>
            </w:r>
            <w:r>
              <w:rPr>
                <w:rFonts w:hint="eastAsia"/>
                <w:color w:val="auto"/>
                <w:sz w:val="21"/>
                <w:szCs w:val="21"/>
              </w:rPr>
              <w:t>hm</w:t>
            </w:r>
            <w:r>
              <w:rPr>
                <w:color w:val="auto"/>
                <w:sz w:val="21"/>
                <w:szCs w:val="21"/>
                <w:vertAlign w:val="superscript"/>
              </w:rPr>
              <w:t>2</w:t>
            </w:r>
            <w:r>
              <w:rPr>
                <w:rFonts w:hint="eastAsia"/>
                <w:color w:val="auto"/>
                <w:sz w:val="21"/>
                <w:szCs w:val="21"/>
              </w:rPr>
              <w:t>，占地</w:t>
            </w:r>
            <w:r>
              <w:rPr>
                <w:color w:val="auto"/>
                <w:sz w:val="21"/>
                <w:szCs w:val="21"/>
              </w:rPr>
              <w:t>范围大</w:t>
            </w:r>
            <w:r>
              <w:rPr>
                <w:rFonts w:hint="eastAsia"/>
                <w:color w:val="auto"/>
                <w:sz w:val="21"/>
                <w:szCs w:val="21"/>
              </w:rPr>
              <w:t>；</w:t>
            </w:r>
            <w:r>
              <w:rPr>
                <w:rFonts w:hint="eastAsia"/>
                <w:color w:val="auto"/>
                <w:sz w:val="21"/>
                <w:szCs w:val="21"/>
                <w:lang w:val="en-US" w:eastAsia="zh-CN"/>
              </w:rPr>
              <w:t>距离选矿厂1.1km，需要新建道路，道路占地面积较大</w:t>
            </w:r>
            <w:r>
              <w:rPr>
                <w:rFonts w:hint="eastAsia"/>
                <w:color w:val="auto"/>
                <w:sz w:val="21"/>
                <w:szCs w:val="21"/>
              </w:rPr>
              <w:t>。</w:t>
            </w:r>
          </w:p>
        </w:tc>
        <w:tc>
          <w:tcPr>
            <w:tcW w:w="4015" w:type="dxa"/>
            <w:vAlign w:val="center"/>
          </w:tcPr>
          <w:p w14:paraId="2331A510">
            <w:pPr>
              <w:adjustRightInd w:val="0"/>
              <w:snapToGrid w:val="0"/>
              <w:spacing w:line="360" w:lineRule="exact"/>
              <w:ind w:firstLine="0" w:firstLineChars="0"/>
              <w:jc w:val="both"/>
              <w:rPr>
                <w:color w:val="auto"/>
                <w:sz w:val="21"/>
                <w:szCs w:val="21"/>
              </w:rPr>
            </w:pPr>
            <w:r>
              <w:rPr>
                <w:color w:val="auto"/>
                <w:sz w:val="21"/>
                <w:szCs w:val="21"/>
              </w:rPr>
              <w:t>占地</w:t>
            </w:r>
            <w:r>
              <w:rPr>
                <w:rFonts w:hint="eastAsia"/>
                <w:color w:val="auto"/>
                <w:sz w:val="21"/>
                <w:szCs w:val="21"/>
              </w:rPr>
              <w:t>面积</w:t>
            </w:r>
            <w:r>
              <w:rPr>
                <w:rFonts w:hint="eastAsia"/>
                <w:color w:val="auto"/>
                <w:sz w:val="21"/>
                <w:szCs w:val="21"/>
                <w:lang w:val="en-US" w:eastAsia="zh-CN"/>
              </w:rPr>
              <w:t>26</w:t>
            </w:r>
            <w:r>
              <w:rPr>
                <w:rFonts w:hint="eastAsia"/>
                <w:color w:val="auto"/>
                <w:sz w:val="21"/>
                <w:szCs w:val="21"/>
              </w:rPr>
              <w:t>hm</w:t>
            </w:r>
            <w:r>
              <w:rPr>
                <w:color w:val="auto"/>
                <w:sz w:val="21"/>
                <w:szCs w:val="21"/>
                <w:vertAlign w:val="superscript"/>
              </w:rPr>
              <w:t>2</w:t>
            </w:r>
            <w:r>
              <w:rPr>
                <w:rFonts w:hint="eastAsia"/>
                <w:color w:val="auto"/>
                <w:sz w:val="21"/>
                <w:szCs w:val="21"/>
              </w:rPr>
              <w:t>，占地</w:t>
            </w:r>
            <w:r>
              <w:rPr>
                <w:color w:val="auto"/>
                <w:sz w:val="21"/>
                <w:szCs w:val="21"/>
              </w:rPr>
              <w:t>范围大</w:t>
            </w:r>
            <w:r>
              <w:rPr>
                <w:rFonts w:hint="eastAsia"/>
                <w:color w:val="auto"/>
                <w:sz w:val="21"/>
                <w:szCs w:val="21"/>
              </w:rPr>
              <w:t>；</w:t>
            </w:r>
            <w:r>
              <w:rPr>
                <w:rFonts w:hint="eastAsia"/>
                <w:color w:val="auto"/>
                <w:sz w:val="21"/>
                <w:szCs w:val="21"/>
                <w:lang w:val="en-US" w:eastAsia="zh-CN"/>
              </w:rPr>
              <w:t>距离选矿厂0.86km，需要新建道路，道路占地面积较小</w:t>
            </w:r>
            <w:r>
              <w:rPr>
                <w:rFonts w:hint="eastAsia"/>
                <w:color w:val="auto"/>
                <w:sz w:val="21"/>
                <w:szCs w:val="21"/>
              </w:rPr>
              <w:t>。</w:t>
            </w:r>
          </w:p>
        </w:tc>
      </w:tr>
      <w:tr w14:paraId="03440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41" w:type="dxa"/>
            <w:vAlign w:val="center"/>
          </w:tcPr>
          <w:p w14:paraId="3B08AB5F">
            <w:pPr>
              <w:adjustRightInd w:val="0"/>
              <w:snapToGrid w:val="0"/>
              <w:spacing w:line="360" w:lineRule="exact"/>
              <w:ind w:firstLine="0" w:firstLineChars="0"/>
              <w:jc w:val="center"/>
              <w:rPr>
                <w:color w:val="auto"/>
                <w:sz w:val="21"/>
                <w:szCs w:val="21"/>
              </w:rPr>
            </w:pPr>
            <w:r>
              <w:rPr>
                <w:rFonts w:hint="eastAsia"/>
                <w:color w:val="auto"/>
                <w:sz w:val="21"/>
                <w:szCs w:val="21"/>
              </w:rPr>
              <w:t>4</w:t>
            </w:r>
          </w:p>
        </w:tc>
        <w:tc>
          <w:tcPr>
            <w:tcW w:w="1164" w:type="dxa"/>
            <w:vAlign w:val="center"/>
          </w:tcPr>
          <w:p w14:paraId="1A932D8B">
            <w:pPr>
              <w:adjustRightInd w:val="0"/>
              <w:snapToGrid w:val="0"/>
              <w:spacing w:line="360" w:lineRule="exact"/>
              <w:ind w:firstLine="0" w:firstLineChars="0"/>
              <w:jc w:val="center"/>
              <w:rPr>
                <w:color w:val="auto"/>
                <w:sz w:val="21"/>
                <w:szCs w:val="21"/>
              </w:rPr>
            </w:pPr>
            <w:r>
              <w:rPr>
                <w:rFonts w:hint="eastAsia"/>
                <w:color w:val="auto"/>
                <w:sz w:val="21"/>
                <w:szCs w:val="21"/>
              </w:rPr>
              <w:t>地质状况</w:t>
            </w:r>
          </w:p>
        </w:tc>
        <w:tc>
          <w:tcPr>
            <w:tcW w:w="3550" w:type="dxa"/>
            <w:vAlign w:val="center"/>
          </w:tcPr>
          <w:p w14:paraId="38BCB49D">
            <w:pPr>
              <w:adjustRightInd w:val="0"/>
              <w:snapToGrid w:val="0"/>
              <w:spacing w:line="360" w:lineRule="exact"/>
              <w:ind w:firstLine="0" w:firstLineChars="0"/>
              <w:jc w:val="center"/>
              <w:rPr>
                <w:color w:val="auto"/>
                <w:sz w:val="21"/>
                <w:szCs w:val="21"/>
              </w:rPr>
            </w:pPr>
            <w:r>
              <w:rPr>
                <w:rFonts w:hint="eastAsia"/>
                <w:color w:val="auto"/>
                <w:sz w:val="21"/>
                <w:szCs w:val="21"/>
              </w:rPr>
              <w:t>根据工程资料，建设场地适宜性评估分级为适宜</w:t>
            </w:r>
          </w:p>
        </w:tc>
        <w:tc>
          <w:tcPr>
            <w:tcW w:w="4015" w:type="dxa"/>
            <w:vAlign w:val="center"/>
          </w:tcPr>
          <w:p w14:paraId="4BF4E889">
            <w:pPr>
              <w:adjustRightInd w:val="0"/>
              <w:snapToGrid w:val="0"/>
              <w:spacing w:line="360" w:lineRule="exact"/>
              <w:ind w:firstLine="0" w:firstLineChars="0"/>
              <w:jc w:val="center"/>
              <w:rPr>
                <w:color w:val="auto"/>
                <w:sz w:val="21"/>
                <w:szCs w:val="21"/>
              </w:rPr>
            </w:pPr>
            <w:r>
              <w:rPr>
                <w:rFonts w:hint="eastAsia"/>
                <w:color w:val="auto"/>
                <w:sz w:val="21"/>
                <w:szCs w:val="21"/>
              </w:rPr>
              <w:t>根据工程资料，建设场地适宜性评估分级为适宜。</w:t>
            </w:r>
          </w:p>
        </w:tc>
      </w:tr>
      <w:tr w14:paraId="6A9A9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41" w:type="dxa"/>
            <w:vAlign w:val="center"/>
          </w:tcPr>
          <w:p w14:paraId="02E04C38">
            <w:pPr>
              <w:adjustRightInd w:val="0"/>
              <w:snapToGrid w:val="0"/>
              <w:spacing w:line="36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1164" w:type="dxa"/>
            <w:vAlign w:val="center"/>
          </w:tcPr>
          <w:p w14:paraId="45350798">
            <w:pPr>
              <w:adjustRightInd w:val="0"/>
              <w:snapToGrid w:val="0"/>
              <w:spacing w:line="36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政策</w:t>
            </w:r>
          </w:p>
        </w:tc>
        <w:tc>
          <w:tcPr>
            <w:tcW w:w="3550" w:type="dxa"/>
            <w:vAlign w:val="center"/>
          </w:tcPr>
          <w:p w14:paraId="70BE578D">
            <w:pPr>
              <w:adjustRightInd w:val="0"/>
              <w:snapToGrid w:val="0"/>
              <w:spacing w:line="36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尾矿库</w:t>
            </w:r>
            <w:r>
              <w:rPr>
                <w:rFonts w:hint="default"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rPr>
              <w:t>侧距离</w:t>
            </w:r>
            <w:r>
              <w:rPr>
                <w:rFonts w:hint="default" w:ascii="Times New Roman" w:hAnsi="Times New Roman" w:cs="Times New Roman"/>
                <w:color w:val="auto"/>
                <w:sz w:val="21"/>
                <w:szCs w:val="21"/>
                <w:lang w:val="en-US" w:eastAsia="zh-CN"/>
              </w:rPr>
              <w:t>喀拉通克河左支一河</w:t>
            </w:r>
            <w:r>
              <w:rPr>
                <w:rFonts w:hint="default" w:ascii="Times New Roman" w:hAnsi="Times New Roman" w:cs="Times New Roman"/>
                <w:color w:val="auto"/>
                <w:sz w:val="21"/>
                <w:szCs w:val="21"/>
              </w:rPr>
              <w:t>最近处</w:t>
            </w:r>
            <w:r>
              <w:rPr>
                <w:rFonts w:hint="default" w:ascii="Times New Roman" w:hAnsi="Times New Roman" w:cs="Times New Roman"/>
                <w:color w:val="auto"/>
                <w:sz w:val="21"/>
                <w:szCs w:val="21"/>
                <w:lang w:val="en-US" w:eastAsia="zh-CN"/>
              </w:rPr>
              <w:t>826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lang w:val="en-US" w:eastAsia="zh-CN"/>
              </w:rPr>
              <w:t>根据</w:t>
            </w:r>
            <w:r>
              <w:rPr>
                <w:rFonts w:hint="default" w:ascii="Times New Roman" w:hAnsi="Times New Roman" w:cs="Times New Roman"/>
                <w:color w:val="auto"/>
                <w:sz w:val="21"/>
                <w:szCs w:val="21"/>
              </w:rPr>
              <w:t>《新疆维吾尔自治区重点行业生态环境准入条件（2024年）》</w:t>
            </w:r>
            <w:r>
              <w:rPr>
                <w:rFonts w:hint="default" w:ascii="Times New Roman" w:hAnsi="Times New Roman" w:cs="Times New Roman"/>
                <w:color w:val="auto"/>
                <w:sz w:val="21"/>
                <w:szCs w:val="21"/>
                <w:lang w:eastAsia="zh-CN"/>
              </w:rPr>
              <w:t>，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w:t>
            </w:r>
            <w:r>
              <w:rPr>
                <w:rFonts w:hint="default" w:ascii="Times New Roman" w:hAnsi="Times New Roman" w:cs="Times New Roman"/>
                <w:color w:val="auto"/>
                <w:sz w:val="21"/>
                <w:szCs w:val="21"/>
                <w:lang w:val="en-US" w:eastAsia="zh-CN"/>
              </w:rPr>
              <w:t>根据新疆水功能区划，</w:t>
            </w:r>
            <w:r>
              <w:rPr>
                <w:rFonts w:hint="default" w:ascii="Times New Roman" w:hAnsi="Times New Roman" w:cs="Times New Roman"/>
                <w:color w:val="auto"/>
                <w:sz w:val="21"/>
                <w:szCs w:val="21"/>
                <w:lang w:eastAsia="zh-CN"/>
              </w:rPr>
              <w:t>喀拉通克河</w:t>
            </w:r>
            <w:r>
              <w:rPr>
                <w:rFonts w:hint="default" w:ascii="Times New Roman" w:hAnsi="Times New Roman" w:cs="Times New Roman"/>
                <w:color w:val="auto"/>
                <w:sz w:val="21"/>
                <w:szCs w:val="21"/>
                <w:lang w:val="en-US" w:eastAsia="zh-CN"/>
              </w:rPr>
              <w:t>左支一河未查询到水体类别，项目所在区域</w:t>
            </w:r>
            <w:r>
              <w:rPr>
                <w:rFonts w:hint="default" w:ascii="Times New Roman" w:hAnsi="Times New Roman" w:cs="Times New Roman"/>
                <w:color w:val="auto"/>
                <w:sz w:val="21"/>
                <w:szCs w:val="21"/>
                <w:lang w:eastAsia="zh-CN"/>
              </w:rPr>
              <w:t>喀拉通克河属Ⅱ类</w:t>
            </w:r>
            <w:r>
              <w:rPr>
                <w:rFonts w:hint="default" w:ascii="Times New Roman" w:hAnsi="Times New Roman" w:cs="Times New Roman"/>
                <w:color w:val="auto"/>
                <w:sz w:val="21"/>
                <w:szCs w:val="21"/>
                <w:lang w:val="en-US" w:eastAsia="zh-CN"/>
              </w:rPr>
              <w:t>水环境</w:t>
            </w:r>
            <w:r>
              <w:rPr>
                <w:rFonts w:hint="default" w:ascii="Times New Roman" w:hAnsi="Times New Roman" w:cs="Times New Roman"/>
                <w:color w:val="auto"/>
                <w:sz w:val="21"/>
                <w:szCs w:val="21"/>
                <w:lang w:eastAsia="zh-CN"/>
              </w:rPr>
              <w:t>功能区，</w:t>
            </w:r>
            <w:r>
              <w:rPr>
                <w:rFonts w:hint="default" w:ascii="Times New Roman" w:hAnsi="Times New Roman" w:cs="Times New Roman"/>
                <w:color w:val="auto"/>
                <w:sz w:val="21"/>
                <w:szCs w:val="21"/>
                <w:lang w:val="en-US" w:eastAsia="zh-CN"/>
              </w:rPr>
              <w:t>不符合</w:t>
            </w:r>
            <w:r>
              <w:rPr>
                <w:rFonts w:hint="default" w:ascii="Times New Roman" w:hAnsi="Times New Roman" w:cs="Times New Roman"/>
                <w:color w:val="auto"/>
                <w:sz w:val="21"/>
                <w:szCs w:val="21"/>
              </w:rPr>
              <w:t>《新疆维吾尔自治区重点行业生态环境准入条件（2024年）》</w:t>
            </w:r>
            <w:r>
              <w:rPr>
                <w:rFonts w:hint="default" w:ascii="Times New Roman" w:hAnsi="Times New Roman" w:cs="Times New Roman"/>
                <w:color w:val="auto"/>
                <w:sz w:val="21"/>
                <w:szCs w:val="21"/>
                <w:lang w:val="en-US" w:eastAsia="zh-CN"/>
              </w:rPr>
              <w:t>要求。</w:t>
            </w:r>
          </w:p>
        </w:tc>
        <w:tc>
          <w:tcPr>
            <w:tcW w:w="4015" w:type="dxa"/>
            <w:vAlign w:val="center"/>
          </w:tcPr>
          <w:p w14:paraId="07507F34">
            <w:pPr>
              <w:adjustRightInd w:val="0"/>
              <w:snapToGrid w:val="0"/>
              <w:spacing w:line="36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尾矿库</w:t>
            </w:r>
            <w:r>
              <w:rPr>
                <w:rFonts w:hint="default"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rPr>
              <w:t>侧距离</w:t>
            </w:r>
            <w:r>
              <w:rPr>
                <w:rFonts w:hint="default" w:ascii="Times New Roman" w:hAnsi="Times New Roman" w:cs="Times New Roman"/>
                <w:color w:val="auto"/>
                <w:sz w:val="21"/>
                <w:szCs w:val="21"/>
                <w:lang w:val="en-US" w:eastAsia="zh-CN"/>
              </w:rPr>
              <w:t>喀拉通克河左支一河</w:t>
            </w:r>
            <w:r>
              <w:rPr>
                <w:rFonts w:hint="default" w:ascii="Times New Roman" w:hAnsi="Times New Roman" w:cs="Times New Roman"/>
                <w:color w:val="auto"/>
                <w:sz w:val="21"/>
                <w:szCs w:val="21"/>
              </w:rPr>
              <w:t>最近处</w:t>
            </w:r>
            <w:r>
              <w:rPr>
                <w:rFonts w:hint="default" w:ascii="Times New Roman" w:hAnsi="Times New Roman" w:cs="Times New Roman"/>
                <w:color w:val="auto"/>
                <w:sz w:val="21"/>
                <w:szCs w:val="21"/>
                <w:lang w:val="en-US" w:eastAsia="zh-CN"/>
              </w:rPr>
              <w:t>1020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lang w:val="en-US" w:eastAsia="zh-CN"/>
              </w:rPr>
              <w:t>根据</w:t>
            </w:r>
            <w:r>
              <w:rPr>
                <w:rFonts w:hint="default" w:ascii="Times New Roman" w:hAnsi="Times New Roman" w:cs="Times New Roman"/>
                <w:color w:val="auto"/>
                <w:sz w:val="21"/>
                <w:szCs w:val="21"/>
              </w:rPr>
              <w:t>《新疆维吾尔自治区重点行业生态环境准入条件（2024年）》</w:t>
            </w:r>
            <w:r>
              <w:rPr>
                <w:rFonts w:hint="default" w:ascii="Times New Roman" w:hAnsi="Times New Roman" w:cs="Times New Roman"/>
                <w:color w:val="auto"/>
                <w:sz w:val="21"/>
                <w:szCs w:val="21"/>
                <w:lang w:eastAsia="zh-CN"/>
              </w:rPr>
              <w:t>，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w:t>
            </w:r>
            <w:r>
              <w:rPr>
                <w:rFonts w:hint="default" w:ascii="Times New Roman" w:hAnsi="Times New Roman" w:cs="Times New Roman"/>
                <w:color w:val="auto"/>
                <w:sz w:val="21"/>
                <w:szCs w:val="21"/>
                <w:lang w:val="en-US" w:eastAsia="zh-CN"/>
              </w:rPr>
              <w:t>根据新疆水功能区划，</w:t>
            </w:r>
            <w:r>
              <w:rPr>
                <w:rFonts w:hint="default" w:ascii="Times New Roman" w:hAnsi="Times New Roman" w:cs="Times New Roman"/>
                <w:color w:val="auto"/>
                <w:sz w:val="21"/>
                <w:szCs w:val="21"/>
                <w:lang w:eastAsia="zh-CN"/>
              </w:rPr>
              <w:t>喀拉通克河</w:t>
            </w:r>
            <w:r>
              <w:rPr>
                <w:rFonts w:hint="default" w:ascii="Times New Roman" w:hAnsi="Times New Roman" w:cs="Times New Roman"/>
                <w:color w:val="auto"/>
                <w:sz w:val="21"/>
                <w:szCs w:val="21"/>
                <w:lang w:val="en-US" w:eastAsia="zh-CN"/>
              </w:rPr>
              <w:t>左支一河未查询到水体类别，项目所在区域</w:t>
            </w:r>
            <w:r>
              <w:rPr>
                <w:rFonts w:hint="default" w:ascii="Times New Roman" w:hAnsi="Times New Roman" w:cs="Times New Roman"/>
                <w:color w:val="auto"/>
                <w:sz w:val="21"/>
                <w:szCs w:val="21"/>
                <w:lang w:eastAsia="zh-CN"/>
              </w:rPr>
              <w:t>喀拉通克河属Ⅱ类</w:t>
            </w:r>
            <w:r>
              <w:rPr>
                <w:rFonts w:hint="default" w:ascii="Times New Roman" w:hAnsi="Times New Roman" w:cs="Times New Roman"/>
                <w:color w:val="auto"/>
                <w:sz w:val="21"/>
                <w:szCs w:val="21"/>
                <w:lang w:val="en-US" w:eastAsia="zh-CN"/>
              </w:rPr>
              <w:t>水环境</w:t>
            </w:r>
            <w:r>
              <w:rPr>
                <w:rFonts w:hint="default" w:ascii="Times New Roman" w:hAnsi="Times New Roman" w:cs="Times New Roman"/>
                <w:color w:val="auto"/>
                <w:sz w:val="21"/>
                <w:szCs w:val="21"/>
                <w:lang w:eastAsia="zh-CN"/>
              </w:rPr>
              <w:t>功能区，</w:t>
            </w:r>
            <w:r>
              <w:rPr>
                <w:rFonts w:hint="default" w:ascii="Times New Roman" w:hAnsi="Times New Roman" w:cs="Times New Roman"/>
                <w:color w:val="auto"/>
                <w:sz w:val="21"/>
                <w:szCs w:val="21"/>
                <w:lang w:val="en-US" w:eastAsia="zh-CN"/>
              </w:rPr>
              <w:t>符合</w:t>
            </w:r>
            <w:r>
              <w:rPr>
                <w:rFonts w:hint="default" w:ascii="Times New Roman" w:hAnsi="Times New Roman" w:cs="Times New Roman"/>
                <w:color w:val="auto"/>
                <w:sz w:val="21"/>
                <w:szCs w:val="21"/>
              </w:rPr>
              <w:t>《新疆维吾尔自治区重点行业生态环境准入条件（2024年）》</w:t>
            </w:r>
            <w:r>
              <w:rPr>
                <w:rFonts w:hint="default" w:ascii="Times New Roman" w:hAnsi="Times New Roman" w:cs="Times New Roman"/>
                <w:color w:val="auto"/>
                <w:sz w:val="21"/>
                <w:szCs w:val="21"/>
                <w:lang w:val="en-US" w:eastAsia="zh-CN"/>
              </w:rPr>
              <w:t>要求。</w:t>
            </w:r>
          </w:p>
        </w:tc>
      </w:tr>
      <w:tr w14:paraId="250B5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41" w:type="dxa"/>
            <w:vAlign w:val="center"/>
          </w:tcPr>
          <w:p w14:paraId="4DD91BBC">
            <w:pPr>
              <w:adjustRightInd w:val="0"/>
              <w:snapToGrid w:val="0"/>
              <w:spacing w:line="36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6</w:t>
            </w:r>
          </w:p>
        </w:tc>
        <w:tc>
          <w:tcPr>
            <w:tcW w:w="1164" w:type="dxa"/>
            <w:vAlign w:val="center"/>
          </w:tcPr>
          <w:p w14:paraId="10EEC50B">
            <w:pPr>
              <w:adjustRightInd w:val="0"/>
              <w:snapToGrid w:val="0"/>
              <w:spacing w:line="360" w:lineRule="exact"/>
              <w:ind w:firstLine="0" w:firstLineChars="0"/>
              <w:jc w:val="center"/>
              <w:rPr>
                <w:b/>
                <w:color w:val="auto"/>
                <w:sz w:val="21"/>
                <w:szCs w:val="21"/>
              </w:rPr>
            </w:pPr>
            <w:r>
              <w:rPr>
                <w:bCs/>
                <w:color w:val="auto"/>
                <w:sz w:val="21"/>
                <w:szCs w:val="21"/>
              </w:rPr>
              <w:t>推荐方案</w:t>
            </w:r>
          </w:p>
        </w:tc>
        <w:tc>
          <w:tcPr>
            <w:tcW w:w="3550" w:type="dxa"/>
            <w:vAlign w:val="center"/>
          </w:tcPr>
          <w:p w14:paraId="0BF03B16">
            <w:pPr>
              <w:adjustRightInd w:val="0"/>
              <w:snapToGrid w:val="0"/>
              <w:spacing w:line="36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不推荐</w:t>
            </w:r>
          </w:p>
        </w:tc>
        <w:tc>
          <w:tcPr>
            <w:tcW w:w="4015" w:type="dxa"/>
            <w:vAlign w:val="center"/>
          </w:tcPr>
          <w:p w14:paraId="5E437689">
            <w:pPr>
              <w:adjustRightInd w:val="0"/>
              <w:snapToGrid w:val="0"/>
              <w:spacing w:line="36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推荐</w:t>
            </w:r>
          </w:p>
        </w:tc>
      </w:tr>
    </w:tbl>
    <w:p w14:paraId="1DA60E38">
      <w:pPr>
        <w:overflowPunct w:val="0"/>
        <w:topLinePunct/>
        <w:ind w:firstLine="480"/>
        <w:rPr>
          <w:color w:val="auto"/>
          <w:kern w:val="0"/>
        </w:rPr>
      </w:pPr>
      <w:r>
        <w:rPr>
          <w:rFonts w:hint="eastAsia"/>
          <w:color w:val="auto"/>
          <w:szCs w:val="28"/>
        </w:rPr>
        <w:t>通过</w:t>
      </w:r>
      <w:r>
        <w:rPr>
          <w:rFonts w:hint="eastAsia"/>
          <w:color w:val="auto"/>
          <w:szCs w:val="28"/>
          <w:lang w:val="en-US" w:eastAsia="zh-CN"/>
        </w:rPr>
        <w:t>上表</w:t>
      </w:r>
      <w:r>
        <w:rPr>
          <w:rFonts w:hint="eastAsia"/>
          <w:color w:val="auto"/>
          <w:szCs w:val="28"/>
        </w:rPr>
        <w:t>分析可知，</w:t>
      </w:r>
      <w:r>
        <w:rPr>
          <w:color w:val="auto"/>
        </w:rPr>
        <w:t>方案</w:t>
      </w:r>
      <w:r>
        <w:rPr>
          <w:rFonts w:hint="eastAsia"/>
          <w:color w:val="auto"/>
        </w:rPr>
        <w:t>二</w:t>
      </w:r>
      <w:r>
        <w:rPr>
          <w:rFonts w:hint="eastAsia"/>
          <w:color w:val="auto"/>
          <w:lang w:val="en-US" w:eastAsia="zh-CN"/>
        </w:rPr>
        <w:t>距离喀拉通克河左支一河</w:t>
      </w:r>
      <w:r>
        <w:rPr>
          <w:rFonts w:hint="eastAsia"/>
          <w:color w:val="auto"/>
        </w:rPr>
        <w:t>最</w:t>
      </w:r>
      <w:r>
        <w:rPr>
          <w:color w:val="auto"/>
        </w:rPr>
        <w:t>近处</w:t>
      </w:r>
      <w:r>
        <w:rPr>
          <w:rFonts w:hint="eastAsia"/>
          <w:color w:val="auto"/>
          <w:lang w:val="en-US" w:eastAsia="zh-CN"/>
        </w:rPr>
        <w:t>1020</w:t>
      </w:r>
      <w:r>
        <w:rPr>
          <w:color w:val="auto"/>
        </w:rPr>
        <w:t>m，通过对库区防渗后，正常工况下对地表水体</w:t>
      </w:r>
      <w:r>
        <w:rPr>
          <w:rFonts w:hint="eastAsia"/>
          <w:color w:val="auto"/>
        </w:rPr>
        <w:t>影响较小，从环境保护的角度分析对比，本次评价推荐库址二为本项目拟建尾矿库选址，</w:t>
      </w:r>
      <w:r>
        <w:rPr>
          <w:color w:val="auto"/>
          <w:kern w:val="0"/>
        </w:rPr>
        <w:t>认为</w:t>
      </w:r>
      <w:r>
        <w:rPr>
          <w:rFonts w:hint="eastAsia"/>
          <w:color w:val="auto"/>
        </w:rPr>
        <w:t>库址二</w:t>
      </w:r>
      <w:r>
        <w:rPr>
          <w:color w:val="auto"/>
          <w:kern w:val="0"/>
        </w:rPr>
        <w:t>选址</w:t>
      </w:r>
      <w:r>
        <w:rPr>
          <w:rFonts w:hint="eastAsia"/>
          <w:color w:val="auto"/>
          <w:kern w:val="0"/>
        </w:rPr>
        <w:t>较为合理</w:t>
      </w:r>
      <w:r>
        <w:rPr>
          <w:color w:val="auto"/>
          <w:kern w:val="0"/>
        </w:rPr>
        <w:t>。</w:t>
      </w:r>
    </w:p>
    <w:p w14:paraId="23939AEC">
      <w:pPr>
        <w:overflowPunct w:val="0"/>
        <w:topLinePunct/>
        <w:ind w:firstLine="480"/>
        <w:rPr>
          <w:rFonts w:hint="default" w:ascii="Times New Roman" w:hAnsi="Times New Roman" w:eastAsia="宋体" w:cs="Times New Roman"/>
          <w:color w:val="auto"/>
          <w:highlight w:val="none"/>
          <w:lang w:val="en-US" w:eastAsia="zh-CN"/>
        </w:rPr>
      </w:pPr>
      <w:r>
        <w:rPr>
          <w:rFonts w:hint="eastAsia"/>
          <w:color w:val="auto"/>
          <w:szCs w:val="28"/>
          <w:lang w:val="en-US" w:eastAsia="zh-CN"/>
        </w:rPr>
        <w:t>本项目</w:t>
      </w:r>
      <w:r>
        <w:rPr>
          <w:rFonts w:hint="eastAsia"/>
          <w:color w:val="auto"/>
          <w:szCs w:val="28"/>
        </w:rPr>
        <w:t>尾矿库选址方案区域位置图见图3.</w:t>
      </w:r>
      <w:r>
        <w:rPr>
          <w:rFonts w:hint="eastAsia"/>
          <w:color w:val="auto"/>
          <w:szCs w:val="28"/>
          <w:lang w:val="en-US" w:eastAsia="zh-CN"/>
        </w:rPr>
        <w:t>1</w:t>
      </w:r>
      <w:r>
        <w:rPr>
          <w:rFonts w:hint="eastAsia"/>
          <w:color w:val="auto"/>
          <w:szCs w:val="28"/>
        </w:rPr>
        <w:t>-</w:t>
      </w:r>
      <w:r>
        <w:rPr>
          <w:color w:val="auto"/>
          <w:szCs w:val="28"/>
        </w:rPr>
        <w:t>1</w:t>
      </w:r>
      <w:r>
        <w:rPr>
          <w:rFonts w:hint="eastAsia"/>
          <w:color w:val="auto"/>
          <w:szCs w:val="28"/>
          <w:lang w:val="en-US" w:eastAsia="zh-CN"/>
        </w:rPr>
        <w:t>0</w:t>
      </w:r>
      <w:r>
        <w:rPr>
          <w:rFonts w:hint="eastAsia"/>
          <w:color w:val="auto"/>
          <w:szCs w:val="28"/>
        </w:rPr>
        <w:t>。</w:t>
      </w:r>
    </w:p>
    <w:p w14:paraId="66AFA1D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2）选址合理性分析</w:t>
      </w:r>
    </w:p>
    <w:p w14:paraId="748546E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库区选址的基本要求，从工程选址区域的工程地质、水文地质状况、区域地形地貌、气候气象因素、周围环境敏感目标分布等环境条件结合《尾矿设施设计规范》（GB50863-2013）、《尾矿库安全规程》（GB39496-2020）判断</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尾矿库拟选场址合理性，详见表3.</w:t>
      </w:r>
      <w:r>
        <w:rPr>
          <w:rFonts w:hint="default"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cs="Times New Roman"/>
          <w:color w:val="auto"/>
          <w:highlight w:val="none"/>
          <w:lang w:val="en-US" w:eastAsia="zh-CN"/>
        </w:rPr>
        <w:t>6</w:t>
      </w:r>
      <w:r>
        <w:rPr>
          <w:rFonts w:hint="default" w:ascii="Times New Roman" w:hAnsi="Times New Roman" w:cs="Times New Roman"/>
          <w:color w:val="auto"/>
          <w:highlight w:val="none"/>
        </w:rPr>
        <w:t>。</w:t>
      </w:r>
    </w:p>
    <w:p w14:paraId="0C8C2C78">
      <w:pPr>
        <w:overflowPunct w:val="0"/>
        <w:topLinePunct/>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w:t>
      </w:r>
      <w:r>
        <w:rPr>
          <w:rFonts w:hint="default" w:cs="Times New Roman"/>
          <w:b/>
          <w:color w:val="auto"/>
          <w:highlight w:val="none"/>
          <w:lang w:val="en-US" w:eastAsia="zh-CN"/>
        </w:rPr>
        <w:t>6</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kern w:val="0"/>
          <w:highlight w:val="none"/>
        </w:rPr>
        <w:t>尾矿库选址合理性分析一览表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2"/>
        <w:gridCol w:w="2162"/>
        <w:gridCol w:w="2085"/>
        <w:gridCol w:w="2085"/>
        <w:gridCol w:w="2350"/>
      </w:tblGrid>
      <w:tr w14:paraId="44424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92" w:type="dxa"/>
            <w:vAlign w:val="center"/>
          </w:tcPr>
          <w:p w14:paraId="1AA161F0">
            <w:pPr>
              <w:overflowPunct w:val="0"/>
              <w:topLinePunct/>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2162" w:type="dxa"/>
            <w:vAlign w:val="center"/>
          </w:tcPr>
          <w:p w14:paraId="024F6EC8">
            <w:pPr>
              <w:overflowPunct w:val="0"/>
              <w:topLinePunct/>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《尾矿设施设计规范》（GB50863-2013）</w:t>
            </w:r>
          </w:p>
        </w:tc>
        <w:tc>
          <w:tcPr>
            <w:tcW w:w="2085" w:type="dxa"/>
            <w:vAlign w:val="center"/>
          </w:tcPr>
          <w:p w14:paraId="6D491DA9">
            <w:pPr>
              <w:overflowPunct w:val="0"/>
              <w:topLinePunct/>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《尾矿库安全规程》（GB39496-2020）</w:t>
            </w:r>
          </w:p>
        </w:tc>
        <w:tc>
          <w:tcPr>
            <w:tcW w:w="2085" w:type="dxa"/>
            <w:vAlign w:val="center"/>
          </w:tcPr>
          <w:p w14:paraId="61DF065A">
            <w:pPr>
              <w:overflowPunct w:val="0"/>
              <w:topLinePunct/>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《一般工业固体废物贮存和填埋污染控制标准》（GB18599-2020）</w:t>
            </w:r>
          </w:p>
        </w:tc>
        <w:tc>
          <w:tcPr>
            <w:tcW w:w="2350" w:type="dxa"/>
            <w:vAlign w:val="center"/>
          </w:tcPr>
          <w:p w14:paraId="79F90A68">
            <w:pPr>
              <w:overflowPunct w:val="0"/>
              <w:topLinePunct/>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拟选场址</w:t>
            </w:r>
          </w:p>
        </w:tc>
      </w:tr>
      <w:tr w14:paraId="2C290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4FF88BFD">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162" w:type="dxa"/>
            <w:vAlign w:val="center"/>
          </w:tcPr>
          <w:p w14:paraId="5BEAE371">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不宜位于工矿企业、大型水源地、水产基地和大型居民区上游。</w:t>
            </w:r>
          </w:p>
        </w:tc>
        <w:tc>
          <w:tcPr>
            <w:tcW w:w="2085" w:type="dxa"/>
            <w:vAlign w:val="center"/>
          </w:tcPr>
          <w:p w14:paraId="5837FA82">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不宜位于工矿企业、大型水源地、水产基地和大型居民区上游。</w:t>
            </w:r>
          </w:p>
        </w:tc>
        <w:tc>
          <w:tcPr>
            <w:tcW w:w="2085" w:type="dxa"/>
            <w:vAlign w:val="center"/>
          </w:tcPr>
          <w:p w14:paraId="2B1C125B">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0" w:type="dxa"/>
            <w:vAlign w:val="center"/>
          </w:tcPr>
          <w:p w14:paraId="36178B81">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拟选场址位于选厂</w:t>
            </w:r>
            <w:r>
              <w:rPr>
                <w:rFonts w:hint="default" w:ascii="Times New Roman" w:hAnsi="Times New Roman" w:cs="Times New Roman"/>
                <w:color w:val="auto"/>
                <w:sz w:val="21"/>
                <w:szCs w:val="21"/>
                <w:highlight w:val="none"/>
                <w:lang w:val="en-US" w:eastAsia="zh-CN"/>
              </w:rPr>
              <w:t>北侧8</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m处的</w:t>
            </w:r>
            <w:r>
              <w:rPr>
                <w:rFonts w:hint="default" w:ascii="Times New Roman" w:hAnsi="Times New Roman" w:cs="Times New Roman"/>
                <w:color w:val="auto"/>
                <w:sz w:val="21"/>
                <w:szCs w:val="21"/>
                <w:highlight w:val="none"/>
                <w:lang w:val="en-US" w:eastAsia="zh-CN"/>
              </w:rPr>
              <w:t>平地上</w:t>
            </w:r>
            <w:r>
              <w:rPr>
                <w:rFonts w:hint="default" w:ascii="Times New Roman" w:hAnsi="Times New Roman" w:cs="Times New Roman"/>
                <w:color w:val="auto"/>
                <w:sz w:val="21"/>
                <w:szCs w:val="21"/>
                <w:highlight w:val="none"/>
              </w:rPr>
              <w:t>，未设在工矿企业、大型水源地、水产基地和大型居民区上游。</w:t>
            </w:r>
          </w:p>
        </w:tc>
      </w:tr>
      <w:tr w14:paraId="3CE54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71BAAC66">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162" w:type="dxa"/>
            <w:vAlign w:val="center"/>
          </w:tcPr>
          <w:p w14:paraId="0AA4BAAB">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不应位于全国和省重点保护名胜古迹上游。</w:t>
            </w:r>
          </w:p>
        </w:tc>
        <w:tc>
          <w:tcPr>
            <w:tcW w:w="2085" w:type="dxa"/>
            <w:vAlign w:val="center"/>
          </w:tcPr>
          <w:p w14:paraId="24B9D730">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不应位于全国和省重点保护名胜古迹的上游。</w:t>
            </w:r>
          </w:p>
        </w:tc>
        <w:tc>
          <w:tcPr>
            <w:tcW w:w="2085" w:type="dxa"/>
            <w:vAlign w:val="center"/>
          </w:tcPr>
          <w:p w14:paraId="0126D29C">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贮存场、填埋场不得选在生态保护红线区域、永久基本农田集中区域和其他需要特别保护的区域内。</w:t>
            </w:r>
          </w:p>
        </w:tc>
        <w:tc>
          <w:tcPr>
            <w:tcW w:w="2350" w:type="dxa"/>
            <w:vAlign w:val="center"/>
          </w:tcPr>
          <w:p w14:paraId="651F102F">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本项目选址不</w:t>
            </w:r>
            <w:r>
              <w:rPr>
                <w:rFonts w:hint="default" w:ascii="Times New Roman" w:hAnsi="Times New Roman" w:cs="Times New Roman"/>
                <w:color w:val="auto"/>
                <w:sz w:val="21"/>
                <w:szCs w:val="21"/>
                <w:highlight w:val="none"/>
              </w:rPr>
              <w:t>位于全国和省重点保护名胜古迹上游，不在生态保护红线内，尾矿库距离生态保护红线约</w:t>
            </w:r>
            <w:r>
              <w:rPr>
                <w:rFonts w:hint="default" w:ascii="Times New Roman" w:hAnsi="Times New Roman" w:cs="Times New Roman"/>
                <w:color w:val="auto"/>
                <w:sz w:val="21"/>
                <w:szCs w:val="21"/>
                <w:highlight w:val="none"/>
                <w:lang w:val="en-US" w:eastAsia="zh-CN"/>
              </w:rPr>
              <w:t>3.68km</w:t>
            </w:r>
            <w:r>
              <w:rPr>
                <w:rFonts w:hint="default" w:ascii="Times New Roman" w:hAnsi="Times New Roman" w:cs="Times New Roman"/>
                <w:color w:val="auto"/>
                <w:sz w:val="21"/>
                <w:szCs w:val="21"/>
                <w:highlight w:val="none"/>
              </w:rPr>
              <w:t>。</w:t>
            </w:r>
          </w:p>
        </w:tc>
      </w:tr>
      <w:tr w14:paraId="63217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4B43A522">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162" w:type="dxa"/>
            <w:vAlign w:val="center"/>
          </w:tcPr>
          <w:p w14:paraId="3AF8A29E">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工程、水文地质条件好。</w:t>
            </w:r>
          </w:p>
        </w:tc>
        <w:tc>
          <w:tcPr>
            <w:tcW w:w="2085" w:type="dxa"/>
            <w:vAlign w:val="center"/>
          </w:tcPr>
          <w:p w14:paraId="1EB80DF6">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应避开地质构造复杂、不良地质现象严重区域。</w:t>
            </w:r>
          </w:p>
        </w:tc>
        <w:tc>
          <w:tcPr>
            <w:tcW w:w="2085" w:type="dxa"/>
            <w:vAlign w:val="center"/>
          </w:tcPr>
          <w:p w14:paraId="7B0EF31E">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贮存场、填埋场应避开活动断层、溶洞区、天然滑坡或泥石流影响区以及湿地等区域。</w:t>
            </w:r>
          </w:p>
        </w:tc>
        <w:tc>
          <w:tcPr>
            <w:tcW w:w="2350" w:type="dxa"/>
            <w:vAlign w:val="center"/>
          </w:tcPr>
          <w:p w14:paraId="489302F4">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项目区无滑坡、崩塌、泥石流、溶洞等不良地质现象存在。根据现有工程资料，建设场地适宜性评估分级为适宜。</w:t>
            </w:r>
          </w:p>
        </w:tc>
      </w:tr>
      <w:tr w14:paraId="15B67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032B39CB">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162" w:type="dxa"/>
            <w:vAlign w:val="center"/>
          </w:tcPr>
          <w:p w14:paraId="1A1D5B96">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不宜位于有开采价值的矿床上面。</w:t>
            </w:r>
          </w:p>
        </w:tc>
        <w:tc>
          <w:tcPr>
            <w:tcW w:w="2085" w:type="dxa"/>
            <w:vAlign w:val="center"/>
          </w:tcPr>
          <w:p w14:paraId="68AC4B3C">
            <w:pPr>
              <w:autoSpaceDE w:val="0"/>
              <w:autoSpaceDN w:val="0"/>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不宜位于有开采价值的矿床上面。</w:t>
            </w:r>
          </w:p>
        </w:tc>
        <w:tc>
          <w:tcPr>
            <w:tcW w:w="2085" w:type="dxa"/>
            <w:vAlign w:val="center"/>
          </w:tcPr>
          <w:p w14:paraId="63B27045">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0" w:type="dxa"/>
            <w:vAlign w:val="center"/>
          </w:tcPr>
          <w:p w14:paraId="277BBB04">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项目区无压覆矿。</w:t>
            </w:r>
          </w:p>
        </w:tc>
      </w:tr>
      <w:tr w14:paraId="1E66C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6FDC58F7">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162" w:type="dxa"/>
            <w:vAlign w:val="center"/>
          </w:tcPr>
          <w:p w14:paraId="7936D3E1">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汇水面积小，有足够的库容和初、终期库长。</w:t>
            </w:r>
          </w:p>
        </w:tc>
        <w:tc>
          <w:tcPr>
            <w:tcW w:w="2085" w:type="dxa"/>
            <w:vAlign w:val="center"/>
          </w:tcPr>
          <w:p w14:paraId="1757384E">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汇水面积小，有足够的库容和初、终期库长。</w:t>
            </w:r>
          </w:p>
        </w:tc>
        <w:tc>
          <w:tcPr>
            <w:tcW w:w="2085" w:type="dxa"/>
            <w:vAlign w:val="center"/>
          </w:tcPr>
          <w:p w14:paraId="4C01BC5F">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0" w:type="dxa"/>
            <w:vAlign w:val="center"/>
          </w:tcPr>
          <w:p w14:paraId="3569EC6D">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汇水面积不大，库容能满足选矿厂尾矿排放量。</w:t>
            </w:r>
          </w:p>
        </w:tc>
      </w:tr>
      <w:tr w14:paraId="73550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35621577">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162" w:type="dxa"/>
            <w:vAlign w:val="center"/>
          </w:tcPr>
          <w:p w14:paraId="3BB62EB1">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不宜位于大居民区及厂区最大频率风向的上风侧。</w:t>
            </w:r>
          </w:p>
        </w:tc>
        <w:tc>
          <w:tcPr>
            <w:tcW w:w="2085" w:type="dxa"/>
            <w:vAlign w:val="center"/>
          </w:tcPr>
          <w:p w14:paraId="5986751C">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5" w:type="dxa"/>
            <w:vAlign w:val="center"/>
          </w:tcPr>
          <w:p w14:paraId="5BE27725">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0" w:type="dxa"/>
            <w:vAlign w:val="center"/>
          </w:tcPr>
          <w:p w14:paraId="14564718">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项目区周边</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km范围内无大型居民区；本项目办公生活区距尾矿库较远，约</w:t>
            </w:r>
            <w:r>
              <w:rPr>
                <w:rFonts w:hint="default" w:ascii="Times New Roman" w:hAnsi="Times New Roman" w:cs="Times New Roman"/>
                <w:color w:val="auto"/>
                <w:sz w:val="21"/>
                <w:szCs w:val="21"/>
                <w:highlight w:val="none"/>
                <w:lang w:val="en-US" w:eastAsia="zh-CN"/>
              </w:rPr>
              <w:t>1.12k</w:t>
            </w:r>
            <w:r>
              <w:rPr>
                <w:rFonts w:hint="default" w:ascii="Times New Roman" w:hAnsi="Times New Roman" w:cs="Times New Roman"/>
                <w:color w:val="auto"/>
                <w:sz w:val="21"/>
                <w:szCs w:val="21"/>
                <w:highlight w:val="none"/>
              </w:rPr>
              <w:t>m，尾矿库位于办公生活区主导风向的侧风向。</w:t>
            </w:r>
          </w:p>
        </w:tc>
      </w:tr>
      <w:tr w14:paraId="78B11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654D0B14">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162" w:type="dxa"/>
            <w:vAlign w:val="center"/>
          </w:tcPr>
          <w:p w14:paraId="503A31B1">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筑坝工程最小，生产管理方便。</w:t>
            </w:r>
          </w:p>
        </w:tc>
        <w:tc>
          <w:tcPr>
            <w:tcW w:w="2085" w:type="dxa"/>
            <w:vAlign w:val="center"/>
          </w:tcPr>
          <w:p w14:paraId="393DA2BD">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5" w:type="dxa"/>
            <w:vAlign w:val="center"/>
          </w:tcPr>
          <w:p w14:paraId="283F9C13">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0" w:type="dxa"/>
            <w:vAlign w:val="center"/>
          </w:tcPr>
          <w:p w14:paraId="4E4426E1">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筑坝工程量小，距离选厂较近，生产管理较为方便。</w:t>
            </w:r>
          </w:p>
        </w:tc>
      </w:tr>
      <w:tr w14:paraId="22AAB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2A33CEB9">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162" w:type="dxa"/>
            <w:vAlign w:val="center"/>
          </w:tcPr>
          <w:p w14:paraId="426C85A8">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不迁或少迁村庄。</w:t>
            </w:r>
          </w:p>
        </w:tc>
        <w:tc>
          <w:tcPr>
            <w:tcW w:w="2085" w:type="dxa"/>
            <w:vAlign w:val="center"/>
          </w:tcPr>
          <w:p w14:paraId="775F3D84">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5" w:type="dxa"/>
            <w:vAlign w:val="center"/>
          </w:tcPr>
          <w:p w14:paraId="5E240FDE">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0" w:type="dxa"/>
            <w:vAlign w:val="center"/>
          </w:tcPr>
          <w:p w14:paraId="65FD5D9A">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不涉及村庄拆迁。</w:t>
            </w:r>
          </w:p>
        </w:tc>
      </w:tr>
      <w:tr w14:paraId="2C0E3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67C4EB69">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162" w:type="dxa"/>
            <w:vAlign w:val="center"/>
          </w:tcPr>
          <w:p w14:paraId="5FD55EE6">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尾矿输送距离短，能自流或扬尘小。</w:t>
            </w:r>
          </w:p>
        </w:tc>
        <w:tc>
          <w:tcPr>
            <w:tcW w:w="2085" w:type="dxa"/>
            <w:vAlign w:val="center"/>
          </w:tcPr>
          <w:p w14:paraId="467278B4">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5" w:type="dxa"/>
            <w:vAlign w:val="center"/>
          </w:tcPr>
          <w:p w14:paraId="7035269F">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0" w:type="dxa"/>
            <w:vAlign w:val="center"/>
          </w:tcPr>
          <w:p w14:paraId="0DE8CB82">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尾矿输送距离适宜，扬程较小。</w:t>
            </w:r>
          </w:p>
        </w:tc>
      </w:tr>
      <w:tr w14:paraId="590CCE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6047E260">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162" w:type="dxa"/>
            <w:vAlign w:val="center"/>
          </w:tcPr>
          <w:p w14:paraId="05855AA6">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5" w:type="dxa"/>
            <w:vAlign w:val="center"/>
          </w:tcPr>
          <w:p w14:paraId="41DEBA38">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5" w:type="dxa"/>
            <w:vAlign w:val="center"/>
          </w:tcPr>
          <w:p w14:paraId="04FAF1C6">
            <w:pPr>
              <w:overflowPunct w:val="0"/>
              <w:topLinePunct/>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贮存场、填埋场不得选在江河、湖泊、运河、渠道、水库最高水位线以下的滩地和岸坡，以及国家和地方长远规划中的水库等人工蓄水设施的淹没区和保护区之内。</w:t>
            </w:r>
          </w:p>
        </w:tc>
        <w:tc>
          <w:tcPr>
            <w:tcW w:w="2350" w:type="dxa"/>
            <w:vAlign w:val="center"/>
          </w:tcPr>
          <w:p w14:paraId="7765825E">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项目区</w:t>
            </w:r>
            <w:r>
              <w:rPr>
                <w:rFonts w:hint="default" w:ascii="Times New Roman" w:hAnsi="Times New Roman" w:cs="Times New Roman"/>
                <w:color w:val="auto"/>
                <w:sz w:val="21"/>
                <w:szCs w:val="21"/>
                <w:highlight w:val="none"/>
                <w:lang w:val="en-US" w:eastAsia="zh-CN"/>
              </w:rPr>
              <w:t>不</w:t>
            </w:r>
            <w:r>
              <w:rPr>
                <w:rFonts w:hint="default" w:ascii="Times New Roman" w:hAnsi="Times New Roman" w:cs="Times New Roman"/>
                <w:color w:val="auto"/>
                <w:sz w:val="21"/>
                <w:szCs w:val="21"/>
                <w:highlight w:val="none"/>
              </w:rPr>
              <w:t>在江河、湖泊、运河、渠道、水库最高水位线以下的滩地和岸坡，以及国家和地方长远规划中的水库等人工蓄水设施的淹没区和保护区之内。</w:t>
            </w:r>
            <w:r>
              <w:rPr>
                <w:rFonts w:hint="default" w:ascii="Times New Roman" w:hAnsi="Times New Roman" w:cs="Times New Roman"/>
                <w:color w:val="auto"/>
                <w:sz w:val="21"/>
                <w:szCs w:val="21"/>
                <w:highlight w:val="none"/>
                <w:lang w:val="en-US" w:eastAsia="zh-CN"/>
              </w:rPr>
              <w:t>距离最近的地表水体约1.02km。</w:t>
            </w:r>
          </w:p>
        </w:tc>
      </w:tr>
    </w:tbl>
    <w:p w14:paraId="6078A6D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由上述分析可以看出，本工程尾矿库选址符合相关规范、标准的要求，选址合理。</w:t>
      </w:r>
    </w:p>
    <w:p w14:paraId="3692CA0F">
      <w:pPr>
        <w:pStyle w:val="3"/>
        <w:spacing w:line="560" w:lineRule="atLeast"/>
        <w:rPr>
          <w:rFonts w:hint="default" w:ascii="Times New Roman" w:hAnsi="Times New Roman" w:cs="Times New Roman"/>
          <w:color w:val="auto"/>
          <w:highlight w:val="none"/>
        </w:rPr>
      </w:pPr>
      <w:bookmarkStart w:id="380" w:name="_Toc107413888"/>
      <w:bookmarkStart w:id="381" w:name="_Toc107414655"/>
      <w:bookmarkStart w:id="382" w:name="_Toc13594"/>
      <w:bookmarkStart w:id="383" w:name="_Toc25769"/>
      <w:bookmarkStart w:id="384" w:name="_Toc14202"/>
      <w:bookmarkStart w:id="385" w:name="_Toc18572"/>
      <w:bookmarkStart w:id="386" w:name="_Toc407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工程分析</w:t>
      </w:r>
      <w:bookmarkEnd w:id="380"/>
      <w:bookmarkEnd w:id="381"/>
      <w:bookmarkEnd w:id="382"/>
      <w:bookmarkEnd w:id="383"/>
      <w:bookmarkEnd w:id="384"/>
      <w:bookmarkEnd w:id="385"/>
      <w:bookmarkEnd w:id="386"/>
    </w:p>
    <w:p w14:paraId="5CEA0CB4">
      <w:pPr>
        <w:pStyle w:val="4"/>
        <w:rPr>
          <w:rFonts w:hint="default" w:ascii="Times New Roman" w:hAnsi="Times New Roman" w:cs="Times New Roman"/>
          <w:color w:val="auto"/>
          <w:highlight w:val="none"/>
        </w:rPr>
      </w:pPr>
      <w:bookmarkStart w:id="387" w:name="_Toc3646"/>
      <w:bookmarkStart w:id="388" w:name="_Toc6523"/>
      <w:bookmarkStart w:id="389" w:name="_Toc3942"/>
      <w:bookmarkStart w:id="390" w:name="_Toc31159"/>
      <w:bookmarkStart w:id="391" w:name="_Toc25255"/>
      <w:bookmarkStart w:id="392" w:name="_Toc31055"/>
      <w:bookmarkStart w:id="393" w:name="_Toc26227"/>
      <w:bookmarkStart w:id="394" w:name="_Toc12441"/>
      <w:bookmarkStart w:id="395" w:name="_Toc18585"/>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.1工艺流程</w:t>
      </w:r>
      <w:bookmarkEnd w:id="387"/>
      <w:bookmarkEnd w:id="388"/>
      <w:bookmarkEnd w:id="389"/>
      <w:bookmarkEnd w:id="390"/>
      <w:bookmarkEnd w:id="391"/>
      <w:bookmarkEnd w:id="392"/>
      <w:bookmarkEnd w:id="393"/>
      <w:bookmarkEnd w:id="394"/>
      <w:bookmarkEnd w:id="395"/>
    </w:p>
    <w:p w14:paraId="1E541295">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.1.1施工期工艺流程及产污环节</w:t>
      </w:r>
    </w:p>
    <w:p w14:paraId="3E786F23">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本项目施工期主要为场地平整，生产线建设、设备安装等工序。其工艺流程及产污节点见图3.</w:t>
      </w:r>
      <w:r>
        <w:rPr>
          <w:rFonts w:hint="default"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rPr>
        <w:t>-1。</w:t>
      </w:r>
    </w:p>
    <w:p w14:paraId="3F9009D3">
      <w:pPr>
        <w:pStyle w:val="5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g">
            <w:drawing>
              <wp:inline distT="0" distB="0" distL="114300" distR="114300">
                <wp:extent cx="4895215" cy="849630"/>
                <wp:effectExtent l="5080" t="6350" r="14605" b="20320"/>
                <wp:docPr id="55" name="组合 55"/>
                <wp:cNvGraphicFramePr/>
                <a:graphic xmlns:a="http://schemas.openxmlformats.org/drawingml/2006/main">
                  <a:graphicData uri="http://schemas.microsoft.com/office/word/2010/wordprocessingGroup">
                    <wpg:wgp>
                      <wpg:cNvGrpSpPr/>
                      <wpg:grpSpPr>
                        <a:xfrm>
                          <a:off x="0" y="0"/>
                          <a:ext cx="4895215" cy="849630"/>
                          <a:chOff x="2632" y="418869"/>
                          <a:chExt cx="7588" cy="1367"/>
                        </a:xfrm>
                        <a:effectLst/>
                      </wpg:grpSpPr>
                      <wps:wsp>
                        <wps:cNvPr id="42" name="直接连接符 42"/>
                        <wps:cNvCnPr>
                          <a:stCxn id="44" idx="0"/>
                        </wps:cNvCnPr>
                        <wps:spPr>
                          <a:xfrm flipV="1">
                            <a:off x="7673" y="419591"/>
                            <a:ext cx="8" cy="221"/>
                          </a:xfrm>
                          <a:prstGeom prst="line">
                            <a:avLst/>
                          </a:prstGeom>
                          <a:ln w="12700" cap="flat" cmpd="sng">
                            <a:solidFill>
                              <a:srgbClr val="000000"/>
                            </a:solidFill>
                            <a:prstDash val="dash"/>
                            <a:headEnd type="none" w="med" len="med"/>
                            <a:tailEnd type="none" w="med" len="med"/>
                          </a:ln>
                          <a:effectLst/>
                        </wps:spPr>
                        <wps:bodyPr upright="1"/>
                      </wps:wsp>
                      <wpg:grpSp>
                        <wpg:cNvPr id="54" name="组合 54"/>
                        <wpg:cNvGrpSpPr/>
                        <wpg:grpSpPr>
                          <a:xfrm>
                            <a:off x="2632" y="418869"/>
                            <a:ext cx="7588" cy="1367"/>
                            <a:chOff x="2632" y="418869"/>
                            <a:chExt cx="7588" cy="1367"/>
                          </a:xfrm>
                          <a:effectLst/>
                        </wpg:grpSpPr>
                        <wps:wsp>
                          <wps:cNvPr id="43" name="直接连接符 43"/>
                          <wps:cNvCnPr/>
                          <wps:spPr>
                            <a:xfrm>
                              <a:off x="6436" y="420001"/>
                              <a:ext cx="615" cy="1"/>
                            </a:xfrm>
                            <a:prstGeom prst="line">
                              <a:avLst/>
                            </a:prstGeom>
                            <a:ln w="12700" cap="flat" cmpd="sng">
                              <a:solidFill>
                                <a:srgbClr val="000000"/>
                              </a:solidFill>
                              <a:prstDash val="solid"/>
                              <a:headEnd type="none" w="med" len="med"/>
                              <a:tailEnd type="arrow" w="lg" len="lg"/>
                            </a:ln>
                            <a:effectLst/>
                          </wps:spPr>
                          <wps:bodyPr upright="1"/>
                        </wps:wsp>
                        <wps:wsp>
                          <wps:cNvPr id="44" name="文本框 44"/>
                          <wps:cNvSpPr txBox="1"/>
                          <wps:spPr>
                            <a:xfrm>
                              <a:off x="7096" y="419812"/>
                              <a:ext cx="1153" cy="3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9ECF03">
                                <w:pPr>
                                  <w:spacing w:line="240" w:lineRule="exact"/>
                                  <w:ind w:firstLine="0" w:firstLineChars="0"/>
                                  <w:jc w:val="center"/>
                                  <w:rPr>
                                    <w:rFonts w:hint="eastAsia"/>
                                  </w:rPr>
                                </w:pPr>
                                <w:r>
                                  <w:rPr>
                                    <w:rFonts w:hint="eastAsia"/>
                                    <w:sz w:val="21"/>
                                  </w:rPr>
                                  <w:t>设备安装</w:t>
                                </w:r>
                              </w:p>
                            </w:txbxContent>
                          </wps:txbx>
                          <wps:bodyPr upright="1"/>
                        </wps:wsp>
                        <wps:wsp>
                          <wps:cNvPr id="45" name="直接连接符 45"/>
                          <wps:cNvCnPr/>
                          <wps:spPr>
                            <a:xfrm>
                              <a:off x="8310" y="419979"/>
                              <a:ext cx="615" cy="1"/>
                            </a:xfrm>
                            <a:prstGeom prst="line">
                              <a:avLst/>
                            </a:prstGeom>
                            <a:ln w="12700" cap="flat" cmpd="sng">
                              <a:solidFill>
                                <a:srgbClr val="000000"/>
                              </a:solidFill>
                              <a:prstDash val="solid"/>
                              <a:headEnd type="none" w="med" len="med"/>
                              <a:tailEnd type="arrow" w="lg" len="lg"/>
                            </a:ln>
                            <a:effectLst/>
                          </wps:spPr>
                          <wps:bodyPr upright="1"/>
                        </wps:wsp>
                        <wps:wsp>
                          <wps:cNvPr id="46" name="文本框 46"/>
                          <wps:cNvSpPr txBox="1"/>
                          <wps:spPr>
                            <a:xfrm>
                              <a:off x="8971" y="419788"/>
                              <a:ext cx="1249" cy="4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7D1F33">
                                <w:pPr>
                                  <w:spacing w:line="240" w:lineRule="exact"/>
                                  <w:ind w:firstLine="0" w:firstLineChars="0"/>
                                  <w:jc w:val="center"/>
                                  <w:rPr>
                                    <w:rFonts w:hint="eastAsia"/>
                                  </w:rPr>
                                </w:pPr>
                                <w:r>
                                  <w:rPr>
                                    <w:rFonts w:hint="eastAsia"/>
                                    <w:sz w:val="21"/>
                                  </w:rPr>
                                  <w:t>工程验收</w:t>
                                </w:r>
                              </w:p>
                            </w:txbxContent>
                          </wps:txbx>
                          <wps:bodyPr upright="1"/>
                        </wps:wsp>
                        <wps:wsp>
                          <wps:cNvPr id="47" name="直接连接符 47"/>
                          <wps:cNvCnPr/>
                          <wps:spPr>
                            <a:xfrm flipH="1" flipV="1">
                              <a:off x="3366" y="419571"/>
                              <a:ext cx="5" cy="227"/>
                            </a:xfrm>
                            <a:prstGeom prst="line">
                              <a:avLst/>
                            </a:prstGeom>
                            <a:ln w="12700" cap="flat" cmpd="sng">
                              <a:solidFill>
                                <a:srgbClr val="000000"/>
                              </a:solidFill>
                              <a:prstDash val="dash"/>
                              <a:headEnd type="none" w="med" len="med"/>
                              <a:tailEnd type="none" w="med" len="med"/>
                            </a:ln>
                            <a:effectLst/>
                          </wps:spPr>
                          <wps:bodyPr upright="1"/>
                        </wps:wsp>
                        <wps:wsp>
                          <wps:cNvPr id="48" name="文本框 48"/>
                          <wps:cNvSpPr txBox="1"/>
                          <wps:spPr>
                            <a:xfrm>
                              <a:off x="4043" y="418869"/>
                              <a:ext cx="3148" cy="412"/>
                            </a:xfrm>
                            <a:prstGeom prst="rect">
                              <a:avLst/>
                            </a:prstGeom>
                            <a:solidFill>
                              <a:srgbClr val="FFFFFF"/>
                            </a:solidFill>
                            <a:ln w="12700" cap="flat" cmpd="sng">
                              <a:solidFill>
                                <a:srgbClr val="000000"/>
                              </a:solidFill>
                              <a:prstDash val="lgDash"/>
                              <a:miter/>
                              <a:headEnd type="none" w="med" len="med"/>
                              <a:tailEnd type="none" w="med" len="med"/>
                            </a:ln>
                            <a:effectLst/>
                          </wps:spPr>
                          <wps:txbx>
                            <w:txbxContent>
                              <w:p w14:paraId="4923260B">
                                <w:pPr>
                                  <w:spacing w:line="240" w:lineRule="exact"/>
                                  <w:ind w:firstLine="0" w:firstLineChars="0"/>
                                  <w:jc w:val="center"/>
                                  <w:rPr>
                                    <w:rFonts w:hint="eastAsia"/>
                                  </w:rPr>
                                </w:pPr>
                                <w:r>
                                  <w:rPr>
                                    <w:rFonts w:hint="eastAsia"/>
                                    <w:sz w:val="21"/>
                                  </w:rPr>
                                  <w:t>废气、废水、固废、噪声</w:t>
                                </w:r>
                              </w:p>
                            </w:txbxContent>
                          </wps:txbx>
                          <wps:bodyPr upright="1"/>
                        </wps:wsp>
                        <wps:wsp>
                          <wps:cNvPr id="49" name="直接连接符 49"/>
                          <wps:cNvCnPr/>
                          <wps:spPr>
                            <a:xfrm>
                              <a:off x="3376" y="419546"/>
                              <a:ext cx="4303" cy="16"/>
                            </a:xfrm>
                            <a:prstGeom prst="line">
                              <a:avLst/>
                            </a:prstGeom>
                            <a:ln w="12700" cap="flat" cmpd="sng">
                              <a:solidFill>
                                <a:srgbClr val="000000"/>
                              </a:solidFill>
                              <a:prstDash val="lgDash"/>
                              <a:headEnd type="none" w="med" len="med"/>
                              <a:tailEnd type="none" w="med" len="med"/>
                            </a:ln>
                            <a:effectLst/>
                          </wps:spPr>
                          <wps:bodyPr upright="1"/>
                        </wps:wsp>
                        <wps:wsp>
                          <wps:cNvPr id="50" name="直接连接符 50"/>
                          <wps:cNvCnPr/>
                          <wps:spPr>
                            <a:xfrm flipH="1" flipV="1">
                              <a:off x="5566" y="419276"/>
                              <a:ext cx="4" cy="567"/>
                            </a:xfrm>
                            <a:prstGeom prst="line">
                              <a:avLst/>
                            </a:prstGeom>
                            <a:ln w="12700" cap="flat" cmpd="sng">
                              <a:solidFill>
                                <a:srgbClr val="000000"/>
                              </a:solidFill>
                              <a:prstDash val="solid"/>
                              <a:headEnd type="none" w="med" len="med"/>
                              <a:tailEnd type="arrow" w="lg" len="lg"/>
                            </a:ln>
                            <a:effectLst/>
                          </wps:spPr>
                          <wps:bodyPr upright="1"/>
                        </wps:wsp>
                        <wps:wsp>
                          <wps:cNvPr id="51" name="文本框 51"/>
                          <wps:cNvSpPr txBox="1"/>
                          <wps:spPr>
                            <a:xfrm>
                              <a:off x="2632" y="419809"/>
                              <a:ext cx="1581" cy="4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A9329B">
                                <w:pPr>
                                  <w:spacing w:line="240" w:lineRule="exact"/>
                                  <w:ind w:firstLine="0" w:firstLineChars="0"/>
                                  <w:jc w:val="left"/>
                                  <w:rPr>
                                    <w:rFonts w:hint="eastAsia"/>
                                  </w:rPr>
                                </w:pPr>
                                <w:r>
                                  <w:rPr>
                                    <w:rFonts w:hint="eastAsia"/>
                                    <w:sz w:val="21"/>
                                  </w:rPr>
                                  <w:t>工业场地平整</w:t>
                                </w:r>
                              </w:p>
                            </w:txbxContent>
                          </wps:txbx>
                          <wps:bodyPr upright="1"/>
                        </wps:wsp>
                        <wps:wsp>
                          <wps:cNvPr id="52" name="直接连接符 52"/>
                          <wps:cNvCnPr/>
                          <wps:spPr>
                            <a:xfrm>
                              <a:off x="4229" y="419993"/>
                              <a:ext cx="615" cy="1"/>
                            </a:xfrm>
                            <a:prstGeom prst="line">
                              <a:avLst/>
                            </a:prstGeom>
                            <a:ln w="12700" cap="flat" cmpd="sng">
                              <a:solidFill>
                                <a:srgbClr val="000000"/>
                              </a:solidFill>
                              <a:prstDash val="solid"/>
                              <a:headEnd type="none" w="med" len="med"/>
                              <a:tailEnd type="arrow" w="lg" len="lg"/>
                            </a:ln>
                            <a:effectLst/>
                          </wps:spPr>
                          <wps:bodyPr upright="1"/>
                        </wps:wsp>
                        <wps:wsp>
                          <wps:cNvPr id="53" name="文本框 53"/>
                          <wps:cNvSpPr txBox="1"/>
                          <wps:spPr>
                            <a:xfrm>
                              <a:off x="4843" y="419811"/>
                              <a:ext cx="1550" cy="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F8012D">
                                <w:pPr>
                                  <w:spacing w:line="240" w:lineRule="exact"/>
                                  <w:ind w:firstLine="0" w:firstLineChars="0"/>
                                  <w:jc w:val="center"/>
                                  <w:rPr>
                                    <w:rFonts w:hint="eastAsia"/>
                                    <w:sz w:val="21"/>
                                  </w:rPr>
                                </w:pPr>
                                <w:r>
                                  <w:rPr>
                                    <w:rFonts w:hint="eastAsia"/>
                                    <w:sz w:val="21"/>
                                  </w:rPr>
                                  <w:t>基础工程施工</w:t>
                                </w:r>
                              </w:p>
                            </w:txbxContent>
                          </wps:txbx>
                          <wps:bodyPr upright="1"/>
                        </wps:wsp>
                      </wpg:grpSp>
                    </wpg:wgp>
                  </a:graphicData>
                </a:graphic>
              </wp:inline>
            </w:drawing>
          </mc:Choice>
          <mc:Fallback>
            <w:pict>
              <v:group id="_x0000_s1026" o:spid="_x0000_s1026" o:spt="203" style="height:66.9pt;width:385.45pt;" coordorigin="2632,418869" coordsize="7588,1367" o:gfxdata="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CcUSM51gAAAAUBAAAP&#10;AAAAAAAAAAEAIAAAACIAAABkcnMvZG93bnJldi54bWxQSwECFAAUAAAACACHTuJAonTX4v8EAACQ&#10;HwAADgAAAAAAAAABACAAAAAlAQAAZHJzL2Uyb0RvYy54bWxQSwUGAAAAAAYABgBZAQAAlggAAAAA&#10;">
                <o:lock v:ext="edit" aspectratio="f"/>
                <v:line id="_x0000_s1026" o:spid="_x0000_s1026" o:spt="20" style="position:absolute;left:7673;top:419591;flip:y;height:221;width:8;" filled="f" stroked="t" coordsize="21600,21600" o:gfxdata="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6KBvQAA&#10;ANsAAAAPAAAAAAAAAAEAIAAAACIAAABkcnMvZG93bnJldi54bWxQSwECFAAUAAAACACHTuJAMy8F&#10;njsAAAA5AAAAEAAAAAAAAAABACAAAAAMAQAAZHJzL3NoYXBleG1sLnhtbFBLBQYAAAAABgAGAFsB&#10;AAC2AwAAAAA=&#10;">
                  <v:fill on="f" focussize="0,0"/>
                  <v:stroke weight="1pt" color="#000000" joinstyle="round" dashstyle="dash"/>
                  <v:imagedata o:title=""/>
                  <o:lock v:ext="edit" aspectratio="f"/>
                </v:line>
                <v:group id="_x0000_s1026" o:spid="_x0000_s1026" o:spt="203" style="position:absolute;left:2632;top:418869;height:1367;width:7588;" coordorigin="2632,418869" coordsize="7588,1367"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6436;top:420001;height:1;width:615;" filled="f" stroked="t" coordsize="21600,21600" o:gfxdata="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6/c74A&#10;AADbAAAADwAAAAAAAAABACAAAAAiAAAAZHJzL2Rvd25yZXYueG1sUEsBAhQAFAAAAAgAh07iQDMv&#10;BZ47AAAAOQAAABAAAAAAAAAAAQAgAAAADQEAAGRycy9zaGFwZXhtbC54bWxQSwUGAAAAAAYABgBb&#10;AQAAtwMAAAAA&#10;">
                    <v:fill on="f" focussize="0,0"/>
                    <v:stroke weight="1pt" color="#000000" joinstyle="round" endarrow="open" endarrowwidth="wide" endarrowlength="long"/>
                    <v:imagedata o:title=""/>
                    <o:lock v:ext="edit" aspectratio="f"/>
                  </v:line>
                  <v:shape id="_x0000_s1026" o:spid="_x0000_s1026" o:spt="202" type="#_x0000_t202" style="position:absolute;left:7096;top:419812;height:399;width:1153;"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49ECF03">
                          <w:pPr>
                            <w:spacing w:line="240" w:lineRule="exact"/>
                            <w:ind w:firstLine="0" w:firstLineChars="0"/>
                            <w:jc w:val="center"/>
                            <w:rPr>
                              <w:rFonts w:hint="eastAsia"/>
                            </w:rPr>
                          </w:pPr>
                          <w:r>
                            <w:rPr>
                              <w:rFonts w:hint="eastAsia"/>
                              <w:sz w:val="21"/>
                            </w:rPr>
                            <w:t>设备安装</w:t>
                          </w:r>
                        </w:p>
                      </w:txbxContent>
                    </v:textbox>
                  </v:shape>
                  <v:line id="_x0000_s1026" o:spid="_x0000_s1026" o:spt="20" style="position:absolute;left:8310;top:419979;height:1;width:615;" filled="f" stroked="t" coordsize="21600,21600" o:gfxdata="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4KcvQAA&#10;ANsAAAAPAAAAAAAAAAEAIAAAACIAAABkcnMvZG93bnJldi54bWxQSwECFAAUAAAACACHTuJAMy8F&#10;njsAAAA5AAAAEAAAAAAAAAABACAAAAAMAQAAZHJzL3NoYXBleG1sLnhtbFBLBQYAAAAABgAGAFsB&#10;AAC2AwAAAAA=&#10;">
                    <v:fill on="f" focussize="0,0"/>
                    <v:stroke weight="1pt" color="#000000" joinstyle="round" endarrow="open" endarrowwidth="wide" endarrowlength="long"/>
                    <v:imagedata o:title=""/>
                    <o:lock v:ext="edit" aspectratio="f"/>
                  </v:line>
                  <v:shape id="_x0000_s1026" o:spid="_x0000_s1026" o:spt="202" type="#_x0000_t202" style="position:absolute;left:8971;top:419788;height:419;width:1249;"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7D1F33">
                          <w:pPr>
                            <w:spacing w:line="240" w:lineRule="exact"/>
                            <w:ind w:firstLine="0" w:firstLineChars="0"/>
                            <w:jc w:val="center"/>
                            <w:rPr>
                              <w:rFonts w:hint="eastAsia"/>
                            </w:rPr>
                          </w:pPr>
                          <w:r>
                            <w:rPr>
                              <w:rFonts w:hint="eastAsia"/>
                              <w:sz w:val="21"/>
                            </w:rPr>
                            <w:t>工程验收</w:t>
                          </w:r>
                        </w:p>
                      </w:txbxContent>
                    </v:textbox>
                  </v:shape>
                  <v:line id="_x0000_s1026" o:spid="_x0000_s1026" o:spt="20" style="position:absolute;left:3366;top:419571;flip:x y;height:227;width:5;" filled="f" stroked="t" coordsize="21600,21600" o:gfxdata="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e8D74A&#10;AADb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shape id="_x0000_s1026" o:spid="_x0000_s1026" o:spt="202" type="#_x0000_t202" style="position:absolute;left:4043;top:418869;height:412;width:3148;" fillcolor="#FFFFFF" filled="t" stroked="t" coordsize="21600,21600" o:gfxdata="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LmZb7gAAADbAAAA&#10;DwAAAAAAAAABACAAAAAiAAAAZHJzL2Rvd25yZXYueG1sUEsBAhQAFAAAAAgAh07iQDMvBZ47AAAA&#10;OQAAABAAAAAAAAAAAQAgAAAABwEAAGRycy9zaGFwZXhtbC54bWxQSwUGAAAAAAYABgBbAQAAsQMA&#10;AAAA&#10;">
                    <v:fill on="t" focussize="0,0"/>
                    <v:stroke weight="1pt" color="#000000" joinstyle="miter" dashstyle="longDash"/>
                    <v:imagedata o:title=""/>
                    <o:lock v:ext="edit" aspectratio="f"/>
                    <v:textbox>
                      <w:txbxContent>
                        <w:p w14:paraId="4923260B">
                          <w:pPr>
                            <w:spacing w:line="240" w:lineRule="exact"/>
                            <w:ind w:firstLine="0" w:firstLineChars="0"/>
                            <w:jc w:val="center"/>
                            <w:rPr>
                              <w:rFonts w:hint="eastAsia"/>
                            </w:rPr>
                          </w:pPr>
                          <w:r>
                            <w:rPr>
                              <w:rFonts w:hint="eastAsia"/>
                              <w:sz w:val="21"/>
                            </w:rPr>
                            <w:t>废气、废水、固废、噪声</w:t>
                          </w:r>
                        </w:p>
                      </w:txbxContent>
                    </v:textbox>
                  </v:shape>
                  <v:line id="_x0000_s1026" o:spid="_x0000_s1026" o:spt="20" style="position:absolute;left:3376;top:419546;height:16;width:4303;" filled="f" stroked="t" coordsize="21600,21600" o:gfxdata="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7Wx74A&#10;AADbAAAADwAAAAAAAAABACAAAAAiAAAAZHJzL2Rvd25yZXYueG1sUEsBAhQAFAAAAAgAh07iQDMv&#10;BZ47AAAAOQAAABAAAAAAAAAAAQAgAAAADQEAAGRycy9zaGFwZXhtbC54bWxQSwUGAAAAAAYABgBb&#10;AQAAtwMAAAAA&#10;">
                    <v:fill on="f" focussize="0,0"/>
                    <v:stroke weight="1pt" color="#000000" joinstyle="round" dashstyle="longDash"/>
                    <v:imagedata o:title=""/>
                    <o:lock v:ext="edit" aspectratio="f"/>
                  </v:line>
                  <v:line id="_x0000_s1026" o:spid="_x0000_s1026" o:spt="20" style="position:absolute;left:5566;top:419276;flip:x y;height:567;width:4;" filled="f" stroked="t" coordsize="21600,21600" o:gfxdata="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Ek9JugAAANsA&#10;AAAPAAAAAAAAAAEAIAAAACIAAABkcnMvZG93bnJldi54bWxQSwECFAAUAAAACACHTuJAMy8FnjsA&#10;AAA5AAAAEAAAAAAAAAABACAAAAAJAQAAZHJzL3NoYXBleG1sLnhtbFBLBQYAAAAABgAGAFsBAACz&#10;AwAAAAA=&#10;">
                    <v:fill on="f" focussize="0,0"/>
                    <v:stroke weight="1pt" color="#000000" joinstyle="round" endarrow="open" endarrowwidth="wide" endarrowlength="long"/>
                    <v:imagedata o:title=""/>
                    <o:lock v:ext="edit" aspectratio="f"/>
                  </v:line>
                  <v:shape id="_x0000_s1026" o:spid="_x0000_s1026" o:spt="202" type="#_x0000_t202" style="position:absolute;left:2632;top:419809;height:427;width:1581;"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6A9329B">
                          <w:pPr>
                            <w:spacing w:line="240" w:lineRule="exact"/>
                            <w:ind w:firstLine="0" w:firstLineChars="0"/>
                            <w:jc w:val="left"/>
                            <w:rPr>
                              <w:rFonts w:hint="eastAsia"/>
                            </w:rPr>
                          </w:pPr>
                          <w:r>
                            <w:rPr>
                              <w:rFonts w:hint="eastAsia"/>
                              <w:sz w:val="21"/>
                            </w:rPr>
                            <w:t>工业场地平整</w:t>
                          </w:r>
                        </w:p>
                      </w:txbxContent>
                    </v:textbox>
                  </v:shape>
                  <v:line id="_x0000_s1026" o:spid="_x0000_s1026" o:spt="20" style="position:absolute;left:4229;top:419993;height:1;width:615;" filled="f" stroked="t" coordsize="21600,21600" o:gfxdata="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bjDW8AAAA&#10;2wAAAA8AAAAAAAAAAQAgAAAAIgAAAGRycy9kb3ducmV2LnhtbFBLAQIUABQAAAAIAIdO4kAzLwWe&#10;OwAAADkAAAAQAAAAAAAAAAEAIAAAAAsBAABkcnMvc2hhcGV4bWwueG1sUEsFBgAAAAAGAAYAWwEA&#10;ALUDAAAAAA==&#10;">
                    <v:fill on="f" focussize="0,0"/>
                    <v:stroke weight="1pt" color="#000000" joinstyle="round" endarrow="open" endarrowwidth="wide" endarrowlength="long"/>
                    <v:imagedata o:title=""/>
                    <o:lock v:ext="edit" aspectratio="f"/>
                  </v:line>
                  <v:shape id="_x0000_s1026" o:spid="_x0000_s1026" o:spt="202" type="#_x0000_t202" style="position:absolute;left:4843;top:419811;height:400;width:1550;"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0F8012D">
                          <w:pPr>
                            <w:spacing w:line="240" w:lineRule="exact"/>
                            <w:ind w:firstLine="0" w:firstLineChars="0"/>
                            <w:jc w:val="center"/>
                            <w:rPr>
                              <w:rFonts w:hint="eastAsia"/>
                              <w:sz w:val="21"/>
                            </w:rPr>
                          </w:pPr>
                          <w:r>
                            <w:rPr>
                              <w:rFonts w:hint="eastAsia"/>
                              <w:sz w:val="21"/>
                            </w:rPr>
                            <w:t>基础工程施工</w:t>
                          </w:r>
                        </w:p>
                      </w:txbxContent>
                    </v:textbox>
                  </v:shape>
                </v:group>
                <w10:wrap type="none"/>
                <w10:anchorlock/>
              </v:group>
            </w:pict>
          </mc:Fallback>
        </mc:AlternateContent>
      </w:r>
    </w:p>
    <w:p w14:paraId="0276D3B1">
      <w:pPr>
        <w:pStyle w:val="54"/>
        <w:overflowPunct w:val="0"/>
        <w:topLinePunct/>
        <w:spacing w:line="480" w:lineRule="exact"/>
        <w:ind w:firstLine="480"/>
        <w:jc w:val="center"/>
        <w:rPr>
          <w:rFonts w:hint="default" w:ascii="Times New Roman" w:hAnsi="Times New Roman" w:cs="Times New Roman"/>
          <w:color w:val="auto"/>
          <w:sz w:val="24"/>
          <w:highlight w:val="none"/>
        </w:rPr>
      </w:pPr>
      <w:bookmarkStart w:id="396" w:name="_Toc27264_WPSOffice_Level2"/>
      <w:r>
        <w:rPr>
          <w:rFonts w:hint="default" w:ascii="Times New Roman" w:hAnsi="Times New Roman" w:cs="Times New Roman"/>
          <w:b/>
          <w:color w:val="auto"/>
          <w:szCs w:val="24"/>
          <w:highlight w:val="none"/>
        </w:rPr>
        <w:t>图3.</w:t>
      </w:r>
      <w:r>
        <w:rPr>
          <w:rFonts w:hint="default" w:ascii="Times New Roman" w:hAnsi="Times New Roman" w:cs="Times New Roman"/>
          <w:b/>
          <w:color w:val="auto"/>
          <w:szCs w:val="24"/>
          <w:highlight w:val="none"/>
          <w:lang w:val="en-US" w:eastAsia="zh-CN"/>
        </w:rPr>
        <w:t>2</w:t>
      </w:r>
      <w:r>
        <w:rPr>
          <w:rFonts w:hint="default" w:ascii="Times New Roman" w:hAnsi="Times New Roman" w:cs="Times New Roman"/>
          <w:b/>
          <w:color w:val="auto"/>
          <w:szCs w:val="24"/>
          <w:highlight w:val="none"/>
        </w:rPr>
        <w:t>-1     施工期工艺流程及产污节点图</w:t>
      </w:r>
      <w:bookmarkEnd w:id="396"/>
    </w:p>
    <w:p w14:paraId="5E619B95">
      <w:pPr>
        <w:pStyle w:val="5"/>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运营期工艺流程及产污环节</w:t>
      </w:r>
    </w:p>
    <w:p w14:paraId="19A82C28">
      <w:pPr>
        <w:pStyle w:val="54"/>
        <w:overflowPunct w:val="0"/>
        <w:topLinePunct/>
        <w:spacing w:line="480" w:lineRule="exact"/>
        <w:ind w:firstLine="48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本项目原料</w:t>
      </w:r>
      <w:r>
        <w:rPr>
          <w:rFonts w:hint="default" w:ascii="Times New Roman" w:hAnsi="Times New Roman" w:cs="Times New Roman"/>
          <w:color w:val="auto"/>
          <w:sz w:val="24"/>
          <w:highlight w:val="none"/>
          <w:lang w:val="en-US" w:eastAsia="zh-CN"/>
        </w:rPr>
        <w:t>金</w:t>
      </w:r>
      <w:r>
        <w:rPr>
          <w:rFonts w:hint="default" w:ascii="Times New Roman" w:hAnsi="Times New Roman" w:cs="Times New Roman"/>
          <w:color w:val="auto"/>
          <w:sz w:val="24"/>
          <w:highlight w:val="none"/>
        </w:rPr>
        <w:t>矿石来自</w:t>
      </w:r>
      <w:r>
        <w:rPr>
          <w:rFonts w:hint="default" w:ascii="Times New Roman" w:hAnsi="Times New Roman" w:cs="Times New Roman"/>
          <w:color w:val="auto"/>
          <w:sz w:val="24"/>
          <w:highlight w:val="none"/>
          <w:lang w:val="en-US" w:eastAsia="zh-CN"/>
        </w:rPr>
        <w:t>项目区西侧的配套</w:t>
      </w:r>
      <w:r>
        <w:rPr>
          <w:rFonts w:hint="default" w:ascii="Times New Roman" w:hAnsi="Times New Roman" w:cs="Times New Roman"/>
          <w:color w:val="auto"/>
          <w:sz w:val="24"/>
          <w:highlight w:val="none"/>
        </w:rPr>
        <w:t>采矿工程。</w:t>
      </w:r>
      <w:r>
        <w:rPr>
          <w:rFonts w:hint="default" w:ascii="Times New Roman" w:hAnsi="Times New Roman" w:cs="Times New Roman"/>
          <w:color w:val="auto"/>
          <w:sz w:val="24"/>
          <w:highlight w:val="none"/>
          <w:lang w:val="en-US" w:eastAsia="zh-CN"/>
        </w:rPr>
        <w:t>采矿工程开采的金矿石中Au平均品位为2.</w:t>
      </w:r>
      <w:r>
        <w:rPr>
          <w:rFonts w:hint="eastAsia" w:cs="Times New Roman"/>
          <w:color w:val="auto"/>
          <w:sz w:val="24"/>
          <w:highlight w:val="none"/>
          <w:lang w:val="en-US" w:eastAsia="zh-CN"/>
        </w:rPr>
        <w:t>02</w:t>
      </w:r>
      <w:r>
        <w:rPr>
          <w:rFonts w:hint="default" w:ascii="Times New Roman" w:hAnsi="Times New Roman" w:cs="Times New Roman"/>
          <w:color w:val="auto"/>
          <w:sz w:val="24"/>
          <w:highlight w:val="none"/>
          <w:lang w:val="en-US" w:eastAsia="zh-CN"/>
        </w:rPr>
        <w:t>g/t，</w:t>
      </w:r>
      <w:r>
        <w:rPr>
          <w:rFonts w:hint="default" w:ascii="Times New Roman" w:hAnsi="Times New Roman" w:eastAsia="宋体" w:cs="Times New Roman"/>
          <w:color w:val="auto"/>
          <w:sz w:val="24"/>
          <w:highlight w:val="none"/>
          <w:lang w:val="en-US" w:eastAsia="zh-CN"/>
        </w:rPr>
        <w:t>由自卸汽车运至选矿厂工业场地。选矿厂选矿主</w:t>
      </w:r>
      <w:r>
        <w:rPr>
          <w:rFonts w:hint="default" w:ascii="Times New Roman" w:hAnsi="Times New Roman" w:cs="Times New Roman"/>
          <w:color w:val="auto"/>
          <w:sz w:val="24"/>
          <w:highlight w:val="none"/>
        </w:rPr>
        <w:t>要流程是以《新疆富蕴县阿克塔斯金矿可选性试验研究报告》为基础，并参考了类似矿山的实际生产流程确定的</w:t>
      </w:r>
      <w:r>
        <w:rPr>
          <w:rFonts w:hint="default" w:ascii="Times New Roman" w:hAnsi="Times New Roman" w:cs="Times New Roman"/>
          <w:color w:val="auto"/>
          <w:sz w:val="24"/>
          <w:highlight w:val="none"/>
          <w:lang w:eastAsia="zh-CN"/>
        </w:rPr>
        <w:t>。</w:t>
      </w:r>
    </w:p>
    <w:p w14:paraId="40BB09F9">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cs="Times New Roman"/>
          <w:color w:val="auto"/>
          <w:sz w:val="24"/>
          <w:highlight w:val="none"/>
          <w:lang w:val="en-US" w:eastAsia="zh-CN"/>
        </w:rPr>
        <w:t>工艺选择</w:t>
      </w:r>
    </w:p>
    <w:p w14:paraId="2C023BC2">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1）选矿工艺方案选择</w:t>
      </w:r>
    </w:p>
    <w:p w14:paraId="15A4633D">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①碎磨方案</w:t>
      </w:r>
    </w:p>
    <w:p w14:paraId="32657999">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碎磨流程是选矿工艺设计中的关键性技术问题，它不仅影响基建投资，而且在很大程度上决定了生产的稳定性和生产成本。国内外矿山的碎磨生产工艺主要有三种：常规碎磨工艺、高压辊磨超细碎工艺、半自磨工艺。</w:t>
      </w:r>
    </w:p>
    <w:p w14:paraId="149EFD79">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三种碎矿工艺优缺点如下：</w:t>
      </w:r>
    </w:p>
    <w:p w14:paraId="04A70A43">
      <w:pPr>
        <w:pStyle w:val="54"/>
        <w:numPr>
          <w:ilvl w:val="0"/>
          <w:numId w:val="0"/>
        </w:numPr>
        <w:overflowPunct w:val="0"/>
        <w:topLinePunct/>
        <w:spacing w:line="480" w:lineRule="exact"/>
        <w:ind w:firstLine="482"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常规碎磨工艺：</w:t>
      </w:r>
      <w:r>
        <w:rPr>
          <w:rFonts w:hint="default" w:ascii="Times New Roman" w:hAnsi="Times New Roman" w:cs="Times New Roman"/>
          <w:color w:val="auto"/>
          <w:sz w:val="24"/>
          <w:highlight w:val="none"/>
          <w:lang w:val="en-US" w:eastAsia="zh-CN"/>
        </w:rPr>
        <w:t>本工艺为常规工艺，工艺成熟可靠，运行稳定，对矿石适应性强；设备的备品备件充足，对自动化控制的要求不高；易于控制和维护，前期设备投资较少。缺点是工艺流程较长，车间多，占地面积大，土建投资较高；同时本工艺不适合处理含泥含水较高的矿石。</w:t>
      </w:r>
    </w:p>
    <w:p w14:paraId="1CF6B07B">
      <w:pPr>
        <w:pStyle w:val="54"/>
        <w:numPr>
          <w:ilvl w:val="0"/>
          <w:numId w:val="0"/>
        </w:numPr>
        <w:overflowPunct w:val="0"/>
        <w:topLinePunct/>
        <w:spacing w:line="480" w:lineRule="exact"/>
        <w:ind w:firstLine="482"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高压辊磨超细碎工艺：</w:t>
      </w:r>
      <w:r>
        <w:rPr>
          <w:rFonts w:hint="default" w:ascii="Times New Roman" w:hAnsi="Times New Roman" w:cs="Times New Roman"/>
          <w:color w:val="auto"/>
          <w:sz w:val="24"/>
          <w:highlight w:val="none"/>
          <w:lang w:val="en-US" w:eastAsia="zh-CN"/>
        </w:rPr>
        <w:t>高压辊磨机是利用料层间的粉碎原理，使物料与物料相互粉碎。具有更好的粉碎效果。高压辊磨机辊压产品粒度均匀</w:t>
      </w:r>
      <w:r>
        <w:rPr>
          <w:rFonts w:hint="default"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物料表面有大量微裂纹和裂隙</w:t>
      </w:r>
      <w:r>
        <w:rPr>
          <w:rFonts w:hint="default"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进入球磨时易于解离、磨碎，在很大程度上可以避免过磨现象，有利于提高选别指标和金属回收率。因此，高压辊磨机的最突出特点是节能。常规碎矿工艺产品粒度在-12mm左右，高压辊磨产品粒度可到-6--8mm，个别甚至可以达到-3mm，入磨粒度降低，大大降低了磨矿功指数。缺点是设备投资较高，对于压辊等易损件更换频率较高，增加运行成本；不适宜处理硬度较高的矿石，会增加压辊的磨损程度，影响设备的使用寿命；不适合处理含泥含水量高的矿石，可能出现</w:t>
      </w:r>
      <w:r>
        <w:rPr>
          <w:rFonts w:hint="default" w:cs="Times New Roman"/>
          <w:color w:val="auto"/>
          <w:sz w:val="24"/>
          <w:highlight w:val="none"/>
          <w:lang w:val="en-US" w:eastAsia="zh-CN"/>
        </w:rPr>
        <w:t>黏结</w:t>
      </w:r>
      <w:r>
        <w:rPr>
          <w:rFonts w:hint="default" w:ascii="Times New Roman" w:hAnsi="Times New Roman" w:cs="Times New Roman"/>
          <w:color w:val="auto"/>
          <w:sz w:val="24"/>
          <w:highlight w:val="none"/>
          <w:lang w:val="en-US" w:eastAsia="zh-CN"/>
        </w:rPr>
        <w:t>和阻塞现象，影响设备正常运行和生产效率。</w:t>
      </w:r>
    </w:p>
    <w:p w14:paraId="06BFE30C">
      <w:pPr>
        <w:pStyle w:val="54"/>
        <w:numPr>
          <w:ilvl w:val="0"/>
          <w:numId w:val="0"/>
        </w:numPr>
        <w:overflowPunct w:val="0"/>
        <w:topLinePunct/>
        <w:spacing w:line="480" w:lineRule="exact"/>
        <w:ind w:firstLine="482"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半自磨工艺：</w:t>
      </w:r>
      <w:r>
        <w:rPr>
          <w:rFonts w:hint="default" w:ascii="Times New Roman" w:hAnsi="Times New Roman" w:cs="Times New Roman"/>
          <w:color w:val="auto"/>
          <w:sz w:val="24"/>
          <w:highlight w:val="none"/>
          <w:lang w:val="en-US" w:eastAsia="zh-CN"/>
        </w:rPr>
        <w:t>只有一段粗破碎，破碎段数少，没有筛分作业，皮带转接少，减少生产环节和粉尘污染，简化生产车间组成和占地面积；对含水含泥较多的黏性矿可以避免常规流程中破碎和矿仓等环节的堵塞问题；设备数量少，维修工作量小，岗位配置人员少；不受物料水分影响，可处理含水、含泥量较多的矿石</w:t>
      </w:r>
      <w:r>
        <w:rPr>
          <w:rFonts w:hint="default"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适应性强，灵活性好；工艺流程相对简单，易于实现自动化控制。缺点是电耗比常规碎磨工艺流程要高，设备作业率低；对给矿粒度和矿石可磨性变化比较敏感</w:t>
      </w:r>
      <w:r>
        <w:rPr>
          <w:rFonts w:hint="default"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生产指标易波动，操作控制相对复杂；磨矿介质费用损耗高，需要配置专门的半自磨衬板</w:t>
      </w:r>
      <w:r>
        <w:rPr>
          <w:rFonts w:hint="default"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若用耐磨性高的柔性衬板取代普通合金衬板时，磨矿介质使用成本进一步增高。</w:t>
      </w:r>
    </w:p>
    <w:p w14:paraId="639AF579">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本项目建设规模为15万t/a，生产规模较小，且本项目原矿为地下开采，矿石含泥含水量不高，因此适合采用常规碎磨工艺，符合“多碎少磨”的设计原则。</w:t>
      </w:r>
    </w:p>
    <w:p w14:paraId="737E2F49">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根据矿石性质及建设规模，同时考虑到矿山后续扩建的需求。本次设计采用三段一闭路破碎筛分工艺。为尽可能稳定生产流程，降低能耗及碎矿产品的粒度，本次破碎设备全部选择国外先进的进口设备。</w:t>
      </w:r>
    </w:p>
    <w:p w14:paraId="35544216">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磨矿细度依据《新疆富蕴县阿克塔斯金矿可选性试验研究报告》内容，选定最终磨矿细度为-200目约占80%，结合设计规模确定两段闭路磨矿工艺。</w:t>
      </w:r>
    </w:p>
    <w:p w14:paraId="441DB2DF">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综上所述，本项目最终碎磨工艺方案为：三段一闭路破碎筛分+两段闭路磨矿流程。</w:t>
      </w:r>
    </w:p>
    <w:p w14:paraId="17B4A149">
      <w:pPr>
        <w:pStyle w:val="54"/>
        <w:numPr>
          <w:ilvl w:val="0"/>
          <w:numId w:val="5"/>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选别工艺</w:t>
      </w:r>
    </w:p>
    <w:p w14:paraId="238E9C09">
      <w:pPr>
        <w:pStyle w:val="54"/>
        <w:numPr>
          <w:ilvl w:val="0"/>
          <w:numId w:val="0"/>
        </w:numPr>
        <w:overflowPunct w:val="0"/>
        <w:topLinePunct/>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本项目前期在试验阶段确定了两种选别工艺流程，具体比选方案如下：</w:t>
      </w:r>
    </w:p>
    <w:p w14:paraId="108AA902">
      <w:pPr>
        <w:pStyle w:val="54"/>
        <w:numPr>
          <w:ilvl w:val="0"/>
          <w:numId w:val="0"/>
        </w:numPr>
        <w:overflowPunct w:val="0"/>
        <w:topLinePunct/>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方案Ⅰ：金浮选方案；具体为三段一闭路破碎筛分+两段闭路磨矿+一粗二扫三精浮选+浮选精矿浓缩、压滤脱水，浮选尾矿湿排至尾矿库工艺流程；</w:t>
      </w:r>
    </w:p>
    <w:p w14:paraId="2835349F">
      <w:pPr>
        <w:pStyle w:val="54"/>
        <w:numPr>
          <w:ilvl w:val="0"/>
          <w:numId w:val="0"/>
        </w:numPr>
        <w:overflowPunct w:val="0"/>
        <w:topLinePunct/>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方案Ⅱ：金浮选+浮尾浸出方案；具体流程从破碎到精矿脱水与方案Ⅰ一致，浮选尾矿采用预浸+浸出吸附工艺流程，浸出尾渣经一段脱水干堆至尾矿库。</w:t>
      </w:r>
    </w:p>
    <w:p w14:paraId="512C1F80">
      <w:pPr>
        <w:pStyle w:val="54"/>
        <w:numPr>
          <w:ilvl w:val="0"/>
          <w:numId w:val="0"/>
        </w:numPr>
        <w:overflowPunct w:val="0"/>
        <w:topLinePunct/>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综合比较汇总见表3.2-1。</w:t>
      </w:r>
    </w:p>
    <w:p w14:paraId="0FC622D6">
      <w:pPr>
        <w:pStyle w:val="54"/>
        <w:numPr>
          <w:ilvl w:val="0"/>
          <w:numId w:val="0"/>
        </w:numPr>
        <w:overflowPunct w:val="0"/>
        <w:topLinePunct/>
        <w:spacing w:line="480" w:lineRule="exact"/>
        <w:ind w:firstLine="482" w:firstLineChars="20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表3.2-1    选别工艺综合比较汇总表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751"/>
        <w:gridCol w:w="773"/>
        <w:gridCol w:w="2826"/>
        <w:gridCol w:w="3246"/>
        <w:gridCol w:w="1011"/>
      </w:tblGrid>
      <w:tr w14:paraId="563ED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09" w:type="pct"/>
            <w:vAlign w:val="center"/>
          </w:tcPr>
          <w:p w14:paraId="68BC0C9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830" w:type="pct"/>
            <w:gridSpan w:val="2"/>
            <w:vAlign w:val="center"/>
          </w:tcPr>
          <w:p w14:paraId="39514DED">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比较方案</w:t>
            </w:r>
          </w:p>
        </w:tc>
        <w:tc>
          <w:tcPr>
            <w:tcW w:w="1540" w:type="pct"/>
            <w:vAlign w:val="center"/>
          </w:tcPr>
          <w:p w14:paraId="4177B499">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方案</w:t>
            </w:r>
            <w:r>
              <w:rPr>
                <w:rFonts w:hint="default" w:ascii="Times New Roman" w:hAnsi="Times New Roman" w:eastAsia="宋体" w:cs="Times New Roman"/>
                <w:b/>
                <w:bCs/>
                <w:color w:val="auto"/>
                <w:sz w:val="21"/>
                <w:szCs w:val="21"/>
                <w:highlight w:val="none"/>
                <w:lang w:val="en-US" w:eastAsia="zh-CN"/>
              </w:rPr>
              <w:t>Ⅰ</w:t>
            </w:r>
          </w:p>
        </w:tc>
        <w:tc>
          <w:tcPr>
            <w:tcW w:w="1768" w:type="pct"/>
            <w:vAlign w:val="center"/>
          </w:tcPr>
          <w:p w14:paraId="3162BBF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方案</w:t>
            </w:r>
            <w:r>
              <w:rPr>
                <w:rFonts w:hint="default" w:ascii="Times New Roman" w:hAnsi="Times New Roman" w:eastAsia="宋体" w:cs="Times New Roman"/>
                <w:b/>
                <w:bCs/>
                <w:color w:val="auto"/>
                <w:sz w:val="21"/>
                <w:szCs w:val="21"/>
                <w:highlight w:val="none"/>
                <w:lang w:val="en-US" w:eastAsia="zh-CN"/>
              </w:rPr>
              <w:t>Ⅱ</w:t>
            </w:r>
          </w:p>
        </w:tc>
        <w:tc>
          <w:tcPr>
            <w:tcW w:w="551" w:type="pct"/>
            <w:vAlign w:val="center"/>
          </w:tcPr>
          <w:p w14:paraId="198FA3F9">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方案</w:t>
            </w:r>
            <w:r>
              <w:rPr>
                <w:rFonts w:hint="default" w:ascii="Times New Roman" w:hAnsi="Times New Roman" w:eastAsia="宋体" w:cs="Times New Roman"/>
                <w:b/>
                <w:bCs/>
                <w:color w:val="auto"/>
                <w:sz w:val="21"/>
                <w:szCs w:val="21"/>
                <w:highlight w:val="none"/>
                <w:lang w:val="en-US" w:eastAsia="zh-CN"/>
              </w:rPr>
              <w:t>Ⅰ-</w:t>
            </w:r>
            <w:r>
              <w:rPr>
                <w:rFonts w:hint="default" w:ascii="Times New Roman" w:hAnsi="Times New Roman" w:eastAsia="宋体" w:cs="Times New Roman"/>
                <w:b/>
                <w:bCs/>
                <w:color w:val="auto"/>
                <w:sz w:val="21"/>
                <w:szCs w:val="21"/>
                <w:highlight w:val="none"/>
                <w:vertAlign w:val="baseline"/>
                <w:lang w:val="en-US" w:eastAsia="zh-CN"/>
              </w:rPr>
              <w:t>方案</w:t>
            </w:r>
            <w:r>
              <w:rPr>
                <w:rFonts w:hint="default" w:ascii="Times New Roman" w:hAnsi="Times New Roman" w:eastAsia="宋体" w:cs="Times New Roman"/>
                <w:b/>
                <w:bCs/>
                <w:color w:val="auto"/>
                <w:sz w:val="21"/>
                <w:szCs w:val="21"/>
                <w:highlight w:val="none"/>
                <w:lang w:val="en-US" w:eastAsia="zh-CN"/>
              </w:rPr>
              <w:t>Ⅱ</w:t>
            </w:r>
          </w:p>
        </w:tc>
      </w:tr>
      <w:tr w14:paraId="0344D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0AAAAE4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30" w:type="pct"/>
            <w:gridSpan w:val="2"/>
            <w:vAlign w:val="center"/>
          </w:tcPr>
          <w:p w14:paraId="009680E9">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方案名称</w:t>
            </w:r>
          </w:p>
        </w:tc>
        <w:tc>
          <w:tcPr>
            <w:tcW w:w="1540" w:type="pct"/>
            <w:vAlign w:val="center"/>
          </w:tcPr>
          <w:p w14:paraId="078F952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金浮选工艺方案</w:t>
            </w:r>
          </w:p>
        </w:tc>
        <w:tc>
          <w:tcPr>
            <w:tcW w:w="1768" w:type="pct"/>
            <w:vAlign w:val="center"/>
          </w:tcPr>
          <w:p w14:paraId="0D61327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金浮选+浮尾浸出工艺方案</w:t>
            </w:r>
          </w:p>
        </w:tc>
        <w:tc>
          <w:tcPr>
            <w:tcW w:w="551" w:type="pct"/>
            <w:vAlign w:val="center"/>
          </w:tcPr>
          <w:p w14:paraId="353FDDCF">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5796F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6F1FB9F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830" w:type="pct"/>
            <w:gridSpan w:val="2"/>
            <w:vAlign w:val="center"/>
          </w:tcPr>
          <w:p w14:paraId="521B569B">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工艺流程</w:t>
            </w:r>
          </w:p>
        </w:tc>
        <w:tc>
          <w:tcPr>
            <w:tcW w:w="1540" w:type="pct"/>
            <w:vAlign w:val="center"/>
          </w:tcPr>
          <w:p w14:paraId="7CFF5DA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三段一闭路破碎筛分工艺流程</w:t>
            </w:r>
          </w:p>
          <w:p w14:paraId="2B503CBC">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两段连续闭路磨矿分级工艺流程</w:t>
            </w:r>
          </w:p>
          <w:p w14:paraId="4C335023">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一粗、二扫、三精浮选流程</w:t>
            </w:r>
          </w:p>
          <w:p w14:paraId="64C5C6FF">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精矿浓缩+压滤机械化脱水</w:t>
            </w:r>
          </w:p>
          <w:p w14:paraId="6673F8EB">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尾矿湿排至尾矿库</w:t>
            </w:r>
          </w:p>
        </w:tc>
        <w:tc>
          <w:tcPr>
            <w:tcW w:w="1768" w:type="pct"/>
            <w:vAlign w:val="center"/>
          </w:tcPr>
          <w:p w14:paraId="7311117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三段一闭路破碎筛分工艺流程</w:t>
            </w:r>
          </w:p>
          <w:p w14:paraId="5DF7E6B8">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两段连续闭路磨矿分级工艺流程</w:t>
            </w:r>
          </w:p>
          <w:p w14:paraId="02A1311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一粗、二扫、三精浮选流程</w:t>
            </w:r>
          </w:p>
          <w:p w14:paraId="2260230D">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精矿浓缩+压滤机械化脱水</w:t>
            </w:r>
          </w:p>
          <w:p w14:paraId="5DCF2E5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尾矿预浸+浸出吸附</w:t>
            </w:r>
          </w:p>
          <w:p w14:paraId="2F44E52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浸出尾渣压滤后干排至尾矿库</w:t>
            </w:r>
          </w:p>
        </w:tc>
        <w:tc>
          <w:tcPr>
            <w:tcW w:w="551" w:type="pct"/>
            <w:vAlign w:val="center"/>
          </w:tcPr>
          <w:p w14:paraId="36E890CD">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D161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43E1291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830" w:type="pct"/>
            <w:gridSpan w:val="2"/>
            <w:vAlign w:val="center"/>
          </w:tcPr>
          <w:p w14:paraId="10E63E6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产品方案</w:t>
            </w:r>
          </w:p>
        </w:tc>
        <w:tc>
          <w:tcPr>
            <w:tcW w:w="1540" w:type="pct"/>
            <w:vAlign w:val="center"/>
          </w:tcPr>
          <w:p w14:paraId="1A1FC37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浮选金精矿</w:t>
            </w:r>
          </w:p>
        </w:tc>
        <w:tc>
          <w:tcPr>
            <w:tcW w:w="1768" w:type="pct"/>
            <w:vAlign w:val="center"/>
          </w:tcPr>
          <w:p w14:paraId="18398C3C">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浮选金精矿+载金炭</w:t>
            </w:r>
          </w:p>
        </w:tc>
        <w:tc>
          <w:tcPr>
            <w:tcW w:w="551" w:type="pct"/>
            <w:vAlign w:val="center"/>
          </w:tcPr>
          <w:p w14:paraId="2F7FE258">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F6CD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30D42491">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830" w:type="pct"/>
            <w:gridSpan w:val="2"/>
            <w:vAlign w:val="center"/>
          </w:tcPr>
          <w:p w14:paraId="2A757708">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原矿品位（g/t）</w:t>
            </w:r>
          </w:p>
        </w:tc>
        <w:tc>
          <w:tcPr>
            <w:tcW w:w="1540" w:type="pct"/>
            <w:vAlign w:val="center"/>
          </w:tcPr>
          <w:p w14:paraId="436D03C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2.76</w:t>
            </w:r>
          </w:p>
        </w:tc>
        <w:tc>
          <w:tcPr>
            <w:tcW w:w="1768" w:type="pct"/>
            <w:vAlign w:val="center"/>
          </w:tcPr>
          <w:p w14:paraId="3A956C8D">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2.76</w:t>
            </w:r>
          </w:p>
        </w:tc>
        <w:tc>
          <w:tcPr>
            <w:tcW w:w="551" w:type="pct"/>
            <w:vAlign w:val="center"/>
          </w:tcPr>
          <w:p w14:paraId="2A0661B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73B1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1EE12479">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4139" w:type="pct"/>
            <w:gridSpan w:val="4"/>
            <w:vAlign w:val="center"/>
          </w:tcPr>
          <w:p w14:paraId="6E5A6A18">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浮选</w:t>
            </w:r>
          </w:p>
        </w:tc>
        <w:tc>
          <w:tcPr>
            <w:tcW w:w="551" w:type="pct"/>
            <w:vAlign w:val="center"/>
          </w:tcPr>
          <w:p w14:paraId="03F0511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7545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48BDFE1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6</w:t>
            </w:r>
          </w:p>
        </w:tc>
        <w:tc>
          <w:tcPr>
            <w:tcW w:w="830" w:type="pct"/>
            <w:gridSpan w:val="2"/>
            <w:vAlign w:val="center"/>
          </w:tcPr>
          <w:p w14:paraId="2A72B30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精矿品位（g/t）</w:t>
            </w:r>
          </w:p>
        </w:tc>
        <w:tc>
          <w:tcPr>
            <w:tcW w:w="1540" w:type="pct"/>
            <w:vAlign w:val="center"/>
          </w:tcPr>
          <w:p w14:paraId="539D73F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88.00</w:t>
            </w:r>
          </w:p>
        </w:tc>
        <w:tc>
          <w:tcPr>
            <w:tcW w:w="1768" w:type="pct"/>
            <w:vAlign w:val="center"/>
          </w:tcPr>
          <w:p w14:paraId="1D8F014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88.00</w:t>
            </w:r>
          </w:p>
        </w:tc>
        <w:tc>
          <w:tcPr>
            <w:tcW w:w="551" w:type="pct"/>
            <w:vAlign w:val="center"/>
          </w:tcPr>
          <w:p w14:paraId="69BCFB8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2D20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058A226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7</w:t>
            </w:r>
          </w:p>
        </w:tc>
        <w:tc>
          <w:tcPr>
            <w:tcW w:w="830" w:type="pct"/>
            <w:gridSpan w:val="2"/>
            <w:vAlign w:val="center"/>
          </w:tcPr>
          <w:p w14:paraId="41289B61">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精矿回收率（%）</w:t>
            </w:r>
          </w:p>
        </w:tc>
        <w:tc>
          <w:tcPr>
            <w:tcW w:w="1540" w:type="pct"/>
            <w:vAlign w:val="center"/>
          </w:tcPr>
          <w:p w14:paraId="1D775C8C">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w:t>
            </w:r>
          </w:p>
        </w:tc>
        <w:tc>
          <w:tcPr>
            <w:tcW w:w="1768" w:type="pct"/>
            <w:vAlign w:val="center"/>
          </w:tcPr>
          <w:p w14:paraId="48C7639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w:t>
            </w:r>
          </w:p>
        </w:tc>
        <w:tc>
          <w:tcPr>
            <w:tcW w:w="551" w:type="pct"/>
            <w:vAlign w:val="center"/>
          </w:tcPr>
          <w:p w14:paraId="1FF576C1">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69DD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41B2696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8</w:t>
            </w:r>
          </w:p>
        </w:tc>
        <w:tc>
          <w:tcPr>
            <w:tcW w:w="830" w:type="pct"/>
            <w:gridSpan w:val="2"/>
            <w:vAlign w:val="center"/>
          </w:tcPr>
          <w:p w14:paraId="2638711B">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尾矿品位（g/t）</w:t>
            </w:r>
          </w:p>
        </w:tc>
        <w:tc>
          <w:tcPr>
            <w:tcW w:w="1540" w:type="pct"/>
            <w:vAlign w:val="center"/>
          </w:tcPr>
          <w:p w14:paraId="029AC27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0.284</w:t>
            </w:r>
          </w:p>
        </w:tc>
        <w:tc>
          <w:tcPr>
            <w:tcW w:w="1768" w:type="pct"/>
            <w:vAlign w:val="center"/>
          </w:tcPr>
          <w:p w14:paraId="6992561F">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0.284</w:t>
            </w:r>
          </w:p>
        </w:tc>
        <w:tc>
          <w:tcPr>
            <w:tcW w:w="551" w:type="pct"/>
            <w:vAlign w:val="center"/>
          </w:tcPr>
          <w:p w14:paraId="669E519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EC4B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49B233A1">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9</w:t>
            </w:r>
          </w:p>
        </w:tc>
        <w:tc>
          <w:tcPr>
            <w:tcW w:w="830" w:type="pct"/>
            <w:gridSpan w:val="2"/>
            <w:vAlign w:val="center"/>
          </w:tcPr>
          <w:p w14:paraId="0B08D32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尾矿回收率（%）</w:t>
            </w:r>
          </w:p>
        </w:tc>
        <w:tc>
          <w:tcPr>
            <w:tcW w:w="1540" w:type="pct"/>
            <w:vAlign w:val="center"/>
          </w:tcPr>
          <w:p w14:paraId="6110135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10.00</w:t>
            </w:r>
          </w:p>
        </w:tc>
        <w:tc>
          <w:tcPr>
            <w:tcW w:w="1768" w:type="pct"/>
            <w:vAlign w:val="center"/>
          </w:tcPr>
          <w:p w14:paraId="0701AD0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10.00</w:t>
            </w:r>
          </w:p>
        </w:tc>
        <w:tc>
          <w:tcPr>
            <w:tcW w:w="551" w:type="pct"/>
            <w:vAlign w:val="center"/>
          </w:tcPr>
          <w:p w14:paraId="6055CE0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CFE7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43E771E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10</w:t>
            </w:r>
          </w:p>
        </w:tc>
        <w:tc>
          <w:tcPr>
            <w:tcW w:w="4139" w:type="pct"/>
            <w:gridSpan w:val="4"/>
            <w:vAlign w:val="center"/>
          </w:tcPr>
          <w:p w14:paraId="558F1A6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浸出+吸附</w:t>
            </w:r>
          </w:p>
        </w:tc>
        <w:tc>
          <w:tcPr>
            <w:tcW w:w="551" w:type="pct"/>
            <w:vAlign w:val="center"/>
          </w:tcPr>
          <w:p w14:paraId="2B36C2E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CF88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7A2C1E0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11</w:t>
            </w:r>
          </w:p>
        </w:tc>
        <w:tc>
          <w:tcPr>
            <w:tcW w:w="830" w:type="pct"/>
            <w:gridSpan w:val="2"/>
            <w:vAlign w:val="center"/>
          </w:tcPr>
          <w:p w14:paraId="4D15C18F">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浸出率（%）</w:t>
            </w:r>
          </w:p>
        </w:tc>
        <w:tc>
          <w:tcPr>
            <w:tcW w:w="1540" w:type="pct"/>
            <w:vAlign w:val="center"/>
          </w:tcPr>
          <w:p w14:paraId="2426B3D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w:t>
            </w:r>
          </w:p>
        </w:tc>
        <w:tc>
          <w:tcPr>
            <w:tcW w:w="1768" w:type="pct"/>
            <w:vAlign w:val="center"/>
          </w:tcPr>
          <w:p w14:paraId="561471F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4.10</w:t>
            </w:r>
          </w:p>
        </w:tc>
        <w:tc>
          <w:tcPr>
            <w:tcW w:w="551" w:type="pct"/>
            <w:shd w:val="clear" w:color="auto" w:fill="auto"/>
            <w:vAlign w:val="center"/>
          </w:tcPr>
          <w:p w14:paraId="12D57CC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-4.10</w:t>
            </w:r>
          </w:p>
        </w:tc>
      </w:tr>
      <w:tr w14:paraId="301C0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1F120E2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12</w:t>
            </w:r>
          </w:p>
        </w:tc>
        <w:tc>
          <w:tcPr>
            <w:tcW w:w="830" w:type="pct"/>
            <w:gridSpan w:val="2"/>
            <w:vAlign w:val="center"/>
          </w:tcPr>
          <w:p w14:paraId="17BA3B72">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吸附率（%）</w:t>
            </w:r>
          </w:p>
        </w:tc>
        <w:tc>
          <w:tcPr>
            <w:tcW w:w="1540" w:type="pct"/>
            <w:vAlign w:val="center"/>
          </w:tcPr>
          <w:p w14:paraId="458D0C8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w:t>
            </w:r>
          </w:p>
        </w:tc>
        <w:tc>
          <w:tcPr>
            <w:tcW w:w="1768" w:type="pct"/>
            <w:vAlign w:val="center"/>
          </w:tcPr>
          <w:p w14:paraId="32F3C0AC">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99.50</w:t>
            </w:r>
          </w:p>
        </w:tc>
        <w:tc>
          <w:tcPr>
            <w:tcW w:w="551" w:type="pct"/>
            <w:shd w:val="clear" w:color="auto" w:fill="auto"/>
            <w:vAlign w:val="center"/>
          </w:tcPr>
          <w:p w14:paraId="16A0D15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-99.50</w:t>
            </w:r>
          </w:p>
        </w:tc>
      </w:tr>
      <w:tr w14:paraId="416C6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20379501">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13</w:t>
            </w:r>
          </w:p>
        </w:tc>
        <w:tc>
          <w:tcPr>
            <w:tcW w:w="830" w:type="pct"/>
            <w:gridSpan w:val="2"/>
            <w:vAlign w:val="center"/>
          </w:tcPr>
          <w:p w14:paraId="280ADA62">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浸出回收率（%）</w:t>
            </w:r>
          </w:p>
        </w:tc>
        <w:tc>
          <w:tcPr>
            <w:tcW w:w="1540" w:type="pct"/>
            <w:vAlign w:val="center"/>
          </w:tcPr>
          <w:p w14:paraId="6FC1C8A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w:t>
            </w:r>
          </w:p>
        </w:tc>
        <w:tc>
          <w:tcPr>
            <w:tcW w:w="1768" w:type="pct"/>
            <w:vAlign w:val="center"/>
          </w:tcPr>
          <w:p w14:paraId="4E6D1432">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4.08</w:t>
            </w:r>
          </w:p>
        </w:tc>
        <w:tc>
          <w:tcPr>
            <w:tcW w:w="551" w:type="pct"/>
            <w:shd w:val="clear" w:color="auto" w:fill="auto"/>
            <w:vAlign w:val="center"/>
          </w:tcPr>
          <w:p w14:paraId="72DD34AF">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-4.08</w:t>
            </w:r>
          </w:p>
        </w:tc>
      </w:tr>
      <w:tr w14:paraId="7A00D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3BF0220C">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14</w:t>
            </w:r>
          </w:p>
        </w:tc>
        <w:tc>
          <w:tcPr>
            <w:tcW w:w="409" w:type="pct"/>
            <w:vMerge w:val="restart"/>
            <w:vAlign w:val="center"/>
          </w:tcPr>
          <w:p w14:paraId="3FEA9286">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载金炭</w:t>
            </w:r>
          </w:p>
        </w:tc>
        <w:tc>
          <w:tcPr>
            <w:tcW w:w="421" w:type="pct"/>
            <w:vAlign w:val="center"/>
          </w:tcPr>
          <w:p w14:paraId="1DD8054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Au品位（g/t）</w:t>
            </w:r>
          </w:p>
        </w:tc>
        <w:tc>
          <w:tcPr>
            <w:tcW w:w="1540" w:type="pct"/>
            <w:vAlign w:val="center"/>
          </w:tcPr>
          <w:p w14:paraId="692E17B2">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w:t>
            </w:r>
          </w:p>
        </w:tc>
        <w:tc>
          <w:tcPr>
            <w:tcW w:w="1768" w:type="pct"/>
            <w:shd w:val="clear" w:color="auto" w:fill="auto"/>
            <w:vAlign w:val="center"/>
          </w:tcPr>
          <w:p w14:paraId="034E7019">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3000</w:t>
            </w:r>
          </w:p>
        </w:tc>
        <w:tc>
          <w:tcPr>
            <w:tcW w:w="551" w:type="pct"/>
            <w:shd w:val="clear" w:color="auto" w:fill="auto"/>
            <w:vAlign w:val="center"/>
          </w:tcPr>
          <w:p w14:paraId="1A364C6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-3000</w:t>
            </w:r>
          </w:p>
        </w:tc>
      </w:tr>
      <w:tr w14:paraId="4BBAF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3596C46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15</w:t>
            </w:r>
          </w:p>
        </w:tc>
        <w:tc>
          <w:tcPr>
            <w:tcW w:w="409" w:type="pct"/>
            <w:vMerge w:val="continue"/>
            <w:vAlign w:val="center"/>
          </w:tcPr>
          <w:p w14:paraId="4265A10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21" w:type="pct"/>
            <w:vAlign w:val="center"/>
          </w:tcPr>
          <w:p w14:paraId="2DEE5F7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产量（t/d）</w:t>
            </w:r>
          </w:p>
        </w:tc>
        <w:tc>
          <w:tcPr>
            <w:tcW w:w="1540" w:type="pct"/>
            <w:vAlign w:val="center"/>
          </w:tcPr>
          <w:p w14:paraId="72CB053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w:t>
            </w:r>
          </w:p>
        </w:tc>
        <w:tc>
          <w:tcPr>
            <w:tcW w:w="1768" w:type="pct"/>
            <w:shd w:val="clear" w:color="auto" w:fill="auto"/>
            <w:vAlign w:val="center"/>
          </w:tcPr>
          <w:p w14:paraId="646351B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0.019</w:t>
            </w:r>
          </w:p>
        </w:tc>
        <w:tc>
          <w:tcPr>
            <w:tcW w:w="551" w:type="pct"/>
            <w:shd w:val="clear" w:color="auto" w:fill="auto"/>
            <w:vAlign w:val="center"/>
          </w:tcPr>
          <w:p w14:paraId="25AF0D51">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-0.019</w:t>
            </w:r>
          </w:p>
        </w:tc>
      </w:tr>
      <w:tr w14:paraId="7B67B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7A036F4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16</w:t>
            </w:r>
          </w:p>
        </w:tc>
        <w:tc>
          <w:tcPr>
            <w:tcW w:w="830" w:type="pct"/>
            <w:gridSpan w:val="2"/>
            <w:vAlign w:val="center"/>
          </w:tcPr>
          <w:p w14:paraId="43CCC3BD">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可比劳动定员（人）</w:t>
            </w:r>
          </w:p>
        </w:tc>
        <w:tc>
          <w:tcPr>
            <w:tcW w:w="1540" w:type="pct"/>
            <w:vAlign w:val="center"/>
          </w:tcPr>
          <w:p w14:paraId="3D16816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44</w:t>
            </w:r>
          </w:p>
        </w:tc>
        <w:tc>
          <w:tcPr>
            <w:tcW w:w="1768" w:type="pct"/>
            <w:vAlign w:val="center"/>
          </w:tcPr>
          <w:p w14:paraId="4B9C7654">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551" w:type="pct"/>
            <w:vAlign w:val="center"/>
          </w:tcPr>
          <w:p w14:paraId="4A06F3D1">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w:t>
            </w:r>
          </w:p>
        </w:tc>
      </w:tr>
      <w:tr w14:paraId="3A13E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732FF22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17</w:t>
            </w:r>
          </w:p>
        </w:tc>
        <w:tc>
          <w:tcPr>
            <w:tcW w:w="830" w:type="pct"/>
            <w:gridSpan w:val="2"/>
            <w:vAlign w:val="center"/>
          </w:tcPr>
          <w:p w14:paraId="3A75DDE8">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可比电耗（10</w:t>
            </w:r>
            <w:r>
              <w:rPr>
                <w:rFonts w:hint="default" w:ascii="Times New Roman" w:hAnsi="Times New Roman" w:eastAsia="宋体" w:cs="Times New Roman"/>
                <w:color w:val="auto"/>
                <w:sz w:val="21"/>
                <w:szCs w:val="21"/>
                <w:highlight w:val="none"/>
                <w:vertAlign w:val="superscript"/>
                <w:lang w:val="en-US" w:eastAsia="zh-CN"/>
              </w:rPr>
              <w:t>4</w:t>
            </w:r>
            <w:r>
              <w:rPr>
                <w:rFonts w:hint="default" w:ascii="Times New Roman" w:hAnsi="Times New Roman" w:eastAsia="宋体" w:cs="Times New Roman"/>
                <w:color w:val="auto"/>
                <w:sz w:val="21"/>
                <w:szCs w:val="21"/>
                <w:highlight w:val="none"/>
                <w:vertAlign w:val="baseline"/>
                <w:lang w:val="en-US" w:eastAsia="zh-CN"/>
              </w:rPr>
              <w:t>kWh）</w:t>
            </w:r>
          </w:p>
        </w:tc>
        <w:tc>
          <w:tcPr>
            <w:tcW w:w="1540" w:type="pct"/>
            <w:vAlign w:val="center"/>
          </w:tcPr>
          <w:p w14:paraId="58905CC8">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244</w:t>
            </w:r>
          </w:p>
        </w:tc>
        <w:tc>
          <w:tcPr>
            <w:tcW w:w="1768" w:type="pct"/>
            <w:vAlign w:val="center"/>
          </w:tcPr>
          <w:p w14:paraId="59888CBE">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273</w:t>
            </w:r>
          </w:p>
        </w:tc>
        <w:tc>
          <w:tcPr>
            <w:tcW w:w="551" w:type="pct"/>
            <w:vAlign w:val="center"/>
          </w:tcPr>
          <w:p w14:paraId="3B48BE62">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-29</w:t>
            </w:r>
          </w:p>
        </w:tc>
      </w:tr>
      <w:tr w14:paraId="6591F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6111FB63">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18</w:t>
            </w:r>
          </w:p>
        </w:tc>
        <w:tc>
          <w:tcPr>
            <w:tcW w:w="830" w:type="pct"/>
            <w:gridSpan w:val="2"/>
            <w:vAlign w:val="center"/>
          </w:tcPr>
          <w:p w14:paraId="5E074242">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建筑物面积（m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c>
          <w:tcPr>
            <w:tcW w:w="1540" w:type="pct"/>
            <w:vAlign w:val="center"/>
          </w:tcPr>
          <w:p w14:paraId="3D475AD7">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4342.74</w:t>
            </w:r>
          </w:p>
        </w:tc>
        <w:tc>
          <w:tcPr>
            <w:tcW w:w="1768" w:type="pct"/>
            <w:vAlign w:val="center"/>
          </w:tcPr>
          <w:p w14:paraId="517E3D79">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7208.74</w:t>
            </w:r>
          </w:p>
        </w:tc>
        <w:tc>
          <w:tcPr>
            <w:tcW w:w="551" w:type="pct"/>
            <w:vAlign w:val="center"/>
          </w:tcPr>
          <w:p w14:paraId="4F4FDE9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-2866</w:t>
            </w:r>
          </w:p>
        </w:tc>
      </w:tr>
      <w:tr w14:paraId="28B73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6D2BDAD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19</w:t>
            </w:r>
          </w:p>
        </w:tc>
        <w:tc>
          <w:tcPr>
            <w:tcW w:w="830" w:type="pct"/>
            <w:gridSpan w:val="2"/>
            <w:vAlign w:val="center"/>
          </w:tcPr>
          <w:p w14:paraId="50EC1E2A">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基建总投资</w:t>
            </w:r>
          </w:p>
        </w:tc>
        <w:tc>
          <w:tcPr>
            <w:tcW w:w="1540" w:type="pct"/>
            <w:vAlign w:val="center"/>
          </w:tcPr>
          <w:p w14:paraId="412C952D">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4545.49</w:t>
            </w:r>
          </w:p>
        </w:tc>
        <w:tc>
          <w:tcPr>
            <w:tcW w:w="1768" w:type="pct"/>
            <w:vAlign w:val="center"/>
          </w:tcPr>
          <w:p w14:paraId="2DBAFEE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7108.97</w:t>
            </w:r>
          </w:p>
        </w:tc>
        <w:tc>
          <w:tcPr>
            <w:tcW w:w="551" w:type="pct"/>
            <w:vAlign w:val="center"/>
          </w:tcPr>
          <w:p w14:paraId="444C9F0F">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-2563.48</w:t>
            </w:r>
          </w:p>
        </w:tc>
      </w:tr>
      <w:tr w14:paraId="4205D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vAlign w:val="center"/>
          </w:tcPr>
          <w:p w14:paraId="27237245">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20</w:t>
            </w:r>
          </w:p>
        </w:tc>
        <w:tc>
          <w:tcPr>
            <w:tcW w:w="830" w:type="pct"/>
            <w:gridSpan w:val="2"/>
            <w:vAlign w:val="center"/>
          </w:tcPr>
          <w:p w14:paraId="6B46797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可比经营成本（万元/a）</w:t>
            </w:r>
          </w:p>
        </w:tc>
        <w:tc>
          <w:tcPr>
            <w:tcW w:w="1540" w:type="pct"/>
            <w:vAlign w:val="center"/>
          </w:tcPr>
          <w:p w14:paraId="7C3B9A5F">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4057.25</w:t>
            </w:r>
          </w:p>
        </w:tc>
        <w:tc>
          <w:tcPr>
            <w:tcW w:w="1768" w:type="pct"/>
            <w:vAlign w:val="center"/>
          </w:tcPr>
          <w:p w14:paraId="7EAE31B0">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5855.64</w:t>
            </w:r>
          </w:p>
        </w:tc>
        <w:tc>
          <w:tcPr>
            <w:tcW w:w="551" w:type="pct"/>
            <w:vAlign w:val="center"/>
          </w:tcPr>
          <w:p w14:paraId="605EFF9C">
            <w:pPr>
              <w:pStyle w:val="54"/>
              <w:keepNext w:val="0"/>
              <w:keepLines w:val="0"/>
              <w:pageBreakBefore w:val="0"/>
              <w:widowControl w:val="0"/>
              <w:numPr>
                <w:ilvl w:val="0"/>
                <w:numId w:val="0"/>
              </w:numPr>
              <w:kinsoku/>
              <w:wordWrap/>
              <w:overflowPunct w:val="0"/>
              <w:topLinePunct/>
              <w:autoSpaceDE/>
              <w:autoSpaceDN/>
              <w:bidi w:val="0"/>
              <w:adjustRightInd/>
              <w:snapToGrid w:val="0"/>
              <w:spacing w:line="40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-1798.39</w:t>
            </w:r>
          </w:p>
        </w:tc>
      </w:tr>
    </w:tbl>
    <w:p w14:paraId="0F351683">
      <w:pPr>
        <w:pStyle w:val="54"/>
        <w:numPr>
          <w:ilvl w:val="0"/>
          <w:numId w:val="0"/>
        </w:numPr>
        <w:overflowPunct w:val="0"/>
        <w:topLinePunct/>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cs="Times New Roman"/>
          <w:color w:val="auto"/>
          <w:sz w:val="24"/>
          <w:highlight w:val="none"/>
          <w:lang w:val="en-US" w:eastAsia="zh-CN"/>
        </w:rPr>
        <w:t>从</w:t>
      </w:r>
      <w:r>
        <w:rPr>
          <w:rFonts w:hint="default" w:ascii="Times New Roman" w:hAnsi="Times New Roman" w:eastAsia="宋体" w:cs="Times New Roman"/>
          <w:color w:val="auto"/>
          <w:sz w:val="24"/>
          <w:highlight w:val="none"/>
          <w:lang w:val="en-US" w:eastAsia="zh-CN"/>
        </w:rPr>
        <w:t>上表可知，在投资方面，方案I的基建总投资为4545.49万元，方案Ⅱ的基建总投资7108.97万元，方案I比方案Ⅱ基建总投资节省2563.48万元，主要体现在建筑工程和设备购置两个方面。方案I整体流程比方案Ⅱ简单，设备少，厂房车间少，因此建筑和设备方面投资小。</w:t>
      </w:r>
    </w:p>
    <w:p w14:paraId="2E6F80B8">
      <w:pPr>
        <w:pStyle w:val="54"/>
        <w:numPr>
          <w:ilvl w:val="0"/>
          <w:numId w:val="0"/>
        </w:numPr>
        <w:overflowPunct w:val="0"/>
        <w:topLinePunct/>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生产经营成本中，材料成本相差较大，约占总经营成本差额的67%，主要是因为浸出流程浸出药剂使用量较多。因此从技术经济</w:t>
      </w:r>
      <w:r>
        <w:rPr>
          <w:rFonts w:hint="default" w:cs="Times New Roman"/>
          <w:color w:val="auto"/>
          <w:sz w:val="24"/>
          <w:highlight w:val="none"/>
          <w:lang w:val="en-US" w:eastAsia="zh-CN"/>
        </w:rPr>
        <w:t>环保</w:t>
      </w:r>
      <w:r>
        <w:rPr>
          <w:rFonts w:hint="default" w:ascii="Times New Roman" w:hAnsi="Times New Roman" w:eastAsia="宋体" w:cs="Times New Roman"/>
          <w:color w:val="auto"/>
          <w:sz w:val="24"/>
          <w:highlight w:val="none"/>
          <w:lang w:val="en-US" w:eastAsia="zh-CN"/>
        </w:rPr>
        <w:t>角度，方案I优于方案Ⅱ。</w:t>
      </w:r>
    </w:p>
    <w:p w14:paraId="17904634">
      <w:pPr>
        <w:pStyle w:val="54"/>
        <w:numPr>
          <w:ilvl w:val="0"/>
          <w:numId w:val="0"/>
        </w:numPr>
        <w:overflowPunct w:val="0"/>
        <w:topLinePunct/>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所述，从投资、生产成本两个方面来看，方案I远优于方案Ⅱ，因此本次可研最终选矿工艺流程推荐方案I：三段一闭路破碎筛分+两段闭路磨矿+一粗二扫三精浮选+浮选精矿浓缩、压滤脱水，浮选尾矿湿排至尾矿库工艺流程。</w:t>
      </w:r>
    </w:p>
    <w:p w14:paraId="6001CFA0">
      <w:pPr>
        <w:pStyle w:val="54"/>
        <w:numPr>
          <w:ilvl w:val="0"/>
          <w:numId w:val="0"/>
        </w:numPr>
        <w:overflowPunct w:val="0"/>
        <w:topLinePunct/>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highlight w:val="none"/>
          <w:lang w:val="en-US" w:eastAsia="zh-CN"/>
        </w:rPr>
        <w:t>工艺流程</w:t>
      </w:r>
    </w:p>
    <w:p w14:paraId="07AEF3EE">
      <w:pPr>
        <w:pStyle w:val="54"/>
        <w:overflowPunct w:val="0"/>
        <w:topLinePunct/>
        <w:spacing w:line="480" w:lineRule="exact"/>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本项目最终确定的工艺主要包括破碎筛分、磨矿分级、浮选、精矿脱水工艺。</w:t>
      </w:r>
    </w:p>
    <w:p w14:paraId="332C4EE0">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破碎筛分工段：采用三段一闭路破碎工艺流程，碎矿产品粒度0-12mm；</w:t>
      </w:r>
    </w:p>
    <w:p w14:paraId="34EF3B7B">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磨矿分级工段：采用两段闭路磨矿工艺流程，一段磨矿细度-200目约占50%，二段磨矿细度-200目占80%；</w:t>
      </w:r>
    </w:p>
    <w:p w14:paraId="1C342BF5">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浮选工段：采用一粗二扫三精浮选工艺流程；</w:t>
      </w:r>
    </w:p>
    <w:p w14:paraId="3C288813">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精矿脱水工段：采用浓缩+压滤二段机械化脱水工艺流程；脱水精矿含水率低于12%；</w:t>
      </w:r>
    </w:p>
    <w:p w14:paraId="52B4AD5E">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浮选尾矿湿排至尾矿库。</w:t>
      </w:r>
    </w:p>
    <w:p w14:paraId="6C2A55E5">
      <w:pPr>
        <w:pStyle w:val="54"/>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工艺流程具体描述</w:t>
      </w:r>
      <w:r>
        <w:rPr>
          <w:rFonts w:hint="default" w:ascii="Times New Roman" w:hAnsi="Times New Roman" w:eastAsia="宋体" w:cs="Times New Roman"/>
          <w:color w:val="auto"/>
          <w:sz w:val="24"/>
          <w:highlight w:val="none"/>
          <w:lang w:val="en-US" w:eastAsia="zh-CN"/>
        </w:rPr>
        <w:t>如下</w:t>
      </w:r>
      <w:r>
        <w:rPr>
          <w:rFonts w:hint="default" w:ascii="Times New Roman" w:hAnsi="Times New Roman" w:eastAsia="宋体" w:cs="Times New Roman"/>
          <w:color w:val="auto"/>
          <w:sz w:val="24"/>
          <w:highlight w:val="none"/>
        </w:rPr>
        <w:t>：</w:t>
      </w:r>
    </w:p>
    <w:p w14:paraId="467F8EBF">
      <w:pPr>
        <w:pStyle w:val="54"/>
        <w:overflowPunct w:val="0"/>
        <w:topLinePunct/>
        <w:spacing w:line="480" w:lineRule="exact"/>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破碎筛分系统</w:t>
      </w:r>
    </w:p>
    <w:p w14:paraId="2C83A9D4">
      <w:pPr>
        <w:pStyle w:val="54"/>
        <w:overflowPunct w:val="0"/>
        <w:topLinePunct/>
        <w:spacing w:line="480" w:lineRule="exact"/>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原矿堆场原矿由铲车给入原矿仓上料，经仓下GBH1000-6重型板式给矿机给入1台C80颚式破碎机粗碎，粗碎产品经1#带式输送机给入中碎缓冲矿仓，经仓下电振给矿机给入1台GP100S圆锥破碎机中碎，中碎产品由2#带式输送机给入1台MF1848香蕉筛进行筛分，筛上产品经3#带式输送机给入细碎缓冲仓，经仓下电振给矿机给入1台HP200圆锥破碎机细碎，细碎产品给入2#带式输送机构成闭路循环。筛下产品经4#带式输送机给入粉矿仓。破碎筛分产品粒度为95%</w:t>
      </w:r>
      <w:r>
        <w:rPr>
          <w:rFonts w:hint="default"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-12mm。</w:t>
      </w:r>
    </w:p>
    <w:p w14:paraId="6F27546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（2）磨矿分级系统</w:t>
      </w:r>
    </w:p>
    <w:p w14:paraId="0369026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粉矿仓粉矿由仓下四台皮带给矿机经5#带式输送机给入MQG2736球磨机中进行一段磨矿，球磨机与2FG-20水力旋流器组构成一段闭路磨矿分级，一段磨矿细度为-200目50%。一段闭路磨矿分级溢流产品泵送至二段闭路磨矿分级系统，二段闭路磨矿分级系统由MQY2736球磨机与FX-350*4水力旋流器组成，磨矿细度为-200目80%。</w:t>
      </w:r>
    </w:p>
    <w:p w14:paraId="4B8CF4A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（3）选别系统</w:t>
      </w:r>
    </w:p>
    <w:p w14:paraId="6E37B8A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矿浆经搅拌后自流到浮选系统，浮选采用一粗三精二扫浮选工艺，粗选和扫选作业采用XCF-8和KYF-8浮选机组共8台，配置形式为3、3、2，精选采用SF-2.8浮选机共5台，配置形式为2、2、1。矿浆依次进入下一段作业，浮选泡沫依次返回上一作业。浮选精矿自流到精矿泵箱，经精矿泵打入到精矿脱水系统；浮选尾矿泵送至充填站充填，剩余部分泵送至尾矿库堆存。</w:t>
      </w:r>
    </w:p>
    <w:p w14:paraId="13E2218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（4）精矿脱水系统</w:t>
      </w:r>
    </w:p>
    <w:p w14:paraId="7D60871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金精矿经1台Ф12m中心传动液压浓缩机脱水，底流自流至XM/AZ 40/800U程控自动液压厢式压滤机进行压滤，压滤后的精矿排至产品库，装车外售。</w:t>
      </w:r>
    </w:p>
    <w:p w14:paraId="03287B5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本项目生产系统工艺流程及排污节点见图3.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777D174F">
      <w:pPr>
        <w:ind w:firstLine="480"/>
        <w:rPr>
          <w:rFonts w:hint="default" w:ascii="Times New Roman" w:hAnsi="Times New Roman" w:cs="Times New Roman"/>
          <w:color w:val="auto"/>
          <w:highlight w:val="none"/>
        </w:rPr>
        <w:sectPr>
          <w:pgSz w:w="11906" w:h="16838"/>
          <w:pgMar w:top="1474" w:right="1474" w:bottom="1474" w:left="1474" w:header="850" w:footer="1134" w:gutter="0"/>
          <w:cols w:space="720" w:num="1"/>
          <w:docGrid w:linePitch="312" w:charSpace="0"/>
        </w:sectPr>
      </w:pPr>
    </w:p>
    <w:p w14:paraId="34A2CEBE">
      <w:pPr>
        <w:spacing w:line="240" w:lineRule="auto"/>
        <w:ind w:firstLine="0" w:firstLineChars="0"/>
        <w:jc w:val="center"/>
        <w:rPr>
          <w:rFonts w:hint="default" w:ascii="Times New Roman" w:hAnsi="Times New Roman" w:cs="Times New Roman"/>
          <w:b/>
          <w:bCs/>
          <w:color w:val="auto"/>
          <w:highlight w:val="none"/>
        </w:rPr>
        <w:sectPr>
          <w:pgSz w:w="11906" w:h="16838"/>
          <w:pgMar w:top="1474" w:right="1474" w:bottom="1474" w:left="1474" w:header="850" w:footer="1134" w:gutter="0"/>
          <w:cols w:space="720" w:num="1"/>
          <w:docGrid w:linePitch="312" w:charSpace="0"/>
        </w:sectPr>
      </w:pPr>
      <w:r>
        <w:rPr>
          <w:rFonts w:hint="default" w:ascii="Times New Roman" w:hAnsi="Times New Roman" w:eastAsia="宋体" w:cs="Times New Roman"/>
          <w:b/>
          <w:color w:val="auto"/>
          <w:kern w:val="0"/>
          <w:szCs w:val="20"/>
          <w:highlight w:val="none"/>
          <w:lang w:eastAsia="zh-CN"/>
        </w:rPr>
        <w:object>
          <v:shape id="_x0000_i1025" o:spt="75" type="#_x0000_t75" style="height:620.95pt;width:455.65pt;" o:ole="t" filled="f" o:preferrelative="t" stroked="f" coordsize="21600,21600">
            <v:path/>
            <v:fill on="f" focussize="0,0"/>
            <v:stroke on="f"/>
            <v:imagedata r:id="rId36" cropbottom="5024f" o:title=""/>
            <o:lock v:ext="edit" aspectratio="f"/>
            <w10:wrap type="none"/>
            <w10:anchorlock/>
          </v:shape>
          <o:OLEObject Type="Embed" ProgID="Visio.Drawing.11" ShapeID="_x0000_i1025" DrawAspect="Content" ObjectID="_1468075725" r:id="rId35">
            <o:LockedField>false</o:LockedField>
          </o:OLEObject>
        </w:object>
      </w:r>
      <w:r>
        <w:rPr>
          <w:rFonts w:hint="default" w:ascii="Times New Roman" w:hAnsi="Times New Roman" w:cs="Times New Roman"/>
          <w:b/>
          <w:bCs/>
          <w:color w:val="auto"/>
          <w:highlight w:val="none"/>
        </w:rPr>
        <w:t>图3.</w:t>
      </w:r>
      <w:r>
        <w:rPr>
          <w:rFonts w:hint="default" w:ascii="Times New Roman" w:hAnsi="Times New Roman" w:cs="Times New Roman"/>
          <w:b/>
          <w:bCs/>
          <w:color w:val="auto"/>
          <w:highlight w:val="none"/>
          <w:lang w:val="en-US" w:eastAsia="zh-CN"/>
        </w:rPr>
        <w:t>2-2</w:t>
      </w:r>
      <w:r>
        <w:rPr>
          <w:rFonts w:hint="default" w:ascii="Times New Roman" w:hAnsi="Times New Roman" w:cs="Times New Roman"/>
          <w:b/>
          <w:bCs/>
          <w:color w:val="auto"/>
          <w:highlight w:val="none"/>
        </w:rPr>
        <w:t xml:space="preserve">    本项目生产系统工艺流程及</w:t>
      </w:r>
      <w:r>
        <w:rPr>
          <w:rFonts w:hint="default" w:cs="Times New Roman"/>
          <w:b/>
          <w:bCs/>
          <w:color w:val="auto"/>
          <w:highlight w:val="none"/>
          <w:lang w:val="en-US" w:eastAsia="zh-CN"/>
        </w:rPr>
        <w:t>产</w:t>
      </w:r>
      <w:r>
        <w:rPr>
          <w:rFonts w:hint="default" w:ascii="Times New Roman" w:hAnsi="Times New Roman" w:cs="Times New Roman"/>
          <w:b/>
          <w:bCs/>
          <w:color w:val="auto"/>
          <w:highlight w:val="none"/>
        </w:rPr>
        <w:t>污节点图</w:t>
      </w:r>
    </w:p>
    <w:p w14:paraId="7E6A46E3">
      <w:pPr>
        <w:pStyle w:val="5"/>
        <w:ind w:firstLine="482"/>
        <w:rPr>
          <w:rFonts w:hint="default" w:ascii="Times New Roman" w:hAnsi="Times New Roman" w:cs="Times New Roman"/>
          <w:color w:val="auto"/>
          <w:highlight w:val="none"/>
        </w:rPr>
      </w:pPr>
      <w:bookmarkStart w:id="397" w:name="_Toc3065"/>
      <w:bookmarkStart w:id="398" w:name="_Toc31945"/>
      <w:bookmarkStart w:id="399" w:name="_Toc16492"/>
      <w:bookmarkStart w:id="400" w:name="_Toc7298"/>
      <w:bookmarkStart w:id="401" w:name="_Toc24011"/>
      <w:bookmarkStart w:id="402" w:name="_Toc4102"/>
      <w:bookmarkStart w:id="403" w:name="_Toc1381"/>
      <w:bookmarkStart w:id="404" w:name="_Toc13426"/>
      <w:bookmarkStart w:id="405" w:name="_Toc10054"/>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选矿工艺的节能分析</w:t>
      </w:r>
    </w:p>
    <w:p w14:paraId="042597C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本项目在充分选矿试验基础上制定适宜的选矿工艺流程。在经济合理的情况下，主金得到充分利用；采用</w:t>
      </w:r>
      <w:r>
        <w:rPr>
          <w:rFonts w:hint="default" w:ascii="Times New Roman" w:hAnsi="Times New Roman" w:cs="Times New Roman"/>
          <w:color w:val="auto"/>
          <w:highlight w:val="none"/>
          <w:lang w:val="en-US" w:eastAsia="zh-CN"/>
        </w:rPr>
        <w:t>破碎-磨矿-浮选</w:t>
      </w:r>
      <w:r>
        <w:rPr>
          <w:rFonts w:hint="default" w:ascii="Times New Roman" w:hAnsi="Times New Roman" w:cs="Times New Roman"/>
          <w:color w:val="auto"/>
          <w:highlight w:val="none"/>
        </w:rPr>
        <w:t>等节能环保型选矿工艺，无国家明文规定的限制和淘汰类</w:t>
      </w:r>
      <w:r>
        <w:rPr>
          <w:rFonts w:hint="default" w:cs="Times New Roman"/>
          <w:color w:val="auto"/>
          <w:highlight w:val="none"/>
          <w:lang w:eastAsia="zh-CN"/>
        </w:rPr>
        <w:t>技术</w:t>
      </w:r>
      <w:r>
        <w:rPr>
          <w:rFonts w:hint="default" w:ascii="Times New Roman" w:hAnsi="Times New Roman" w:cs="Times New Roman"/>
          <w:color w:val="auto"/>
          <w:highlight w:val="none"/>
        </w:rPr>
        <w:t>；选矿工艺满足国家标准要求，降低能耗的同时提高了技术经济指标，</w:t>
      </w:r>
      <w:r>
        <w:rPr>
          <w:rFonts w:hint="default" w:ascii="Times New Roman" w:hAnsi="Times New Roman" w:cs="Times New Roman"/>
          <w:color w:val="auto"/>
          <w:highlight w:val="none"/>
          <w:lang w:val="en-US" w:eastAsia="zh-CN"/>
        </w:rPr>
        <w:t>金矿</w:t>
      </w:r>
      <w:r>
        <w:rPr>
          <w:rFonts w:hint="default" w:ascii="Times New Roman" w:hAnsi="Times New Roman" w:cs="Times New Roman"/>
          <w:color w:val="auto"/>
          <w:highlight w:val="none"/>
        </w:rPr>
        <w:t>回收率9</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%，选矿工艺符合《有色金属行业绿色矿山建设规范》（DZ/T03</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-2018）中关于</w:t>
      </w:r>
      <w:r>
        <w:rPr>
          <w:rFonts w:hint="default" w:cs="Times New Roman"/>
          <w:color w:val="auto"/>
          <w:highlight w:val="none"/>
          <w:lang w:val="en-US" w:eastAsia="zh-CN"/>
        </w:rPr>
        <w:t>金矿</w:t>
      </w:r>
      <w:r>
        <w:rPr>
          <w:rFonts w:hint="default" w:ascii="Times New Roman" w:hAnsi="Times New Roman" w:cs="Times New Roman"/>
          <w:color w:val="auto"/>
          <w:highlight w:val="none"/>
        </w:rPr>
        <w:t>矿山的建设要求。</w:t>
      </w:r>
    </w:p>
    <w:p w14:paraId="41E6748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选矿工艺的节能措施包括：</w:t>
      </w:r>
    </w:p>
    <w:p w14:paraId="7882165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1）设计中根据工艺流程，充分利用地形条件，尽量使矿浆自流，减少动力输送，节约电耗。</w:t>
      </w:r>
    </w:p>
    <w:p w14:paraId="72EC0E3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2）增加各种检测仪表，提高选矿的机械化、自动化程度。</w:t>
      </w:r>
    </w:p>
    <w:p w14:paraId="1FA5774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）选矿各类给矿机、工艺泵及风机采用变频设备，提高设备的利用率。提高了设备的利用效率，减少工人的劳动强度。</w:t>
      </w:r>
    </w:p>
    <w:p w14:paraId="487C323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）将不需持续工作的工段（破碎工段）调整到用电谷或平时段运行，有效地降低电费。集中管理，减少人员，降低物料及药剂消耗，同时降低了设备的空转。有效</w:t>
      </w:r>
      <w:r>
        <w:rPr>
          <w:rFonts w:hint="default" w:cs="Times New Roman"/>
          <w:color w:val="auto"/>
          <w:highlight w:val="none"/>
          <w:lang w:eastAsia="zh-CN"/>
        </w:rPr>
        <w:t>地</w:t>
      </w:r>
      <w:r>
        <w:rPr>
          <w:rFonts w:hint="default" w:ascii="Times New Roman" w:hAnsi="Times New Roman" w:cs="Times New Roman"/>
          <w:color w:val="auto"/>
          <w:highlight w:val="none"/>
        </w:rPr>
        <w:t>降低破碎工段的电费消耗</w:t>
      </w:r>
      <w:r>
        <w:rPr>
          <w:rFonts w:hint="default" w:cs="Times New Roman"/>
          <w:color w:val="auto"/>
          <w:highlight w:val="none"/>
          <w:lang w:eastAsia="zh-CN"/>
        </w:rPr>
        <w:t>。</w:t>
      </w:r>
    </w:p>
    <w:p w14:paraId="76F2C657">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.2</w:t>
      </w:r>
      <w:bookmarkEnd w:id="397"/>
      <w:bookmarkEnd w:id="398"/>
      <w:r>
        <w:rPr>
          <w:rFonts w:hint="default" w:ascii="Times New Roman" w:hAnsi="Times New Roman" w:cs="Times New Roman"/>
          <w:color w:val="auto"/>
          <w:highlight w:val="none"/>
        </w:rPr>
        <w:t>物料平衡</w:t>
      </w:r>
      <w:bookmarkEnd w:id="399"/>
      <w:bookmarkEnd w:id="400"/>
      <w:bookmarkEnd w:id="401"/>
      <w:bookmarkEnd w:id="402"/>
      <w:bookmarkEnd w:id="403"/>
      <w:bookmarkEnd w:id="404"/>
      <w:bookmarkEnd w:id="405"/>
    </w:p>
    <w:p w14:paraId="2BDCD32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.2.1物料平衡</w:t>
      </w:r>
    </w:p>
    <w:p w14:paraId="0BC5892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本项目运营后，全厂物料平衡见表3.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7C74CA61">
      <w:pPr>
        <w:ind w:firstLine="0" w:firstLineChars="0"/>
        <w:jc w:val="center"/>
        <w:rPr>
          <w:rFonts w:hint="default" w:ascii="Times New Roman" w:hAnsi="Times New Roman" w:eastAsia="宋体" w:cs="Times New Roman"/>
          <w:b/>
          <w:color w:val="auto"/>
          <w:kern w:val="0"/>
          <w:highlight w:val="none"/>
          <w:lang w:eastAsia="zh-CN"/>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物料平衡表</w:t>
      </w:r>
    </w:p>
    <w:tbl>
      <w:tblPr>
        <w:tblStyle w:val="3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31"/>
        <w:gridCol w:w="2911"/>
        <w:gridCol w:w="1327"/>
        <w:gridCol w:w="782"/>
        <w:gridCol w:w="2094"/>
        <w:gridCol w:w="1329"/>
      </w:tblGrid>
      <w:tr w14:paraId="6EE12E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trPr>
        <w:tc>
          <w:tcPr>
            <w:tcW w:w="2708" w:type="pct"/>
            <w:gridSpan w:val="3"/>
            <w:vAlign w:val="center"/>
          </w:tcPr>
          <w:p w14:paraId="14E99637">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投入</w:t>
            </w:r>
          </w:p>
        </w:tc>
        <w:tc>
          <w:tcPr>
            <w:tcW w:w="2291" w:type="pct"/>
            <w:gridSpan w:val="3"/>
            <w:vAlign w:val="center"/>
          </w:tcPr>
          <w:p w14:paraId="43FABFDC">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产出</w:t>
            </w:r>
          </w:p>
        </w:tc>
      </w:tr>
      <w:tr w14:paraId="2B04CF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trPr>
        <w:tc>
          <w:tcPr>
            <w:tcW w:w="399" w:type="pct"/>
            <w:vAlign w:val="center"/>
          </w:tcPr>
          <w:p w14:paraId="27ED4A01">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序号</w:t>
            </w:r>
          </w:p>
        </w:tc>
        <w:tc>
          <w:tcPr>
            <w:tcW w:w="1586" w:type="pct"/>
            <w:vAlign w:val="center"/>
          </w:tcPr>
          <w:p w14:paraId="0452DBCF">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名称</w:t>
            </w:r>
          </w:p>
        </w:tc>
        <w:tc>
          <w:tcPr>
            <w:tcW w:w="722" w:type="pct"/>
            <w:vAlign w:val="center"/>
          </w:tcPr>
          <w:p w14:paraId="5AAE06AB">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数量（t/a）</w:t>
            </w:r>
          </w:p>
        </w:tc>
        <w:tc>
          <w:tcPr>
            <w:tcW w:w="426" w:type="pct"/>
            <w:vAlign w:val="center"/>
          </w:tcPr>
          <w:p w14:paraId="2706A948">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序号</w:t>
            </w:r>
          </w:p>
        </w:tc>
        <w:tc>
          <w:tcPr>
            <w:tcW w:w="1141" w:type="pct"/>
            <w:vAlign w:val="center"/>
          </w:tcPr>
          <w:p w14:paraId="1962C7A1">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名称</w:t>
            </w:r>
          </w:p>
        </w:tc>
        <w:tc>
          <w:tcPr>
            <w:tcW w:w="724" w:type="pct"/>
            <w:vAlign w:val="center"/>
          </w:tcPr>
          <w:p w14:paraId="7488DAD9">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数量（t/a）</w:t>
            </w:r>
          </w:p>
        </w:tc>
      </w:tr>
      <w:tr w14:paraId="2BD3C5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75253B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911" w:type="dxa"/>
            <w:vAlign w:val="center"/>
          </w:tcPr>
          <w:p w14:paraId="415E38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原矿石</w:t>
            </w:r>
          </w:p>
        </w:tc>
        <w:tc>
          <w:tcPr>
            <w:tcW w:w="1325" w:type="dxa"/>
            <w:vAlign w:val="center"/>
          </w:tcPr>
          <w:p w14:paraId="21EACE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150000</w:t>
            </w:r>
          </w:p>
        </w:tc>
        <w:tc>
          <w:tcPr>
            <w:tcW w:w="782" w:type="dxa"/>
            <w:vAlign w:val="center"/>
          </w:tcPr>
          <w:p w14:paraId="219CD3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94" w:type="dxa"/>
            <w:shd w:val="clear" w:color="auto" w:fill="auto"/>
            <w:vAlign w:val="center"/>
          </w:tcPr>
          <w:p w14:paraId="1C37BC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金精矿</w:t>
            </w:r>
          </w:p>
        </w:tc>
        <w:tc>
          <w:tcPr>
            <w:tcW w:w="1329" w:type="dxa"/>
            <w:shd w:val="clear" w:color="auto" w:fill="auto"/>
            <w:vAlign w:val="center"/>
          </w:tcPr>
          <w:p w14:paraId="50D1B7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4234.09</w:t>
            </w:r>
          </w:p>
        </w:tc>
      </w:tr>
      <w:tr w14:paraId="284957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1788CE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911" w:type="dxa"/>
            <w:vAlign w:val="center"/>
          </w:tcPr>
          <w:p w14:paraId="03D44A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碳酸钠</w:t>
            </w:r>
          </w:p>
        </w:tc>
        <w:tc>
          <w:tcPr>
            <w:tcW w:w="1325" w:type="dxa"/>
            <w:vAlign w:val="center"/>
          </w:tcPr>
          <w:p w14:paraId="0F99B2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782" w:type="dxa"/>
            <w:vAlign w:val="center"/>
          </w:tcPr>
          <w:p w14:paraId="3E8147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94" w:type="dxa"/>
            <w:vAlign w:val="center"/>
          </w:tcPr>
          <w:p w14:paraId="7D073A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尾矿</w:t>
            </w:r>
          </w:p>
        </w:tc>
        <w:tc>
          <w:tcPr>
            <w:tcW w:w="1329" w:type="dxa"/>
            <w:vAlign w:val="center"/>
          </w:tcPr>
          <w:p w14:paraId="195463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145800</w:t>
            </w:r>
          </w:p>
        </w:tc>
      </w:tr>
      <w:tr w14:paraId="6998AB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74F542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911" w:type="dxa"/>
            <w:vAlign w:val="center"/>
          </w:tcPr>
          <w:p w14:paraId="6CB9A7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丁基黄药</w:t>
            </w:r>
          </w:p>
        </w:tc>
        <w:tc>
          <w:tcPr>
            <w:tcW w:w="1325" w:type="dxa"/>
            <w:vAlign w:val="center"/>
          </w:tcPr>
          <w:p w14:paraId="5C78D2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7.875</w:t>
            </w:r>
          </w:p>
        </w:tc>
        <w:tc>
          <w:tcPr>
            <w:tcW w:w="782" w:type="dxa"/>
            <w:vAlign w:val="center"/>
          </w:tcPr>
          <w:p w14:paraId="42BE16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094" w:type="dxa"/>
            <w:shd w:val="clear" w:color="auto" w:fill="auto"/>
            <w:vAlign w:val="center"/>
          </w:tcPr>
          <w:p w14:paraId="167A03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粉尘</w:t>
            </w:r>
          </w:p>
        </w:tc>
        <w:tc>
          <w:tcPr>
            <w:tcW w:w="1329" w:type="dxa"/>
            <w:vAlign w:val="center"/>
          </w:tcPr>
          <w:p w14:paraId="4C5C20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36.308</w:t>
            </w:r>
          </w:p>
        </w:tc>
      </w:tr>
      <w:tr w14:paraId="31F6B5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51DCA4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911" w:type="dxa"/>
            <w:vAlign w:val="center"/>
          </w:tcPr>
          <w:p w14:paraId="6E8661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丁铵黄药</w:t>
            </w:r>
          </w:p>
        </w:tc>
        <w:tc>
          <w:tcPr>
            <w:tcW w:w="1325" w:type="dxa"/>
            <w:vAlign w:val="center"/>
          </w:tcPr>
          <w:p w14:paraId="4954AE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3.94</w:t>
            </w:r>
          </w:p>
        </w:tc>
        <w:tc>
          <w:tcPr>
            <w:tcW w:w="782" w:type="dxa"/>
            <w:vAlign w:val="center"/>
          </w:tcPr>
          <w:p w14:paraId="3906A2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094" w:type="dxa"/>
            <w:shd w:val="clear" w:color="auto" w:fill="auto"/>
            <w:vAlign w:val="center"/>
          </w:tcPr>
          <w:p w14:paraId="289B0C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除尘灰</w:t>
            </w:r>
          </w:p>
        </w:tc>
        <w:tc>
          <w:tcPr>
            <w:tcW w:w="1329" w:type="dxa"/>
            <w:vAlign w:val="center"/>
          </w:tcPr>
          <w:p w14:paraId="27A5BA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33.41</w:t>
            </w:r>
          </w:p>
        </w:tc>
      </w:tr>
      <w:tr w14:paraId="205BFC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11A2A3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911" w:type="dxa"/>
            <w:vAlign w:val="center"/>
          </w:tcPr>
          <w:p w14:paraId="07962F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Style w:val="85"/>
                <w:color w:val="auto"/>
                <w:highlight w:val="none"/>
                <w:lang w:val="en-US" w:eastAsia="zh-CN" w:bidi="ar"/>
              </w:rPr>
              <w:t>油</w:t>
            </w:r>
          </w:p>
        </w:tc>
        <w:tc>
          <w:tcPr>
            <w:tcW w:w="1325" w:type="dxa"/>
            <w:vAlign w:val="center"/>
          </w:tcPr>
          <w:p w14:paraId="474797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782" w:type="dxa"/>
            <w:vAlign w:val="center"/>
          </w:tcPr>
          <w:p w14:paraId="20F73D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094" w:type="dxa"/>
            <w:shd w:val="clear" w:color="auto" w:fill="auto"/>
            <w:vAlign w:val="center"/>
          </w:tcPr>
          <w:p w14:paraId="74286A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生产回水池底泥</w:t>
            </w:r>
          </w:p>
        </w:tc>
        <w:tc>
          <w:tcPr>
            <w:tcW w:w="1329" w:type="dxa"/>
            <w:vAlign w:val="center"/>
          </w:tcPr>
          <w:p w14:paraId="363C71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62.5</w:t>
            </w:r>
          </w:p>
        </w:tc>
      </w:tr>
      <w:tr w14:paraId="255EA3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17ACB3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911" w:type="dxa"/>
            <w:vAlign w:val="center"/>
          </w:tcPr>
          <w:p w14:paraId="1BEF8E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w:t>
            </w:r>
          </w:p>
        </w:tc>
        <w:tc>
          <w:tcPr>
            <w:tcW w:w="1325" w:type="dxa"/>
            <w:vAlign w:val="center"/>
          </w:tcPr>
          <w:p w14:paraId="4C464B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214092</w:t>
            </w:r>
          </w:p>
        </w:tc>
        <w:tc>
          <w:tcPr>
            <w:tcW w:w="782" w:type="dxa"/>
            <w:vAlign w:val="center"/>
          </w:tcPr>
          <w:p w14:paraId="1F703A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094" w:type="dxa"/>
            <w:shd w:val="clear" w:color="auto" w:fill="auto"/>
            <w:vAlign w:val="center"/>
          </w:tcPr>
          <w:p w14:paraId="21B3C7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废矿物油</w:t>
            </w:r>
          </w:p>
        </w:tc>
        <w:tc>
          <w:tcPr>
            <w:tcW w:w="1329" w:type="dxa"/>
            <w:vAlign w:val="center"/>
          </w:tcPr>
          <w:p w14:paraId="244734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r>
      <w:tr w14:paraId="54D3A3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6AE1A8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911" w:type="dxa"/>
            <w:vAlign w:val="center"/>
          </w:tcPr>
          <w:p w14:paraId="7A7311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5" w:type="dxa"/>
            <w:vAlign w:val="center"/>
          </w:tcPr>
          <w:p w14:paraId="407554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2" w:type="dxa"/>
            <w:vAlign w:val="center"/>
          </w:tcPr>
          <w:p w14:paraId="0DEFB9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094" w:type="dxa"/>
            <w:shd w:val="clear" w:color="auto" w:fill="auto"/>
            <w:vAlign w:val="center"/>
          </w:tcPr>
          <w:p w14:paraId="587AAD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废药剂</w:t>
            </w:r>
          </w:p>
        </w:tc>
        <w:tc>
          <w:tcPr>
            <w:tcW w:w="1329" w:type="dxa"/>
            <w:vAlign w:val="center"/>
          </w:tcPr>
          <w:p w14:paraId="4CD3BC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r>
      <w:tr w14:paraId="4C054A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62E9B8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911" w:type="dxa"/>
            <w:shd w:val="clear" w:color="auto" w:fill="auto"/>
            <w:vAlign w:val="center"/>
          </w:tcPr>
          <w:p w14:paraId="773BF7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5" w:type="dxa"/>
            <w:shd w:val="clear" w:color="auto" w:fill="auto"/>
            <w:vAlign w:val="center"/>
          </w:tcPr>
          <w:p w14:paraId="66E644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2" w:type="dxa"/>
            <w:vAlign w:val="center"/>
          </w:tcPr>
          <w:p w14:paraId="1293FF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094" w:type="dxa"/>
            <w:vAlign w:val="center"/>
          </w:tcPr>
          <w:p w14:paraId="2C1230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水损耗</w:t>
            </w:r>
          </w:p>
        </w:tc>
        <w:tc>
          <w:tcPr>
            <w:tcW w:w="1329" w:type="dxa"/>
            <w:vAlign w:val="center"/>
          </w:tcPr>
          <w:p w14:paraId="71F2F4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72644.277</w:t>
            </w:r>
          </w:p>
        </w:tc>
      </w:tr>
      <w:tr w14:paraId="1250E1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717993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911" w:type="dxa"/>
            <w:shd w:val="clear" w:color="auto" w:fill="auto"/>
            <w:vAlign w:val="center"/>
          </w:tcPr>
          <w:p w14:paraId="52F58F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25" w:type="dxa"/>
            <w:shd w:val="clear" w:color="auto" w:fill="auto"/>
            <w:vAlign w:val="center"/>
          </w:tcPr>
          <w:p w14:paraId="73032B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2" w:type="dxa"/>
            <w:vAlign w:val="center"/>
          </w:tcPr>
          <w:p w14:paraId="727D56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094" w:type="dxa"/>
            <w:vAlign w:val="center"/>
          </w:tcPr>
          <w:p w14:paraId="178AAA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回用水</w:t>
            </w:r>
          </w:p>
        </w:tc>
        <w:tc>
          <w:tcPr>
            <w:tcW w:w="1329" w:type="dxa"/>
            <w:vAlign w:val="center"/>
          </w:tcPr>
          <w:p w14:paraId="6E8231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141444.48</w:t>
            </w:r>
          </w:p>
        </w:tc>
      </w:tr>
      <w:tr w14:paraId="48490F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733" w:type="dxa"/>
            <w:vAlign w:val="center"/>
          </w:tcPr>
          <w:p w14:paraId="25664D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911" w:type="dxa"/>
            <w:vAlign w:val="center"/>
          </w:tcPr>
          <w:p w14:paraId="639DBE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原矿石</w:t>
            </w:r>
          </w:p>
        </w:tc>
        <w:tc>
          <w:tcPr>
            <w:tcW w:w="1325" w:type="dxa"/>
            <w:vAlign w:val="center"/>
          </w:tcPr>
          <w:p w14:paraId="7DDD71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150000</w:t>
            </w:r>
          </w:p>
        </w:tc>
        <w:tc>
          <w:tcPr>
            <w:tcW w:w="782" w:type="dxa"/>
            <w:vAlign w:val="center"/>
          </w:tcPr>
          <w:p w14:paraId="38061F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94" w:type="dxa"/>
            <w:vAlign w:val="center"/>
          </w:tcPr>
          <w:p w14:paraId="000592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金精矿</w:t>
            </w:r>
          </w:p>
        </w:tc>
        <w:tc>
          <w:tcPr>
            <w:tcW w:w="1329" w:type="dxa"/>
            <w:vAlign w:val="center"/>
          </w:tcPr>
          <w:p w14:paraId="4C34FC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4234.09</w:t>
            </w:r>
          </w:p>
        </w:tc>
      </w:tr>
    </w:tbl>
    <w:p w14:paraId="34F2D64C">
      <w:pPr>
        <w:pStyle w:val="5"/>
        <w:ind w:firstLine="482"/>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3.2.2.2金属元素平衡</w:t>
      </w:r>
    </w:p>
    <w:p w14:paraId="3BF2B0C6">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本项目Au</w:t>
      </w:r>
      <w:r>
        <w:rPr>
          <w:rFonts w:hint="default" w:ascii="Times New Roman" w:hAnsi="Times New Roman" w:cs="Times New Roman"/>
          <w:color w:val="auto"/>
          <w:kern w:val="0"/>
          <w:highlight w:val="none"/>
          <w:lang w:val="en-US" w:eastAsia="zh-CN"/>
        </w:rPr>
        <w:t>金属</w:t>
      </w:r>
      <w:r>
        <w:rPr>
          <w:rFonts w:hint="default" w:ascii="Times New Roman" w:hAnsi="Times New Roman" w:cs="Times New Roman"/>
          <w:color w:val="auto"/>
          <w:kern w:val="0"/>
          <w:highlight w:val="none"/>
        </w:rPr>
        <w:t>平衡见表3.</w:t>
      </w:r>
      <w:r>
        <w:rPr>
          <w:rFonts w:hint="default"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p>
    <w:p w14:paraId="0BF72C1B">
      <w:pPr>
        <w:overflowPunct w:val="0"/>
        <w:topLinePunct/>
        <w:ind w:firstLine="0" w:firstLineChars="0"/>
        <w:jc w:val="center"/>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表3.</w:t>
      </w:r>
      <w:r>
        <w:rPr>
          <w:rFonts w:hint="default" w:ascii="Times New Roman" w:hAnsi="Times New Roman" w:cs="Times New Roman"/>
          <w:b/>
          <w:color w:val="auto"/>
          <w:kern w:val="0"/>
          <w:sz w:val="24"/>
          <w:szCs w:val="24"/>
          <w:highlight w:val="none"/>
          <w:lang w:val="en-US" w:eastAsia="zh-CN"/>
        </w:rPr>
        <w:t>2</w:t>
      </w:r>
      <w:r>
        <w:rPr>
          <w:rFonts w:hint="default" w:ascii="Times New Roman" w:hAnsi="Times New Roman" w:eastAsia="宋体" w:cs="Times New Roman"/>
          <w:b/>
          <w:color w:val="auto"/>
          <w:kern w:val="0"/>
          <w:sz w:val="24"/>
          <w:szCs w:val="24"/>
          <w:highlight w:val="none"/>
          <w:lang w:val="en-US" w:eastAsia="zh-CN"/>
        </w:rPr>
        <w:t>-</w:t>
      </w:r>
      <w:r>
        <w:rPr>
          <w:rFonts w:hint="default" w:ascii="Times New Roman" w:hAnsi="Times New Roman" w:cs="Times New Roman"/>
          <w:b/>
          <w:color w:val="auto"/>
          <w:kern w:val="0"/>
          <w:sz w:val="24"/>
          <w:szCs w:val="24"/>
          <w:highlight w:val="none"/>
          <w:lang w:val="en-US" w:eastAsia="zh-CN"/>
        </w:rPr>
        <w:t>3</w:t>
      </w:r>
      <w:r>
        <w:rPr>
          <w:rFonts w:hint="default" w:ascii="Times New Roman" w:hAnsi="Times New Roman" w:eastAsia="宋体" w:cs="Times New Roman"/>
          <w:b/>
          <w:color w:val="auto"/>
          <w:kern w:val="0"/>
          <w:sz w:val="24"/>
          <w:szCs w:val="24"/>
          <w:highlight w:val="none"/>
          <w:lang w:val="en-US" w:eastAsia="zh-CN"/>
        </w:rPr>
        <w:t xml:space="preserve">    </w:t>
      </w:r>
      <w:r>
        <w:rPr>
          <w:rFonts w:hint="default" w:ascii="Times New Roman" w:hAnsi="Times New Roman" w:cs="Times New Roman"/>
          <w:b/>
          <w:bCs/>
          <w:color w:val="auto"/>
          <w:kern w:val="0"/>
          <w:highlight w:val="none"/>
        </w:rPr>
        <w:t>Au</w:t>
      </w:r>
      <w:r>
        <w:rPr>
          <w:rFonts w:hint="default" w:ascii="Times New Roman" w:hAnsi="Times New Roman" w:eastAsia="宋体" w:cs="Times New Roman"/>
          <w:b/>
          <w:color w:val="auto"/>
          <w:kern w:val="0"/>
          <w:sz w:val="24"/>
          <w:szCs w:val="24"/>
          <w:highlight w:val="none"/>
          <w:lang w:val="en-US" w:eastAsia="zh-CN"/>
        </w:rPr>
        <w:t>金属平衡表</w:t>
      </w:r>
    </w:p>
    <w:tbl>
      <w:tblPr>
        <w:tblStyle w:val="99"/>
        <w:tblW w:w="5051"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632"/>
        <w:gridCol w:w="2344"/>
        <w:gridCol w:w="2411"/>
        <w:gridCol w:w="2693"/>
      </w:tblGrid>
      <w:tr w14:paraId="37A329D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98" w:type="pct"/>
            <w:tcBorders>
              <w:bottom w:val="single" w:color="000000" w:sz="4" w:space="0"/>
              <w:right w:val="single" w:color="000000" w:sz="4" w:space="0"/>
            </w:tcBorders>
            <w:noWrap w:val="0"/>
            <w:vAlign w:val="center"/>
          </w:tcPr>
          <w:p w14:paraId="7340B8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原料种类</w:t>
            </w:r>
          </w:p>
        </w:tc>
        <w:tc>
          <w:tcPr>
            <w:tcW w:w="1290" w:type="pct"/>
            <w:tcBorders>
              <w:left w:val="single" w:color="000000" w:sz="4" w:space="0"/>
              <w:bottom w:val="single" w:color="000000" w:sz="4" w:space="0"/>
              <w:right w:val="single" w:color="000000" w:sz="4" w:space="0"/>
            </w:tcBorders>
            <w:noWrap w:val="0"/>
            <w:vAlign w:val="center"/>
          </w:tcPr>
          <w:p w14:paraId="7AF0F5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Au投入量</w:t>
            </w:r>
            <w:r>
              <w:rPr>
                <w:rFonts w:hint="default" w:ascii="Times New Roman" w:hAnsi="Times New Roman" w:eastAsia="宋体" w:cs="Times New Roman"/>
                <w:b/>
                <w:bCs/>
                <w:color w:val="auto"/>
                <w:sz w:val="21"/>
                <w:szCs w:val="21"/>
                <w:highlight w:val="none"/>
              </w:rPr>
              <w:t>（t/a）</w:t>
            </w:r>
          </w:p>
        </w:tc>
        <w:tc>
          <w:tcPr>
            <w:tcW w:w="1327" w:type="pct"/>
            <w:tcBorders>
              <w:left w:val="single" w:color="000000" w:sz="4" w:space="0"/>
              <w:bottom w:val="single" w:color="000000" w:sz="4" w:space="0"/>
              <w:right w:val="single" w:color="000000" w:sz="4" w:space="0"/>
            </w:tcBorders>
            <w:noWrap w:val="0"/>
            <w:vAlign w:val="center"/>
          </w:tcPr>
          <w:p w14:paraId="1F4269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p>
        </w:tc>
        <w:tc>
          <w:tcPr>
            <w:tcW w:w="1482" w:type="pct"/>
            <w:tcBorders>
              <w:left w:val="single" w:color="000000" w:sz="4" w:space="0"/>
              <w:bottom w:val="single" w:color="000000" w:sz="4" w:space="0"/>
            </w:tcBorders>
            <w:noWrap w:val="0"/>
            <w:vAlign w:val="center"/>
          </w:tcPr>
          <w:p w14:paraId="2F4737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Au产出量</w:t>
            </w:r>
            <w:r>
              <w:rPr>
                <w:rFonts w:hint="default" w:ascii="Times New Roman" w:hAnsi="Times New Roman" w:eastAsia="宋体" w:cs="Times New Roman"/>
                <w:b/>
                <w:bCs/>
                <w:color w:val="auto"/>
                <w:sz w:val="21"/>
                <w:szCs w:val="21"/>
                <w:highlight w:val="none"/>
              </w:rPr>
              <w:t>（t/a）</w:t>
            </w:r>
          </w:p>
        </w:tc>
      </w:tr>
      <w:tr w14:paraId="74109C3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98" w:type="pct"/>
            <w:vMerge w:val="restart"/>
            <w:tcBorders>
              <w:top w:val="single" w:color="000000" w:sz="4" w:space="0"/>
              <w:right w:val="single" w:color="000000" w:sz="4" w:space="0"/>
            </w:tcBorders>
            <w:noWrap w:val="0"/>
            <w:vAlign w:val="center"/>
          </w:tcPr>
          <w:p w14:paraId="765DBE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原料矿石</w:t>
            </w:r>
          </w:p>
        </w:tc>
        <w:tc>
          <w:tcPr>
            <w:tcW w:w="1290" w:type="pct"/>
            <w:vMerge w:val="restart"/>
            <w:tcBorders>
              <w:top w:val="single" w:color="000000" w:sz="4" w:space="0"/>
              <w:left w:val="single" w:color="000000" w:sz="4" w:space="0"/>
              <w:right w:val="single" w:color="000000" w:sz="4" w:space="0"/>
            </w:tcBorders>
            <w:noWrap w:val="0"/>
            <w:vAlign w:val="center"/>
          </w:tcPr>
          <w:p w14:paraId="24C98C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0.414</w:t>
            </w:r>
          </w:p>
        </w:tc>
        <w:tc>
          <w:tcPr>
            <w:tcW w:w="1327" w:type="pct"/>
            <w:tcBorders>
              <w:top w:val="single" w:color="000000" w:sz="4" w:space="0"/>
              <w:left w:val="single" w:color="000000" w:sz="4" w:space="0"/>
              <w:bottom w:val="single" w:color="000000" w:sz="4" w:space="0"/>
              <w:right w:val="single" w:color="000000" w:sz="4" w:space="0"/>
            </w:tcBorders>
            <w:noWrap w:val="0"/>
            <w:vAlign w:val="center"/>
          </w:tcPr>
          <w:p w14:paraId="1D12AF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金精矿</w:t>
            </w:r>
          </w:p>
        </w:tc>
        <w:tc>
          <w:tcPr>
            <w:tcW w:w="1482" w:type="pct"/>
            <w:tcBorders>
              <w:top w:val="single" w:color="000000" w:sz="4" w:space="0"/>
              <w:left w:val="single" w:color="000000" w:sz="4" w:space="0"/>
              <w:bottom w:val="single" w:color="000000" w:sz="4" w:space="0"/>
            </w:tcBorders>
            <w:noWrap w:val="0"/>
            <w:vAlign w:val="center"/>
          </w:tcPr>
          <w:p w14:paraId="56F74D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0.372</w:t>
            </w:r>
          </w:p>
        </w:tc>
      </w:tr>
      <w:tr w14:paraId="67DBA24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98" w:type="pct"/>
            <w:vMerge w:val="continue"/>
            <w:tcBorders>
              <w:bottom w:val="single" w:color="000000" w:sz="4" w:space="0"/>
              <w:right w:val="single" w:color="000000" w:sz="4" w:space="0"/>
            </w:tcBorders>
            <w:noWrap w:val="0"/>
            <w:vAlign w:val="center"/>
          </w:tcPr>
          <w:p w14:paraId="714DE1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290" w:type="pct"/>
            <w:vMerge w:val="continue"/>
            <w:tcBorders>
              <w:left w:val="single" w:color="000000" w:sz="4" w:space="0"/>
              <w:bottom w:val="single" w:color="000000" w:sz="4" w:space="0"/>
              <w:right w:val="single" w:color="000000" w:sz="4" w:space="0"/>
            </w:tcBorders>
            <w:noWrap w:val="0"/>
            <w:vAlign w:val="center"/>
          </w:tcPr>
          <w:p w14:paraId="15CAFE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327" w:type="pct"/>
            <w:tcBorders>
              <w:top w:val="single" w:color="000000" w:sz="4" w:space="0"/>
              <w:left w:val="single" w:color="000000" w:sz="4" w:space="0"/>
              <w:bottom w:val="single" w:color="000000" w:sz="4" w:space="0"/>
              <w:right w:val="single" w:color="000000" w:sz="4" w:space="0"/>
            </w:tcBorders>
            <w:noWrap w:val="0"/>
            <w:vAlign w:val="center"/>
          </w:tcPr>
          <w:p w14:paraId="60D10C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尾矿</w:t>
            </w:r>
          </w:p>
        </w:tc>
        <w:tc>
          <w:tcPr>
            <w:tcW w:w="1482" w:type="pct"/>
            <w:tcBorders>
              <w:top w:val="single" w:color="000000" w:sz="4" w:space="0"/>
              <w:left w:val="single" w:color="000000" w:sz="4" w:space="0"/>
              <w:bottom w:val="single" w:color="000000" w:sz="4" w:space="0"/>
            </w:tcBorders>
            <w:noWrap w:val="0"/>
            <w:vAlign w:val="center"/>
          </w:tcPr>
          <w:p w14:paraId="1F406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0.042</w:t>
            </w:r>
          </w:p>
        </w:tc>
      </w:tr>
      <w:tr w14:paraId="3B5D52B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898" w:type="pct"/>
            <w:tcBorders>
              <w:top w:val="single" w:color="000000" w:sz="4" w:space="0"/>
              <w:right w:val="single" w:color="000000" w:sz="4" w:space="0"/>
            </w:tcBorders>
            <w:noWrap w:val="0"/>
            <w:vAlign w:val="center"/>
          </w:tcPr>
          <w:p w14:paraId="64A803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小计</w:t>
            </w:r>
          </w:p>
        </w:tc>
        <w:tc>
          <w:tcPr>
            <w:tcW w:w="1290" w:type="pct"/>
            <w:tcBorders>
              <w:top w:val="single" w:color="000000" w:sz="4" w:space="0"/>
              <w:left w:val="single" w:color="000000" w:sz="4" w:space="0"/>
              <w:right w:val="single" w:color="000000" w:sz="4" w:space="0"/>
            </w:tcBorders>
            <w:noWrap w:val="0"/>
            <w:vAlign w:val="center"/>
          </w:tcPr>
          <w:p w14:paraId="5C8166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0.414</w:t>
            </w:r>
          </w:p>
        </w:tc>
        <w:tc>
          <w:tcPr>
            <w:tcW w:w="1327" w:type="pct"/>
            <w:tcBorders>
              <w:top w:val="single" w:color="000000" w:sz="4" w:space="0"/>
              <w:left w:val="single" w:color="000000" w:sz="4" w:space="0"/>
              <w:right w:val="single" w:color="000000" w:sz="4" w:space="0"/>
            </w:tcBorders>
            <w:noWrap w:val="0"/>
            <w:vAlign w:val="center"/>
          </w:tcPr>
          <w:p w14:paraId="41F5C2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小计</w:t>
            </w:r>
          </w:p>
        </w:tc>
        <w:tc>
          <w:tcPr>
            <w:tcW w:w="1482" w:type="pct"/>
            <w:tcBorders>
              <w:top w:val="single" w:color="000000" w:sz="4" w:space="0"/>
              <w:left w:val="single" w:color="000000" w:sz="4" w:space="0"/>
            </w:tcBorders>
            <w:noWrap w:val="0"/>
            <w:vAlign w:val="center"/>
          </w:tcPr>
          <w:p w14:paraId="6DA75F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0.414</w:t>
            </w:r>
          </w:p>
        </w:tc>
      </w:tr>
    </w:tbl>
    <w:p w14:paraId="41996BA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水平衡</w:t>
      </w:r>
    </w:p>
    <w:p w14:paraId="5A08BA6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本项目用水</w:t>
      </w:r>
      <w:r>
        <w:rPr>
          <w:rFonts w:hint="default" w:ascii="Times New Roman" w:hAnsi="Times New Roman" w:cs="Times New Roman"/>
          <w:color w:val="auto"/>
          <w:highlight w:val="none"/>
        </w:rPr>
        <w:t>主要包括生活用水、</w:t>
      </w:r>
      <w:r>
        <w:rPr>
          <w:rFonts w:hint="default" w:ascii="Times New Roman" w:hAnsi="Times New Roman" w:cs="Times New Roman"/>
          <w:color w:val="auto"/>
          <w:highlight w:val="none"/>
          <w:lang w:val="en-US" w:eastAsia="zh-CN"/>
        </w:rPr>
        <w:t>生产用水、降尘冲洗等生产辅助用水及不可预见用水</w:t>
      </w:r>
      <w:r>
        <w:rPr>
          <w:rFonts w:hint="default" w:ascii="Times New Roman" w:hAnsi="Times New Roman" w:cs="Times New Roman"/>
          <w:color w:val="auto"/>
          <w:highlight w:val="none"/>
        </w:rPr>
        <w:t>，本</w:t>
      </w:r>
      <w:r>
        <w:rPr>
          <w:rFonts w:hint="default" w:ascii="Times New Roman" w:hAnsi="Times New Roman" w:cs="Times New Roman"/>
          <w:color w:val="auto"/>
          <w:spacing w:val="-10"/>
          <w:highlight w:val="none"/>
        </w:rPr>
        <w:t>项目</w:t>
      </w:r>
      <w:r>
        <w:rPr>
          <w:rFonts w:hint="default" w:ascii="Times New Roman" w:hAnsi="Times New Roman" w:cs="Times New Roman"/>
          <w:color w:val="auto"/>
          <w:highlight w:val="none"/>
          <w:lang w:val="en-US" w:eastAsia="zh-CN"/>
        </w:rPr>
        <w:t>灌溉期总用水量为972.35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23.3364</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，非灌溉期用水量为</w:t>
      </w:r>
      <w:r>
        <w:rPr>
          <w:rFonts w:hint="default" w:ascii="Times New Roman" w:hAnsi="Times New Roman" w:cs="Times New Roman"/>
          <w:color w:val="auto"/>
          <w:spacing w:val="-10"/>
          <w:highlight w:val="none"/>
          <w:lang w:val="en-US" w:eastAsia="zh-CN"/>
        </w:rPr>
        <w:t>932.35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22.3764</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10"/>
          <w:highlight w:val="none"/>
        </w:rPr>
        <w:t>新鲜水用水量为</w:t>
      </w:r>
      <w:r>
        <w:rPr>
          <w:rFonts w:hint="default" w:ascii="Times New Roman" w:hAnsi="Times New Roman" w:cs="Times New Roman"/>
          <w:color w:val="auto"/>
          <w:spacing w:val="-10"/>
          <w:highlight w:val="none"/>
          <w:lang w:val="en-US" w:eastAsia="zh-CN"/>
        </w:rPr>
        <w:t>80.804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1.9393</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。本项目生活用水量约1</w:t>
      </w:r>
      <w:r>
        <w:rPr>
          <w:rFonts w:hint="default" w:ascii="Times New Roman" w:hAnsi="Times New Roman" w:cs="Times New Roman"/>
          <w:color w:val="auto"/>
          <w:highlight w:val="none"/>
          <w:lang w:val="en-US" w:eastAsia="zh-CN"/>
        </w:rPr>
        <w:t>0.3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/a），均取自新鲜水；选矿工艺</w:t>
      </w:r>
      <w:r>
        <w:rPr>
          <w:rFonts w:hint="eastAsia" w:ascii="Times New Roman" w:hAnsi="Times New Roman" w:cs="Times New Roman"/>
          <w:color w:val="auto"/>
          <w:highlight w:val="none"/>
          <w:lang w:val="en-US" w:eastAsia="zh-CN"/>
        </w:rPr>
        <w:t>用水量</w:t>
      </w:r>
      <w:r>
        <w:rPr>
          <w:rFonts w:hint="default" w:ascii="Times New Roman" w:hAnsi="Times New Roman" w:cs="Times New Roman"/>
          <w:color w:val="auto"/>
          <w:highlight w:val="none"/>
          <w:lang w:val="en-US" w:eastAsia="zh-CN"/>
        </w:rPr>
        <w:t>828.05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19.3210</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highlight w:val="none"/>
          <w:lang w:val="en-US" w:eastAsia="zh-CN"/>
        </w:rPr>
        <w:t>其中</w:t>
      </w:r>
      <w:r>
        <w:rPr>
          <w:rFonts w:hint="default" w:ascii="Times New Roman" w:hAnsi="Times New Roman" w:cs="Times New Roman"/>
          <w:color w:val="auto"/>
          <w:highlight w:val="none"/>
        </w:rPr>
        <w:t>回用水量</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补充水量238.698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5.7288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/a）来自</w:t>
      </w:r>
      <w:r>
        <w:rPr>
          <w:rFonts w:hint="default" w:ascii="Times New Roman" w:hAnsi="Times New Roman" w:cs="Times New Roman"/>
          <w:color w:val="auto"/>
          <w:highlight w:val="none"/>
          <w:lang w:val="en-US" w:eastAsia="zh-CN"/>
        </w:rPr>
        <w:t>15万吨/年</w:t>
      </w:r>
      <w:r>
        <w:rPr>
          <w:rFonts w:hint="default" w:ascii="Times New Roman" w:hAnsi="Times New Roman" w:cs="Times New Roman"/>
          <w:color w:val="auto"/>
          <w:highlight w:val="none"/>
        </w:rPr>
        <w:t>采矿工程矿井涌水；</w:t>
      </w:r>
      <w:r>
        <w:rPr>
          <w:rFonts w:hint="default" w:ascii="Times New Roman" w:hAnsi="Times New Roman" w:cs="Times New Roman"/>
          <w:color w:val="auto"/>
          <w:highlight w:val="none"/>
          <w:lang w:val="en-US" w:eastAsia="zh-CN"/>
        </w:rPr>
        <w:t>生产辅助</w:t>
      </w:r>
      <w:r>
        <w:rPr>
          <w:rFonts w:hint="default" w:ascii="Times New Roman" w:hAnsi="Times New Roman" w:cs="Times New Roman"/>
          <w:color w:val="auto"/>
          <w:highlight w:val="none"/>
        </w:rPr>
        <w:t>用水量为</w:t>
      </w:r>
      <w:r>
        <w:rPr>
          <w:rFonts w:hint="default" w:ascii="Times New Roman" w:hAnsi="Times New Roman" w:cs="Times New Roman"/>
          <w:color w:val="auto"/>
          <w:highlight w:val="none"/>
          <w:lang w:val="en-US" w:eastAsia="zh-CN" w:bidi="ar"/>
        </w:rPr>
        <w:t>64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1.56</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其中56.904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8.5657</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来自于15万吨/年</w:t>
      </w:r>
      <w:r>
        <w:rPr>
          <w:rFonts w:hint="default" w:ascii="Times New Roman" w:hAnsi="Times New Roman" w:cs="Times New Roman"/>
          <w:color w:val="auto"/>
          <w:highlight w:val="none"/>
        </w:rPr>
        <w:t>采矿工程矿井涌水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其余部分</w:t>
      </w:r>
      <w:r>
        <w:rPr>
          <w:rFonts w:hint="default" w:cs="Times New Roman"/>
          <w:color w:val="auto"/>
          <w:highlight w:val="none"/>
          <w:lang w:val="en-US" w:eastAsia="zh-CN"/>
        </w:rPr>
        <w:t>来自于</w:t>
      </w:r>
      <w:r>
        <w:rPr>
          <w:rFonts w:hint="eastAsia" w:cs="Times New Roman"/>
          <w:color w:val="auto"/>
          <w:highlight w:val="none"/>
          <w:lang w:val="en-US" w:eastAsia="zh-CN"/>
        </w:rPr>
        <w:t>工业园区</w:t>
      </w:r>
      <w:r>
        <w:rPr>
          <w:rFonts w:hint="default" w:ascii="Times New Roman" w:hAnsi="Times New Roman" w:cs="Times New Roman"/>
          <w:color w:val="auto"/>
          <w:highlight w:val="none"/>
          <w:lang w:val="en-US" w:eastAsia="zh-CN"/>
        </w:rPr>
        <w:t>供水</w:t>
      </w:r>
      <w:r>
        <w:rPr>
          <w:rFonts w:hint="default" w:ascii="Times New Roman" w:hAnsi="Times New Roman" w:cs="Times New Roman"/>
          <w:color w:val="auto"/>
          <w:highlight w:val="none"/>
        </w:rPr>
        <w:t>；灌溉期绿化用水量</w:t>
      </w:r>
      <w:r>
        <w:rPr>
          <w:rFonts w:hint="default" w:ascii="Times New Roman" w:hAnsi="Times New Roman" w:cs="Times New Roman"/>
          <w:color w:val="auto"/>
          <w:highlight w:val="none"/>
          <w:lang w:val="en-US" w:eastAsia="zh-CN"/>
        </w:rPr>
        <w:t>40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/a），生活污水处理设施尾水回用量为</w:t>
      </w:r>
      <w:r>
        <w:rPr>
          <w:rFonts w:hint="default" w:ascii="Times New Roman" w:hAnsi="Times New Roman" w:cs="Times New Roman"/>
          <w:color w:val="auto"/>
          <w:highlight w:val="none"/>
          <w:lang w:val="en-US" w:eastAsia="zh-CN" w:bidi="ar"/>
        </w:rPr>
        <w:t>6.592m</w:t>
      </w:r>
      <w:r>
        <w:rPr>
          <w:rFonts w:hint="default" w:ascii="Times New Roman" w:hAnsi="Times New Roman" w:cs="Times New Roman"/>
          <w:color w:val="auto"/>
          <w:highlight w:val="none"/>
          <w:vertAlign w:val="superscript"/>
          <w:lang w:val="en-US" w:eastAsia="zh-CN" w:bidi="ar"/>
        </w:rPr>
        <w:t>3</w:t>
      </w:r>
      <w:r>
        <w:rPr>
          <w:rFonts w:hint="default" w:ascii="Times New Roman" w:hAnsi="Times New Roman" w:cs="Times New Roman"/>
          <w:color w:val="auto"/>
          <w:highlight w:val="none"/>
          <w:lang w:val="en-US" w:eastAsia="zh-CN" w:bidi="ar"/>
        </w:rPr>
        <w:t>/d（0.1582m</w:t>
      </w:r>
      <w:r>
        <w:rPr>
          <w:rFonts w:hint="default" w:ascii="Times New Roman" w:hAnsi="Times New Roman" w:cs="Times New Roman"/>
          <w:color w:val="auto"/>
          <w:highlight w:val="none"/>
          <w:vertAlign w:val="superscript"/>
          <w:lang w:val="en-US" w:eastAsia="zh-CN" w:bidi="ar"/>
        </w:rPr>
        <w:t>3</w:t>
      </w:r>
      <w:r>
        <w:rPr>
          <w:rFonts w:hint="default" w:ascii="Times New Roman" w:hAnsi="Times New Roman" w:cs="Times New Roman"/>
          <w:color w:val="auto"/>
          <w:highlight w:val="none"/>
          <w:lang w:val="en-US" w:eastAsia="zh-CN" w:bidi="ar"/>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补充水量</w:t>
      </w:r>
      <w:r>
        <w:rPr>
          <w:rFonts w:hint="default" w:ascii="Times New Roman" w:hAnsi="Times New Roman" w:cs="Times New Roman"/>
          <w:color w:val="auto"/>
          <w:highlight w:val="none"/>
          <w:lang w:val="en-US" w:eastAsia="zh-CN" w:bidi="ar"/>
        </w:rPr>
        <w:t>33.406m</w:t>
      </w:r>
      <w:r>
        <w:rPr>
          <w:rFonts w:hint="default" w:ascii="Times New Roman" w:hAnsi="Times New Roman" w:cs="Times New Roman"/>
          <w:color w:val="auto"/>
          <w:highlight w:val="none"/>
          <w:vertAlign w:val="superscript"/>
          <w:lang w:val="en-US" w:eastAsia="zh-CN" w:bidi="ar"/>
        </w:rPr>
        <w:t>3</w:t>
      </w:r>
      <w:r>
        <w:rPr>
          <w:rFonts w:hint="default" w:ascii="Times New Roman" w:hAnsi="Times New Roman" w:cs="Times New Roman"/>
          <w:color w:val="auto"/>
          <w:highlight w:val="none"/>
          <w:lang w:val="en-US" w:eastAsia="zh-CN" w:bidi="ar"/>
        </w:rPr>
        <w:t>/d（0.8018m</w:t>
      </w:r>
      <w:r>
        <w:rPr>
          <w:rFonts w:hint="default" w:ascii="Times New Roman" w:hAnsi="Times New Roman" w:cs="Times New Roman"/>
          <w:color w:val="auto"/>
          <w:highlight w:val="none"/>
          <w:vertAlign w:val="superscript"/>
          <w:lang w:val="en-US" w:eastAsia="zh-CN" w:bidi="ar"/>
        </w:rPr>
        <w:t>3</w:t>
      </w:r>
      <w:r>
        <w:rPr>
          <w:rFonts w:hint="default" w:ascii="Times New Roman" w:hAnsi="Times New Roman" w:cs="Times New Roman"/>
          <w:color w:val="auto"/>
          <w:highlight w:val="none"/>
          <w:lang w:val="en-US" w:eastAsia="zh-CN" w:bidi="ar"/>
        </w:rPr>
        <w:t>/a）</w:t>
      </w:r>
      <w:r>
        <w:rPr>
          <w:rFonts w:hint="default" w:ascii="Times New Roman" w:hAnsi="Times New Roman" w:cs="Times New Roman"/>
          <w:color w:val="auto"/>
          <w:highlight w:val="none"/>
        </w:rPr>
        <w:t>来自</w:t>
      </w:r>
      <w:r>
        <w:rPr>
          <w:rFonts w:hint="default" w:ascii="Times New Roman" w:hAnsi="Times New Roman" w:cs="Times New Roman"/>
          <w:color w:val="auto"/>
          <w:highlight w:val="none"/>
          <w:lang w:val="en-US" w:eastAsia="zh-CN"/>
        </w:rPr>
        <w:t>于</w:t>
      </w:r>
      <w:r>
        <w:rPr>
          <w:rFonts w:hint="eastAsia" w:cs="Times New Roman"/>
          <w:color w:val="auto"/>
          <w:highlight w:val="none"/>
          <w:lang w:val="en-US" w:eastAsia="zh-CN"/>
        </w:rPr>
        <w:t>工业园区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不可预见</w:t>
      </w:r>
      <w:r>
        <w:rPr>
          <w:rFonts w:hint="default" w:ascii="Times New Roman" w:hAnsi="Times New Roman" w:cs="Times New Roman"/>
          <w:color w:val="auto"/>
          <w:highlight w:val="none"/>
        </w:rPr>
        <w:t>用水量</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均来自于</w:t>
      </w:r>
      <w:r>
        <w:rPr>
          <w:rFonts w:hint="eastAsia" w:cs="Times New Roman"/>
          <w:color w:val="auto"/>
          <w:highlight w:val="none"/>
          <w:lang w:val="en-US" w:eastAsia="zh-CN"/>
        </w:rPr>
        <w:t>工业园区</w:t>
      </w:r>
      <w:r>
        <w:rPr>
          <w:rFonts w:hint="default" w:ascii="Times New Roman" w:hAnsi="Times New Roman" w:cs="Times New Roman"/>
          <w:color w:val="auto"/>
          <w:highlight w:val="none"/>
        </w:rPr>
        <w:t>。</w:t>
      </w:r>
    </w:p>
    <w:p w14:paraId="6E6B3AF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本项目运营期废水总量为</w:t>
      </w:r>
      <w:r>
        <w:rPr>
          <w:rFonts w:hint="default" w:ascii="Times New Roman" w:hAnsi="Times New Roman" w:cs="Times New Roman"/>
          <w:color w:val="auto"/>
          <w:highlight w:val="none"/>
          <w:lang w:val="en-US" w:eastAsia="zh-CN"/>
        </w:rPr>
        <w:t>597.592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d（14.3422万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。生活污水量约</w:t>
      </w:r>
      <w:r>
        <w:rPr>
          <w:rFonts w:hint="default" w:ascii="Times New Roman" w:hAnsi="Times New Roman" w:cs="Times New Roman"/>
          <w:color w:val="auto"/>
          <w:highlight w:val="none"/>
          <w:lang w:val="en-US" w:eastAsia="zh-CN"/>
        </w:rPr>
        <w:t>8.24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1978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/a）。选矿废水包括精矿过滤水、尾矿浓缩压滤溢流水、尾矿含水，废水量约为</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/a），选矿废水“闭路循环”，不外排。</w:t>
      </w:r>
    </w:p>
    <w:p w14:paraId="7D5B5787">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本项目主要为生产用水及生活用水</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本项目水平衡见表3.</w:t>
      </w:r>
      <w:r>
        <w:rPr>
          <w:rFonts w:hint="default"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4及3.2-5，</w:t>
      </w:r>
      <w:r>
        <w:rPr>
          <w:rFonts w:hint="default" w:ascii="Times New Roman" w:hAnsi="Times New Roman" w:cs="Times New Roman"/>
          <w:color w:val="auto"/>
          <w:highlight w:val="none"/>
        </w:rPr>
        <w:t>本项目水平衡情况见图3.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61E04BC6">
      <w:pPr>
        <w:ind w:firstLine="0" w:firstLineChars="0"/>
        <w:jc w:val="center"/>
        <w:rPr>
          <w:rFonts w:hint="default" w:ascii="Times New Roman" w:hAnsi="Times New Roman" w:cs="Times New Roman"/>
          <w:b/>
          <w:bCs/>
          <w:color w:val="auto"/>
          <w:kern w:val="0"/>
          <w:highlight w:val="none"/>
        </w:rPr>
      </w:pPr>
    </w:p>
    <w:p w14:paraId="7A8E441D">
      <w:pPr>
        <w:ind w:firstLine="0" w:firstLineChars="0"/>
        <w:jc w:val="center"/>
        <w:rPr>
          <w:rFonts w:hint="default" w:ascii="Times New Roman" w:hAnsi="Times New Roman" w:eastAsia="宋体" w:cs="Times New Roman"/>
          <w:b/>
          <w:bCs/>
          <w:color w:val="auto"/>
          <w:kern w:val="0"/>
          <w:highlight w:val="none"/>
          <w:lang w:val="en-US" w:eastAsia="zh-CN"/>
        </w:rPr>
      </w:pPr>
      <w:r>
        <w:rPr>
          <w:rFonts w:hint="default" w:ascii="Times New Roman" w:hAnsi="Times New Roman" w:cs="Times New Roman"/>
          <w:b/>
          <w:bCs/>
          <w:color w:val="auto"/>
          <w:kern w:val="0"/>
          <w:highlight w:val="none"/>
        </w:rPr>
        <w:t>表3.</w:t>
      </w:r>
      <w:r>
        <w:rPr>
          <w:rFonts w:hint="default" w:ascii="Times New Roman" w:hAnsi="Times New Roman" w:cs="Times New Roman"/>
          <w:b/>
          <w:bCs/>
          <w:color w:val="auto"/>
          <w:kern w:val="0"/>
          <w:highlight w:val="none"/>
          <w:lang w:val="en-US" w:eastAsia="zh-CN"/>
        </w:rPr>
        <w:t>3</w:t>
      </w:r>
      <w:r>
        <w:rPr>
          <w:rFonts w:hint="default" w:ascii="Times New Roman" w:hAnsi="Times New Roman" w:cs="Times New Roman"/>
          <w:b/>
          <w:bCs/>
          <w:color w:val="auto"/>
          <w:kern w:val="0"/>
          <w:highlight w:val="none"/>
        </w:rPr>
        <w:t>-</w:t>
      </w:r>
      <w:r>
        <w:rPr>
          <w:rFonts w:hint="default" w:ascii="Times New Roman" w:hAnsi="Times New Roman" w:cs="Times New Roman"/>
          <w:b/>
          <w:bCs/>
          <w:color w:val="auto"/>
          <w:kern w:val="0"/>
          <w:highlight w:val="none"/>
          <w:lang w:val="en-US" w:eastAsia="zh-CN"/>
        </w:rPr>
        <w:t>4</w:t>
      </w:r>
      <w:r>
        <w:rPr>
          <w:rFonts w:hint="default" w:ascii="Times New Roman" w:hAnsi="Times New Roman" w:cs="Times New Roman"/>
          <w:b/>
          <w:bCs/>
          <w:color w:val="auto"/>
          <w:kern w:val="0"/>
          <w:highlight w:val="none"/>
        </w:rPr>
        <w:t xml:space="preserve">   </w:t>
      </w:r>
      <w:r>
        <w:rPr>
          <w:rFonts w:hint="default" w:ascii="Times New Roman" w:hAnsi="Times New Roman" w:cs="Times New Roman"/>
          <w:b/>
          <w:bCs/>
          <w:color w:val="auto"/>
          <w:kern w:val="0"/>
          <w:highlight w:val="none"/>
          <w:lang w:eastAsia="zh-CN"/>
        </w:rPr>
        <w:t>项目区</w:t>
      </w:r>
      <w:r>
        <w:rPr>
          <w:rFonts w:hint="default" w:ascii="Times New Roman" w:hAnsi="Times New Roman" w:cs="Times New Roman"/>
          <w:b/>
          <w:bCs/>
          <w:color w:val="auto"/>
          <w:kern w:val="0"/>
          <w:highlight w:val="none"/>
          <w:lang w:val="en-US" w:eastAsia="zh-CN"/>
        </w:rPr>
        <w:t>水平衡</w:t>
      </w:r>
      <w:r>
        <w:rPr>
          <w:rFonts w:hint="default" w:ascii="Times New Roman" w:hAnsi="Times New Roman" w:cs="Times New Roman"/>
          <w:b/>
          <w:bCs/>
          <w:color w:val="auto"/>
          <w:kern w:val="0"/>
          <w:highlight w:val="none"/>
        </w:rPr>
        <w:t>表</w:t>
      </w:r>
      <w:r>
        <w:rPr>
          <w:rFonts w:hint="default" w:ascii="Times New Roman" w:hAnsi="Times New Roman" w:cs="Times New Roman"/>
          <w:b/>
          <w:bCs/>
          <w:color w:val="auto"/>
          <w:kern w:val="0"/>
          <w:highlight w:val="none"/>
          <w:lang w:eastAsia="zh-CN"/>
        </w:rPr>
        <w:t>（</w:t>
      </w:r>
      <w:r>
        <w:rPr>
          <w:rFonts w:hint="default" w:ascii="Times New Roman" w:hAnsi="Times New Roman" w:cs="Times New Roman"/>
          <w:b/>
          <w:bCs/>
          <w:color w:val="auto"/>
          <w:kern w:val="0"/>
          <w:highlight w:val="none"/>
          <w:lang w:val="en-US" w:eastAsia="zh-CN"/>
        </w:rPr>
        <w:t>灌溉季</w:t>
      </w:r>
      <w:r>
        <w:rPr>
          <w:rFonts w:hint="default" w:ascii="Times New Roman" w:hAnsi="Times New Roman" w:cs="Times New Roman"/>
          <w:b/>
          <w:bCs/>
          <w:color w:val="auto"/>
          <w:kern w:val="0"/>
          <w:highlight w:val="none"/>
          <w:lang w:eastAsia="zh-CN"/>
        </w:rPr>
        <w:t>）</w:t>
      </w:r>
      <w:r>
        <w:rPr>
          <w:rFonts w:hint="default" w:ascii="Times New Roman" w:hAnsi="Times New Roman" w:cs="Times New Roman"/>
          <w:b/>
          <w:bCs/>
          <w:color w:val="auto"/>
          <w:kern w:val="0"/>
          <w:highlight w:val="none"/>
          <w:lang w:val="en-US" w:eastAsia="zh-CN"/>
        </w:rPr>
        <w:t xml:space="preserve">       单位：m</w:t>
      </w:r>
      <w:r>
        <w:rPr>
          <w:rFonts w:hint="default" w:ascii="Times New Roman" w:hAnsi="Times New Roman" w:cs="Times New Roman"/>
          <w:b/>
          <w:bCs/>
          <w:color w:val="auto"/>
          <w:kern w:val="0"/>
          <w:highlight w:val="none"/>
          <w:vertAlign w:val="superscript"/>
          <w:lang w:val="en-US" w:eastAsia="zh-CN"/>
        </w:rPr>
        <w:t>3</w:t>
      </w:r>
      <w:r>
        <w:rPr>
          <w:rFonts w:hint="default" w:ascii="Times New Roman" w:hAnsi="Times New Roman" w:cs="Times New Roman"/>
          <w:b/>
          <w:bCs/>
          <w:color w:val="auto"/>
          <w:kern w:val="0"/>
          <w:highlight w:val="none"/>
          <w:lang w:val="en-US" w:eastAsia="zh-CN"/>
        </w:rPr>
        <w:t>/d</w:t>
      </w:r>
    </w:p>
    <w:tbl>
      <w:tblPr>
        <w:tblStyle w:val="33"/>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684"/>
        <w:gridCol w:w="1183"/>
        <w:gridCol w:w="1101"/>
        <w:gridCol w:w="1060"/>
        <w:gridCol w:w="2126"/>
        <w:gridCol w:w="1170"/>
      </w:tblGrid>
      <w:tr w14:paraId="22204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378" w:type="pct"/>
            <w:gridSpan w:val="2"/>
            <w:noWrap w:val="0"/>
            <w:vAlign w:val="center"/>
          </w:tcPr>
          <w:p w14:paraId="3C91926E">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用水类型</w:t>
            </w:r>
          </w:p>
        </w:tc>
        <w:tc>
          <w:tcPr>
            <w:tcW w:w="645" w:type="pct"/>
            <w:noWrap w:val="0"/>
            <w:vAlign w:val="center"/>
          </w:tcPr>
          <w:p w14:paraId="0789212A">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用水量</w:t>
            </w:r>
          </w:p>
        </w:tc>
        <w:tc>
          <w:tcPr>
            <w:tcW w:w="600" w:type="pct"/>
            <w:noWrap w:val="0"/>
            <w:vAlign w:val="center"/>
          </w:tcPr>
          <w:p w14:paraId="5BEC1E81">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消耗量</w:t>
            </w:r>
          </w:p>
        </w:tc>
        <w:tc>
          <w:tcPr>
            <w:tcW w:w="578" w:type="pct"/>
            <w:noWrap w:val="0"/>
            <w:vAlign w:val="center"/>
          </w:tcPr>
          <w:p w14:paraId="3D3A3864">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废水量</w:t>
            </w:r>
          </w:p>
        </w:tc>
        <w:tc>
          <w:tcPr>
            <w:tcW w:w="1159" w:type="pct"/>
            <w:noWrap w:val="0"/>
            <w:vAlign w:val="center"/>
          </w:tcPr>
          <w:p w14:paraId="2BDC23C5">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废水去向</w:t>
            </w:r>
          </w:p>
        </w:tc>
        <w:tc>
          <w:tcPr>
            <w:tcW w:w="638" w:type="pct"/>
            <w:noWrap w:val="0"/>
            <w:vAlign w:val="center"/>
          </w:tcPr>
          <w:p w14:paraId="7A8A95CA">
            <w:pPr>
              <w:spacing w:line="36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highlight w:val="none"/>
                <w:lang w:val="en-US" w:eastAsia="zh-CN"/>
              </w:rPr>
              <w:t>水利用率</w:t>
            </w:r>
          </w:p>
        </w:tc>
      </w:tr>
      <w:tr w14:paraId="54DBF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460" w:type="pct"/>
            <w:vMerge w:val="restart"/>
            <w:noWrap w:val="0"/>
            <w:vAlign w:val="center"/>
          </w:tcPr>
          <w:p w14:paraId="48C22FC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生产</w:t>
            </w:r>
          </w:p>
        </w:tc>
        <w:tc>
          <w:tcPr>
            <w:tcW w:w="917" w:type="pct"/>
            <w:noWrap w:val="0"/>
            <w:vAlign w:val="center"/>
          </w:tcPr>
          <w:p w14:paraId="7ADF16D3">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选矿用水</w:t>
            </w:r>
          </w:p>
        </w:tc>
        <w:tc>
          <w:tcPr>
            <w:tcW w:w="1183" w:type="dxa"/>
            <w:noWrap w:val="0"/>
            <w:vAlign w:val="center"/>
          </w:tcPr>
          <w:p w14:paraId="72FB63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828.05</w:t>
            </w:r>
          </w:p>
        </w:tc>
        <w:tc>
          <w:tcPr>
            <w:tcW w:w="1101" w:type="dxa"/>
            <w:noWrap w:val="0"/>
            <w:vAlign w:val="center"/>
          </w:tcPr>
          <w:p w14:paraId="4EDC0A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238.698</w:t>
            </w:r>
          </w:p>
        </w:tc>
        <w:tc>
          <w:tcPr>
            <w:tcW w:w="1060" w:type="dxa"/>
            <w:noWrap w:val="0"/>
            <w:vAlign w:val="center"/>
          </w:tcPr>
          <w:p w14:paraId="1A8D16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589.352</w:t>
            </w:r>
          </w:p>
        </w:tc>
        <w:tc>
          <w:tcPr>
            <w:tcW w:w="1159" w:type="pct"/>
            <w:noWrap w:val="0"/>
            <w:vAlign w:val="center"/>
          </w:tcPr>
          <w:p w14:paraId="0C7D47A9">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排入</w:t>
            </w:r>
            <w:r>
              <w:rPr>
                <w:rFonts w:hint="default" w:ascii="Times New Roman" w:hAnsi="Times New Roman" w:cs="Times New Roman"/>
                <w:color w:val="auto"/>
                <w:sz w:val="21"/>
                <w:highlight w:val="none"/>
                <w:lang w:eastAsia="zh-CN"/>
              </w:rPr>
              <w:t>选矿生产回水池</w:t>
            </w:r>
            <w:r>
              <w:rPr>
                <w:rFonts w:hint="default" w:ascii="Times New Roman" w:hAnsi="Times New Roman" w:cs="Times New Roman"/>
                <w:color w:val="auto"/>
                <w:sz w:val="21"/>
                <w:highlight w:val="none"/>
              </w:rPr>
              <w:t>，回用于选矿</w:t>
            </w:r>
            <w:r>
              <w:rPr>
                <w:rFonts w:hint="default" w:ascii="Times New Roman" w:hAnsi="Times New Roman" w:cs="Times New Roman"/>
                <w:color w:val="auto"/>
                <w:sz w:val="21"/>
                <w:highlight w:val="none"/>
                <w:lang w:eastAsia="zh-CN"/>
              </w:rPr>
              <w:t>工艺</w:t>
            </w:r>
          </w:p>
        </w:tc>
        <w:tc>
          <w:tcPr>
            <w:tcW w:w="638" w:type="pct"/>
            <w:noWrap w:val="0"/>
            <w:vAlign w:val="center"/>
          </w:tcPr>
          <w:p w14:paraId="4CFAE01F">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100%</w:t>
            </w:r>
          </w:p>
        </w:tc>
      </w:tr>
      <w:tr w14:paraId="19F3A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60" w:type="pct"/>
            <w:vMerge w:val="continue"/>
            <w:noWrap w:val="0"/>
            <w:vAlign w:val="center"/>
          </w:tcPr>
          <w:p w14:paraId="643CA326">
            <w:pPr>
              <w:spacing w:line="360" w:lineRule="exact"/>
              <w:ind w:firstLine="0" w:firstLineChars="0"/>
              <w:jc w:val="center"/>
              <w:rPr>
                <w:rFonts w:hint="default" w:ascii="Times New Roman" w:hAnsi="Times New Roman" w:cs="Times New Roman"/>
                <w:color w:val="auto"/>
                <w:sz w:val="21"/>
                <w:highlight w:val="none"/>
              </w:rPr>
            </w:pPr>
          </w:p>
        </w:tc>
        <w:tc>
          <w:tcPr>
            <w:tcW w:w="917" w:type="pct"/>
            <w:noWrap w:val="0"/>
            <w:vAlign w:val="center"/>
          </w:tcPr>
          <w:p w14:paraId="411D9ECC">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辅助用水</w:t>
            </w:r>
          </w:p>
        </w:tc>
        <w:tc>
          <w:tcPr>
            <w:tcW w:w="1183" w:type="dxa"/>
            <w:noWrap w:val="0"/>
            <w:vAlign w:val="center"/>
          </w:tcPr>
          <w:p w14:paraId="5D33BF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101" w:type="dxa"/>
            <w:noWrap w:val="0"/>
            <w:vAlign w:val="center"/>
          </w:tcPr>
          <w:p w14:paraId="328A9B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060" w:type="dxa"/>
            <w:noWrap w:val="0"/>
            <w:vAlign w:val="center"/>
          </w:tcPr>
          <w:p w14:paraId="659D5E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159" w:type="pct"/>
            <w:noWrap w:val="0"/>
            <w:vAlign w:val="center"/>
          </w:tcPr>
          <w:p w14:paraId="71A99432">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全部损耗</w:t>
            </w:r>
          </w:p>
        </w:tc>
        <w:tc>
          <w:tcPr>
            <w:tcW w:w="638" w:type="pct"/>
            <w:noWrap w:val="0"/>
            <w:vAlign w:val="center"/>
          </w:tcPr>
          <w:p w14:paraId="6D9B6760">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100%</w:t>
            </w:r>
          </w:p>
        </w:tc>
      </w:tr>
      <w:tr w14:paraId="584B3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8" w:type="pct"/>
            <w:gridSpan w:val="2"/>
            <w:noWrap w:val="0"/>
            <w:vAlign w:val="center"/>
          </w:tcPr>
          <w:p w14:paraId="6F77D8FD">
            <w:pPr>
              <w:spacing w:line="360" w:lineRule="exact"/>
              <w:ind w:firstLine="0" w:firstLineChars="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val="en-US" w:eastAsia="zh-CN"/>
              </w:rPr>
              <w:t>合计</w:t>
            </w:r>
          </w:p>
        </w:tc>
        <w:tc>
          <w:tcPr>
            <w:tcW w:w="1183" w:type="dxa"/>
            <w:noWrap w:val="0"/>
            <w:vAlign w:val="center"/>
          </w:tcPr>
          <w:p w14:paraId="57EED7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892.05</w:t>
            </w:r>
          </w:p>
        </w:tc>
        <w:tc>
          <w:tcPr>
            <w:tcW w:w="1101" w:type="dxa"/>
            <w:noWrap w:val="0"/>
            <w:vAlign w:val="center"/>
          </w:tcPr>
          <w:p w14:paraId="214BD1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302.698</w:t>
            </w:r>
          </w:p>
        </w:tc>
        <w:tc>
          <w:tcPr>
            <w:tcW w:w="1060" w:type="dxa"/>
            <w:noWrap w:val="0"/>
            <w:vAlign w:val="center"/>
          </w:tcPr>
          <w:p w14:paraId="62785C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589.352</w:t>
            </w:r>
          </w:p>
        </w:tc>
        <w:tc>
          <w:tcPr>
            <w:tcW w:w="1159" w:type="pct"/>
            <w:noWrap w:val="0"/>
            <w:vAlign w:val="center"/>
          </w:tcPr>
          <w:p w14:paraId="49034A98">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638" w:type="pct"/>
            <w:noWrap w:val="0"/>
            <w:vAlign w:val="center"/>
          </w:tcPr>
          <w:p w14:paraId="1045B50E">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100%</w:t>
            </w:r>
          </w:p>
        </w:tc>
      </w:tr>
      <w:tr w14:paraId="53B84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noWrap w:val="0"/>
            <w:vAlign w:val="center"/>
          </w:tcPr>
          <w:p w14:paraId="56FFDF4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生活</w:t>
            </w:r>
          </w:p>
        </w:tc>
        <w:tc>
          <w:tcPr>
            <w:tcW w:w="917" w:type="pct"/>
            <w:noWrap w:val="0"/>
            <w:vAlign w:val="center"/>
          </w:tcPr>
          <w:p w14:paraId="53E4565C">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生活用水</w:t>
            </w:r>
          </w:p>
        </w:tc>
        <w:tc>
          <w:tcPr>
            <w:tcW w:w="1183" w:type="dxa"/>
            <w:noWrap w:val="0"/>
            <w:vAlign w:val="center"/>
          </w:tcPr>
          <w:p w14:paraId="54ED20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10.3</w:t>
            </w:r>
          </w:p>
        </w:tc>
        <w:tc>
          <w:tcPr>
            <w:tcW w:w="1101" w:type="dxa"/>
            <w:noWrap w:val="0"/>
            <w:vAlign w:val="center"/>
          </w:tcPr>
          <w:p w14:paraId="5EEB2F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2.06</w:t>
            </w:r>
          </w:p>
        </w:tc>
        <w:tc>
          <w:tcPr>
            <w:tcW w:w="1060" w:type="dxa"/>
            <w:noWrap w:val="0"/>
            <w:vAlign w:val="center"/>
          </w:tcPr>
          <w:p w14:paraId="2B828C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8.24</w:t>
            </w:r>
          </w:p>
        </w:tc>
        <w:tc>
          <w:tcPr>
            <w:tcW w:w="1159" w:type="pct"/>
            <w:noWrap w:val="0"/>
            <w:vAlign w:val="center"/>
          </w:tcPr>
          <w:p w14:paraId="08660027">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用于项目区绿化</w:t>
            </w:r>
          </w:p>
        </w:tc>
        <w:tc>
          <w:tcPr>
            <w:tcW w:w="638" w:type="pct"/>
            <w:noWrap w:val="0"/>
            <w:vAlign w:val="center"/>
          </w:tcPr>
          <w:p w14:paraId="7D3E354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100%</w:t>
            </w:r>
          </w:p>
        </w:tc>
      </w:tr>
      <w:tr w14:paraId="4F749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noWrap w:val="0"/>
            <w:vAlign w:val="center"/>
          </w:tcPr>
          <w:p w14:paraId="3470CAC6">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绿化</w:t>
            </w:r>
          </w:p>
        </w:tc>
        <w:tc>
          <w:tcPr>
            <w:tcW w:w="917" w:type="pct"/>
            <w:noWrap w:val="0"/>
            <w:vAlign w:val="center"/>
          </w:tcPr>
          <w:p w14:paraId="618474C4">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绿化用水</w:t>
            </w:r>
          </w:p>
        </w:tc>
        <w:tc>
          <w:tcPr>
            <w:tcW w:w="1183" w:type="dxa"/>
            <w:noWrap w:val="0"/>
            <w:vAlign w:val="center"/>
          </w:tcPr>
          <w:p w14:paraId="5E954C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101" w:type="dxa"/>
            <w:noWrap w:val="0"/>
            <w:vAlign w:val="center"/>
          </w:tcPr>
          <w:p w14:paraId="565F70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060" w:type="dxa"/>
            <w:noWrap w:val="0"/>
            <w:vAlign w:val="center"/>
          </w:tcPr>
          <w:p w14:paraId="2D9347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159" w:type="pct"/>
            <w:noWrap w:val="0"/>
            <w:vAlign w:val="center"/>
          </w:tcPr>
          <w:p w14:paraId="73FC4870">
            <w:pPr>
              <w:spacing w:line="360" w:lineRule="exact"/>
              <w:ind w:firstLine="0" w:firstLineChars="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kern w:val="2"/>
                <w:sz w:val="21"/>
                <w:szCs w:val="21"/>
                <w:highlight w:val="none"/>
                <w:lang w:val="en-US" w:eastAsia="zh-CN" w:bidi="ar-SA"/>
              </w:rPr>
              <w:t>全部损耗</w:t>
            </w:r>
          </w:p>
        </w:tc>
        <w:tc>
          <w:tcPr>
            <w:tcW w:w="638" w:type="pct"/>
            <w:noWrap w:val="0"/>
            <w:vAlign w:val="center"/>
          </w:tcPr>
          <w:p w14:paraId="7EAF02C7">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100%</w:t>
            </w:r>
          </w:p>
        </w:tc>
      </w:tr>
      <w:tr w14:paraId="4D432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noWrap w:val="0"/>
            <w:vAlign w:val="center"/>
          </w:tcPr>
          <w:p w14:paraId="2E92498F">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917" w:type="pct"/>
            <w:noWrap w:val="0"/>
            <w:vAlign w:val="center"/>
          </w:tcPr>
          <w:p w14:paraId="101A3590">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不可预见用水</w:t>
            </w:r>
          </w:p>
        </w:tc>
        <w:tc>
          <w:tcPr>
            <w:tcW w:w="1183" w:type="dxa"/>
            <w:noWrap w:val="0"/>
            <w:vAlign w:val="center"/>
          </w:tcPr>
          <w:p w14:paraId="296CDC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101" w:type="dxa"/>
            <w:noWrap w:val="0"/>
            <w:vAlign w:val="center"/>
          </w:tcPr>
          <w:p w14:paraId="7A1011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060" w:type="dxa"/>
            <w:noWrap w:val="0"/>
            <w:vAlign w:val="center"/>
          </w:tcPr>
          <w:p w14:paraId="0B5A5B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159" w:type="pct"/>
            <w:noWrap w:val="0"/>
            <w:vAlign w:val="center"/>
          </w:tcPr>
          <w:p w14:paraId="031A9967">
            <w:pPr>
              <w:spacing w:line="360" w:lineRule="exact"/>
              <w:ind w:firstLine="0" w:firstLineChars="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kern w:val="2"/>
                <w:sz w:val="21"/>
                <w:szCs w:val="21"/>
                <w:highlight w:val="none"/>
                <w:lang w:val="en-US" w:eastAsia="zh-CN" w:bidi="ar-SA"/>
              </w:rPr>
              <w:t>全部损耗</w:t>
            </w:r>
          </w:p>
        </w:tc>
        <w:tc>
          <w:tcPr>
            <w:tcW w:w="638" w:type="pct"/>
            <w:noWrap w:val="0"/>
            <w:vAlign w:val="center"/>
          </w:tcPr>
          <w:p w14:paraId="6E715A48">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100%</w:t>
            </w:r>
          </w:p>
        </w:tc>
      </w:tr>
      <w:tr w14:paraId="67BE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tcBorders>
              <w:bottom w:val="single" w:color="auto" w:sz="12" w:space="0"/>
            </w:tcBorders>
            <w:noWrap w:val="0"/>
            <w:vAlign w:val="center"/>
          </w:tcPr>
          <w:p w14:paraId="0D528B78">
            <w:pPr>
              <w:spacing w:line="360" w:lineRule="exact"/>
              <w:ind w:firstLine="0" w:firstLineChars="0"/>
              <w:jc w:val="center"/>
              <w:rPr>
                <w:rFonts w:hint="default" w:ascii="Times New Roman" w:hAnsi="Times New Roman" w:cs="Times New Roman"/>
                <w:color w:val="auto"/>
                <w:sz w:val="21"/>
                <w:highlight w:val="none"/>
                <w:lang w:val="en-US" w:eastAsia="zh-CN"/>
              </w:rPr>
            </w:pPr>
          </w:p>
        </w:tc>
        <w:tc>
          <w:tcPr>
            <w:tcW w:w="917" w:type="pct"/>
            <w:tcBorders>
              <w:bottom w:val="single" w:color="auto" w:sz="12" w:space="0"/>
            </w:tcBorders>
            <w:noWrap w:val="0"/>
            <w:vAlign w:val="center"/>
          </w:tcPr>
          <w:p w14:paraId="6156E9BA">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总计</w:t>
            </w:r>
          </w:p>
        </w:tc>
        <w:tc>
          <w:tcPr>
            <w:tcW w:w="1183" w:type="dxa"/>
            <w:tcBorders>
              <w:bottom w:val="single" w:color="auto" w:sz="12" w:space="0"/>
            </w:tcBorders>
            <w:noWrap w:val="0"/>
            <w:vAlign w:val="center"/>
          </w:tcPr>
          <w:p w14:paraId="2AFFAA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972.35</w:t>
            </w:r>
          </w:p>
        </w:tc>
        <w:tc>
          <w:tcPr>
            <w:tcW w:w="1101" w:type="dxa"/>
            <w:tcBorders>
              <w:bottom w:val="single" w:color="auto" w:sz="12" w:space="0"/>
            </w:tcBorders>
            <w:noWrap w:val="0"/>
            <w:vAlign w:val="center"/>
          </w:tcPr>
          <w:p w14:paraId="48C15D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374.758</w:t>
            </w:r>
          </w:p>
        </w:tc>
        <w:tc>
          <w:tcPr>
            <w:tcW w:w="1060" w:type="dxa"/>
            <w:tcBorders>
              <w:bottom w:val="single" w:color="auto" w:sz="12" w:space="0"/>
            </w:tcBorders>
            <w:noWrap w:val="0"/>
            <w:vAlign w:val="center"/>
          </w:tcPr>
          <w:p w14:paraId="1E29E6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597.592</w:t>
            </w:r>
          </w:p>
        </w:tc>
        <w:tc>
          <w:tcPr>
            <w:tcW w:w="1159" w:type="pct"/>
            <w:tcBorders>
              <w:bottom w:val="single" w:color="auto" w:sz="12" w:space="0"/>
            </w:tcBorders>
            <w:noWrap w:val="0"/>
            <w:vAlign w:val="center"/>
          </w:tcPr>
          <w:p w14:paraId="0CECD2D0">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638" w:type="pct"/>
            <w:tcBorders>
              <w:bottom w:val="single" w:color="auto" w:sz="12" w:space="0"/>
            </w:tcBorders>
            <w:noWrap w:val="0"/>
            <w:vAlign w:val="center"/>
          </w:tcPr>
          <w:p w14:paraId="6170271C">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r>
    </w:tbl>
    <w:p w14:paraId="1EED3AD4">
      <w:pPr>
        <w:ind w:firstLine="0" w:firstLineChars="0"/>
        <w:jc w:val="center"/>
        <w:rPr>
          <w:rFonts w:hint="default" w:ascii="Times New Roman" w:hAnsi="Times New Roman" w:cs="Times New Roman"/>
          <w:b/>
          <w:bCs/>
          <w:color w:val="auto"/>
          <w:kern w:val="0"/>
          <w:highlight w:val="none"/>
        </w:rPr>
      </w:pPr>
    </w:p>
    <w:p w14:paraId="5CD1AEAA">
      <w:pPr>
        <w:ind w:firstLine="0" w:firstLineChars="0"/>
        <w:jc w:val="center"/>
        <w:rPr>
          <w:rFonts w:hint="default" w:ascii="Times New Roman" w:hAnsi="Times New Roman" w:cs="Times New Roman"/>
          <w:b/>
          <w:bCs/>
          <w:color w:val="auto"/>
          <w:kern w:val="0"/>
          <w:highlight w:val="none"/>
          <w:lang w:val="en-US" w:eastAsia="zh-CN"/>
        </w:rPr>
      </w:pPr>
      <w:r>
        <w:rPr>
          <w:rFonts w:hint="default" w:ascii="Times New Roman" w:hAnsi="Times New Roman" w:cs="Times New Roman"/>
          <w:b/>
          <w:bCs/>
          <w:color w:val="auto"/>
          <w:kern w:val="0"/>
          <w:highlight w:val="none"/>
        </w:rPr>
        <w:t>表3.</w:t>
      </w:r>
      <w:r>
        <w:rPr>
          <w:rFonts w:hint="default" w:ascii="Times New Roman" w:hAnsi="Times New Roman" w:cs="Times New Roman"/>
          <w:b/>
          <w:bCs/>
          <w:color w:val="auto"/>
          <w:kern w:val="0"/>
          <w:highlight w:val="none"/>
          <w:lang w:val="en-US" w:eastAsia="zh-CN"/>
        </w:rPr>
        <w:t>3</w:t>
      </w:r>
      <w:r>
        <w:rPr>
          <w:rFonts w:hint="default" w:ascii="Times New Roman" w:hAnsi="Times New Roman" w:cs="Times New Roman"/>
          <w:b/>
          <w:bCs/>
          <w:color w:val="auto"/>
          <w:kern w:val="0"/>
          <w:highlight w:val="none"/>
        </w:rPr>
        <w:t>-</w:t>
      </w:r>
      <w:r>
        <w:rPr>
          <w:rFonts w:hint="default" w:ascii="Times New Roman" w:hAnsi="Times New Roman" w:cs="Times New Roman"/>
          <w:b/>
          <w:bCs/>
          <w:color w:val="auto"/>
          <w:kern w:val="0"/>
          <w:highlight w:val="none"/>
          <w:lang w:val="en-US" w:eastAsia="zh-CN"/>
        </w:rPr>
        <w:t>5</w:t>
      </w:r>
      <w:r>
        <w:rPr>
          <w:rFonts w:hint="default" w:ascii="Times New Roman" w:hAnsi="Times New Roman" w:cs="Times New Roman"/>
          <w:b/>
          <w:bCs/>
          <w:color w:val="auto"/>
          <w:kern w:val="0"/>
          <w:highlight w:val="none"/>
        </w:rPr>
        <w:t xml:space="preserve">   </w:t>
      </w:r>
      <w:r>
        <w:rPr>
          <w:rFonts w:hint="default" w:ascii="Times New Roman" w:hAnsi="Times New Roman" w:cs="Times New Roman"/>
          <w:b/>
          <w:bCs/>
          <w:color w:val="auto"/>
          <w:kern w:val="0"/>
          <w:highlight w:val="none"/>
          <w:lang w:eastAsia="zh-CN"/>
        </w:rPr>
        <w:t>项目区</w:t>
      </w:r>
      <w:r>
        <w:rPr>
          <w:rFonts w:hint="default" w:ascii="Times New Roman" w:hAnsi="Times New Roman" w:cs="Times New Roman"/>
          <w:b/>
          <w:bCs/>
          <w:color w:val="auto"/>
          <w:kern w:val="0"/>
          <w:highlight w:val="none"/>
          <w:lang w:val="en-US" w:eastAsia="zh-CN"/>
        </w:rPr>
        <w:t>水平衡</w:t>
      </w:r>
      <w:r>
        <w:rPr>
          <w:rFonts w:hint="default" w:ascii="Times New Roman" w:hAnsi="Times New Roman" w:cs="Times New Roman"/>
          <w:b/>
          <w:bCs/>
          <w:color w:val="auto"/>
          <w:kern w:val="0"/>
          <w:highlight w:val="none"/>
        </w:rPr>
        <w:t>表</w:t>
      </w:r>
      <w:r>
        <w:rPr>
          <w:rFonts w:hint="default" w:ascii="Times New Roman" w:hAnsi="Times New Roman" w:cs="Times New Roman"/>
          <w:b/>
          <w:bCs/>
          <w:color w:val="auto"/>
          <w:kern w:val="0"/>
          <w:highlight w:val="none"/>
          <w:lang w:eastAsia="zh-CN"/>
        </w:rPr>
        <w:t>（</w:t>
      </w:r>
      <w:r>
        <w:rPr>
          <w:rFonts w:hint="default" w:ascii="Times New Roman" w:hAnsi="Times New Roman" w:cs="Times New Roman"/>
          <w:b/>
          <w:bCs/>
          <w:color w:val="auto"/>
          <w:kern w:val="0"/>
          <w:highlight w:val="none"/>
          <w:lang w:val="en-US" w:eastAsia="zh-CN"/>
        </w:rPr>
        <w:t>非灌溉季</w:t>
      </w:r>
      <w:r>
        <w:rPr>
          <w:rFonts w:hint="default" w:ascii="Times New Roman" w:hAnsi="Times New Roman" w:cs="Times New Roman"/>
          <w:b/>
          <w:bCs/>
          <w:color w:val="auto"/>
          <w:kern w:val="0"/>
          <w:highlight w:val="none"/>
          <w:lang w:eastAsia="zh-CN"/>
        </w:rPr>
        <w:t>）</w:t>
      </w:r>
      <w:r>
        <w:rPr>
          <w:rFonts w:hint="default" w:ascii="Times New Roman" w:hAnsi="Times New Roman" w:cs="Times New Roman"/>
          <w:b/>
          <w:bCs/>
          <w:color w:val="auto"/>
          <w:kern w:val="0"/>
          <w:highlight w:val="none"/>
          <w:lang w:val="en-US" w:eastAsia="zh-CN"/>
        </w:rPr>
        <w:t xml:space="preserve">       单位：m</w:t>
      </w:r>
      <w:r>
        <w:rPr>
          <w:rFonts w:hint="default" w:ascii="Times New Roman" w:hAnsi="Times New Roman" w:cs="Times New Roman"/>
          <w:b/>
          <w:bCs/>
          <w:color w:val="auto"/>
          <w:kern w:val="0"/>
          <w:highlight w:val="none"/>
          <w:vertAlign w:val="superscript"/>
          <w:lang w:val="en-US" w:eastAsia="zh-CN"/>
        </w:rPr>
        <w:t>3</w:t>
      </w:r>
      <w:r>
        <w:rPr>
          <w:rFonts w:hint="default" w:ascii="Times New Roman" w:hAnsi="Times New Roman" w:cs="Times New Roman"/>
          <w:b/>
          <w:bCs/>
          <w:color w:val="auto"/>
          <w:kern w:val="0"/>
          <w:highlight w:val="none"/>
          <w:lang w:val="en-US" w:eastAsia="zh-CN"/>
        </w:rPr>
        <w:t>/d</w:t>
      </w:r>
    </w:p>
    <w:tbl>
      <w:tblPr>
        <w:tblStyle w:val="33"/>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686"/>
        <w:gridCol w:w="1183"/>
        <w:gridCol w:w="1101"/>
        <w:gridCol w:w="1060"/>
        <w:gridCol w:w="2126"/>
        <w:gridCol w:w="1170"/>
      </w:tblGrid>
      <w:tr w14:paraId="68C20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378" w:type="pct"/>
            <w:gridSpan w:val="2"/>
            <w:noWrap w:val="0"/>
            <w:vAlign w:val="center"/>
          </w:tcPr>
          <w:p w14:paraId="4BFF4FBB">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用水类型</w:t>
            </w:r>
          </w:p>
        </w:tc>
        <w:tc>
          <w:tcPr>
            <w:tcW w:w="645" w:type="pct"/>
            <w:noWrap w:val="0"/>
            <w:vAlign w:val="center"/>
          </w:tcPr>
          <w:p w14:paraId="0D981956">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用水量</w:t>
            </w:r>
          </w:p>
        </w:tc>
        <w:tc>
          <w:tcPr>
            <w:tcW w:w="600" w:type="pct"/>
            <w:noWrap w:val="0"/>
            <w:vAlign w:val="center"/>
          </w:tcPr>
          <w:p w14:paraId="60537064">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消耗量</w:t>
            </w:r>
          </w:p>
        </w:tc>
        <w:tc>
          <w:tcPr>
            <w:tcW w:w="578" w:type="pct"/>
            <w:noWrap w:val="0"/>
            <w:vAlign w:val="center"/>
          </w:tcPr>
          <w:p w14:paraId="266F941F">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废水量</w:t>
            </w:r>
          </w:p>
        </w:tc>
        <w:tc>
          <w:tcPr>
            <w:tcW w:w="1159" w:type="pct"/>
            <w:noWrap w:val="0"/>
            <w:vAlign w:val="center"/>
          </w:tcPr>
          <w:p w14:paraId="545DE4EF">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废水去向</w:t>
            </w:r>
          </w:p>
        </w:tc>
        <w:tc>
          <w:tcPr>
            <w:tcW w:w="638" w:type="pct"/>
            <w:noWrap w:val="0"/>
            <w:vAlign w:val="center"/>
          </w:tcPr>
          <w:p w14:paraId="49E3AD89">
            <w:pPr>
              <w:spacing w:line="36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highlight w:val="none"/>
                <w:lang w:val="en-US" w:eastAsia="zh-CN"/>
              </w:rPr>
              <w:t>水利用率</w:t>
            </w:r>
          </w:p>
        </w:tc>
      </w:tr>
      <w:tr w14:paraId="4CDFE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459" w:type="pct"/>
            <w:vMerge w:val="restart"/>
            <w:noWrap w:val="0"/>
            <w:vAlign w:val="center"/>
          </w:tcPr>
          <w:p w14:paraId="46C065A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生产</w:t>
            </w:r>
          </w:p>
        </w:tc>
        <w:tc>
          <w:tcPr>
            <w:tcW w:w="918" w:type="pct"/>
            <w:noWrap w:val="0"/>
            <w:vAlign w:val="center"/>
          </w:tcPr>
          <w:p w14:paraId="322B2679">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选矿用水</w:t>
            </w:r>
          </w:p>
        </w:tc>
        <w:tc>
          <w:tcPr>
            <w:tcW w:w="1183" w:type="dxa"/>
            <w:noWrap w:val="0"/>
            <w:vAlign w:val="center"/>
          </w:tcPr>
          <w:p w14:paraId="69412B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828.05</w:t>
            </w:r>
          </w:p>
        </w:tc>
        <w:tc>
          <w:tcPr>
            <w:tcW w:w="1101" w:type="dxa"/>
            <w:noWrap w:val="0"/>
            <w:vAlign w:val="center"/>
          </w:tcPr>
          <w:p w14:paraId="370AFF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238.698</w:t>
            </w:r>
          </w:p>
        </w:tc>
        <w:tc>
          <w:tcPr>
            <w:tcW w:w="1060" w:type="dxa"/>
            <w:noWrap w:val="0"/>
            <w:vAlign w:val="center"/>
          </w:tcPr>
          <w:p w14:paraId="309568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589.352</w:t>
            </w:r>
          </w:p>
        </w:tc>
        <w:tc>
          <w:tcPr>
            <w:tcW w:w="1159" w:type="pct"/>
            <w:noWrap w:val="0"/>
            <w:vAlign w:val="center"/>
          </w:tcPr>
          <w:p w14:paraId="29D1BD99">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排入</w:t>
            </w:r>
            <w:r>
              <w:rPr>
                <w:rFonts w:hint="default" w:ascii="Times New Roman" w:hAnsi="Times New Roman" w:cs="Times New Roman"/>
                <w:color w:val="auto"/>
                <w:sz w:val="21"/>
                <w:highlight w:val="none"/>
                <w:lang w:eastAsia="zh-CN"/>
              </w:rPr>
              <w:t>选矿生产回水池</w:t>
            </w:r>
            <w:r>
              <w:rPr>
                <w:rFonts w:hint="default" w:ascii="Times New Roman" w:hAnsi="Times New Roman" w:cs="Times New Roman"/>
                <w:color w:val="auto"/>
                <w:sz w:val="21"/>
                <w:highlight w:val="none"/>
              </w:rPr>
              <w:t>，回用于选矿</w:t>
            </w:r>
            <w:r>
              <w:rPr>
                <w:rFonts w:hint="default" w:ascii="Times New Roman" w:hAnsi="Times New Roman" w:cs="Times New Roman"/>
                <w:color w:val="auto"/>
                <w:sz w:val="21"/>
                <w:highlight w:val="none"/>
                <w:lang w:eastAsia="zh-CN"/>
              </w:rPr>
              <w:t>工艺</w:t>
            </w:r>
          </w:p>
        </w:tc>
        <w:tc>
          <w:tcPr>
            <w:tcW w:w="638" w:type="pct"/>
            <w:noWrap w:val="0"/>
            <w:vAlign w:val="center"/>
          </w:tcPr>
          <w:p w14:paraId="1B5853AF">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100%</w:t>
            </w:r>
          </w:p>
        </w:tc>
      </w:tr>
      <w:tr w14:paraId="539EF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59" w:type="pct"/>
            <w:vMerge w:val="continue"/>
            <w:noWrap w:val="0"/>
            <w:vAlign w:val="center"/>
          </w:tcPr>
          <w:p w14:paraId="5821DB64">
            <w:pPr>
              <w:spacing w:line="360" w:lineRule="exact"/>
              <w:ind w:firstLine="0" w:firstLineChars="0"/>
              <w:jc w:val="center"/>
              <w:rPr>
                <w:rFonts w:hint="default" w:ascii="Times New Roman" w:hAnsi="Times New Roman" w:cs="Times New Roman"/>
                <w:color w:val="auto"/>
                <w:sz w:val="21"/>
                <w:highlight w:val="none"/>
              </w:rPr>
            </w:pPr>
          </w:p>
        </w:tc>
        <w:tc>
          <w:tcPr>
            <w:tcW w:w="918" w:type="pct"/>
            <w:noWrap w:val="0"/>
            <w:vAlign w:val="center"/>
          </w:tcPr>
          <w:p w14:paraId="16D6B19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辅助用水</w:t>
            </w:r>
          </w:p>
        </w:tc>
        <w:tc>
          <w:tcPr>
            <w:tcW w:w="1183" w:type="dxa"/>
            <w:noWrap w:val="0"/>
            <w:vAlign w:val="center"/>
          </w:tcPr>
          <w:p w14:paraId="1C2606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101" w:type="dxa"/>
            <w:noWrap w:val="0"/>
            <w:vAlign w:val="center"/>
          </w:tcPr>
          <w:p w14:paraId="4E2DF9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060" w:type="dxa"/>
            <w:noWrap w:val="0"/>
            <w:vAlign w:val="center"/>
          </w:tcPr>
          <w:p w14:paraId="31B7D8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159" w:type="pct"/>
            <w:noWrap w:val="0"/>
            <w:vAlign w:val="center"/>
          </w:tcPr>
          <w:p w14:paraId="680252A1">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全部损耗</w:t>
            </w:r>
          </w:p>
        </w:tc>
        <w:tc>
          <w:tcPr>
            <w:tcW w:w="638" w:type="pct"/>
            <w:noWrap w:val="0"/>
            <w:vAlign w:val="center"/>
          </w:tcPr>
          <w:p w14:paraId="6E53371B">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100%</w:t>
            </w:r>
          </w:p>
        </w:tc>
      </w:tr>
      <w:tr w14:paraId="299B5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8" w:type="pct"/>
            <w:gridSpan w:val="2"/>
            <w:noWrap w:val="0"/>
            <w:vAlign w:val="center"/>
          </w:tcPr>
          <w:p w14:paraId="6DFC88C4">
            <w:pPr>
              <w:spacing w:line="360" w:lineRule="exact"/>
              <w:ind w:firstLine="0" w:firstLineChars="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val="en-US" w:eastAsia="zh-CN"/>
              </w:rPr>
              <w:t>合计</w:t>
            </w:r>
          </w:p>
        </w:tc>
        <w:tc>
          <w:tcPr>
            <w:tcW w:w="1183" w:type="dxa"/>
            <w:noWrap w:val="0"/>
            <w:vAlign w:val="center"/>
          </w:tcPr>
          <w:p w14:paraId="5F11EB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892.05</w:t>
            </w:r>
          </w:p>
        </w:tc>
        <w:tc>
          <w:tcPr>
            <w:tcW w:w="1101" w:type="dxa"/>
            <w:noWrap w:val="0"/>
            <w:vAlign w:val="center"/>
          </w:tcPr>
          <w:p w14:paraId="780607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302.698</w:t>
            </w:r>
          </w:p>
        </w:tc>
        <w:tc>
          <w:tcPr>
            <w:tcW w:w="1060" w:type="dxa"/>
            <w:noWrap w:val="0"/>
            <w:vAlign w:val="center"/>
          </w:tcPr>
          <w:p w14:paraId="3C200D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589.352</w:t>
            </w:r>
          </w:p>
        </w:tc>
        <w:tc>
          <w:tcPr>
            <w:tcW w:w="1159" w:type="pct"/>
            <w:noWrap w:val="0"/>
            <w:vAlign w:val="center"/>
          </w:tcPr>
          <w:p w14:paraId="380FC343">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638" w:type="pct"/>
            <w:noWrap w:val="0"/>
            <w:vAlign w:val="center"/>
          </w:tcPr>
          <w:p w14:paraId="5E3298F1">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100%</w:t>
            </w:r>
          </w:p>
        </w:tc>
      </w:tr>
      <w:tr w14:paraId="092FB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9" w:type="pct"/>
            <w:noWrap w:val="0"/>
            <w:vAlign w:val="center"/>
          </w:tcPr>
          <w:p w14:paraId="205B538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生活</w:t>
            </w:r>
          </w:p>
        </w:tc>
        <w:tc>
          <w:tcPr>
            <w:tcW w:w="918" w:type="pct"/>
            <w:noWrap w:val="0"/>
            <w:vAlign w:val="center"/>
          </w:tcPr>
          <w:p w14:paraId="35B5A7EF">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rPr>
              <w:t>生活用水</w:t>
            </w:r>
          </w:p>
        </w:tc>
        <w:tc>
          <w:tcPr>
            <w:tcW w:w="645" w:type="pct"/>
            <w:noWrap w:val="0"/>
            <w:vAlign w:val="center"/>
          </w:tcPr>
          <w:p w14:paraId="6D5218F1">
            <w:pPr>
              <w:spacing w:line="360" w:lineRule="exact"/>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10.3</w:t>
            </w:r>
          </w:p>
        </w:tc>
        <w:tc>
          <w:tcPr>
            <w:tcW w:w="600" w:type="pct"/>
            <w:noWrap w:val="0"/>
            <w:vAlign w:val="center"/>
          </w:tcPr>
          <w:p w14:paraId="0A2F256A">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2.06</w:t>
            </w:r>
          </w:p>
        </w:tc>
        <w:tc>
          <w:tcPr>
            <w:tcW w:w="578" w:type="pct"/>
            <w:noWrap w:val="0"/>
            <w:vAlign w:val="center"/>
          </w:tcPr>
          <w:p w14:paraId="53ACC220">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8.24</w:t>
            </w:r>
          </w:p>
        </w:tc>
        <w:tc>
          <w:tcPr>
            <w:tcW w:w="1159" w:type="pct"/>
            <w:noWrap w:val="0"/>
            <w:vAlign w:val="center"/>
          </w:tcPr>
          <w:p w14:paraId="29B3D2E4">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eastAsia="zh-CN"/>
              </w:rPr>
              <w:t>用于</w:t>
            </w:r>
            <w:r>
              <w:rPr>
                <w:rFonts w:hint="default" w:ascii="Times New Roman" w:hAnsi="Times New Roman" w:cs="Times New Roman"/>
                <w:color w:val="auto"/>
                <w:sz w:val="21"/>
                <w:highlight w:val="none"/>
                <w:lang w:val="en-US" w:eastAsia="zh-CN"/>
              </w:rPr>
              <w:t>选矿工艺</w:t>
            </w:r>
          </w:p>
        </w:tc>
        <w:tc>
          <w:tcPr>
            <w:tcW w:w="638" w:type="pct"/>
            <w:noWrap w:val="0"/>
            <w:vAlign w:val="center"/>
          </w:tcPr>
          <w:p w14:paraId="0385322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highlight w:val="none"/>
                <w:lang w:val="en-US" w:eastAsia="zh-CN"/>
              </w:rPr>
              <w:t>100%</w:t>
            </w:r>
          </w:p>
        </w:tc>
      </w:tr>
      <w:tr w14:paraId="651FA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9" w:type="pct"/>
            <w:noWrap w:val="0"/>
            <w:vAlign w:val="center"/>
          </w:tcPr>
          <w:p w14:paraId="201C50A4">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918" w:type="pct"/>
            <w:noWrap w:val="0"/>
            <w:vAlign w:val="center"/>
          </w:tcPr>
          <w:p w14:paraId="4907933D">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不可预见用水</w:t>
            </w:r>
          </w:p>
        </w:tc>
        <w:tc>
          <w:tcPr>
            <w:tcW w:w="645" w:type="pct"/>
            <w:noWrap w:val="0"/>
            <w:vAlign w:val="center"/>
          </w:tcPr>
          <w:p w14:paraId="7AA9B80C">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30</w:t>
            </w:r>
          </w:p>
        </w:tc>
        <w:tc>
          <w:tcPr>
            <w:tcW w:w="600" w:type="pct"/>
            <w:noWrap w:val="0"/>
            <w:vAlign w:val="center"/>
          </w:tcPr>
          <w:p w14:paraId="572229AB">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30</w:t>
            </w:r>
          </w:p>
        </w:tc>
        <w:tc>
          <w:tcPr>
            <w:tcW w:w="578" w:type="pct"/>
            <w:noWrap w:val="0"/>
            <w:vAlign w:val="center"/>
          </w:tcPr>
          <w:p w14:paraId="013F796B">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w:t>
            </w:r>
          </w:p>
        </w:tc>
        <w:tc>
          <w:tcPr>
            <w:tcW w:w="1159" w:type="pct"/>
            <w:noWrap w:val="0"/>
            <w:vAlign w:val="center"/>
          </w:tcPr>
          <w:p w14:paraId="45E5FD0D">
            <w:pPr>
              <w:spacing w:line="360" w:lineRule="exact"/>
              <w:ind w:firstLine="0" w:firstLineChars="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kern w:val="2"/>
                <w:sz w:val="21"/>
                <w:szCs w:val="21"/>
                <w:highlight w:val="none"/>
                <w:lang w:val="en-US" w:eastAsia="zh-CN" w:bidi="ar-SA"/>
              </w:rPr>
              <w:t>全部损耗</w:t>
            </w:r>
          </w:p>
        </w:tc>
        <w:tc>
          <w:tcPr>
            <w:tcW w:w="638" w:type="pct"/>
            <w:noWrap w:val="0"/>
            <w:vAlign w:val="center"/>
          </w:tcPr>
          <w:p w14:paraId="7B20DE7D">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100%</w:t>
            </w:r>
          </w:p>
        </w:tc>
      </w:tr>
      <w:tr w14:paraId="20E26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9" w:type="pct"/>
            <w:tcBorders>
              <w:bottom w:val="single" w:color="auto" w:sz="12" w:space="0"/>
            </w:tcBorders>
            <w:noWrap w:val="0"/>
            <w:vAlign w:val="center"/>
          </w:tcPr>
          <w:p w14:paraId="01AA128F">
            <w:pPr>
              <w:spacing w:line="360" w:lineRule="exact"/>
              <w:ind w:firstLine="0" w:firstLineChars="0"/>
              <w:jc w:val="center"/>
              <w:rPr>
                <w:rFonts w:hint="default" w:ascii="Times New Roman" w:hAnsi="Times New Roman" w:cs="Times New Roman"/>
                <w:color w:val="auto"/>
                <w:sz w:val="21"/>
                <w:highlight w:val="none"/>
                <w:lang w:val="en-US" w:eastAsia="zh-CN"/>
              </w:rPr>
            </w:pPr>
          </w:p>
        </w:tc>
        <w:tc>
          <w:tcPr>
            <w:tcW w:w="918" w:type="pct"/>
            <w:tcBorders>
              <w:bottom w:val="single" w:color="auto" w:sz="12" w:space="0"/>
            </w:tcBorders>
            <w:noWrap w:val="0"/>
            <w:vAlign w:val="center"/>
          </w:tcPr>
          <w:p w14:paraId="4ED79C5F">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总计</w:t>
            </w:r>
          </w:p>
        </w:tc>
        <w:tc>
          <w:tcPr>
            <w:tcW w:w="1183" w:type="dxa"/>
            <w:tcBorders>
              <w:bottom w:val="single" w:color="auto" w:sz="12" w:space="0"/>
            </w:tcBorders>
            <w:noWrap w:val="0"/>
            <w:vAlign w:val="center"/>
          </w:tcPr>
          <w:p w14:paraId="639D6BF6">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932.35</w:t>
            </w:r>
          </w:p>
        </w:tc>
        <w:tc>
          <w:tcPr>
            <w:tcW w:w="1101" w:type="dxa"/>
            <w:tcBorders>
              <w:bottom w:val="single" w:color="auto" w:sz="12" w:space="0"/>
            </w:tcBorders>
            <w:noWrap w:val="0"/>
            <w:vAlign w:val="center"/>
          </w:tcPr>
          <w:p w14:paraId="14E5B3EF">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334.758</w:t>
            </w:r>
          </w:p>
        </w:tc>
        <w:tc>
          <w:tcPr>
            <w:tcW w:w="1060" w:type="dxa"/>
            <w:tcBorders>
              <w:bottom w:val="single" w:color="auto" w:sz="12" w:space="0"/>
            </w:tcBorders>
            <w:noWrap w:val="0"/>
            <w:vAlign w:val="center"/>
          </w:tcPr>
          <w:p w14:paraId="0BA13324">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597.592</w:t>
            </w:r>
          </w:p>
        </w:tc>
        <w:tc>
          <w:tcPr>
            <w:tcW w:w="1159" w:type="pct"/>
            <w:tcBorders>
              <w:bottom w:val="single" w:color="auto" w:sz="12" w:space="0"/>
            </w:tcBorders>
            <w:noWrap w:val="0"/>
            <w:vAlign w:val="center"/>
          </w:tcPr>
          <w:p w14:paraId="33A28C57">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638" w:type="pct"/>
            <w:tcBorders>
              <w:bottom w:val="single" w:color="auto" w:sz="12" w:space="0"/>
            </w:tcBorders>
            <w:noWrap w:val="0"/>
            <w:vAlign w:val="center"/>
          </w:tcPr>
          <w:p w14:paraId="57811F56">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r>
    </w:tbl>
    <w:p w14:paraId="27981ECB">
      <w:pPr>
        <w:ind w:firstLine="0" w:firstLineChars="0"/>
        <w:jc w:val="center"/>
        <w:rPr>
          <w:rFonts w:hint="default" w:ascii="Times New Roman" w:hAnsi="Times New Roman" w:cs="Times New Roman"/>
          <w:b/>
          <w:bCs/>
          <w:color w:val="auto"/>
          <w:kern w:val="0"/>
          <w:highlight w:val="none"/>
          <w:lang w:val="en-US" w:eastAsia="zh-CN"/>
        </w:rPr>
      </w:pPr>
    </w:p>
    <w:p w14:paraId="03754B4E">
      <w:pPr>
        <w:spacing w:before="120" w:beforeLines="50" w:after="120" w:afterLines="50" w:line="240" w:lineRule="auto"/>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bCs/>
          <w:color w:val="auto"/>
          <w:highlight w:val="none"/>
        </w:rPr>
        <w:object>
          <v:shape id="_x0000_i1026" o:spt="75" type="#_x0000_t75" style="height:353.55pt;width:447.6pt;" o:ole="t" filled="f" o:preferrelative="t" stroked="f" coordsize="21600,21600">
            <v:path/>
            <v:fill on="f" focussize="0,0"/>
            <v:stroke on="f"/>
            <v:imagedata r:id="rId38" croptop="3160f" cropbottom="6115f" o:title=""/>
            <o:lock v:ext="edit" aspectratio="f"/>
            <w10:wrap type="none"/>
            <w10:anchorlock/>
          </v:shape>
          <o:OLEObject Type="Embed" ProgID="Visio.Drawing.11" ShapeID="_x0000_i1026" DrawAspect="Content" ObjectID="_1468075726" r:id="rId37">
            <o:LockedField>false</o:LockedField>
          </o:OLEObject>
        </w:object>
      </w:r>
      <w:r>
        <w:rPr>
          <w:rFonts w:hint="default" w:ascii="Times New Roman" w:hAnsi="Times New Roman" w:cs="Times New Roman"/>
          <w:b/>
          <w:color w:val="auto"/>
          <w:kern w:val="0"/>
          <w:highlight w:val="none"/>
        </w:rPr>
        <w:t>图3.</w:t>
      </w:r>
      <w:r>
        <w:rPr>
          <w:rFonts w:hint="default" w:ascii="Times New Roman" w:hAnsi="Times New Roman" w:cs="Times New Roman"/>
          <w:b/>
          <w:color w:val="auto"/>
          <w:kern w:val="0"/>
          <w:highlight w:val="none"/>
          <w:lang w:val="en-US" w:eastAsia="zh-CN"/>
        </w:rPr>
        <w:t>2-2</w:t>
      </w:r>
      <w:r>
        <w:rPr>
          <w:rFonts w:hint="default" w:ascii="Times New Roman" w:hAnsi="Times New Roman" w:cs="Times New Roman"/>
          <w:b/>
          <w:color w:val="auto"/>
          <w:kern w:val="0"/>
          <w:highlight w:val="none"/>
        </w:rPr>
        <w:t xml:space="preserve">    本项目灌溉期水平衡图（单位：m</w:t>
      </w:r>
      <w:r>
        <w:rPr>
          <w:rFonts w:hint="default" w:ascii="Times New Roman" w:hAnsi="Times New Roman" w:cs="Times New Roman"/>
          <w:b/>
          <w:color w:val="auto"/>
          <w:kern w:val="0"/>
          <w:highlight w:val="none"/>
          <w:vertAlign w:val="superscript"/>
        </w:rPr>
        <w:t>3</w:t>
      </w:r>
      <w:r>
        <w:rPr>
          <w:rFonts w:hint="default" w:ascii="Times New Roman" w:hAnsi="Times New Roman" w:cs="Times New Roman"/>
          <w:b/>
          <w:color w:val="auto"/>
          <w:kern w:val="0"/>
          <w:highlight w:val="none"/>
        </w:rPr>
        <w:t>/d）</w:t>
      </w:r>
    </w:p>
    <w:p w14:paraId="1A190810">
      <w:pPr>
        <w:spacing w:line="240" w:lineRule="auto"/>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bCs/>
          <w:color w:val="auto"/>
          <w:highlight w:val="none"/>
        </w:rPr>
        <w:object>
          <v:shape id="_x0000_i1027" o:spt="75" type="#_x0000_t75" style="height:353.55pt;width:447.6pt;" o:ole="t" filled="f" o:preferrelative="t" stroked="f" coordsize="21600,21600">
            <v:path/>
            <v:fill on="f" focussize="0,0"/>
            <v:stroke on="f"/>
            <v:imagedata r:id="rId40" croptop="3160f" cropbottom="6115f" o:title=""/>
            <o:lock v:ext="edit" aspectratio="f"/>
            <w10:wrap type="none"/>
            <w10:anchorlock/>
          </v:shape>
          <o:OLEObject Type="Embed" ProgID="Visio.Drawing.11" ShapeID="_x0000_i1027" DrawAspect="Content" ObjectID="_1468075727" r:id="rId39">
            <o:LockedField>false</o:LockedField>
          </o:OLEObject>
        </w:object>
      </w:r>
    </w:p>
    <w:p w14:paraId="15002A87">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图3.</w:t>
      </w:r>
      <w:r>
        <w:rPr>
          <w:rFonts w:hint="default" w:ascii="Times New Roman" w:hAnsi="Times New Roman" w:cs="Times New Roman"/>
          <w:b/>
          <w:color w:val="auto"/>
          <w:kern w:val="0"/>
          <w:highlight w:val="none"/>
          <w:lang w:val="en-US" w:eastAsia="zh-CN"/>
        </w:rPr>
        <w:t>2-3</w:t>
      </w:r>
      <w:r>
        <w:rPr>
          <w:rFonts w:hint="default" w:ascii="Times New Roman" w:hAnsi="Times New Roman" w:cs="Times New Roman"/>
          <w:b/>
          <w:color w:val="auto"/>
          <w:kern w:val="0"/>
          <w:highlight w:val="none"/>
        </w:rPr>
        <w:t xml:space="preserve">    本项目非灌溉期水平衡图（单位：m</w:t>
      </w:r>
      <w:r>
        <w:rPr>
          <w:rFonts w:hint="default" w:ascii="Times New Roman" w:hAnsi="Times New Roman" w:cs="Times New Roman"/>
          <w:b/>
          <w:color w:val="auto"/>
          <w:kern w:val="0"/>
          <w:highlight w:val="none"/>
          <w:vertAlign w:val="superscript"/>
        </w:rPr>
        <w:t>3</w:t>
      </w:r>
      <w:r>
        <w:rPr>
          <w:rFonts w:hint="default" w:ascii="Times New Roman" w:hAnsi="Times New Roman" w:cs="Times New Roman"/>
          <w:b/>
          <w:color w:val="auto"/>
          <w:kern w:val="0"/>
          <w:highlight w:val="none"/>
        </w:rPr>
        <w:t>/d）</w:t>
      </w:r>
    </w:p>
    <w:p w14:paraId="7D11398F">
      <w:pPr>
        <w:pStyle w:val="4"/>
        <w:rPr>
          <w:rFonts w:hint="default" w:ascii="Times New Roman" w:hAnsi="Times New Roman" w:cs="Times New Roman"/>
          <w:color w:val="auto"/>
          <w:highlight w:val="none"/>
        </w:rPr>
      </w:pPr>
      <w:bookmarkStart w:id="406" w:name="_Toc2239"/>
      <w:bookmarkStart w:id="407" w:name="_Toc22294"/>
      <w:bookmarkStart w:id="408" w:name="_Toc24592"/>
      <w:bookmarkStart w:id="409" w:name="_Toc20558"/>
      <w:bookmarkStart w:id="410" w:name="_Toc7773"/>
      <w:bookmarkStart w:id="411" w:name="_Toc4348"/>
      <w:bookmarkStart w:id="412" w:name="_Toc1498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.3产污环节分析</w:t>
      </w:r>
      <w:bookmarkEnd w:id="406"/>
      <w:bookmarkEnd w:id="407"/>
      <w:bookmarkEnd w:id="408"/>
      <w:bookmarkEnd w:id="409"/>
      <w:bookmarkEnd w:id="410"/>
      <w:bookmarkEnd w:id="411"/>
      <w:bookmarkEnd w:id="412"/>
    </w:p>
    <w:p w14:paraId="56E03A4C">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.3.1大气污染因素分析</w:t>
      </w:r>
    </w:p>
    <w:p w14:paraId="39221056">
      <w:pPr>
        <w:pStyle w:val="54"/>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本项目原料</w:t>
      </w:r>
      <w:r>
        <w:rPr>
          <w:rFonts w:hint="default" w:ascii="Times New Roman" w:hAnsi="Times New Roman" w:cs="Times New Roman"/>
          <w:color w:val="auto"/>
          <w:sz w:val="24"/>
          <w:highlight w:val="none"/>
          <w:lang w:val="en-US" w:eastAsia="zh-CN"/>
        </w:rPr>
        <w:t>金</w:t>
      </w:r>
      <w:r>
        <w:rPr>
          <w:rFonts w:hint="default" w:ascii="Times New Roman" w:hAnsi="Times New Roman" w:cs="Times New Roman"/>
          <w:color w:val="auto"/>
          <w:sz w:val="24"/>
          <w:highlight w:val="none"/>
        </w:rPr>
        <w:t>矿石来自采矿工程</w:t>
      </w:r>
      <w:r>
        <w:rPr>
          <w:rFonts w:hint="default" w:ascii="Times New Roman" w:hAnsi="Times New Roman" w:cs="Times New Roman"/>
          <w:color w:val="auto"/>
          <w:sz w:val="24"/>
          <w:highlight w:val="none"/>
          <w:lang w:val="en-US" w:eastAsia="zh-CN"/>
        </w:rPr>
        <w:t>开采</w:t>
      </w:r>
      <w:r>
        <w:rPr>
          <w:rFonts w:hint="default" w:ascii="Times New Roman" w:hAnsi="Times New Roman" w:cs="Times New Roman"/>
          <w:color w:val="auto"/>
          <w:sz w:val="24"/>
          <w:highlight w:val="none"/>
        </w:rPr>
        <w:t>矿石，项目运营期大气污染影响主要存在于以下几个方面：</w:t>
      </w:r>
    </w:p>
    <w:p w14:paraId="279A1266">
      <w:pPr>
        <w:overflowPunct w:val="0"/>
        <w:topLinePun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（1）原矿石及精矿堆存过程中产生的粉尘；</w:t>
      </w:r>
    </w:p>
    <w:p w14:paraId="0FDB99B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lang w:val="en-US" w:eastAsia="zh-CN"/>
        </w:rPr>
        <w:t>（2）破碎筛分</w:t>
      </w:r>
      <w:r>
        <w:rPr>
          <w:rFonts w:hint="default" w:ascii="Times New Roman" w:hAnsi="Times New Roman" w:cs="Times New Roman"/>
          <w:color w:val="auto"/>
          <w:highlight w:val="none"/>
        </w:rPr>
        <w:t>过程中</w:t>
      </w:r>
      <w:r>
        <w:rPr>
          <w:rFonts w:hint="default" w:ascii="Times New Roman" w:hAnsi="Times New Roman" w:eastAsia="宋体" w:cs="Times New Roman"/>
          <w:color w:val="auto"/>
          <w:kern w:val="0"/>
          <w:highlight w:val="none"/>
        </w:rPr>
        <w:t>产生</w:t>
      </w:r>
      <w:r>
        <w:rPr>
          <w:rFonts w:hint="default" w:ascii="Times New Roman" w:hAnsi="Times New Roman" w:cs="Times New Roman"/>
          <w:color w:val="auto"/>
          <w:kern w:val="0"/>
          <w:highlight w:val="none"/>
        </w:rPr>
        <w:t>的粉尘；</w:t>
      </w:r>
    </w:p>
    <w:p w14:paraId="7726ADD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矿石装卸、运输</w:t>
      </w:r>
      <w:r>
        <w:rPr>
          <w:rFonts w:hint="default" w:ascii="Times New Roman" w:hAnsi="Times New Roman" w:cs="Times New Roman"/>
          <w:color w:val="auto"/>
          <w:highlight w:val="none"/>
        </w:rPr>
        <w:t>过程中产生的</w:t>
      </w:r>
      <w:r>
        <w:rPr>
          <w:rFonts w:hint="default" w:ascii="Times New Roman" w:hAnsi="Times New Roman" w:cs="Times New Roman"/>
          <w:color w:val="auto"/>
          <w:highlight w:val="none"/>
          <w:lang w:val="en-US" w:eastAsia="zh-CN"/>
        </w:rPr>
        <w:t>粉尘</w:t>
      </w:r>
      <w:r>
        <w:rPr>
          <w:rFonts w:hint="default" w:ascii="Times New Roman" w:hAnsi="Times New Roman" w:cs="Times New Roman"/>
          <w:color w:val="auto"/>
          <w:highlight w:val="none"/>
        </w:rPr>
        <w:t>；</w:t>
      </w:r>
    </w:p>
    <w:p w14:paraId="2B8B5D6D">
      <w:pPr>
        <w:overflowPunct w:val="0"/>
        <w:topLinePun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尾矿库干滩产生的粉尘；</w:t>
      </w:r>
    </w:p>
    <w:p w14:paraId="2777FE4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（5）汽车尾气等</w:t>
      </w:r>
      <w:r>
        <w:rPr>
          <w:rFonts w:hint="default" w:ascii="Times New Roman" w:hAnsi="Times New Roman" w:cs="Times New Roman"/>
          <w:color w:val="auto"/>
          <w:highlight w:val="none"/>
        </w:rPr>
        <w:t>。</w:t>
      </w:r>
    </w:p>
    <w:p w14:paraId="4F9DBB3B">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.3.2水污染因素分析</w:t>
      </w:r>
    </w:p>
    <w:p w14:paraId="132042B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本项目生产废水“闭路循环”，不外排；生活污水经处理满足</w:t>
      </w:r>
      <w:r>
        <w:rPr>
          <w:rFonts w:hint="default" w:ascii="Times New Roman" w:hAnsi="Times New Roman" w:cs="Times New Roman"/>
          <w:color w:val="auto"/>
          <w:highlight w:val="none"/>
        </w:rPr>
        <w:t>《农村生活污水处理排放标准》（DB65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kern w:val="0"/>
          <w:highlight w:val="none"/>
        </w:rPr>
        <w:t>，不外排。</w:t>
      </w:r>
    </w:p>
    <w:p w14:paraId="0B13027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.3.3固体废物污染因素分析</w:t>
      </w:r>
    </w:p>
    <w:p w14:paraId="570D7844">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运营期固体废物主要来源于选矿工序产生的尾矿砂、除尘灰（除尘器收集的粉尘）、废药剂及包装物、生活污水处理设施底泥、废布袋、</w:t>
      </w:r>
      <w:r>
        <w:rPr>
          <w:rFonts w:hint="default" w:ascii="Times New Roman" w:hAnsi="Times New Roman" w:cs="Times New Roman"/>
          <w:color w:val="auto"/>
          <w:kern w:val="0"/>
          <w:highlight w:val="none"/>
          <w:lang w:val="en-US" w:eastAsia="zh-CN"/>
        </w:rPr>
        <w:t>回</w:t>
      </w:r>
      <w:r>
        <w:rPr>
          <w:rFonts w:hint="default" w:ascii="Times New Roman" w:hAnsi="Times New Roman" w:cs="Times New Roman"/>
          <w:color w:val="auto"/>
          <w:kern w:val="0"/>
          <w:highlight w:val="none"/>
        </w:rPr>
        <w:t>水池底泥、生活垃圾及少量废机油、废油桶等。</w:t>
      </w:r>
    </w:p>
    <w:p w14:paraId="6D9F654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.3.4噪声污染因素分析</w:t>
      </w:r>
    </w:p>
    <w:p w14:paraId="2AA90DBE">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运营期主要噪声来源于</w:t>
      </w:r>
      <w:r>
        <w:rPr>
          <w:rFonts w:hint="default" w:ascii="Times New Roman" w:hAnsi="Times New Roman" w:cs="Times New Roman"/>
          <w:color w:val="auto"/>
          <w:kern w:val="0"/>
          <w:highlight w:val="none"/>
          <w:lang w:val="en-US" w:eastAsia="zh-CN"/>
        </w:rPr>
        <w:t>破碎机、筛分机、</w:t>
      </w:r>
      <w:r>
        <w:rPr>
          <w:rFonts w:hint="default" w:ascii="Times New Roman" w:hAnsi="Times New Roman" w:cs="Times New Roman"/>
          <w:color w:val="auto"/>
          <w:kern w:val="0"/>
          <w:highlight w:val="none"/>
        </w:rPr>
        <w:t>球磨机、分级机、浓缩机及水泵等设备运行和生产过程中产生的设备噪声及运输车辆产生的交通运输噪声。</w:t>
      </w:r>
    </w:p>
    <w:p w14:paraId="68C8C385">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本项目产污节点见表3.</w:t>
      </w:r>
      <w:r>
        <w:rPr>
          <w:rFonts w:hint="default" w:ascii="Times New Roman" w:hAnsi="Times New Roman" w:cs="Times New Roman"/>
          <w:color w:val="auto"/>
          <w:szCs w:val="24"/>
          <w:highlight w:val="none"/>
          <w:lang w:val="en-US" w:eastAsia="zh-CN"/>
        </w:rPr>
        <w:t>2-2</w:t>
      </w:r>
      <w:r>
        <w:rPr>
          <w:rFonts w:hint="default" w:ascii="Times New Roman" w:hAnsi="Times New Roman" w:cs="Times New Roman"/>
          <w:color w:val="auto"/>
          <w:szCs w:val="24"/>
          <w:highlight w:val="none"/>
        </w:rPr>
        <w:t>。</w:t>
      </w:r>
    </w:p>
    <w:p w14:paraId="153C8271">
      <w:pPr>
        <w:pStyle w:val="7"/>
        <w:spacing w:line="480" w:lineRule="exact"/>
        <w:ind w:firstLine="0" w:firstLineChars="0"/>
        <w:jc w:val="center"/>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表3.</w:t>
      </w:r>
      <w:r>
        <w:rPr>
          <w:rFonts w:hint="default" w:ascii="Times New Roman" w:hAnsi="Times New Roman" w:eastAsia="宋体" w:cs="Times New Roman"/>
          <w:b/>
          <w:bCs/>
          <w:color w:val="auto"/>
          <w:sz w:val="24"/>
          <w:szCs w:val="28"/>
          <w:highlight w:val="none"/>
          <w:lang w:val="en-US" w:eastAsia="zh-CN"/>
        </w:rPr>
        <w:t>2-2</w:t>
      </w:r>
      <w:r>
        <w:rPr>
          <w:rFonts w:hint="default" w:ascii="Times New Roman" w:hAnsi="Times New Roman" w:eastAsia="宋体" w:cs="Times New Roman"/>
          <w:b/>
          <w:bCs/>
          <w:color w:val="auto"/>
          <w:sz w:val="24"/>
          <w:szCs w:val="28"/>
          <w:highlight w:val="none"/>
        </w:rPr>
        <w:t xml:space="preserve">    本项目</w:t>
      </w:r>
      <w:r>
        <w:rPr>
          <w:rFonts w:hint="default" w:ascii="Times New Roman" w:hAnsi="Times New Roman" w:eastAsia="宋体" w:cs="Times New Roman"/>
          <w:b/>
          <w:bCs/>
          <w:color w:val="auto"/>
          <w:sz w:val="24"/>
          <w:szCs w:val="28"/>
          <w:highlight w:val="none"/>
          <w:lang w:eastAsia="zh-CN"/>
        </w:rPr>
        <w:t>运营期</w:t>
      </w:r>
      <w:r>
        <w:rPr>
          <w:rFonts w:hint="default" w:ascii="Times New Roman" w:hAnsi="Times New Roman" w:eastAsia="宋体" w:cs="Times New Roman"/>
          <w:b/>
          <w:bCs/>
          <w:color w:val="auto"/>
          <w:sz w:val="24"/>
          <w:szCs w:val="28"/>
          <w:highlight w:val="none"/>
        </w:rPr>
        <w:t>产污节点统计表</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3256"/>
        <w:gridCol w:w="3056"/>
        <w:gridCol w:w="2106"/>
      </w:tblGrid>
      <w:tr w14:paraId="5904B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pct"/>
            <w:noWrap w:val="0"/>
            <w:vAlign w:val="center"/>
          </w:tcPr>
          <w:p w14:paraId="5FA1325F">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类型</w:t>
            </w:r>
          </w:p>
        </w:tc>
        <w:tc>
          <w:tcPr>
            <w:tcW w:w="1775" w:type="pct"/>
            <w:noWrap w:val="0"/>
            <w:vAlign w:val="center"/>
          </w:tcPr>
          <w:p w14:paraId="2814B56F">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产污节点</w:t>
            </w:r>
          </w:p>
        </w:tc>
        <w:tc>
          <w:tcPr>
            <w:tcW w:w="1666" w:type="pct"/>
            <w:noWrap w:val="0"/>
            <w:vAlign w:val="center"/>
          </w:tcPr>
          <w:p w14:paraId="1F280404">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c>
          <w:tcPr>
            <w:tcW w:w="1148" w:type="pct"/>
            <w:noWrap w:val="0"/>
            <w:vAlign w:val="center"/>
          </w:tcPr>
          <w:p w14:paraId="0E6BFC17">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28653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restart"/>
            <w:noWrap w:val="0"/>
            <w:vAlign w:val="center"/>
          </w:tcPr>
          <w:p w14:paraId="2FCA0FEB">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w:t>
            </w:r>
          </w:p>
        </w:tc>
        <w:tc>
          <w:tcPr>
            <w:tcW w:w="1775" w:type="pct"/>
            <w:noWrap w:val="0"/>
            <w:vAlign w:val="center"/>
          </w:tcPr>
          <w:p w14:paraId="111DABF9">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堆场粉尘</w:t>
            </w:r>
          </w:p>
        </w:tc>
        <w:tc>
          <w:tcPr>
            <w:tcW w:w="1666" w:type="pct"/>
            <w:noWrap w:val="0"/>
            <w:vAlign w:val="center"/>
          </w:tcPr>
          <w:p w14:paraId="0E699E9D">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48" w:type="pct"/>
            <w:noWrap w:val="0"/>
            <w:vAlign w:val="center"/>
          </w:tcPr>
          <w:p w14:paraId="6B2336E7">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堆场扬尘</w:t>
            </w:r>
          </w:p>
        </w:tc>
      </w:tr>
      <w:tr w14:paraId="5E2BE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noWrap w:val="0"/>
            <w:vAlign w:val="center"/>
          </w:tcPr>
          <w:p w14:paraId="4800DC45">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56AA69BB">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破碎筛分粉尘</w:t>
            </w:r>
          </w:p>
        </w:tc>
        <w:tc>
          <w:tcPr>
            <w:tcW w:w="1666" w:type="pct"/>
            <w:noWrap w:val="0"/>
            <w:vAlign w:val="center"/>
          </w:tcPr>
          <w:p w14:paraId="2769A1D9">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48" w:type="pct"/>
            <w:noWrap w:val="0"/>
            <w:vAlign w:val="center"/>
          </w:tcPr>
          <w:p w14:paraId="2B0DB79A">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破碎</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筛分</w:t>
            </w:r>
          </w:p>
        </w:tc>
      </w:tr>
      <w:tr w14:paraId="35026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noWrap w:val="0"/>
            <w:vAlign w:val="center"/>
          </w:tcPr>
          <w:p w14:paraId="5B07CF5C">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24C29270">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运输粉尘</w:t>
            </w:r>
          </w:p>
        </w:tc>
        <w:tc>
          <w:tcPr>
            <w:tcW w:w="1666" w:type="pct"/>
            <w:noWrap w:val="0"/>
            <w:vAlign w:val="center"/>
          </w:tcPr>
          <w:p w14:paraId="728CF7EC">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48" w:type="pct"/>
            <w:noWrap w:val="0"/>
            <w:vAlign w:val="center"/>
          </w:tcPr>
          <w:p w14:paraId="01EC4DE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原矿、产品</w:t>
            </w:r>
            <w:r>
              <w:rPr>
                <w:rFonts w:hint="default" w:ascii="Times New Roman" w:hAnsi="Times New Roman" w:eastAsia="宋体" w:cs="Times New Roman"/>
                <w:color w:val="auto"/>
                <w:sz w:val="21"/>
                <w:szCs w:val="21"/>
                <w:highlight w:val="none"/>
                <w:lang w:eastAsia="zh-CN"/>
              </w:rPr>
              <w:t>运输</w:t>
            </w:r>
          </w:p>
        </w:tc>
      </w:tr>
      <w:tr w14:paraId="38DA1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noWrap w:val="0"/>
            <w:vAlign w:val="center"/>
          </w:tcPr>
          <w:p w14:paraId="05FAFEF0">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6ABC6F99">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装卸粉尘</w:t>
            </w:r>
          </w:p>
        </w:tc>
        <w:tc>
          <w:tcPr>
            <w:tcW w:w="1666" w:type="pct"/>
            <w:noWrap w:val="0"/>
            <w:vAlign w:val="center"/>
          </w:tcPr>
          <w:p w14:paraId="4137AAD8">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1148" w:type="pct"/>
            <w:noWrap w:val="0"/>
            <w:vAlign w:val="center"/>
          </w:tcPr>
          <w:p w14:paraId="7368CA88">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原矿、产品装卸</w:t>
            </w:r>
          </w:p>
        </w:tc>
      </w:tr>
      <w:tr w14:paraId="0FC69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noWrap w:val="0"/>
            <w:vAlign w:val="center"/>
          </w:tcPr>
          <w:p w14:paraId="407B29F1">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58BA328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尾矿库粉尘</w:t>
            </w:r>
          </w:p>
        </w:tc>
        <w:tc>
          <w:tcPr>
            <w:tcW w:w="1666" w:type="pct"/>
            <w:noWrap w:val="0"/>
            <w:vAlign w:val="center"/>
          </w:tcPr>
          <w:p w14:paraId="3B24B8FB">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48" w:type="pct"/>
            <w:noWrap w:val="0"/>
            <w:vAlign w:val="center"/>
          </w:tcPr>
          <w:p w14:paraId="4E07CE7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尾矿库干滩</w:t>
            </w:r>
          </w:p>
        </w:tc>
      </w:tr>
      <w:tr w14:paraId="301AD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restart"/>
            <w:noWrap w:val="0"/>
            <w:vAlign w:val="center"/>
          </w:tcPr>
          <w:p w14:paraId="2E81A0B3">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水污染</w:t>
            </w:r>
          </w:p>
        </w:tc>
        <w:tc>
          <w:tcPr>
            <w:tcW w:w="1775" w:type="pct"/>
            <w:noWrap w:val="0"/>
            <w:vAlign w:val="center"/>
          </w:tcPr>
          <w:p w14:paraId="39ABB075">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办公生活区</w:t>
            </w:r>
          </w:p>
        </w:tc>
        <w:tc>
          <w:tcPr>
            <w:tcW w:w="1666" w:type="pct"/>
            <w:noWrap w:val="0"/>
            <w:vAlign w:val="center"/>
          </w:tcPr>
          <w:p w14:paraId="11371B27">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、SS、氨氮</w:t>
            </w:r>
          </w:p>
        </w:tc>
        <w:tc>
          <w:tcPr>
            <w:tcW w:w="1148" w:type="pct"/>
            <w:noWrap w:val="0"/>
            <w:vAlign w:val="center"/>
          </w:tcPr>
          <w:p w14:paraId="591618F8">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回用</w:t>
            </w:r>
          </w:p>
        </w:tc>
      </w:tr>
      <w:tr w14:paraId="4505B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0570915D">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3E2F09EC">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选矿</w:t>
            </w:r>
            <w:r>
              <w:rPr>
                <w:rFonts w:hint="default" w:ascii="Times New Roman" w:hAnsi="Times New Roman" w:eastAsia="宋体" w:cs="Times New Roman"/>
                <w:color w:val="auto"/>
                <w:sz w:val="21"/>
                <w:szCs w:val="21"/>
                <w:highlight w:val="none"/>
                <w:lang w:val="en-US" w:eastAsia="zh-CN"/>
              </w:rPr>
              <w:t>工艺</w:t>
            </w:r>
          </w:p>
        </w:tc>
        <w:tc>
          <w:tcPr>
            <w:tcW w:w="1666" w:type="pct"/>
            <w:noWrap w:val="0"/>
            <w:vAlign w:val="center"/>
          </w:tcPr>
          <w:p w14:paraId="40330FCB">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pH、SS等</w:t>
            </w:r>
          </w:p>
        </w:tc>
        <w:tc>
          <w:tcPr>
            <w:tcW w:w="1148" w:type="pct"/>
            <w:noWrap w:val="0"/>
            <w:vAlign w:val="center"/>
          </w:tcPr>
          <w:p w14:paraId="743D8385">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回用</w:t>
            </w:r>
          </w:p>
        </w:tc>
      </w:tr>
      <w:tr w14:paraId="43A8D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restart"/>
            <w:noWrap w:val="0"/>
            <w:vAlign w:val="center"/>
          </w:tcPr>
          <w:p w14:paraId="439D9F8A">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噪声污染</w:t>
            </w:r>
          </w:p>
        </w:tc>
        <w:tc>
          <w:tcPr>
            <w:tcW w:w="1775" w:type="pct"/>
            <w:noWrap w:val="0"/>
            <w:vAlign w:val="center"/>
          </w:tcPr>
          <w:p w14:paraId="74F41554">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原矿破碎</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筛分</w:t>
            </w:r>
          </w:p>
        </w:tc>
        <w:tc>
          <w:tcPr>
            <w:tcW w:w="1666" w:type="pct"/>
            <w:noWrap w:val="0"/>
            <w:vAlign w:val="center"/>
          </w:tcPr>
          <w:p w14:paraId="7E667A8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1148" w:type="pct"/>
            <w:noWrap w:val="0"/>
            <w:vAlign w:val="center"/>
          </w:tcPr>
          <w:p w14:paraId="1C9F8626">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破碎设备</w:t>
            </w:r>
          </w:p>
        </w:tc>
      </w:tr>
      <w:tr w14:paraId="6DDDC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5E4F08F0">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5DCBBE62">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原矿、产品</w:t>
            </w:r>
            <w:r>
              <w:rPr>
                <w:rFonts w:hint="default" w:ascii="Times New Roman" w:hAnsi="Times New Roman" w:eastAsia="宋体" w:cs="Times New Roman"/>
                <w:color w:val="auto"/>
                <w:sz w:val="21"/>
                <w:szCs w:val="21"/>
                <w:highlight w:val="none"/>
              </w:rPr>
              <w:t>运转</w:t>
            </w:r>
          </w:p>
        </w:tc>
        <w:tc>
          <w:tcPr>
            <w:tcW w:w="1666" w:type="pct"/>
            <w:noWrap w:val="0"/>
            <w:vAlign w:val="center"/>
          </w:tcPr>
          <w:p w14:paraId="157D07A6">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1148" w:type="pct"/>
            <w:noWrap w:val="0"/>
            <w:vAlign w:val="center"/>
          </w:tcPr>
          <w:p w14:paraId="4E7584A4">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装卸、运输设备</w:t>
            </w:r>
          </w:p>
        </w:tc>
      </w:tr>
      <w:tr w14:paraId="03FA2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0C7DA97E">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4E4EFA5C">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通风</w:t>
            </w:r>
          </w:p>
        </w:tc>
        <w:tc>
          <w:tcPr>
            <w:tcW w:w="1666" w:type="pct"/>
            <w:noWrap w:val="0"/>
            <w:vAlign w:val="center"/>
          </w:tcPr>
          <w:p w14:paraId="4ED0304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1148" w:type="pct"/>
            <w:noWrap w:val="0"/>
            <w:vAlign w:val="center"/>
          </w:tcPr>
          <w:p w14:paraId="0EFD3DC8">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风扇机</w:t>
            </w:r>
          </w:p>
        </w:tc>
      </w:tr>
      <w:tr w14:paraId="627EB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7940C493">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494027C3">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选矿设备</w:t>
            </w:r>
          </w:p>
        </w:tc>
        <w:tc>
          <w:tcPr>
            <w:tcW w:w="1666" w:type="pct"/>
            <w:noWrap w:val="0"/>
            <w:vAlign w:val="center"/>
          </w:tcPr>
          <w:p w14:paraId="6B67A29C">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1148" w:type="pct"/>
            <w:noWrap w:val="0"/>
            <w:vAlign w:val="center"/>
          </w:tcPr>
          <w:p w14:paraId="5AF74A42">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机械</w:t>
            </w:r>
            <w:r>
              <w:rPr>
                <w:rFonts w:hint="default" w:ascii="Times New Roman" w:hAnsi="Times New Roman" w:eastAsia="宋体" w:cs="Times New Roman"/>
                <w:color w:val="auto"/>
                <w:sz w:val="21"/>
                <w:szCs w:val="21"/>
                <w:highlight w:val="none"/>
              </w:rPr>
              <w:t>设备</w:t>
            </w:r>
          </w:p>
        </w:tc>
      </w:tr>
      <w:tr w14:paraId="36D7B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3D3D7E63">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5565B8C0">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尾矿排放设备</w:t>
            </w:r>
          </w:p>
        </w:tc>
        <w:tc>
          <w:tcPr>
            <w:tcW w:w="1666" w:type="pct"/>
            <w:noWrap w:val="0"/>
            <w:vAlign w:val="center"/>
          </w:tcPr>
          <w:p w14:paraId="16051F5C">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148" w:type="pct"/>
            <w:noWrap w:val="0"/>
            <w:vAlign w:val="center"/>
          </w:tcPr>
          <w:p w14:paraId="5DC13263">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水泵</w:t>
            </w:r>
          </w:p>
        </w:tc>
      </w:tr>
      <w:tr w14:paraId="026DF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restart"/>
            <w:noWrap w:val="0"/>
            <w:vAlign w:val="center"/>
          </w:tcPr>
          <w:p w14:paraId="6789A295">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775" w:type="pct"/>
            <w:noWrap w:val="0"/>
            <w:vAlign w:val="center"/>
          </w:tcPr>
          <w:p w14:paraId="7EBAB8B1">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破碎筛分</w:t>
            </w:r>
          </w:p>
        </w:tc>
        <w:tc>
          <w:tcPr>
            <w:tcW w:w="1666" w:type="pct"/>
            <w:noWrap w:val="0"/>
            <w:vAlign w:val="center"/>
          </w:tcPr>
          <w:p w14:paraId="72B6B6AE">
            <w:pPr>
              <w:adjustRightInd w:val="0"/>
              <w:snapToGrid w:val="0"/>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除尘灰</w:t>
            </w:r>
          </w:p>
        </w:tc>
        <w:tc>
          <w:tcPr>
            <w:tcW w:w="1148" w:type="pct"/>
            <w:noWrap w:val="0"/>
            <w:vAlign w:val="center"/>
          </w:tcPr>
          <w:p w14:paraId="0FB401AA">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一般工业固体废物</w:t>
            </w:r>
          </w:p>
        </w:tc>
      </w:tr>
      <w:tr w14:paraId="7B046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4A32ADC0">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62BF5A38">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生产回水池</w:t>
            </w:r>
          </w:p>
        </w:tc>
        <w:tc>
          <w:tcPr>
            <w:tcW w:w="1666" w:type="pct"/>
            <w:noWrap w:val="0"/>
            <w:vAlign w:val="center"/>
          </w:tcPr>
          <w:p w14:paraId="72B559E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生产</w:t>
            </w:r>
            <w:r>
              <w:rPr>
                <w:rFonts w:hint="default" w:ascii="Times New Roman" w:hAnsi="Times New Roman" w:eastAsia="宋体" w:cs="Times New Roman"/>
                <w:color w:val="auto"/>
                <w:kern w:val="0"/>
                <w:sz w:val="21"/>
                <w:szCs w:val="21"/>
                <w:highlight w:val="none"/>
              </w:rPr>
              <w:t>回水池底泥</w:t>
            </w:r>
          </w:p>
        </w:tc>
        <w:tc>
          <w:tcPr>
            <w:tcW w:w="1148" w:type="pct"/>
            <w:noWrap w:val="0"/>
            <w:vAlign w:val="center"/>
          </w:tcPr>
          <w:p w14:paraId="55F1E62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一般工业固体废物</w:t>
            </w:r>
          </w:p>
        </w:tc>
      </w:tr>
      <w:tr w14:paraId="57710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3135FB75">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70267FB7">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选矿工艺</w:t>
            </w:r>
          </w:p>
        </w:tc>
        <w:tc>
          <w:tcPr>
            <w:tcW w:w="1666" w:type="pct"/>
            <w:noWrap w:val="0"/>
            <w:vAlign w:val="center"/>
          </w:tcPr>
          <w:p w14:paraId="6E9D130F">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尾矿</w:t>
            </w:r>
          </w:p>
        </w:tc>
        <w:tc>
          <w:tcPr>
            <w:tcW w:w="1148" w:type="pct"/>
            <w:noWrap w:val="0"/>
            <w:vAlign w:val="center"/>
          </w:tcPr>
          <w:p w14:paraId="31E663CF">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一般工业固体废物</w:t>
            </w:r>
          </w:p>
        </w:tc>
      </w:tr>
      <w:tr w14:paraId="4FDA5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0966D358">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5CBC9834">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地埋式一体化污水处理设施</w:t>
            </w:r>
          </w:p>
        </w:tc>
        <w:tc>
          <w:tcPr>
            <w:tcW w:w="1666" w:type="pct"/>
            <w:noWrap w:val="0"/>
            <w:vAlign w:val="center"/>
          </w:tcPr>
          <w:p w14:paraId="40966859">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生活污水处理设施底泥</w:t>
            </w:r>
          </w:p>
        </w:tc>
        <w:tc>
          <w:tcPr>
            <w:tcW w:w="1148" w:type="pct"/>
            <w:noWrap w:val="0"/>
            <w:vAlign w:val="center"/>
          </w:tcPr>
          <w:p w14:paraId="3E06812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一般工业固体废物</w:t>
            </w:r>
          </w:p>
        </w:tc>
      </w:tr>
      <w:tr w14:paraId="4F9DF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6FF0CD77">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6DA41390">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油品</w:t>
            </w:r>
            <w:r>
              <w:rPr>
                <w:rFonts w:hint="default" w:ascii="Times New Roman" w:hAnsi="Times New Roman" w:eastAsia="宋体" w:cs="Times New Roman"/>
                <w:color w:val="auto"/>
                <w:spacing w:val="-2"/>
                <w:sz w:val="21"/>
                <w:szCs w:val="21"/>
                <w:highlight w:val="none"/>
              </w:rPr>
              <w:t>使用过</w:t>
            </w:r>
            <w:r>
              <w:rPr>
                <w:rFonts w:hint="default" w:ascii="Times New Roman" w:hAnsi="Times New Roman" w:eastAsia="宋体" w:cs="Times New Roman"/>
                <w:color w:val="auto"/>
                <w:sz w:val="21"/>
                <w:szCs w:val="21"/>
                <w:highlight w:val="none"/>
              </w:rPr>
              <w:t>程</w:t>
            </w:r>
          </w:p>
        </w:tc>
        <w:tc>
          <w:tcPr>
            <w:tcW w:w="1666" w:type="pct"/>
            <w:noWrap w:val="0"/>
            <w:vAlign w:val="center"/>
          </w:tcPr>
          <w:p w14:paraId="5E6DD04B">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废油桶</w:t>
            </w:r>
          </w:p>
        </w:tc>
        <w:tc>
          <w:tcPr>
            <w:tcW w:w="1148" w:type="pct"/>
            <w:noWrap w:val="0"/>
            <w:vAlign w:val="center"/>
          </w:tcPr>
          <w:p w14:paraId="6D56E9FF">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危险废物</w:t>
            </w:r>
          </w:p>
        </w:tc>
      </w:tr>
      <w:tr w14:paraId="35922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09EDB12E">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7C2EAA32">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粗选及药剂库</w:t>
            </w:r>
          </w:p>
        </w:tc>
        <w:tc>
          <w:tcPr>
            <w:tcW w:w="1666" w:type="pct"/>
            <w:noWrap w:val="0"/>
            <w:vAlign w:val="center"/>
          </w:tcPr>
          <w:p w14:paraId="0DDC1663">
            <w:pPr>
              <w:adjustRightInd w:val="0"/>
              <w:snapToGrid w:val="0"/>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废</w:t>
            </w:r>
            <w:r>
              <w:rPr>
                <w:rFonts w:hint="default" w:ascii="Times New Roman" w:hAnsi="Times New Roman" w:eastAsia="宋体" w:cs="Times New Roman"/>
                <w:color w:val="auto"/>
                <w:spacing w:val="6"/>
                <w:sz w:val="21"/>
                <w:szCs w:val="21"/>
                <w:highlight w:val="none"/>
                <w:lang w:val="en-US" w:eastAsia="zh-CN"/>
              </w:rPr>
              <w:t>矿物油</w:t>
            </w:r>
          </w:p>
        </w:tc>
        <w:tc>
          <w:tcPr>
            <w:tcW w:w="1148" w:type="pct"/>
            <w:noWrap w:val="0"/>
            <w:vAlign w:val="center"/>
          </w:tcPr>
          <w:p w14:paraId="2C1EAD0C">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r>
      <w:tr w14:paraId="4A9BC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08" w:type="pct"/>
            <w:vMerge w:val="continue"/>
            <w:noWrap w:val="0"/>
            <w:vAlign w:val="center"/>
          </w:tcPr>
          <w:p w14:paraId="2D7D63A0">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42A8A5D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药剂过程使用</w:t>
            </w:r>
          </w:p>
        </w:tc>
        <w:tc>
          <w:tcPr>
            <w:tcW w:w="1666" w:type="pct"/>
            <w:noWrap w:val="0"/>
            <w:vAlign w:val="center"/>
          </w:tcPr>
          <w:p w14:paraId="1A3F915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沾染毒性废弃包装物</w:t>
            </w:r>
          </w:p>
        </w:tc>
        <w:tc>
          <w:tcPr>
            <w:tcW w:w="1148" w:type="pct"/>
            <w:noWrap w:val="0"/>
            <w:vAlign w:val="center"/>
          </w:tcPr>
          <w:p w14:paraId="2DD0A84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危险废物</w:t>
            </w:r>
          </w:p>
        </w:tc>
      </w:tr>
      <w:tr w14:paraId="09CE8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5D579A1E">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12906D8D">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eastAsia="zh-CN"/>
              </w:rPr>
              <w:t>药剂过程使用</w:t>
            </w:r>
          </w:p>
        </w:tc>
        <w:tc>
          <w:tcPr>
            <w:tcW w:w="1666" w:type="pct"/>
            <w:noWrap w:val="0"/>
            <w:vAlign w:val="center"/>
          </w:tcPr>
          <w:p w14:paraId="09F6C3F1">
            <w:pPr>
              <w:adjustRightInd w:val="0"/>
              <w:snapToGrid w:val="0"/>
              <w:spacing w:line="360" w:lineRule="exact"/>
              <w:ind w:firstLine="0" w:firstLineChars="0"/>
              <w:jc w:val="center"/>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2"/>
                <w:sz w:val="21"/>
                <w:szCs w:val="21"/>
                <w:highlight w:val="none"/>
                <w:lang w:val="en-US" w:eastAsia="zh-CN"/>
              </w:rPr>
              <w:t>废药剂</w:t>
            </w:r>
          </w:p>
        </w:tc>
        <w:tc>
          <w:tcPr>
            <w:tcW w:w="1148" w:type="pct"/>
            <w:noWrap w:val="0"/>
            <w:vAlign w:val="center"/>
          </w:tcPr>
          <w:p w14:paraId="532FC43B">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r>
      <w:tr w14:paraId="1DB49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vMerge w:val="continue"/>
            <w:noWrap w:val="0"/>
            <w:vAlign w:val="center"/>
          </w:tcPr>
          <w:p w14:paraId="50C37436">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775" w:type="pct"/>
            <w:noWrap w:val="0"/>
            <w:vAlign w:val="center"/>
          </w:tcPr>
          <w:p w14:paraId="465A4580">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办公生活区</w:t>
            </w:r>
          </w:p>
        </w:tc>
        <w:tc>
          <w:tcPr>
            <w:tcW w:w="1666" w:type="pct"/>
            <w:noWrap w:val="0"/>
            <w:vAlign w:val="center"/>
          </w:tcPr>
          <w:p w14:paraId="139F7E31">
            <w:pPr>
              <w:adjustRightInd w:val="0"/>
              <w:snapToGrid w:val="0"/>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生活垃圾</w:t>
            </w:r>
          </w:p>
        </w:tc>
        <w:tc>
          <w:tcPr>
            <w:tcW w:w="1148" w:type="pct"/>
            <w:noWrap w:val="0"/>
            <w:vAlign w:val="center"/>
          </w:tcPr>
          <w:p w14:paraId="48411970">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生活垃圾</w:t>
            </w:r>
          </w:p>
        </w:tc>
      </w:tr>
      <w:tr w14:paraId="66F2C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8" w:type="pct"/>
            <w:noWrap w:val="0"/>
            <w:vAlign w:val="center"/>
          </w:tcPr>
          <w:p w14:paraId="562EC88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1775" w:type="pct"/>
            <w:noWrap w:val="0"/>
            <w:vAlign w:val="center"/>
          </w:tcPr>
          <w:p w14:paraId="11B3CE49">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选矿厂、尾矿库</w:t>
            </w:r>
            <w:r>
              <w:rPr>
                <w:rFonts w:hint="default" w:ascii="Times New Roman" w:hAnsi="Times New Roman" w:eastAsia="宋体" w:cs="Times New Roman"/>
                <w:color w:val="auto"/>
                <w:sz w:val="21"/>
                <w:szCs w:val="21"/>
                <w:highlight w:val="none"/>
                <w:lang w:eastAsia="zh-CN"/>
              </w:rPr>
              <w:t>相关设施占地</w:t>
            </w:r>
          </w:p>
        </w:tc>
        <w:tc>
          <w:tcPr>
            <w:tcW w:w="1666" w:type="pct"/>
            <w:noWrap w:val="0"/>
            <w:vAlign w:val="center"/>
          </w:tcPr>
          <w:p w14:paraId="5CB25A02">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地表沉陷、植被破坏、水土流失</w:t>
            </w:r>
            <w:r>
              <w:rPr>
                <w:rFonts w:hint="default" w:ascii="Times New Roman" w:hAnsi="Times New Roman" w:eastAsia="宋体" w:cs="Times New Roman"/>
                <w:color w:val="auto"/>
                <w:sz w:val="21"/>
                <w:szCs w:val="21"/>
                <w:highlight w:val="none"/>
                <w:lang w:eastAsia="zh-CN"/>
              </w:rPr>
              <w:t>、土地利用类型改变</w:t>
            </w:r>
          </w:p>
        </w:tc>
        <w:tc>
          <w:tcPr>
            <w:tcW w:w="1148" w:type="pct"/>
            <w:noWrap w:val="0"/>
            <w:vAlign w:val="center"/>
          </w:tcPr>
          <w:p w14:paraId="0E3D5762">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选</w:t>
            </w:r>
            <w:r>
              <w:rPr>
                <w:rFonts w:hint="default" w:ascii="Times New Roman" w:hAnsi="Times New Roman" w:cs="Times New Roman"/>
                <w:color w:val="auto"/>
                <w:sz w:val="21"/>
                <w:szCs w:val="21"/>
                <w:highlight w:val="none"/>
                <w:lang w:val="en-US" w:eastAsia="zh-CN"/>
              </w:rPr>
              <w:t>尾</w:t>
            </w:r>
            <w:r>
              <w:rPr>
                <w:rFonts w:hint="default" w:ascii="Times New Roman" w:hAnsi="Times New Roman" w:eastAsia="宋体" w:cs="Times New Roman"/>
                <w:color w:val="auto"/>
                <w:sz w:val="21"/>
                <w:szCs w:val="21"/>
                <w:highlight w:val="none"/>
              </w:rPr>
              <w:t>作业区</w:t>
            </w:r>
          </w:p>
        </w:tc>
      </w:tr>
    </w:tbl>
    <w:p w14:paraId="426350FB">
      <w:pPr>
        <w:overflowPunct w:val="0"/>
        <w:topLinePunct/>
        <w:ind w:firstLine="480"/>
        <w:rPr>
          <w:rFonts w:hint="default" w:ascii="Times New Roman" w:hAnsi="Times New Roman" w:cs="Times New Roman"/>
          <w:color w:val="auto"/>
          <w:kern w:val="0"/>
          <w:highlight w:val="none"/>
        </w:rPr>
      </w:pPr>
    </w:p>
    <w:p w14:paraId="371D793E">
      <w:pPr>
        <w:pStyle w:val="3"/>
        <w:rPr>
          <w:rFonts w:hint="default" w:ascii="Times New Roman" w:hAnsi="Times New Roman" w:cs="Times New Roman"/>
          <w:color w:val="auto"/>
          <w:highlight w:val="none"/>
        </w:rPr>
      </w:pPr>
      <w:bookmarkStart w:id="413" w:name="_Toc20666"/>
      <w:bookmarkStart w:id="414" w:name="_Toc15308"/>
      <w:bookmarkStart w:id="415" w:name="_Toc3345"/>
      <w:bookmarkStart w:id="416" w:name="_Toc23292"/>
      <w:bookmarkStart w:id="417" w:name="_Toc9473"/>
      <w:bookmarkStart w:id="418" w:name="_Toc9230"/>
      <w:bookmarkStart w:id="419" w:name="_Toc2953"/>
      <w:bookmarkStart w:id="420" w:name="_Toc9745"/>
      <w:bookmarkStart w:id="421" w:name="_Toc107413889"/>
      <w:bookmarkStart w:id="422" w:name="_Toc107414656"/>
      <w:bookmarkStart w:id="423" w:name="_Toc28292"/>
      <w:bookmarkStart w:id="424" w:name="_Toc8473"/>
      <w:r>
        <w:rPr>
          <w:rFonts w:hint="default" w:ascii="Times New Roman" w:hAnsi="Times New Roman" w:cs="Times New Roman"/>
          <w:color w:val="auto"/>
          <w:highlight w:val="none"/>
        </w:rPr>
        <w:t>3.</w:t>
      </w:r>
      <w:bookmarkEnd w:id="413"/>
      <w:bookmarkEnd w:id="414"/>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污染源及污染物分析</w:t>
      </w:r>
      <w:bookmarkEnd w:id="415"/>
      <w:bookmarkEnd w:id="416"/>
      <w:bookmarkEnd w:id="417"/>
      <w:bookmarkEnd w:id="418"/>
      <w:bookmarkEnd w:id="419"/>
      <w:bookmarkEnd w:id="420"/>
      <w:bookmarkEnd w:id="421"/>
      <w:bookmarkEnd w:id="422"/>
      <w:bookmarkEnd w:id="423"/>
      <w:bookmarkEnd w:id="424"/>
    </w:p>
    <w:p w14:paraId="7C15BDB8">
      <w:pPr>
        <w:pStyle w:val="4"/>
        <w:rPr>
          <w:rFonts w:hint="default" w:ascii="Times New Roman" w:hAnsi="Times New Roman" w:cs="Times New Roman"/>
          <w:color w:val="auto"/>
          <w:highlight w:val="none"/>
        </w:rPr>
      </w:pPr>
      <w:bookmarkStart w:id="425" w:name="_Toc24289"/>
      <w:bookmarkStart w:id="426" w:name="_Toc18983"/>
      <w:bookmarkStart w:id="427" w:name="_Toc574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.1施工期污染源及污染物分析</w:t>
      </w:r>
      <w:bookmarkEnd w:id="425"/>
      <w:bookmarkEnd w:id="426"/>
      <w:bookmarkEnd w:id="427"/>
    </w:p>
    <w:p w14:paraId="446E6A74">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建设项目施工期间，产生的生活污水、生活垃圾、建筑垃圾、扬尘、建材运输车辆的尾气和噪声等，均会对环境造成一定的影响。但施工期的环境影响为阶段性影响，工程建设完成后，除部分永久性占地为持续性影响外，其余环境影响会随施工期的结束而消失。</w:t>
      </w:r>
    </w:p>
    <w:p w14:paraId="6815709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.1.1大气污染源</w:t>
      </w:r>
    </w:p>
    <w:p w14:paraId="63C118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施工阶段，需频繁使用机动车辆运输建筑原材料、施工设备、器材及建筑垃圾，排出的机动车尾气主要污染物是C</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m</w:t>
      </w:r>
      <w:r>
        <w:rPr>
          <w:rFonts w:hint="default" w:ascii="Times New Roman" w:hAnsi="Times New Roman" w:cs="Times New Roman"/>
          <w:color w:val="auto"/>
          <w:highlight w:val="none"/>
        </w:rPr>
        <w:t>、CO、NO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等，同时车辆运行、装卸建筑材料时将产生扬尘。</w:t>
      </w:r>
    </w:p>
    <w:p w14:paraId="23632E0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施工扬尘污染主要造成大气中TSP值增高，根据类比资料，施工扬尘的起尘量与许多因素有关。影响起尘量的因素包括：基础开挖起尘量、施工渣土堆场起尘量、进出车辆带泥砂量、水泥搬运量</w:t>
      </w:r>
      <w:r>
        <w:rPr>
          <w:rFonts w:hint="default" w:cs="Times New Roman"/>
          <w:color w:val="auto"/>
          <w:highlight w:val="none"/>
          <w:lang w:eastAsia="zh-CN"/>
        </w:rPr>
        <w:t>以及</w:t>
      </w:r>
      <w:r>
        <w:rPr>
          <w:rFonts w:hint="default" w:ascii="Times New Roman" w:hAnsi="Times New Roman" w:cs="Times New Roman"/>
          <w:color w:val="auto"/>
          <w:highlight w:val="none"/>
        </w:rPr>
        <w:t>起尘高度、采取的防护措施、空气湿度、风速等。废气污染物排放量较小，随着施工期结束而停止。</w:t>
      </w:r>
    </w:p>
    <w:p w14:paraId="5078FF16">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.1.2废水</w:t>
      </w:r>
    </w:p>
    <w:p w14:paraId="1F1A1E2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施工期废水主要为工地建筑工人产生的生活污水和工程废水。</w:t>
      </w:r>
    </w:p>
    <w:p w14:paraId="616BD04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（1）施工期生活污水</w:t>
      </w:r>
    </w:p>
    <w:p w14:paraId="69D269D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生活污水主要污染物为SS、COD、氨氮等。施工期间进场施工人数约为70人左右，施工人员生活用水按30L/人·d计，用水量为2.1m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/d，排放系数以0.8计，排放量约为1.68m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kern w:val="0"/>
          <w:highlight w:val="none"/>
          <w:lang w:val="zh-CN"/>
        </w:rPr>
        <w:t>施工期</w:t>
      </w:r>
      <w:r>
        <w:rPr>
          <w:rFonts w:hint="default" w:ascii="Times New Roman" w:hAnsi="Times New Roman" w:cs="Times New Roman"/>
          <w:color w:val="auto"/>
          <w:kern w:val="0"/>
          <w:highlight w:val="none"/>
          <w:lang w:val="en-US" w:eastAsia="zh-CN"/>
        </w:rPr>
        <w:t>建议先建设</w:t>
      </w:r>
      <w:r>
        <w:rPr>
          <w:rFonts w:hint="default" w:ascii="Times New Roman" w:hAnsi="Times New Roman" w:cs="Times New Roman"/>
          <w:color w:val="auto"/>
          <w:kern w:val="0"/>
          <w:highlight w:val="none"/>
          <w:lang w:val="zh-CN"/>
        </w:rPr>
        <w:t>生活区</w:t>
      </w:r>
      <w:r>
        <w:rPr>
          <w:rFonts w:hint="default" w:ascii="Times New Roman" w:hAnsi="Times New Roman" w:cs="Times New Roman"/>
          <w:color w:val="auto"/>
          <w:szCs w:val="28"/>
          <w:highlight w:val="none"/>
        </w:rPr>
        <w:t>污水处理设施处理，</w:t>
      </w:r>
      <w:r>
        <w:rPr>
          <w:rFonts w:hint="default" w:ascii="Times New Roman" w:hAnsi="Times New Roman" w:cs="Times New Roman"/>
          <w:color w:val="auto"/>
          <w:kern w:val="0"/>
          <w:highlight w:val="none"/>
          <w:lang w:val="zh-CN"/>
        </w:rPr>
        <w:t>处理满足</w:t>
      </w:r>
      <w:r>
        <w:rPr>
          <w:rFonts w:hint="default" w:ascii="Times New Roman" w:hAnsi="Times New Roman" w:cs="Times New Roman"/>
          <w:color w:val="auto"/>
          <w:highlight w:val="none"/>
        </w:rPr>
        <w:t>《农村生活污水处理排放标准》（DB65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kern w:val="0"/>
          <w:highlight w:val="none"/>
          <w:lang w:val="zh-CN"/>
        </w:rPr>
        <w:t>，不外排。</w:t>
      </w:r>
      <w:r>
        <w:rPr>
          <w:rFonts w:hint="default" w:ascii="Times New Roman" w:hAnsi="Times New Roman" w:cs="Times New Roman"/>
          <w:color w:val="auto"/>
          <w:highlight w:val="none"/>
          <w:lang w:bidi="ar"/>
        </w:rPr>
        <w:t>对项目区周围水环境影响较小。</w:t>
      </w:r>
    </w:p>
    <w:p w14:paraId="338FF2C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w:t>
      </w:r>
      <w:r>
        <w:rPr>
          <w:rFonts w:hint="default" w:ascii="Times New Roman" w:hAnsi="Times New Roman" w:cs="Times New Roman"/>
          <w:color w:val="auto"/>
          <w:highlight w:val="none"/>
        </w:rPr>
        <w:t>工程废水</w:t>
      </w:r>
    </w:p>
    <w:p w14:paraId="71F6DE8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工程废水包括进出施工场地的车辆清洗产生的泥浆水等工程废水，主要污染物是SS、石油类，水量较少，施工废水经隔油、沉淀处理后用于洒水抑尘。</w:t>
      </w:r>
    </w:p>
    <w:p w14:paraId="23C1CCA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.1.3噪声</w:t>
      </w:r>
    </w:p>
    <w:p w14:paraId="67E73EA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主要来自施工机械噪声、施工作业噪声和运输车辆噪声。施工机械噪声由施工机械产生，如挖土机械、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建设期主要施工机械设备的噪声源强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-1，物料运输车辆类型及其声级值见表3.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w:t>
      </w:r>
    </w:p>
    <w:p w14:paraId="43F05C5B">
      <w:pPr>
        <w:ind w:firstLine="0" w:firstLineChars="0"/>
        <w:jc w:val="center"/>
        <w:rPr>
          <w:rFonts w:hint="default" w:ascii="Times New Roman" w:hAnsi="Times New Roman" w:cs="Times New Roman"/>
          <w:color w:val="auto"/>
          <w:highlight w:val="none"/>
        </w:rPr>
      </w:pPr>
      <w:bookmarkStart w:id="428" w:name="_Toc8298_WPSOffice_Level2"/>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-1    施工期噪声声源强度表</w:t>
      </w:r>
      <w:bookmarkEnd w:id="428"/>
    </w:p>
    <w:tbl>
      <w:tblPr>
        <w:tblStyle w:val="33"/>
        <w:tblW w:w="917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96"/>
        <w:gridCol w:w="3480"/>
        <w:gridCol w:w="3694"/>
      </w:tblGrid>
      <w:tr w14:paraId="5C9C74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996" w:type="dxa"/>
            <w:vAlign w:val="center"/>
          </w:tcPr>
          <w:p w14:paraId="2D8CF7B6">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施工阶段</w:t>
            </w:r>
          </w:p>
        </w:tc>
        <w:tc>
          <w:tcPr>
            <w:tcW w:w="3480" w:type="dxa"/>
            <w:vAlign w:val="center"/>
          </w:tcPr>
          <w:p w14:paraId="0F65BA63">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声源</w:t>
            </w:r>
          </w:p>
        </w:tc>
        <w:tc>
          <w:tcPr>
            <w:tcW w:w="3694" w:type="dxa"/>
            <w:vAlign w:val="center"/>
          </w:tcPr>
          <w:p w14:paraId="0C6E73AD">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声源强度[dB（A）]</w:t>
            </w:r>
          </w:p>
        </w:tc>
      </w:tr>
      <w:tr w14:paraId="50E518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restart"/>
            <w:vAlign w:val="center"/>
          </w:tcPr>
          <w:p w14:paraId="3E28EB2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土石方阶段</w:t>
            </w:r>
          </w:p>
        </w:tc>
        <w:tc>
          <w:tcPr>
            <w:tcW w:w="3480" w:type="dxa"/>
            <w:vAlign w:val="center"/>
          </w:tcPr>
          <w:p w14:paraId="228EFA3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挖土机</w:t>
            </w:r>
          </w:p>
        </w:tc>
        <w:tc>
          <w:tcPr>
            <w:tcW w:w="3694" w:type="dxa"/>
            <w:vAlign w:val="center"/>
          </w:tcPr>
          <w:p w14:paraId="1D27D0D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78～96</w:t>
            </w:r>
          </w:p>
        </w:tc>
      </w:tr>
      <w:tr w14:paraId="1958B7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53A1AA05">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736454D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冲击机</w:t>
            </w:r>
          </w:p>
        </w:tc>
        <w:tc>
          <w:tcPr>
            <w:tcW w:w="3694" w:type="dxa"/>
            <w:vAlign w:val="center"/>
          </w:tcPr>
          <w:p w14:paraId="7EC997B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95</w:t>
            </w:r>
          </w:p>
        </w:tc>
      </w:tr>
      <w:tr w14:paraId="230AB1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3036A6B3">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62BA7A3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空压机</w:t>
            </w:r>
          </w:p>
        </w:tc>
        <w:tc>
          <w:tcPr>
            <w:tcW w:w="3694" w:type="dxa"/>
            <w:vAlign w:val="center"/>
          </w:tcPr>
          <w:p w14:paraId="639F1B9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75～85</w:t>
            </w:r>
          </w:p>
        </w:tc>
      </w:tr>
      <w:tr w14:paraId="53F394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4A369166">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6BA962C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压缩机</w:t>
            </w:r>
          </w:p>
        </w:tc>
        <w:tc>
          <w:tcPr>
            <w:tcW w:w="3694" w:type="dxa"/>
            <w:vAlign w:val="center"/>
          </w:tcPr>
          <w:p w14:paraId="0504469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75～88</w:t>
            </w:r>
          </w:p>
        </w:tc>
      </w:tr>
      <w:tr w14:paraId="14E3B8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restart"/>
            <w:vAlign w:val="center"/>
          </w:tcPr>
          <w:p w14:paraId="3B1843D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结构施工阶段</w:t>
            </w:r>
          </w:p>
        </w:tc>
        <w:tc>
          <w:tcPr>
            <w:tcW w:w="3480" w:type="dxa"/>
            <w:vAlign w:val="center"/>
          </w:tcPr>
          <w:p w14:paraId="642C595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振捣器</w:t>
            </w:r>
          </w:p>
        </w:tc>
        <w:tc>
          <w:tcPr>
            <w:tcW w:w="3694" w:type="dxa"/>
            <w:vAlign w:val="center"/>
          </w:tcPr>
          <w:p w14:paraId="785826A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100～105</w:t>
            </w:r>
          </w:p>
        </w:tc>
      </w:tr>
      <w:tr w14:paraId="2B226D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5E82BCE9">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6EBB289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电锯</w:t>
            </w:r>
          </w:p>
        </w:tc>
        <w:tc>
          <w:tcPr>
            <w:tcW w:w="3694" w:type="dxa"/>
            <w:vAlign w:val="center"/>
          </w:tcPr>
          <w:p w14:paraId="538C798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100～105</w:t>
            </w:r>
          </w:p>
        </w:tc>
      </w:tr>
      <w:tr w14:paraId="1E0CC3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16B91147">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585453E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电焊机</w:t>
            </w:r>
          </w:p>
        </w:tc>
        <w:tc>
          <w:tcPr>
            <w:tcW w:w="3694" w:type="dxa"/>
            <w:vAlign w:val="center"/>
          </w:tcPr>
          <w:p w14:paraId="22D9152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90～95</w:t>
            </w:r>
          </w:p>
        </w:tc>
      </w:tr>
      <w:tr w14:paraId="2DD004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407235D6">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68A35C6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空压机</w:t>
            </w:r>
          </w:p>
        </w:tc>
        <w:tc>
          <w:tcPr>
            <w:tcW w:w="3694" w:type="dxa"/>
            <w:vAlign w:val="center"/>
          </w:tcPr>
          <w:p w14:paraId="4FA19AE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75～85</w:t>
            </w:r>
          </w:p>
        </w:tc>
      </w:tr>
      <w:tr w14:paraId="42451B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restart"/>
            <w:vAlign w:val="center"/>
          </w:tcPr>
          <w:p w14:paraId="736EFC8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设备安装阶段</w:t>
            </w:r>
          </w:p>
        </w:tc>
        <w:tc>
          <w:tcPr>
            <w:tcW w:w="3480" w:type="dxa"/>
            <w:vAlign w:val="center"/>
          </w:tcPr>
          <w:p w14:paraId="1BE3ED2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电钻</w:t>
            </w:r>
          </w:p>
        </w:tc>
        <w:tc>
          <w:tcPr>
            <w:tcW w:w="3694" w:type="dxa"/>
            <w:vAlign w:val="center"/>
          </w:tcPr>
          <w:p w14:paraId="1919708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100～105</w:t>
            </w:r>
          </w:p>
        </w:tc>
      </w:tr>
      <w:tr w14:paraId="4B4A93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44471260">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2BCA7FD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电锤</w:t>
            </w:r>
          </w:p>
        </w:tc>
        <w:tc>
          <w:tcPr>
            <w:tcW w:w="3694" w:type="dxa"/>
            <w:vAlign w:val="center"/>
          </w:tcPr>
          <w:p w14:paraId="2F4A13C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100～105</w:t>
            </w:r>
          </w:p>
        </w:tc>
      </w:tr>
      <w:tr w14:paraId="72B8CD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0B6B2AF1">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1C2BB9A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手工钻</w:t>
            </w:r>
          </w:p>
        </w:tc>
        <w:tc>
          <w:tcPr>
            <w:tcW w:w="3694" w:type="dxa"/>
            <w:vAlign w:val="center"/>
          </w:tcPr>
          <w:p w14:paraId="168AC2C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100～105</w:t>
            </w:r>
          </w:p>
        </w:tc>
      </w:tr>
      <w:tr w14:paraId="1D8761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5160A42E">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47193CD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无齿锯</w:t>
            </w:r>
          </w:p>
        </w:tc>
        <w:tc>
          <w:tcPr>
            <w:tcW w:w="3694" w:type="dxa"/>
            <w:vAlign w:val="center"/>
          </w:tcPr>
          <w:p w14:paraId="0EE458D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105</w:t>
            </w:r>
          </w:p>
        </w:tc>
      </w:tr>
      <w:tr w14:paraId="3CA934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3B86FEF7">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371EBA2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多功能木工刨</w:t>
            </w:r>
          </w:p>
        </w:tc>
        <w:tc>
          <w:tcPr>
            <w:tcW w:w="3694" w:type="dxa"/>
            <w:vAlign w:val="center"/>
          </w:tcPr>
          <w:p w14:paraId="79842AB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90～100</w:t>
            </w:r>
          </w:p>
        </w:tc>
      </w:tr>
      <w:tr w14:paraId="17DE5F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30CFE6B8">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5AB3167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角向磨光机</w:t>
            </w:r>
          </w:p>
        </w:tc>
        <w:tc>
          <w:tcPr>
            <w:tcW w:w="3694" w:type="dxa"/>
            <w:vAlign w:val="center"/>
          </w:tcPr>
          <w:p w14:paraId="156888A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100～115</w:t>
            </w:r>
          </w:p>
        </w:tc>
      </w:tr>
    </w:tbl>
    <w:p w14:paraId="4014B6D9">
      <w:pPr>
        <w:ind w:firstLine="0" w:firstLineChars="0"/>
        <w:jc w:val="center"/>
        <w:rPr>
          <w:rFonts w:hint="default" w:ascii="Times New Roman" w:hAnsi="Times New Roman" w:cs="Times New Roman"/>
          <w:b/>
          <w:color w:val="auto"/>
          <w:highlight w:val="none"/>
        </w:rPr>
      </w:pPr>
      <w:bookmarkStart w:id="429" w:name="_Toc18318_WPSOffice_Level2"/>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-2    交通运输车辆噪声</w:t>
      </w:r>
      <w:bookmarkEnd w:id="429"/>
    </w:p>
    <w:tbl>
      <w:tblPr>
        <w:tblStyle w:val="33"/>
        <w:tblW w:w="91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2"/>
        <w:gridCol w:w="2891"/>
        <w:gridCol w:w="2228"/>
        <w:gridCol w:w="2061"/>
      </w:tblGrid>
      <w:tr w14:paraId="4694C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992" w:type="dxa"/>
            <w:vAlign w:val="center"/>
          </w:tcPr>
          <w:p w14:paraId="5AC77D48">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施工阶段</w:t>
            </w:r>
          </w:p>
        </w:tc>
        <w:tc>
          <w:tcPr>
            <w:tcW w:w="2891" w:type="dxa"/>
            <w:vAlign w:val="center"/>
          </w:tcPr>
          <w:p w14:paraId="2D4CA881">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运输内容</w:t>
            </w:r>
          </w:p>
        </w:tc>
        <w:tc>
          <w:tcPr>
            <w:tcW w:w="2228" w:type="dxa"/>
            <w:vAlign w:val="center"/>
          </w:tcPr>
          <w:p w14:paraId="45264481">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车辆类型</w:t>
            </w:r>
          </w:p>
        </w:tc>
        <w:tc>
          <w:tcPr>
            <w:tcW w:w="2061" w:type="dxa"/>
            <w:vAlign w:val="center"/>
          </w:tcPr>
          <w:p w14:paraId="76DE82CD">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声源强度[dB（A）]</w:t>
            </w:r>
          </w:p>
        </w:tc>
      </w:tr>
      <w:tr w14:paraId="055FB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92" w:type="dxa"/>
            <w:vAlign w:val="center"/>
          </w:tcPr>
          <w:p w14:paraId="67119BD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土石方阶段</w:t>
            </w:r>
          </w:p>
        </w:tc>
        <w:tc>
          <w:tcPr>
            <w:tcW w:w="2891" w:type="dxa"/>
            <w:vAlign w:val="center"/>
          </w:tcPr>
          <w:p w14:paraId="065408D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场内运输</w:t>
            </w:r>
          </w:p>
        </w:tc>
        <w:tc>
          <w:tcPr>
            <w:tcW w:w="2228" w:type="dxa"/>
            <w:vAlign w:val="center"/>
          </w:tcPr>
          <w:p w14:paraId="656DCEB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大型载重车</w:t>
            </w:r>
          </w:p>
        </w:tc>
        <w:tc>
          <w:tcPr>
            <w:tcW w:w="2061" w:type="dxa"/>
            <w:vAlign w:val="center"/>
          </w:tcPr>
          <w:p w14:paraId="5BA8AD3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84～89</w:t>
            </w:r>
          </w:p>
        </w:tc>
      </w:tr>
      <w:tr w14:paraId="33D12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92" w:type="dxa"/>
            <w:vAlign w:val="center"/>
          </w:tcPr>
          <w:p w14:paraId="7611C42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结构施工阶段</w:t>
            </w:r>
          </w:p>
        </w:tc>
        <w:tc>
          <w:tcPr>
            <w:tcW w:w="2891" w:type="dxa"/>
            <w:vAlign w:val="center"/>
          </w:tcPr>
          <w:p w14:paraId="71D25A4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钢筋、商品混凝土</w:t>
            </w:r>
          </w:p>
        </w:tc>
        <w:tc>
          <w:tcPr>
            <w:tcW w:w="2228" w:type="dxa"/>
            <w:vAlign w:val="center"/>
          </w:tcPr>
          <w:p w14:paraId="5988C9D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混凝土罐车、载重车</w:t>
            </w:r>
          </w:p>
        </w:tc>
        <w:tc>
          <w:tcPr>
            <w:tcW w:w="2061" w:type="dxa"/>
            <w:vAlign w:val="center"/>
          </w:tcPr>
          <w:p w14:paraId="6AE40F6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80～85</w:t>
            </w:r>
          </w:p>
        </w:tc>
      </w:tr>
      <w:tr w14:paraId="5DEA6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92" w:type="dxa"/>
            <w:vAlign w:val="center"/>
          </w:tcPr>
          <w:p w14:paraId="24E9EBF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设备安装阶段</w:t>
            </w:r>
          </w:p>
        </w:tc>
        <w:tc>
          <w:tcPr>
            <w:tcW w:w="2891" w:type="dxa"/>
            <w:vAlign w:val="center"/>
          </w:tcPr>
          <w:p w14:paraId="195423F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各种装修材料及必备设备</w:t>
            </w:r>
          </w:p>
        </w:tc>
        <w:tc>
          <w:tcPr>
            <w:tcW w:w="2228" w:type="dxa"/>
            <w:vAlign w:val="center"/>
          </w:tcPr>
          <w:p w14:paraId="4685BF4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轻型载重卡车</w:t>
            </w:r>
          </w:p>
        </w:tc>
        <w:tc>
          <w:tcPr>
            <w:tcW w:w="2061" w:type="dxa"/>
            <w:vAlign w:val="center"/>
          </w:tcPr>
          <w:p w14:paraId="35A4100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75～80</w:t>
            </w:r>
          </w:p>
        </w:tc>
      </w:tr>
    </w:tbl>
    <w:p w14:paraId="52854561">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.1.4固体废物</w:t>
      </w:r>
    </w:p>
    <w:p w14:paraId="72899EC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施工期会产生建筑垃圾及生活垃圾等固体废物。</w:t>
      </w:r>
    </w:p>
    <w:p w14:paraId="1C432A8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（1）建筑垃圾</w:t>
      </w:r>
    </w:p>
    <w:p w14:paraId="7034C3E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期产生的建筑垃圾包括碎石、砂土等废弃土石方、废金属、废钢筋等废弃建筑材料。废弃土石方用于场地平整及地面硬化，废金属、废钢筋等废弃建筑材料由施工单位及时收集后回收利用，不能回收利用的集中收集后送至当地建筑垃圾填埋场填埋处理。</w:t>
      </w:r>
    </w:p>
    <w:p w14:paraId="4A1C2F1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（2）</w:t>
      </w:r>
      <w:r>
        <w:rPr>
          <w:rFonts w:hint="default" w:ascii="Times New Roman" w:hAnsi="Times New Roman" w:cs="Times New Roman"/>
          <w:color w:val="auto"/>
          <w:highlight w:val="none"/>
        </w:rPr>
        <w:t>生活垃圾</w:t>
      </w:r>
    </w:p>
    <w:p w14:paraId="6C4786E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施工高峰期施工人员及工地管理人员约70人，工地生活垃圾按0.5kg/人·d计，则产生量约为35kg/d。生活垃圾集中收集后，定期清运</w:t>
      </w:r>
      <w:r>
        <w:rPr>
          <w:rFonts w:hint="default" w:ascii="Times New Roman" w:hAnsi="Times New Roman" w:cs="Times New Roman"/>
          <w:color w:val="auto"/>
          <w:highlight w:val="none"/>
          <w:lang w:val="en-US" w:eastAsia="zh-CN"/>
        </w:rPr>
        <w:t>至</w:t>
      </w:r>
      <w:r>
        <w:rPr>
          <w:rFonts w:hint="default" w:cs="Times New Roman"/>
          <w:color w:val="auto"/>
          <w:highlight w:val="none"/>
          <w:lang w:val="en-US" w:eastAsia="zh-CN"/>
        </w:rPr>
        <w:t>富蕴县杜热镇生活垃圾填埋场</w:t>
      </w:r>
      <w:r>
        <w:rPr>
          <w:rFonts w:hint="default" w:ascii="Times New Roman" w:hAnsi="Times New Roman" w:cs="Times New Roman"/>
          <w:color w:val="auto"/>
          <w:highlight w:val="none"/>
          <w:lang w:val="en-US" w:eastAsia="zh-CN"/>
        </w:rPr>
        <w:t>填埋处置</w:t>
      </w:r>
      <w:r>
        <w:rPr>
          <w:rFonts w:hint="default" w:ascii="Times New Roman" w:hAnsi="Times New Roman" w:cs="Times New Roman"/>
          <w:color w:val="auto"/>
          <w:highlight w:val="none"/>
        </w:rPr>
        <w:t>。</w:t>
      </w:r>
    </w:p>
    <w:p w14:paraId="56EEDD5B">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.1.5生态影响</w:t>
      </w:r>
    </w:p>
    <w:p w14:paraId="2BE9A2D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本项目拟建地面工程主要包括</w:t>
      </w:r>
      <w:r>
        <w:rPr>
          <w:rFonts w:hint="default" w:ascii="Times New Roman" w:hAnsi="Times New Roman" w:cs="Times New Roman"/>
          <w:color w:val="auto"/>
          <w:highlight w:val="none"/>
          <w:lang w:eastAsia="zh-CN"/>
        </w:rPr>
        <w:t>选</w:t>
      </w:r>
      <w:r>
        <w:rPr>
          <w:rFonts w:hint="default" w:ascii="Times New Roman" w:hAnsi="Times New Roman" w:cs="Times New Roman"/>
          <w:color w:val="auto"/>
          <w:highlight w:val="none"/>
        </w:rPr>
        <w:t>矿工业场地、</w:t>
      </w:r>
      <w:r>
        <w:rPr>
          <w:rFonts w:hint="default" w:ascii="Times New Roman" w:hAnsi="Times New Roman" w:cs="Times New Roman"/>
          <w:color w:val="auto"/>
          <w:highlight w:val="none"/>
          <w:lang w:eastAsia="zh-CN"/>
        </w:rPr>
        <w:t>尾矿库、</w:t>
      </w:r>
      <w:r>
        <w:rPr>
          <w:rFonts w:hint="default" w:ascii="Times New Roman" w:hAnsi="Times New Roman" w:cs="Times New Roman"/>
          <w:color w:val="auto"/>
          <w:highlight w:val="none"/>
        </w:rPr>
        <w:t>运输</w:t>
      </w:r>
      <w:r>
        <w:rPr>
          <w:rFonts w:hint="default" w:ascii="Times New Roman" w:hAnsi="Times New Roman" w:cs="Times New Roman"/>
          <w:color w:val="auto"/>
          <w:highlight w:val="none"/>
          <w:lang w:eastAsia="zh-CN"/>
        </w:rPr>
        <w:t>道路及其他辅助设施等</w:t>
      </w:r>
      <w:r>
        <w:rPr>
          <w:rFonts w:hint="default" w:ascii="Times New Roman" w:hAnsi="Times New Roman" w:cs="Times New Roman"/>
          <w:color w:val="auto"/>
          <w:highlight w:val="none"/>
        </w:rPr>
        <w:t>。临时用地均在永久占地范围内，项目区土地利用现状为</w:t>
      </w:r>
      <w:r>
        <w:rPr>
          <w:rFonts w:hint="default" w:ascii="Times New Roman" w:hAnsi="Times New Roman" w:cs="Times New Roman"/>
          <w:color w:val="auto"/>
          <w:highlight w:val="none"/>
          <w:lang w:val="en-US" w:eastAsia="zh-CN"/>
        </w:rPr>
        <w:t>低覆盖度草地</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施工期间</w:t>
      </w:r>
      <w:r>
        <w:rPr>
          <w:rFonts w:hint="default" w:ascii="Times New Roman" w:hAnsi="Times New Roman" w:cs="Times New Roman"/>
          <w:color w:val="auto"/>
          <w:highlight w:val="none"/>
        </w:rPr>
        <w:t>工业场地、</w:t>
      </w:r>
      <w:r>
        <w:rPr>
          <w:rFonts w:hint="default" w:ascii="Times New Roman" w:hAnsi="Times New Roman" w:cs="Times New Roman"/>
          <w:color w:val="auto"/>
          <w:highlight w:val="none"/>
          <w:lang w:val="en-US" w:eastAsia="zh-CN"/>
        </w:rPr>
        <w:t>尾矿库</w:t>
      </w:r>
      <w:r>
        <w:rPr>
          <w:rFonts w:hint="default" w:ascii="Times New Roman" w:hAnsi="Times New Roman" w:cs="Times New Roman"/>
          <w:color w:val="auto"/>
          <w:highlight w:val="none"/>
        </w:rPr>
        <w:t>及道路建设都将压占土地，破坏原有地表植被。</w:t>
      </w:r>
      <w:r>
        <w:rPr>
          <w:rFonts w:hint="default" w:ascii="Times New Roman" w:hAnsi="Times New Roman" w:cs="Times New Roman"/>
          <w:color w:val="auto"/>
          <w:highlight w:val="none"/>
          <w:lang w:val="en-US" w:eastAsia="zh-CN"/>
        </w:rPr>
        <w:t>待</w:t>
      </w:r>
      <w:r>
        <w:rPr>
          <w:rFonts w:hint="default" w:ascii="Times New Roman" w:hAnsi="Times New Roman" w:cs="Times New Roman"/>
          <w:color w:val="auto"/>
          <w:highlight w:val="none"/>
        </w:rPr>
        <w:t>施工结束后，</w:t>
      </w:r>
      <w:r>
        <w:rPr>
          <w:rFonts w:hint="default" w:ascii="Times New Roman" w:hAnsi="Times New Roman" w:cs="Times New Roman"/>
          <w:color w:val="auto"/>
          <w:highlight w:val="none"/>
          <w:lang w:val="en-US" w:eastAsia="zh-CN"/>
        </w:rPr>
        <w:t>应</w:t>
      </w:r>
      <w:r>
        <w:rPr>
          <w:rFonts w:hint="default" w:ascii="Times New Roman" w:hAnsi="Times New Roman" w:cs="Times New Roman"/>
          <w:color w:val="auto"/>
          <w:highlight w:val="none"/>
        </w:rPr>
        <w:t>结合矿山地质环境恢复治理与土地复垦方案</w:t>
      </w:r>
      <w:r>
        <w:rPr>
          <w:rFonts w:hint="default" w:ascii="Times New Roman" w:hAnsi="Times New Roman" w:cs="Times New Roman"/>
          <w:color w:val="auto"/>
          <w:highlight w:val="none"/>
          <w:lang w:val="en-US" w:eastAsia="zh-CN"/>
        </w:rPr>
        <w:t>，通过</w:t>
      </w:r>
      <w:r>
        <w:rPr>
          <w:rFonts w:hint="default" w:ascii="Times New Roman" w:hAnsi="Times New Roman" w:cs="Times New Roman"/>
          <w:color w:val="auto"/>
          <w:highlight w:val="none"/>
        </w:rPr>
        <w:t>整地、覆土、栽植</w:t>
      </w:r>
      <w:r>
        <w:rPr>
          <w:rFonts w:hint="default" w:ascii="Times New Roman" w:hAnsi="Times New Roman" w:cs="Times New Roman"/>
          <w:color w:val="auto"/>
          <w:highlight w:val="none"/>
          <w:lang w:val="en-US" w:eastAsia="zh-CN"/>
        </w:rPr>
        <w:t>当地本土植被等</w:t>
      </w:r>
      <w:r>
        <w:rPr>
          <w:rFonts w:hint="default" w:ascii="Times New Roman" w:hAnsi="Times New Roman" w:cs="Times New Roman"/>
          <w:color w:val="auto"/>
          <w:highlight w:val="none"/>
        </w:rPr>
        <w:t>绿化措施可有效改善区域生态环境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施工期间处理达标后</w:t>
      </w:r>
      <w:r>
        <w:rPr>
          <w:rFonts w:hint="default" w:ascii="Times New Roman" w:hAnsi="Times New Roman" w:cs="Times New Roman"/>
          <w:color w:val="auto"/>
          <w:highlight w:val="none"/>
        </w:rPr>
        <w:t>生活污水</w:t>
      </w:r>
      <w:r>
        <w:rPr>
          <w:rFonts w:hint="default" w:ascii="Times New Roman" w:hAnsi="Times New Roman" w:cs="Times New Roman"/>
          <w:color w:val="auto"/>
          <w:highlight w:val="none"/>
          <w:lang w:val="en-US" w:eastAsia="zh-CN"/>
        </w:rPr>
        <w:t>可作为项目区绿化用水。</w:t>
      </w:r>
      <w:r>
        <w:rPr>
          <w:rFonts w:hint="default" w:ascii="Times New Roman" w:hAnsi="Times New Roman" w:cs="Times New Roman"/>
          <w:color w:val="auto"/>
          <w:highlight w:val="none"/>
        </w:rPr>
        <w:t>因此，项目建设对生态环境产生影响较小。</w:t>
      </w:r>
    </w:p>
    <w:p w14:paraId="7A04D90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矿山的开挖及压占土地，辅助工程的建设开挖与占地，改变地表形态和生态景观，破坏地表植被，引发新的水土流失。同时还将改变土地利用类型，造成土地利用结构和功能的变化。</w:t>
      </w:r>
    </w:p>
    <w:p w14:paraId="1736FFD6">
      <w:pPr>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（1）在施工期，表土剥离导致一定面积的植被完全破坏，野生植物丧失，剥离物占用土地，从而导致土壤侵蚀和景观格局的改变</w:t>
      </w:r>
      <w:r>
        <w:rPr>
          <w:rFonts w:hint="default" w:ascii="Times New Roman" w:hAnsi="Times New Roman" w:cs="Times New Roman"/>
          <w:color w:val="auto"/>
          <w:highlight w:val="none"/>
          <w:lang w:eastAsia="zh-CN"/>
        </w:rPr>
        <w:t>。</w:t>
      </w:r>
    </w:p>
    <w:p w14:paraId="079D4383">
      <w:pPr>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施工期间</w:t>
      </w:r>
      <w:r>
        <w:rPr>
          <w:rFonts w:hint="default" w:ascii="Times New Roman" w:hAnsi="Times New Roman" w:cs="Times New Roman"/>
          <w:color w:val="auto"/>
          <w:highlight w:val="none"/>
        </w:rPr>
        <w:t>地表剥离及剥离物的运输、排弃，将形成新的水土流失。</w:t>
      </w:r>
      <w:r>
        <w:rPr>
          <w:rFonts w:hint="default" w:ascii="Times New Roman" w:hAnsi="Times New Roman" w:cs="Times New Roman"/>
          <w:color w:val="auto"/>
          <w:highlight w:val="none"/>
          <w:lang w:val="en-US" w:eastAsia="zh-CN"/>
        </w:rPr>
        <w:t>尾矿库</w:t>
      </w:r>
      <w:r>
        <w:rPr>
          <w:rFonts w:hint="default" w:ascii="Times New Roman" w:hAnsi="Times New Roman" w:cs="Times New Roman"/>
          <w:color w:val="auto"/>
          <w:highlight w:val="none"/>
        </w:rPr>
        <w:t>排弃的剥离物在原始地形上形成松散的土岩堆体，表层的松散土粒易被大风吹走，造成水土流失</w:t>
      </w:r>
      <w:r>
        <w:rPr>
          <w:rFonts w:hint="default" w:ascii="Times New Roman" w:hAnsi="Times New Roman" w:cs="Times New Roman"/>
          <w:color w:val="auto"/>
          <w:highlight w:val="none"/>
          <w:lang w:eastAsia="zh-CN"/>
        </w:rPr>
        <w:t>。</w:t>
      </w:r>
    </w:p>
    <w:p w14:paraId="4C68E22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（3）工业场地</w:t>
      </w:r>
      <w:r>
        <w:rPr>
          <w:rFonts w:hint="default" w:ascii="Times New Roman" w:hAnsi="Times New Roman" w:cs="Times New Roman"/>
          <w:color w:val="auto"/>
          <w:highlight w:val="none"/>
          <w:lang w:eastAsia="zh-CN"/>
        </w:rPr>
        <w:t>、尾矿库</w:t>
      </w:r>
      <w:r>
        <w:rPr>
          <w:rFonts w:hint="default" w:ascii="Times New Roman" w:hAnsi="Times New Roman" w:cs="Times New Roman"/>
          <w:color w:val="auto"/>
          <w:highlight w:val="none"/>
        </w:rPr>
        <w:t>及道路建设都将压占土地，破坏原有地表植被。</w:t>
      </w:r>
    </w:p>
    <w:p w14:paraId="019E2CC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（4）施工期的建筑材料运输、装卸，基础工程土方开挖等产生的扬尘，会对周边地表植被生长造成影响。</w:t>
      </w:r>
    </w:p>
    <w:p w14:paraId="484D2633">
      <w:pPr>
        <w:pStyle w:val="4"/>
        <w:rPr>
          <w:rFonts w:hint="default" w:ascii="Times New Roman" w:hAnsi="Times New Roman" w:cs="Times New Roman"/>
          <w:color w:val="auto"/>
          <w:highlight w:val="none"/>
        </w:rPr>
      </w:pPr>
      <w:bookmarkStart w:id="430" w:name="_Toc27392"/>
      <w:bookmarkStart w:id="431" w:name="_Toc18332"/>
      <w:bookmarkStart w:id="432" w:name="_Toc14786"/>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.2运营期污染源及污染物分析</w:t>
      </w:r>
      <w:bookmarkEnd w:id="430"/>
      <w:bookmarkEnd w:id="431"/>
      <w:bookmarkEnd w:id="432"/>
    </w:p>
    <w:p w14:paraId="17A307D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.2.1大气污染源</w:t>
      </w:r>
    </w:p>
    <w:p w14:paraId="5597BC19">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本项目大气污染主要来源于</w:t>
      </w:r>
      <w:r>
        <w:rPr>
          <w:rFonts w:hint="default" w:ascii="Times New Roman" w:hAnsi="Times New Roman" w:cs="Times New Roman"/>
          <w:color w:val="auto"/>
          <w:kern w:val="0"/>
          <w:highlight w:val="none"/>
          <w:lang w:val="en-US" w:eastAsia="zh-CN"/>
        </w:rPr>
        <w:t>破碎</w:t>
      </w:r>
      <w:r>
        <w:rPr>
          <w:rFonts w:hint="default" w:ascii="Times New Roman" w:hAnsi="Times New Roman" w:cs="Times New Roman"/>
          <w:color w:val="auto"/>
          <w:kern w:val="0"/>
          <w:highlight w:val="none"/>
        </w:rPr>
        <w:t>磨矿过程中上料工序产生的有组织粉尘；尾矿库</w:t>
      </w:r>
      <w:r>
        <w:rPr>
          <w:rFonts w:hint="default" w:cs="Times New Roman"/>
          <w:color w:val="auto"/>
          <w:kern w:val="0"/>
          <w:highlight w:val="none"/>
          <w:lang w:val="en-US" w:eastAsia="zh-CN"/>
        </w:rPr>
        <w:t>干滩</w:t>
      </w:r>
      <w:r>
        <w:rPr>
          <w:rFonts w:hint="default" w:ascii="Times New Roman" w:hAnsi="Times New Roman" w:cs="Times New Roman"/>
          <w:color w:val="auto"/>
          <w:kern w:val="0"/>
          <w:highlight w:val="none"/>
        </w:rPr>
        <w:t>扬尘、</w:t>
      </w:r>
      <w:r>
        <w:rPr>
          <w:rFonts w:hint="default" w:ascii="Times New Roman" w:hAnsi="Times New Roman" w:cs="Times New Roman"/>
          <w:color w:val="auto"/>
          <w:kern w:val="0"/>
          <w:highlight w:val="none"/>
          <w:lang w:val="en-US" w:eastAsia="zh-CN"/>
        </w:rPr>
        <w:t>原</w:t>
      </w:r>
      <w:r>
        <w:rPr>
          <w:rFonts w:hint="default" w:ascii="Times New Roman" w:hAnsi="Times New Roman" w:cs="Times New Roman"/>
          <w:color w:val="auto"/>
          <w:kern w:val="0"/>
          <w:highlight w:val="none"/>
        </w:rPr>
        <w:t>矿堆场扬尘、运输</w:t>
      </w:r>
      <w:r>
        <w:rPr>
          <w:rFonts w:hint="default" w:ascii="Times New Roman" w:hAnsi="Times New Roman" w:cs="Times New Roman"/>
          <w:color w:val="auto"/>
          <w:kern w:val="0"/>
          <w:highlight w:val="none"/>
          <w:lang w:val="en-US" w:eastAsia="zh-CN"/>
        </w:rPr>
        <w:t>装卸</w:t>
      </w:r>
      <w:r>
        <w:rPr>
          <w:rFonts w:hint="default" w:ascii="Times New Roman" w:hAnsi="Times New Roman" w:cs="Times New Roman"/>
          <w:color w:val="auto"/>
          <w:kern w:val="0"/>
          <w:highlight w:val="none"/>
        </w:rPr>
        <w:t>扬尘以及汽车尾气等。</w:t>
      </w:r>
    </w:p>
    <w:p w14:paraId="6BEE3595">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（1）有组织废气</w:t>
      </w:r>
    </w:p>
    <w:p w14:paraId="2A7A2B0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本项目有组织废气产生源为</w:t>
      </w:r>
      <w:r>
        <w:rPr>
          <w:rFonts w:hint="default" w:ascii="Times New Roman" w:hAnsi="Times New Roman" w:cs="Times New Roman"/>
          <w:color w:val="auto"/>
          <w:kern w:val="0"/>
          <w:highlight w:val="none"/>
          <w:lang w:val="en-US" w:eastAsia="zh-CN"/>
        </w:rPr>
        <w:t>破碎磨矿</w:t>
      </w:r>
      <w:r>
        <w:rPr>
          <w:rFonts w:hint="default" w:ascii="Times New Roman" w:hAnsi="Times New Roman" w:cs="Times New Roman"/>
          <w:color w:val="auto"/>
          <w:kern w:val="0"/>
          <w:highlight w:val="none"/>
        </w:rPr>
        <w:t>过程中</w:t>
      </w:r>
      <w:r>
        <w:rPr>
          <w:rFonts w:hint="default" w:ascii="Times New Roman" w:hAnsi="Times New Roman" w:cs="Times New Roman"/>
          <w:color w:val="auto"/>
          <w:kern w:val="0"/>
          <w:highlight w:val="none"/>
          <w:lang w:val="en-US" w:eastAsia="zh-CN"/>
        </w:rPr>
        <w:t>粗碎厂房、中细碎厂房及筛分厂房的破碎筛分工序</w:t>
      </w:r>
      <w:r>
        <w:rPr>
          <w:rFonts w:hint="default" w:ascii="Times New Roman" w:hAnsi="Times New Roman" w:cs="Times New Roman"/>
          <w:color w:val="auto"/>
          <w:kern w:val="0"/>
          <w:highlight w:val="none"/>
        </w:rPr>
        <w:t>。</w:t>
      </w:r>
    </w:p>
    <w:p w14:paraId="7B948B14">
      <w:pPr>
        <w:numPr>
          <w:ilvl w:val="0"/>
          <w:numId w:val="0"/>
        </w:num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lang w:val="en-US" w:eastAsia="zh-CN"/>
        </w:rPr>
        <w:t>破碎筛分</w:t>
      </w:r>
      <w:r>
        <w:rPr>
          <w:rFonts w:hint="default" w:ascii="Times New Roman" w:hAnsi="Times New Roman" w:cs="Times New Roman"/>
          <w:color w:val="auto"/>
          <w:kern w:val="0"/>
          <w:highlight w:val="none"/>
        </w:rPr>
        <w:t>过程</w:t>
      </w:r>
    </w:p>
    <w:p w14:paraId="739FCD7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本项目年处理金矿石</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万t，</w:t>
      </w:r>
      <w:r>
        <w:rPr>
          <w:rFonts w:hint="default" w:ascii="Times New Roman" w:hAnsi="Times New Roman" w:cs="Times New Roman"/>
          <w:color w:val="auto"/>
          <w:highlight w:val="none"/>
          <w:lang w:eastAsia="zh-CN"/>
        </w:rPr>
        <w:t>选矿厂</w:t>
      </w:r>
      <w:r>
        <w:rPr>
          <w:rFonts w:hint="default" w:ascii="Times New Roman" w:hAnsi="Times New Roman" w:cs="Times New Roman"/>
          <w:color w:val="auto"/>
          <w:highlight w:val="none"/>
          <w:lang w:val="en-US" w:eastAsia="zh-CN"/>
        </w:rPr>
        <w:t>破碎筛分</w:t>
      </w:r>
      <w:r>
        <w:rPr>
          <w:rFonts w:hint="default" w:ascii="Times New Roman" w:hAnsi="Times New Roman" w:cs="Times New Roman"/>
          <w:color w:val="auto"/>
          <w:highlight w:val="none"/>
        </w:rPr>
        <w:t>工艺采用“粗碎</w:t>
      </w:r>
      <w:r>
        <w:rPr>
          <w:rFonts w:hint="default" w:ascii="Times New Roman" w:hAnsi="Times New Roman" w:cs="Times New Roman"/>
          <w:color w:val="auto"/>
          <w:highlight w:val="none"/>
          <w:lang w:val="en-US" w:eastAsia="zh-CN"/>
        </w:rPr>
        <w:t>+中碎+筛分+细碎</w:t>
      </w:r>
      <w:r>
        <w:rPr>
          <w:rFonts w:hint="default" w:ascii="Times New Roman" w:hAnsi="Times New Roman" w:cs="Times New Roman"/>
          <w:color w:val="auto"/>
          <w:highlight w:val="none"/>
        </w:rPr>
        <w:t>”流程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根据《排放源统计调查产排污核算方法和系数手册》（2021年6月9日）中0921金矿采选业产排污系数表（续2），项目产排污系数见表3.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kern w:val="0"/>
          <w:highlight w:val="none"/>
        </w:rPr>
        <w:t>通过查阅相关文献及资料显示，按照《大气污染控制工程》中集气罩收集效率90%，根据</w:t>
      </w:r>
      <w:r>
        <w:rPr>
          <w:rFonts w:hint="default" w:ascii="Times New Roman" w:hAnsi="Times New Roman" w:cs="Times New Roman"/>
          <w:color w:val="auto"/>
          <w:highlight w:val="none"/>
        </w:rPr>
        <w:t>0921金矿采选业产排污系数表（续2），</w:t>
      </w:r>
      <w:r>
        <w:rPr>
          <w:rFonts w:hint="default" w:ascii="Times New Roman" w:hAnsi="Times New Roman" w:cs="Times New Roman"/>
          <w:color w:val="auto"/>
          <w:kern w:val="0"/>
          <w:highlight w:val="none"/>
        </w:rPr>
        <w:t>除尘效率为98%，但根据《新疆维吾尔自治区重点行业</w:t>
      </w:r>
      <w:r>
        <w:rPr>
          <w:rFonts w:hint="default" w:ascii="Times New Roman" w:hAnsi="Times New Roman" w:cs="Times New Roman"/>
          <w:color w:val="auto"/>
          <w:kern w:val="0"/>
          <w:highlight w:val="none"/>
          <w:lang w:val="en-US" w:eastAsia="zh-CN"/>
        </w:rPr>
        <w:t>生态</w:t>
      </w:r>
      <w:r>
        <w:rPr>
          <w:rFonts w:hint="default" w:ascii="Times New Roman" w:hAnsi="Times New Roman" w:cs="Times New Roman"/>
          <w:color w:val="auto"/>
          <w:kern w:val="0"/>
          <w:highlight w:val="none"/>
        </w:rPr>
        <w:t>环境准入条件（</w:t>
      </w:r>
      <w:r>
        <w:rPr>
          <w:rFonts w:hint="default" w:ascii="Times New Roman" w:hAnsi="Times New Roman" w:cs="Times New Roman"/>
          <w:color w:val="auto"/>
          <w:kern w:val="0"/>
          <w:highlight w:val="none"/>
          <w:lang w:val="en-US" w:eastAsia="zh-CN"/>
        </w:rPr>
        <w:t>2024年</w:t>
      </w:r>
      <w:r>
        <w:rPr>
          <w:rFonts w:hint="default" w:ascii="Times New Roman" w:hAnsi="Times New Roman" w:cs="Times New Roman"/>
          <w:color w:val="auto"/>
          <w:kern w:val="0"/>
          <w:highlight w:val="none"/>
        </w:rPr>
        <w:t>）》中的要求，除尘效率不得低于99%，因此，本项目除尘效率按99%进行核算</w:t>
      </w:r>
      <w:r>
        <w:rPr>
          <w:rFonts w:hint="default" w:ascii="Times New Roman" w:hAnsi="Times New Roman" w:cs="Times New Roman"/>
          <w:color w:val="auto"/>
          <w:kern w:val="0"/>
          <w:highlight w:val="none"/>
          <w:lang w:eastAsia="zh-CN"/>
        </w:rPr>
        <w:t>。</w:t>
      </w:r>
      <w:r>
        <w:rPr>
          <w:rFonts w:hint="default" w:cs="Times New Roman"/>
          <w:color w:val="auto"/>
          <w:kern w:val="0"/>
          <w:highlight w:val="none"/>
          <w:lang w:val="en-US" w:eastAsia="zh-CN"/>
        </w:rPr>
        <w:t>破碎筛分车间（包括缓冲仓）</w:t>
      </w:r>
      <w:r>
        <w:rPr>
          <w:rFonts w:hint="default" w:ascii="Times New Roman" w:hAnsi="Times New Roman" w:cs="Times New Roman"/>
          <w:color w:val="auto"/>
          <w:kern w:val="0"/>
          <w:highlight w:val="none"/>
        </w:rPr>
        <w:t>收集后的粉尘经</w:t>
      </w:r>
      <w:r>
        <w:rPr>
          <w:rFonts w:hint="default" w:ascii="Times New Roman" w:hAnsi="Times New Roman" w:cs="Times New Roman"/>
          <w:color w:val="auto"/>
          <w:kern w:val="0"/>
          <w:highlight w:val="none"/>
          <w:lang w:val="en-US" w:eastAsia="zh-CN"/>
        </w:rPr>
        <w:t>袋式</w:t>
      </w:r>
      <w:r>
        <w:rPr>
          <w:rFonts w:hint="default" w:ascii="Times New Roman" w:hAnsi="Times New Roman" w:cs="Times New Roman"/>
          <w:color w:val="auto"/>
          <w:kern w:val="0"/>
          <w:highlight w:val="none"/>
          <w:lang w:eastAsia="zh-CN"/>
        </w:rPr>
        <w:t>除尘器</w:t>
      </w:r>
      <w:r>
        <w:rPr>
          <w:rFonts w:hint="default" w:ascii="Times New Roman" w:hAnsi="Times New Roman" w:cs="Times New Roman"/>
          <w:color w:val="auto"/>
          <w:kern w:val="0"/>
          <w:highlight w:val="none"/>
        </w:rPr>
        <w:t>处理达标后通过15m高排气筒排放</w:t>
      </w:r>
      <w:r>
        <w:rPr>
          <w:rFonts w:hint="default" w:ascii="Times New Roman" w:hAnsi="Times New Roman" w:cs="Times New Roman"/>
          <w:color w:val="auto"/>
          <w:kern w:val="0"/>
          <w:highlight w:val="none"/>
          <w:lang w:eastAsia="zh-CN"/>
        </w:rPr>
        <w:t>，</w:t>
      </w:r>
      <w:r>
        <w:rPr>
          <w:rFonts w:hint="default" w:cs="Times New Roman"/>
          <w:color w:val="auto"/>
          <w:kern w:val="0"/>
          <w:highlight w:val="none"/>
          <w:lang w:val="en-US" w:eastAsia="zh-CN"/>
        </w:rPr>
        <w:t>粉矿仓收集的粉尘经</w:t>
      </w:r>
      <w:r>
        <w:rPr>
          <w:rFonts w:hint="default" w:ascii="Times New Roman" w:hAnsi="Times New Roman" w:cs="Times New Roman"/>
          <w:color w:val="auto"/>
          <w:kern w:val="0"/>
          <w:highlight w:val="none"/>
          <w:lang w:val="en-US" w:eastAsia="zh-CN"/>
        </w:rPr>
        <w:t>袋式</w:t>
      </w:r>
      <w:r>
        <w:rPr>
          <w:rFonts w:hint="default" w:ascii="Times New Roman" w:hAnsi="Times New Roman" w:cs="Times New Roman"/>
          <w:color w:val="auto"/>
          <w:kern w:val="0"/>
          <w:highlight w:val="none"/>
          <w:lang w:eastAsia="zh-CN"/>
        </w:rPr>
        <w:t>除尘器</w:t>
      </w:r>
      <w:r>
        <w:rPr>
          <w:rFonts w:hint="default" w:ascii="Times New Roman" w:hAnsi="Times New Roman" w:cs="Times New Roman"/>
          <w:color w:val="auto"/>
          <w:kern w:val="0"/>
          <w:highlight w:val="none"/>
        </w:rPr>
        <w:t>处理达标后通过</w:t>
      </w:r>
      <w:r>
        <w:rPr>
          <w:rFonts w:hint="default" w:ascii="Times New Roman" w:hAnsi="Times New Roman" w:cs="Times New Roman"/>
          <w:color w:val="auto"/>
          <w:kern w:val="0"/>
          <w:highlight w:val="none"/>
          <w:lang w:val="en-US" w:eastAsia="zh-CN"/>
        </w:rPr>
        <w:t>顶部排出（高度为15m），</w:t>
      </w:r>
      <w:r>
        <w:rPr>
          <w:rFonts w:hint="default" w:ascii="Times New Roman" w:hAnsi="Times New Roman" w:cs="Times New Roman"/>
          <w:color w:val="auto"/>
          <w:kern w:val="0"/>
          <w:highlight w:val="none"/>
        </w:rPr>
        <w:t>可以满足</w:t>
      </w:r>
      <w:r>
        <w:rPr>
          <w:rFonts w:hint="default" w:ascii="Times New Roman" w:hAnsi="Times New Roman" w:cs="Times New Roman"/>
          <w:color w:val="auto"/>
          <w:highlight w:val="none"/>
        </w:rPr>
        <w:t>排放浓度均满足《大气污染物综合排放标准》（GB16297-1996）表2标准要求</w:t>
      </w:r>
      <w:r>
        <w:rPr>
          <w:rFonts w:hint="default" w:ascii="Times New Roman" w:hAnsi="Times New Roman" w:cs="Times New Roman"/>
          <w:color w:val="auto"/>
          <w:kern w:val="0"/>
          <w:highlight w:val="none"/>
        </w:rPr>
        <w:t>。</w:t>
      </w:r>
      <w:r>
        <w:rPr>
          <w:rFonts w:hint="default" w:ascii="Times New Roman" w:hAnsi="Times New Roman" w:cs="Times New Roman"/>
          <w:color w:val="auto"/>
          <w:highlight w:val="none"/>
        </w:rPr>
        <w:t>选矿过程中粉尘排放量见表3.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3.3-6</w:t>
      </w:r>
      <w:r>
        <w:rPr>
          <w:rFonts w:hint="default" w:ascii="Times New Roman" w:hAnsi="Times New Roman" w:cs="Times New Roman"/>
          <w:color w:val="auto"/>
          <w:highlight w:val="none"/>
        </w:rPr>
        <w:t>。</w:t>
      </w:r>
    </w:p>
    <w:p w14:paraId="345A86CC">
      <w:pPr>
        <w:ind w:firstLine="482"/>
        <w:jc w:val="center"/>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rPr>
        <w:t>表3.</w:t>
      </w:r>
      <w:r>
        <w:rPr>
          <w:rFonts w:hint="default" w:ascii="Times New Roman" w:hAnsi="Times New Roman" w:cs="Times New Roman"/>
          <w:b/>
          <w:color w:val="auto"/>
          <w:szCs w:val="24"/>
          <w:highlight w:val="none"/>
          <w:lang w:val="en-US" w:eastAsia="zh-CN"/>
        </w:rPr>
        <w:t>3</w:t>
      </w:r>
      <w:r>
        <w:rPr>
          <w:rFonts w:hint="default" w:ascii="Times New Roman" w:hAnsi="Times New Roman" w:cs="Times New Roman"/>
          <w:b/>
          <w:color w:val="auto"/>
          <w:szCs w:val="24"/>
          <w:highlight w:val="none"/>
        </w:rPr>
        <w:t>-</w:t>
      </w:r>
      <w:r>
        <w:rPr>
          <w:rFonts w:hint="default" w:ascii="Times New Roman" w:hAnsi="Times New Roman" w:cs="Times New Roman"/>
          <w:b/>
          <w:color w:val="auto"/>
          <w:szCs w:val="24"/>
          <w:highlight w:val="none"/>
          <w:lang w:val="en-US" w:eastAsia="zh-CN"/>
        </w:rPr>
        <w:t>3</w:t>
      </w:r>
      <w:r>
        <w:rPr>
          <w:rFonts w:hint="default" w:ascii="Times New Roman" w:hAnsi="Times New Roman" w:cs="Times New Roman"/>
          <w:b/>
          <w:color w:val="auto"/>
          <w:szCs w:val="24"/>
          <w:highlight w:val="none"/>
        </w:rPr>
        <w:t xml:space="preserve">    金矿采选行业系数表</w:t>
      </w:r>
      <w:r>
        <w:rPr>
          <w:rFonts w:hint="default" w:ascii="Times New Roman" w:hAnsi="Times New Roman" w:cs="Times New Roman"/>
          <w:b/>
          <w:color w:val="auto"/>
          <w:szCs w:val="24"/>
          <w:highlight w:val="none"/>
          <w:lang w:val="en-US" w:eastAsia="zh-CN"/>
        </w:rPr>
        <w:t>-</w:t>
      </w:r>
      <w:r>
        <w:rPr>
          <w:rFonts w:hint="default" w:ascii="Times New Roman" w:hAnsi="Times New Roman" w:cs="Times New Roman"/>
          <w:b/>
          <w:color w:val="auto"/>
          <w:szCs w:val="24"/>
          <w:highlight w:val="none"/>
        </w:rPr>
        <w:t>废气</w:t>
      </w:r>
    </w:p>
    <w:tbl>
      <w:tblPr>
        <w:tblStyle w:val="33"/>
        <w:tblW w:w="492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642"/>
        <w:gridCol w:w="724"/>
        <w:gridCol w:w="879"/>
        <w:gridCol w:w="1216"/>
        <w:gridCol w:w="1832"/>
        <w:gridCol w:w="850"/>
        <w:gridCol w:w="1255"/>
        <w:gridCol w:w="830"/>
      </w:tblGrid>
      <w:tr w14:paraId="06323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6" w:type="pct"/>
            <w:noWrap w:val="0"/>
            <w:vAlign w:val="center"/>
          </w:tcPr>
          <w:p w14:paraId="31C87DFA">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产品</w:t>
            </w:r>
          </w:p>
        </w:tc>
        <w:tc>
          <w:tcPr>
            <w:tcW w:w="355" w:type="pct"/>
            <w:noWrap w:val="0"/>
            <w:vAlign w:val="center"/>
          </w:tcPr>
          <w:p w14:paraId="661E9B11">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原料</w:t>
            </w:r>
          </w:p>
        </w:tc>
        <w:tc>
          <w:tcPr>
            <w:tcW w:w="400" w:type="pct"/>
            <w:noWrap w:val="0"/>
            <w:vAlign w:val="center"/>
          </w:tcPr>
          <w:p w14:paraId="5B3EEA56">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工艺</w:t>
            </w:r>
          </w:p>
        </w:tc>
        <w:tc>
          <w:tcPr>
            <w:tcW w:w="486" w:type="pct"/>
            <w:noWrap w:val="0"/>
            <w:vAlign w:val="center"/>
          </w:tcPr>
          <w:p w14:paraId="3B49F1B4">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规模</w:t>
            </w:r>
          </w:p>
          <w:p w14:paraId="59146DDB">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等级</w:t>
            </w:r>
          </w:p>
        </w:tc>
        <w:tc>
          <w:tcPr>
            <w:tcW w:w="672" w:type="pct"/>
            <w:noWrap w:val="0"/>
            <w:vAlign w:val="center"/>
          </w:tcPr>
          <w:p w14:paraId="1A3DE39B">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污染物指标</w:t>
            </w:r>
          </w:p>
        </w:tc>
        <w:tc>
          <w:tcPr>
            <w:tcW w:w="1013" w:type="pct"/>
            <w:noWrap w:val="0"/>
            <w:vAlign w:val="center"/>
          </w:tcPr>
          <w:p w14:paraId="79252EF7">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单位</w:t>
            </w:r>
          </w:p>
        </w:tc>
        <w:tc>
          <w:tcPr>
            <w:tcW w:w="470" w:type="pct"/>
            <w:noWrap w:val="0"/>
            <w:vAlign w:val="center"/>
          </w:tcPr>
          <w:p w14:paraId="592C44D8">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产污系数</w:t>
            </w:r>
          </w:p>
        </w:tc>
        <w:tc>
          <w:tcPr>
            <w:tcW w:w="694" w:type="pct"/>
            <w:noWrap w:val="0"/>
            <w:vAlign w:val="center"/>
          </w:tcPr>
          <w:p w14:paraId="4F0DDAB6">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末端治理技术</w:t>
            </w:r>
          </w:p>
        </w:tc>
        <w:tc>
          <w:tcPr>
            <w:tcW w:w="459" w:type="pct"/>
            <w:noWrap w:val="0"/>
            <w:vAlign w:val="center"/>
          </w:tcPr>
          <w:p w14:paraId="2C2384B4">
            <w:pPr>
              <w:autoSpaceDE w:val="0"/>
              <w:autoSpaceDN w:val="0"/>
              <w:adjustRightIn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去除效率</w:t>
            </w:r>
          </w:p>
        </w:tc>
      </w:tr>
      <w:tr w14:paraId="22BA6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noWrap w:val="0"/>
            <w:vAlign w:val="center"/>
          </w:tcPr>
          <w:p w14:paraId="06C37546">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金精矿</w:t>
            </w:r>
          </w:p>
        </w:tc>
        <w:tc>
          <w:tcPr>
            <w:tcW w:w="355" w:type="pct"/>
            <w:vMerge w:val="restart"/>
            <w:noWrap w:val="0"/>
            <w:vAlign w:val="center"/>
          </w:tcPr>
          <w:p w14:paraId="7AAE1193">
            <w:pPr>
              <w:pStyle w:val="58"/>
              <w:spacing w:line="36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金矿石</w:t>
            </w:r>
          </w:p>
        </w:tc>
        <w:tc>
          <w:tcPr>
            <w:tcW w:w="400" w:type="pct"/>
            <w:vMerge w:val="restart"/>
            <w:noWrap w:val="0"/>
            <w:vAlign w:val="center"/>
          </w:tcPr>
          <w:p w14:paraId="4B6E5E12">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磨浮</w:t>
            </w:r>
          </w:p>
        </w:tc>
        <w:tc>
          <w:tcPr>
            <w:tcW w:w="486" w:type="pct"/>
            <w:vMerge w:val="restart"/>
            <w:noWrap w:val="0"/>
            <w:vAlign w:val="center"/>
          </w:tcPr>
          <w:p w14:paraId="0EFF53E2">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所有</w:t>
            </w:r>
          </w:p>
          <w:p w14:paraId="77221F3B">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规模</w:t>
            </w:r>
          </w:p>
        </w:tc>
        <w:tc>
          <w:tcPr>
            <w:tcW w:w="672" w:type="pct"/>
            <w:noWrap w:val="0"/>
            <w:vAlign w:val="center"/>
          </w:tcPr>
          <w:p w14:paraId="2AA0B57B">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颗粒物</w:t>
            </w:r>
          </w:p>
        </w:tc>
        <w:tc>
          <w:tcPr>
            <w:tcW w:w="1013" w:type="pct"/>
            <w:noWrap w:val="0"/>
            <w:vAlign w:val="center"/>
          </w:tcPr>
          <w:p w14:paraId="0EB0DD70">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千克/吨-原料</w:t>
            </w:r>
          </w:p>
        </w:tc>
        <w:tc>
          <w:tcPr>
            <w:tcW w:w="470" w:type="pct"/>
            <w:noWrap w:val="0"/>
            <w:vAlign w:val="center"/>
          </w:tcPr>
          <w:p w14:paraId="146CE6AE">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0.25</w:t>
            </w:r>
          </w:p>
        </w:tc>
        <w:tc>
          <w:tcPr>
            <w:tcW w:w="694" w:type="pct"/>
            <w:noWrap w:val="0"/>
            <w:vAlign w:val="center"/>
          </w:tcPr>
          <w:p w14:paraId="268D339F">
            <w:pPr>
              <w:autoSpaceDE w:val="0"/>
              <w:autoSpaceDN w:val="0"/>
              <w:adjustRightInd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除尘</w:t>
            </w:r>
            <w:r>
              <w:rPr>
                <w:rFonts w:hint="default" w:ascii="Times New Roman" w:hAnsi="Times New Roman" w:cs="Times New Roman"/>
                <w:color w:val="auto"/>
                <w:sz w:val="21"/>
                <w:highlight w:val="none"/>
                <w:lang w:val="en-US" w:eastAsia="zh-CN"/>
              </w:rPr>
              <w:t>措施</w:t>
            </w:r>
          </w:p>
        </w:tc>
        <w:tc>
          <w:tcPr>
            <w:tcW w:w="459" w:type="pct"/>
            <w:noWrap w:val="0"/>
            <w:vAlign w:val="center"/>
          </w:tcPr>
          <w:p w14:paraId="0A5D9A06">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w:t>
            </w:r>
            <w:r>
              <w:rPr>
                <w:rFonts w:hint="default" w:ascii="Times New Roman" w:hAnsi="Times New Roman" w:cs="Times New Roman"/>
                <w:color w:val="auto"/>
                <w:sz w:val="21"/>
                <w:highlight w:val="none"/>
                <w:lang w:val="en-US" w:eastAsia="zh-CN"/>
              </w:rPr>
              <w:t>9</w:t>
            </w:r>
            <w:r>
              <w:rPr>
                <w:rFonts w:hint="default" w:ascii="Times New Roman" w:hAnsi="Times New Roman" w:cs="Times New Roman"/>
                <w:color w:val="auto"/>
                <w:sz w:val="21"/>
                <w:highlight w:val="none"/>
              </w:rPr>
              <w:t>%</w:t>
            </w:r>
          </w:p>
        </w:tc>
      </w:tr>
      <w:tr w14:paraId="191F6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noWrap w:val="0"/>
            <w:vAlign w:val="center"/>
          </w:tcPr>
          <w:p w14:paraId="6983F7D3">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p>
        </w:tc>
        <w:tc>
          <w:tcPr>
            <w:tcW w:w="355" w:type="pct"/>
            <w:vMerge w:val="continue"/>
            <w:noWrap w:val="0"/>
            <w:vAlign w:val="center"/>
          </w:tcPr>
          <w:p w14:paraId="1DFE3805">
            <w:pPr>
              <w:pStyle w:val="58"/>
              <w:spacing w:line="360" w:lineRule="exact"/>
              <w:jc w:val="center"/>
              <w:rPr>
                <w:rFonts w:hint="default" w:ascii="Times New Roman" w:hAnsi="Times New Roman" w:cs="Times New Roman"/>
                <w:color w:val="auto"/>
                <w:sz w:val="21"/>
                <w:szCs w:val="21"/>
                <w:highlight w:val="none"/>
              </w:rPr>
            </w:pPr>
          </w:p>
        </w:tc>
        <w:tc>
          <w:tcPr>
            <w:tcW w:w="400" w:type="pct"/>
            <w:vMerge w:val="continue"/>
            <w:noWrap w:val="0"/>
            <w:vAlign w:val="center"/>
          </w:tcPr>
          <w:p w14:paraId="3B27746F">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p>
        </w:tc>
        <w:tc>
          <w:tcPr>
            <w:tcW w:w="486" w:type="pct"/>
            <w:vMerge w:val="continue"/>
            <w:noWrap w:val="0"/>
            <w:vAlign w:val="center"/>
          </w:tcPr>
          <w:p w14:paraId="62975D12">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p>
        </w:tc>
        <w:tc>
          <w:tcPr>
            <w:tcW w:w="672" w:type="pct"/>
            <w:noWrap w:val="0"/>
            <w:vAlign w:val="center"/>
          </w:tcPr>
          <w:p w14:paraId="61C7D306">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废气量</w:t>
            </w:r>
          </w:p>
        </w:tc>
        <w:tc>
          <w:tcPr>
            <w:tcW w:w="1013" w:type="pct"/>
            <w:noWrap w:val="0"/>
            <w:vAlign w:val="center"/>
          </w:tcPr>
          <w:p w14:paraId="6CB635AE">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标立方米/吨-原料</w:t>
            </w:r>
          </w:p>
        </w:tc>
        <w:tc>
          <w:tcPr>
            <w:tcW w:w="470" w:type="pct"/>
            <w:noWrap w:val="0"/>
            <w:vAlign w:val="center"/>
          </w:tcPr>
          <w:p w14:paraId="5E6777A5">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355</w:t>
            </w:r>
          </w:p>
        </w:tc>
        <w:tc>
          <w:tcPr>
            <w:tcW w:w="694" w:type="pct"/>
            <w:noWrap w:val="0"/>
            <w:vAlign w:val="center"/>
          </w:tcPr>
          <w:p w14:paraId="06E8FA8D">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459" w:type="pct"/>
            <w:noWrap w:val="0"/>
            <w:vAlign w:val="center"/>
          </w:tcPr>
          <w:p w14:paraId="4A6E6C2D">
            <w:pPr>
              <w:autoSpaceDE w:val="0"/>
              <w:autoSpaceDN w:val="0"/>
              <w:adjustRightIn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bl>
    <w:p w14:paraId="3FB4F6C7">
      <w:pPr>
        <w:ind w:firstLine="480" w:firstLineChars="0"/>
        <w:jc w:val="both"/>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color w:val="auto"/>
          <w:kern w:val="0"/>
          <w:highlight w:val="none"/>
        </w:rPr>
        <w:t>根据系数法计算，</w:t>
      </w:r>
      <w:r>
        <w:rPr>
          <w:rFonts w:hint="default" w:ascii="Times New Roman" w:hAnsi="Times New Roman" w:eastAsia="宋体" w:cs="Times New Roman"/>
          <w:color w:val="auto"/>
          <w:kern w:val="0"/>
          <w:highlight w:val="none"/>
          <w:lang w:val="en-US" w:eastAsia="zh-CN"/>
        </w:rPr>
        <w:t>本项目金矿石原料为15万t/a，由此计算</w:t>
      </w:r>
      <w:r>
        <w:rPr>
          <w:rFonts w:hint="default" w:ascii="Times New Roman" w:hAnsi="Times New Roman" w:eastAsia="宋体" w:cs="Times New Roman"/>
          <w:color w:val="auto"/>
          <w:kern w:val="0"/>
          <w:highlight w:val="none"/>
        </w:rPr>
        <w:t>磨浮工段粉尘产生量</w:t>
      </w:r>
      <w:r>
        <w:rPr>
          <w:rFonts w:hint="default" w:ascii="Times New Roman" w:hAnsi="Times New Roman" w:eastAsia="宋体" w:cs="Times New Roman"/>
          <w:color w:val="auto"/>
          <w:kern w:val="0"/>
          <w:highlight w:val="none"/>
          <w:lang w:val="en-US" w:eastAsia="zh-CN"/>
        </w:rPr>
        <w:t>共计</w:t>
      </w:r>
      <w:r>
        <w:rPr>
          <w:rFonts w:hint="default" w:ascii="Times New Roman" w:hAnsi="Times New Roman" w:eastAsia="宋体" w:cs="Times New Roman"/>
          <w:color w:val="auto"/>
          <w:kern w:val="0"/>
          <w:highlight w:val="none"/>
        </w:rPr>
        <w:t>37.5</w:t>
      </w:r>
      <w:r>
        <w:rPr>
          <w:rFonts w:hint="default" w:ascii="Times New Roman" w:hAnsi="Times New Roman" w:eastAsia="宋体" w:cs="Times New Roman"/>
          <w:color w:val="auto"/>
          <w:kern w:val="0"/>
          <w:highlight w:val="none"/>
          <w:lang w:val="en-US" w:eastAsia="zh-CN"/>
        </w:rPr>
        <w:t>t/a</w:t>
      </w:r>
      <w:r>
        <w:rPr>
          <w:rFonts w:hint="default" w:ascii="Times New Roman" w:hAnsi="Times New Roman" w:eastAsia="宋体" w:cs="Times New Roman"/>
          <w:color w:val="auto"/>
          <w:kern w:val="0"/>
          <w:highlight w:val="none"/>
        </w:rPr>
        <w:t>，</w:t>
      </w:r>
      <w:r>
        <w:rPr>
          <w:rFonts w:hint="default" w:ascii="Times New Roman" w:hAnsi="Times New Roman" w:eastAsia="宋体" w:cs="Times New Roman"/>
          <w:color w:val="auto"/>
          <w:kern w:val="0"/>
          <w:highlight w:val="none"/>
          <w:lang w:val="en-US" w:eastAsia="zh-CN"/>
        </w:rPr>
        <w:t>由于本项目</w:t>
      </w:r>
      <w:r>
        <w:rPr>
          <w:rFonts w:hint="default" w:ascii="Times New Roman" w:hAnsi="Times New Roman" w:eastAsia="宋体" w:cs="Times New Roman"/>
          <w:color w:val="auto"/>
          <w:kern w:val="0"/>
          <w:highlight w:val="none"/>
        </w:rPr>
        <w:t>球磨和浮选为湿法作业</w:t>
      </w:r>
      <w:r>
        <w:rPr>
          <w:rFonts w:hint="default"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rPr>
        <w:t>因此，</w:t>
      </w:r>
      <w:r>
        <w:rPr>
          <w:rFonts w:hint="default" w:ascii="Times New Roman" w:hAnsi="Times New Roman" w:eastAsia="宋体" w:cs="Times New Roman"/>
          <w:color w:val="auto"/>
          <w:kern w:val="0"/>
          <w:highlight w:val="none"/>
          <w:lang w:val="en-US" w:eastAsia="zh-CN"/>
        </w:rPr>
        <w:t>本环节按照各环节风机比例计算项目各环节粉尘产生量。</w:t>
      </w:r>
    </w:p>
    <w:p w14:paraId="0A91EB77">
      <w:pPr>
        <w:pStyle w:val="7"/>
        <w:spacing w:line="480" w:lineRule="exact"/>
        <w:ind w:firstLine="0" w:firstLineChars="0"/>
        <w:jc w:val="center"/>
        <w:rPr>
          <w:rFonts w:hint="default" w:ascii="Times New Roman" w:hAnsi="Times New Roman" w:eastAsia="宋体" w:cs="Times New Roman"/>
          <w:b/>
          <w:bCs/>
          <w:color w:val="auto"/>
          <w:sz w:val="24"/>
          <w:szCs w:val="28"/>
          <w:highlight w:val="none"/>
        </w:rPr>
      </w:pPr>
    </w:p>
    <w:p w14:paraId="66771E56">
      <w:pPr>
        <w:pStyle w:val="7"/>
        <w:spacing w:line="480" w:lineRule="exact"/>
        <w:ind w:firstLine="0" w:firstLineChars="0"/>
        <w:jc w:val="center"/>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表3.</w:t>
      </w:r>
      <w:r>
        <w:rPr>
          <w:rFonts w:hint="default" w:ascii="Times New Roman" w:hAnsi="Times New Roman" w:eastAsia="宋体" w:cs="Times New Roman"/>
          <w:b/>
          <w:bCs/>
          <w:color w:val="auto"/>
          <w:sz w:val="24"/>
          <w:szCs w:val="28"/>
          <w:highlight w:val="none"/>
          <w:lang w:val="en-US" w:eastAsia="zh-CN"/>
        </w:rPr>
        <w:t>3</w:t>
      </w:r>
      <w:r>
        <w:rPr>
          <w:rFonts w:hint="default" w:ascii="Times New Roman" w:hAnsi="Times New Roman" w:eastAsia="宋体" w:cs="Times New Roman"/>
          <w:b/>
          <w:bCs/>
          <w:color w:val="auto"/>
          <w:sz w:val="24"/>
          <w:szCs w:val="28"/>
          <w:highlight w:val="none"/>
        </w:rPr>
        <w:t>-</w:t>
      </w:r>
      <w:r>
        <w:rPr>
          <w:rFonts w:hint="default" w:ascii="Times New Roman" w:hAnsi="Times New Roman" w:eastAsia="宋体" w:cs="Times New Roman"/>
          <w:b/>
          <w:bCs/>
          <w:color w:val="auto"/>
          <w:sz w:val="24"/>
          <w:szCs w:val="28"/>
          <w:highlight w:val="none"/>
          <w:lang w:val="en-US" w:eastAsia="zh-CN"/>
        </w:rPr>
        <w:t xml:space="preserve">4   </w:t>
      </w:r>
      <w:r>
        <w:rPr>
          <w:rFonts w:hint="default" w:ascii="Times New Roman" w:hAnsi="Times New Roman" w:eastAsia="宋体" w:cs="Times New Roman"/>
          <w:b/>
          <w:bCs/>
          <w:color w:val="auto"/>
          <w:sz w:val="24"/>
          <w:szCs w:val="28"/>
          <w:highlight w:val="none"/>
        </w:rPr>
        <w:t xml:space="preserve"> </w:t>
      </w:r>
      <w:r>
        <w:rPr>
          <w:rFonts w:hint="default" w:ascii="Times New Roman" w:hAnsi="Times New Roman" w:eastAsia="宋体" w:cs="Times New Roman"/>
          <w:b/>
          <w:bCs/>
          <w:color w:val="auto"/>
          <w:sz w:val="24"/>
          <w:szCs w:val="28"/>
          <w:highlight w:val="none"/>
          <w:lang w:val="en-US" w:eastAsia="zh-CN"/>
        </w:rPr>
        <w:t>破碎筛分工段</w:t>
      </w:r>
      <w:r>
        <w:rPr>
          <w:rFonts w:hint="default" w:ascii="Times New Roman" w:hAnsi="Times New Roman" w:eastAsia="宋体" w:cs="Times New Roman"/>
          <w:b/>
          <w:bCs/>
          <w:color w:val="auto"/>
          <w:sz w:val="24"/>
          <w:szCs w:val="28"/>
          <w:highlight w:val="none"/>
        </w:rPr>
        <w:t>污染物产生情况一览表</w:t>
      </w:r>
    </w:p>
    <w:tbl>
      <w:tblPr>
        <w:tblStyle w:val="99"/>
        <w:tblW w:w="5061"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080"/>
        <w:gridCol w:w="637"/>
        <w:gridCol w:w="1130"/>
        <w:gridCol w:w="894"/>
        <w:gridCol w:w="834"/>
        <w:gridCol w:w="626"/>
        <w:gridCol w:w="1506"/>
        <w:gridCol w:w="671"/>
        <w:gridCol w:w="974"/>
        <w:gridCol w:w="746"/>
      </w:tblGrid>
      <w:tr w14:paraId="3C3E9FB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596" w:type="pct"/>
            <w:vMerge w:val="restart"/>
            <w:tcBorders>
              <w:tl2br w:val="nil"/>
              <w:tr2bl w:val="nil"/>
            </w:tcBorders>
            <w:noWrap w:val="0"/>
            <w:vAlign w:val="center"/>
          </w:tcPr>
          <w:p w14:paraId="35B07209">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产生位置</w:t>
            </w:r>
          </w:p>
        </w:tc>
        <w:tc>
          <w:tcPr>
            <w:tcW w:w="352" w:type="pct"/>
            <w:vMerge w:val="restart"/>
            <w:tcBorders>
              <w:tl2br w:val="nil"/>
              <w:tr2bl w:val="nil"/>
            </w:tcBorders>
            <w:noWrap w:val="0"/>
            <w:vAlign w:val="center"/>
          </w:tcPr>
          <w:p w14:paraId="0EA3F328">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污染源</w:t>
            </w:r>
          </w:p>
        </w:tc>
        <w:tc>
          <w:tcPr>
            <w:tcW w:w="623" w:type="pct"/>
            <w:vMerge w:val="restart"/>
            <w:tcBorders>
              <w:tl2br w:val="nil"/>
              <w:tr2bl w:val="nil"/>
            </w:tcBorders>
            <w:noWrap w:val="0"/>
            <w:vAlign w:val="center"/>
          </w:tcPr>
          <w:p w14:paraId="0D1EB7C1">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cs="Times New Roman"/>
                <w:b/>
                <w:bCs/>
                <w:color w:val="auto"/>
                <w:spacing w:val="-2"/>
                <w:sz w:val="21"/>
                <w:szCs w:val="21"/>
                <w:highlight w:val="none"/>
                <w:lang w:val="en-US" w:eastAsia="zh-CN"/>
              </w:rPr>
              <w:t>风机风量（m</w:t>
            </w:r>
            <w:r>
              <w:rPr>
                <w:rFonts w:hint="default" w:ascii="Times New Roman" w:hAnsi="Times New Roman" w:cs="Times New Roman"/>
                <w:b/>
                <w:bCs/>
                <w:color w:val="auto"/>
                <w:spacing w:val="-2"/>
                <w:sz w:val="21"/>
                <w:szCs w:val="21"/>
                <w:highlight w:val="none"/>
                <w:vertAlign w:val="superscript"/>
                <w:lang w:val="en-US" w:eastAsia="zh-CN"/>
              </w:rPr>
              <w:t>3</w:t>
            </w:r>
            <w:r>
              <w:rPr>
                <w:rFonts w:hint="default" w:ascii="Times New Roman" w:hAnsi="Times New Roman" w:cs="Times New Roman"/>
                <w:b/>
                <w:bCs/>
                <w:color w:val="auto"/>
                <w:spacing w:val="-2"/>
                <w:sz w:val="21"/>
                <w:szCs w:val="21"/>
                <w:highlight w:val="none"/>
                <w:lang w:val="en-US" w:eastAsia="zh-CN"/>
              </w:rPr>
              <w:t>/h）</w:t>
            </w:r>
          </w:p>
        </w:tc>
        <w:tc>
          <w:tcPr>
            <w:tcW w:w="493" w:type="pct"/>
            <w:vMerge w:val="restart"/>
            <w:tcBorders>
              <w:tl2br w:val="nil"/>
              <w:tr2bl w:val="nil"/>
            </w:tcBorders>
            <w:noWrap w:val="0"/>
            <w:vAlign w:val="center"/>
          </w:tcPr>
          <w:p w14:paraId="3D939CE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b/>
                <w:bCs/>
                <w:color w:val="auto"/>
                <w:spacing w:val="-2"/>
                <w:sz w:val="21"/>
                <w:szCs w:val="21"/>
                <w:highlight w:val="none"/>
                <w:lang w:val="en-US" w:eastAsia="zh-CN"/>
              </w:rPr>
            </w:pPr>
            <w:r>
              <w:rPr>
                <w:rFonts w:hint="default" w:ascii="Times New Roman" w:hAnsi="Times New Roman" w:cs="Times New Roman"/>
                <w:b/>
                <w:bCs/>
                <w:color w:val="auto"/>
                <w:spacing w:val="-2"/>
                <w:sz w:val="21"/>
                <w:szCs w:val="21"/>
                <w:highlight w:val="none"/>
                <w:lang w:val="en-US" w:eastAsia="zh-CN"/>
              </w:rPr>
              <w:t>比例</w:t>
            </w:r>
          </w:p>
        </w:tc>
        <w:tc>
          <w:tcPr>
            <w:tcW w:w="806" w:type="pct"/>
            <w:gridSpan w:val="2"/>
            <w:tcBorders>
              <w:tl2br w:val="nil"/>
              <w:tr2bl w:val="nil"/>
            </w:tcBorders>
            <w:noWrap w:val="0"/>
            <w:vAlign w:val="center"/>
          </w:tcPr>
          <w:p w14:paraId="128CB80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产生情况</w:t>
            </w:r>
          </w:p>
        </w:tc>
        <w:tc>
          <w:tcPr>
            <w:tcW w:w="1177" w:type="pct"/>
            <w:gridSpan w:val="2"/>
            <w:tcBorders>
              <w:tl2br w:val="nil"/>
              <w:tr2bl w:val="nil"/>
            </w:tcBorders>
            <w:noWrap w:val="0"/>
            <w:vAlign w:val="center"/>
          </w:tcPr>
          <w:p w14:paraId="1AE947E6">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有组织产生情况</w:t>
            </w:r>
          </w:p>
          <w:p w14:paraId="74BD9CC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lang w:eastAsia="zh-CN"/>
              </w:rPr>
            </w:pPr>
            <w:r>
              <w:rPr>
                <w:rFonts w:hint="default" w:ascii="Times New Roman" w:hAnsi="Times New Roman" w:eastAsia="宋体" w:cs="Times New Roman"/>
                <w:b/>
                <w:bCs/>
                <w:color w:val="auto"/>
                <w:spacing w:val="-2"/>
                <w:sz w:val="21"/>
                <w:szCs w:val="21"/>
                <w:highlight w:val="none"/>
                <w:lang w:val="en-US" w:eastAsia="zh-CN"/>
              </w:rPr>
              <w:t>（</w:t>
            </w:r>
            <w:r>
              <w:rPr>
                <w:rFonts w:hint="default" w:ascii="Times New Roman" w:hAnsi="Times New Roman" w:eastAsia="宋体" w:cs="Times New Roman"/>
                <w:b/>
                <w:bCs/>
                <w:color w:val="auto"/>
                <w:spacing w:val="-2"/>
                <w:sz w:val="21"/>
                <w:szCs w:val="21"/>
                <w:highlight w:val="none"/>
              </w:rPr>
              <w:t>收集率9</w:t>
            </w:r>
            <w:r>
              <w:rPr>
                <w:rFonts w:hint="default" w:ascii="Times New Roman" w:hAnsi="Times New Roman" w:eastAsia="宋体" w:cs="Times New Roman"/>
                <w:b/>
                <w:bCs/>
                <w:color w:val="auto"/>
                <w:spacing w:val="-2"/>
                <w:sz w:val="21"/>
                <w:szCs w:val="21"/>
                <w:highlight w:val="none"/>
                <w:lang w:val="en-US" w:eastAsia="zh-CN"/>
              </w:rPr>
              <w:t>0</w:t>
            </w:r>
            <w:r>
              <w:rPr>
                <w:rFonts w:hint="default" w:ascii="Times New Roman" w:hAnsi="Times New Roman" w:eastAsia="宋体" w:cs="Times New Roman"/>
                <w:b/>
                <w:bCs/>
                <w:color w:val="auto"/>
                <w:spacing w:val="-2"/>
                <w:sz w:val="21"/>
                <w:szCs w:val="21"/>
                <w:highlight w:val="none"/>
              </w:rPr>
              <w:t>%</w:t>
            </w:r>
            <w:r>
              <w:rPr>
                <w:rFonts w:hint="default" w:ascii="Times New Roman" w:hAnsi="Times New Roman" w:eastAsia="宋体" w:cs="Times New Roman"/>
                <w:b/>
                <w:bCs/>
                <w:color w:val="auto"/>
                <w:spacing w:val="-2"/>
                <w:sz w:val="21"/>
                <w:szCs w:val="21"/>
                <w:highlight w:val="none"/>
                <w:lang w:val="en-US" w:eastAsia="zh-CN"/>
              </w:rPr>
              <w:t>）</w:t>
            </w:r>
          </w:p>
        </w:tc>
        <w:tc>
          <w:tcPr>
            <w:tcW w:w="949" w:type="pct"/>
            <w:gridSpan w:val="2"/>
            <w:tcBorders>
              <w:tl2br w:val="nil"/>
              <w:tr2bl w:val="nil"/>
            </w:tcBorders>
            <w:noWrap w:val="0"/>
            <w:vAlign w:val="center"/>
          </w:tcPr>
          <w:p w14:paraId="0CDDCB3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无组织产生情况</w:t>
            </w:r>
          </w:p>
          <w:p w14:paraId="5406603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lang w:eastAsia="zh-CN"/>
              </w:rPr>
            </w:pPr>
            <w:r>
              <w:rPr>
                <w:rFonts w:hint="default" w:ascii="Times New Roman" w:hAnsi="Times New Roman" w:eastAsia="宋体" w:cs="Times New Roman"/>
                <w:b/>
                <w:bCs/>
                <w:color w:val="auto"/>
                <w:spacing w:val="-2"/>
                <w:sz w:val="21"/>
                <w:szCs w:val="21"/>
                <w:highlight w:val="none"/>
                <w:lang w:eastAsia="zh-CN"/>
              </w:rPr>
              <w:t>（</w:t>
            </w:r>
            <w:r>
              <w:rPr>
                <w:rFonts w:hint="default" w:ascii="Times New Roman" w:hAnsi="Times New Roman" w:eastAsia="宋体" w:cs="Times New Roman"/>
                <w:b/>
                <w:bCs/>
                <w:color w:val="auto"/>
                <w:spacing w:val="-2"/>
                <w:sz w:val="21"/>
                <w:szCs w:val="21"/>
                <w:highlight w:val="none"/>
              </w:rPr>
              <w:t>未收集率</w:t>
            </w:r>
            <w:r>
              <w:rPr>
                <w:rFonts w:hint="default" w:ascii="Times New Roman" w:hAnsi="Times New Roman" w:cs="Times New Roman"/>
                <w:b/>
                <w:bCs/>
                <w:color w:val="auto"/>
                <w:spacing w:val="-2"/>
                <w:sz w:val="21"/>
                <w:szCs w:val="21"/>
                <w:highlight w:val="none"/>
                <w:lang w:val="en-US" w:eastAsia="zh-CN"/>
              </w:rPr>
              <w:t>10</w:t>
            </w:r>
            <w:r>
              <w:rPr>
                <w:rFonts w:hint="default" w:ascii="Times New Roman" w:hAnsi="Times New Roman" w:eastAsia="宋体" w:cs="Times New Roman"/>
                <w:b/>
                <w:bCs/>
                <w:color w:val="auto"/>
                <w:spacing w:val="-2"/>
                <w:sz w:val="21"/>
                <w:szCs w:val="21"/>
                <w:highlight w:val="none"/>
              </w:rPr>
              <w:t>%</w:t>
            </w:r>
            <w:r>
              <w:rPr>
                <w:rFonts w:hint="default" w:ascii="Times New Roman" w:hAnsi="Times New Roman" w:eastAsia="宋体" w:cs="Times New Roman"/>
                <w:b/>
                <w:bCs/>
                <w:color w:val="auto"/>
                <w:spacing w:val="-2"/>
                <w:sz w:val="21"/>
                <w:szCs w:val="21"/>
                <w:highlight w:val="none"/>
                <w:lang w:eastAsia="zh-CN"/>
              </w:rPr>
              <w:t>）</w:t>
            </w:r>
          </w:p>
        </w:tc>
      </w:tr>
      <w:tr w14:paraId="65190B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596" w:type="pct"/>
            <w:vMerge w:val="continue"/>
            <w:tcBorders>
              <w:tl2br w:val="nil"/>
              <w:tr2bl w:val="nil"/>
            </w:tcBorders>
            <w:noWrap w:val="0"/>
            <w:vAlign w:val="center"/>
          </w:tcPr>
          <w:p w14:paraId="2B22D192">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352" w:type="pct"/>
            <w:vMerge w:val="continue"/>
            <w:tcBorders>
              <w:tl2br w:val="nil"/>
              <w:tr2bl w:val="nil"/>
            </w:tcBorders>
            <w:noWrap w:val="0"/>
            <w:vAlign w:val="center"/>
          </w:tcPr>
          <w:p w14:paraId="69F32C10">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623" w:type="pct"/>
            <w:vMerge w:val="continue"/>
            <w:tcBorders>
              <w:tl2br w:val="nil"/>
              <w:tr2bl w:val="nil"/>
            </w:tcBorders>
            <w:noWrap w:val="0"/>
            <w:vAlign w:val="center"/>
          </w:tcPr>
          <w:p w14:paraId="04BFBDAD">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493" w:type="pct"/>
            <w:vMerge w:val="continue"/>
            <w:tcBorders>
              <w:tl2br w:val="nil"/>
              <w:tr2bl w:val="nil"/>
            </w:tcBorders>
            <w:noWrap w:val="0"/>
            <w:vAlign w:val="center"/>
          </w:tcPr>
          <w:p w14:paraId="750F103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460" w:type="pct"/>
            <w:tcBorders>
              <w:tl2br w:val="nil"/>
              <w:tr2bl w:val="nil"/>
            </w:tcBorders>
            <w:noWrap w:val="0"/>
            <w:vAlign w:val="center"/>
          </w:tcPr>
          <w:p w14:paraId="5E4440B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产生速率</w:t>
            </w:r>
          </w:p>
          <w:p w14:paraId="0480AFA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kg/h</w:t>
            </w:r>
          </w:p>
        </w:tc>
        <w:tc>
          <w:tcPr>
            <w:tcW w:w="346" w:type="pct"/>
            <w:tcBorders>
              <w:tl2br w:val="nil"/>
              <w:tr2bl w:val="nil"/>
            </w:tcBorders>
            <w:noWrap w:val="0"/>
            <w:vAlign w:val="center"/>
          </w:tcPr>
          <w:p w14:paraId="61118D6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产生量</w:t>
            </w:r>
          </w:p>
          <w:p w14:paraId="20A2CAF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t/a</w:t>
            </w:r>
          </w:p>
        </w:tc>
        <w:tc>
          <w:tcPr>
            <w:tcW w:w="829" w:type="pct"/>
            <w:tcBorders>
              <w:tl2br w:val="nil"/>
              <w:tr2bl w:val="nil"/>
            </w:tcBorders>
            <w:shd w:val="clear" w:color="auto" w:fill="auto"/>
            <w:noWrap w:val="0"/>
            <w:vAlign w:val="center"/>
          </w:tcPr>
          <w:p w14:paraId="24BB045C">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产生速率</w:t>
            </w:r>
          </w:p>
          <w:p w14:paraId="5D94E89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pacing w:val="-2"/>
                <w:kern w:val="2"/>
                <w:sz w:val="21"/>
                <w:szCs w:val="21"/>
                <w:highlight w:val="none"/>
                <w:lang w:val="en-US" w:eastAsia="en-US" w:bidi="ar-SA"/>
              </w:rPr>
            </w:pPr>
            <w:r>
              <w:rPr>
                <w:rFonts w:hint="default" w:ascii="Times New Roman" w:hAnsi="Times New Roman" w:eastAsia="宋体" w:cs="Times New Roman"/>
                <w:b/>
                <w:bCs/>
                <w:color w:val="auto"/>
                <w:spacing w:val="-2"/>
                <w:sz w:val="21"/>
                <w:szCs w:val="21"/>
                <w:highlight w:val="none"/>
              </w:rPr>
              <w:t>kg/h</w:t>
            </w:r>
          </w:p>
        </w:tc>
        <w:tc>
          <w:tcPr>
            <w:tcW w:w="347" w:type="pct"/>
            <w:tcBorders>
              <w:tl2br w:val="nil"/>
              <w:tr2bl w:val="nil"/>
            </w:tcBorders>
            <w:shd w:val="clear" w:color="auto" w:fill="auto"/>
            <w:noWrap w:val="0"/>
            <w:vAlign w:val="center"/>
          </w:tcPr>
          <w:p w14:paraId="3A553EC6">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产生量</w:t>
            </w:r>
          </w:p>
          <w:p w14:paraId="03C316A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spacing w:val="-2"/>
                <w:kern w:val="2"/>
                <w:sz w:val="21"/>
                <w:szCs w:val="21"/>
                <w:highlight w:val="none"/>
                <w:lang w:val="en-US" w:eastAsia="en-US" w:bidi="ar-SA"/>
              </w:rPr>
            </w:pPr>
            <w:r>
              <w:rPr>
                <w:rFonts w:hint="default" w:ascii="Times New Roman" w:hAnsi="Times New Roman" w:eastAsia="宋体" w:cs="Times New Roman"/>
                <w:b/>
                <w:bCs/>
                <w:color w:val="auto"/>
                <w:spacing w:val="-2"/>
                <w:sz w:val="21"/>
                <w:szCs w:val="21"/>
                <w:highlight w:val="none"/>
              </w:rPr>
              <w:t>t/a</w:t>
            </w:r>
          </w:p>
        </w:tc>
        <w:tc>
          <w:tcPr>
            <w:tcW w:w="537" w:type="pct"/>
            <w:tcBorders>
              <w:tl2br w:val="nil"/>
              <w:tr2bl w:val="nil"/>
            </w:tcBorders>
            <w:noWrap w:val="0"/>
            <w:vAlign w:val="center"/>
          </w:tcPr>
          <w:p w14:paraId="6385AD81">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产生速率</w:t>
            </w:r>
          </w:p>
          <w:p w14:paraId="573CC03C">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kg/h</w:t>
            </w:r>
          </w:p>
        </w:tc>
        <w:tc>
          <w:tcPr>
            <w:tcW w:w="412" w:type="pct"/>
            <w:tcBorders>
              <w:tl2br w:val="nil"/>
              <w:tr2bl w:val="nil"/>
            </w:tcBorders>
            <w:noWrap w:val="0"/>
            <w:vAlign w:val="center"/>
          </w:tcPr>
          <w:p w14:paraId="3AC9272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产生量</w:t>
            </w:r>
          </w:p>
          <w:p w14:paraId="60AD715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t/a</w:t>
            </w:r>
          </w:p>
        </w:tc>
      </w:tr>
      <w:tr w14:paraId="2306291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tcBorders>
              <w:tl2br w:val="nil"/>
              <w:tr2bl w:val="nil"/>
            </w:tcBorders>
            <w:noWrap w:val="0"/>
            <w:vAlign w:val="center"/>
          </w:tcPr>
          <w:p w14:paraId="4B399ED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lang w:val="en-US" w:eastAsia="zh-CN"/>
              </w:rPr>
              <w:t>粗碎厂房</w:t>
            </w:r>
          </w:p>
        </w:tc>
        <w:tc>
          <w:tcPr>
            <w:tcW w:w="352" w:type="pct"/>
            <w:tcBorders>
              <w:tl2br w:val="nil"/>
              <w:tr2bl w:val="nil"/>
            </w:tcBorders>
            <w:noWrap w:val="0"/>
            <w:vAlign w:val="center"/>
          </w:tcPr>
          <w:p w14:paraId="341BDBB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颗粒物</w:t>
            </w:r>
          </w:p>
        </w:tc>
        <w:tc>
          <w:tcPr>
            <w:tcW w:w="623" w:type="pct"/>
            <w:tcBorders>
              <w:tl2br w:val="nil"/>
              <w:tr2bl w:val="nil"/>
            </w:tcBorders>
            <w:noWrap w:val="0"/>
            <w:vAlign w:val="center"/>
          </w:tcPr>
          <w:p w14:paraId="079AF06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9928</w:t>
            </w:r>
          </w:p>
        </w:tc>
        <w:tc>
          <w:tcPr>
            <w:tcW w:w="493" w:type="pct"/>
            <w:tcBorders>
              <w:tl2br w:val="nil"/>
              <w:tr2bl w:val="nil"/>
            </w:tcBorders>
            <w:noWrap w:val="0"/>
            <w:vAlign w:val="center"/>
          </w:tcPr>
          <w:p w14:paraId="2790F01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16%</w:t>
            </w:r>
          </w:p>
        </w:tc>
        <w:tc>
          <w:tcPr>
            <w:tcW w:w="837" w:type="dxa"/>
            <w:tcBorders>
              <w:tl2br w:val="nil"/>
              <w:tr2bl w:val="nil"/>
            </w:tcBorders>
            <w:noWrap w:val="0"/>
            <w:vAlign w:val="center"/>
          </w:tcPr>
          <w:p w14:paraId="3BD61BA8">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1.04</w:t>
            </w:r>
          </w:p>
        </w:tc>
        <w:tc>
          <w:tcPr>
            <w:tcW w:w="630" w:type="dxa"/>
            <w:tcBorders>
              <w:tl2br w:val="nil"/>
              <w:tr2bl w:val="nil"/>
            </w:tcBorders>
            <w:noWrap w:val="0"/>
            <w:vAlign w:val="center"/>
          </w:tcPr>
          <w:p w14:paraId="2135121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6</w:t>
            </w:r>
          </w:p>
        </w:tc>
        <w:tc>
          <w:tcPr>
            <w:tcW w:w="1509" w:type="dxa"/>
            <w:tcBorders>
              <w:tl2br w:val="nil"/>
              <w:tr2bl w:val="nil"/>
            </w:tcBorders>
            <w:shd w:val="clear" w:color="auto" w:fill="auto"/>
            <w:noWrap w:val="0"/>
            <w:vAlign w:val="center"/>
          </w:tcPr>
          <w:p w14:paraId="1B057F5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0.94</w:t>
            </w:r>
          </w:p>
        </w:tc>
        <w:tc>
          <w:tcPr>
            <w:tcW w:w="634" w:type="dxa"/>
            <w:tcBorders>
              <w:tl2br w:val="nil"/>
              <w:tr2bl w:val="nil"/>
            </w:tcBorders>
            <w:shd w:val="clear" w:color="auto" w:fill="auto"/>
            <w:noWrap w:val="0"/>
            <w:vAlign w:val="center"/>
          </w:tcPr>
          <w:p w14:paraId="506806A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5.4</w:t>
            </w:r>
          </w:p>
        </w:tc>
        <w:tc>
          <w:tcPr>
            <w:tcW w:w="978" w:type="dxa"/>
            <w:tcBorders>
              <w:tl2br w:val="nil"/>
              <w:tr2bl w:val="nil"/>
            </w:tcBorders>
            <w:noWrap w:val="0"/>
            <w:vAlign w:val="center"/>
          </w:tcPr>
          <w:p w14:paraId="7330DB9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0.10</w:t>
            </w:r>
          </w:p>
        </w:tc>
        <w:tc>
          <w:tcPr>
            <w:tcW w:w="751" w:type="dxa"/>
            <w:tcBorders>
              <w:tl2br w:val="nil"/>
              <w:tr2bl w:val="nil"/>
            </w:tcBorders>
            <w:noWrap w:val="0"/>
            <w:vAlign w:val="center"/>
          </w:tcPr>
          <w:p w14:paraId="6A55DA1D">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0.6</w:t>
            </w:r>
          </w:p>
        </w:tc>
      </w:tr>
      <w:tr w14:paraId="409DD07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tcBorders>
              <w:tl2br w:val="nil"/>
              <w:tr2bl w:val="nil"/>
            </w:tcBorders>
            <w:noWrap w:val="0"/>
            <w:vAlign w:val="center"/>
          </w:tcPr>
          <w:p w14:paraId="4F16DAE2">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中细碎厂房</w:t>
            </w:r>
          </w:p>
        </w:tc>
        <w:tc>
          <w:tcPr>
            <w:tcW w:w="352" w:type="pct"/>
            <w:tcBorders>
              <w:tl2br w:val="nil"/>
              <w:tr2bl w:val="nil"/>
            </w:tcBorders>
            <w:shd w:val="clear" w:color="auto" w:fill="auto"/>
            <w:noWrap w:val="0"/>
            <w:vAlign w:val="center"/>
          </w:tcPr>
          <w:p w14:paraId="675C815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颗粒物</w:t>
            </w:r>
          </w:p>
        </w:tc>
        <w:tc>
          <w:tcPr>
            <w:tcW w:w="623" w:type="pct"/>
            <w:tcBorders>
              <w:tl2br w:val="nil"/>
              <w:tr2bl w:val="nil"/>
            </w:tcBorders>
            <w:noWrap w:val="0"/>
            <w:vAlign w:val="center"/>
          </w:tcPr>
          <w:p w14:paraId="6F6ED59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22300</w:t>
            </w:r>
          </w:p>
        </w:tc>
        <w:tc>
          <w:tcPr>
            <w:tcW w:w="493" w:type="pct"/>
            <w:tcBorders>
              <w:tl2br w:val="nil"/>
              <w:tr2bl w:val="nil"/>
            </w:tcBorders>
            <w:noWrap w:val="0"/>
            <w:vAlign w:val="center"/>
          </w:tcPr>
          <w:p w14:paraId="5B46493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35%</w:t>
            </w:r>
          </w:p>
        </w:tc>
        <w:tc>
          <w:tcPr>
            <w:tcW w:w="837" w:type="dxa"/>
            <w:tcBorders>
              <w:tl2br w:val="nil"/>
              <w:tr2bl w:val="nil"/>
            </w:tcBorders>
            <w:noWrap w:val="0"/>
            <w:vAlign w:val="center"/>
          </w:tcPr>
          <w:p w14:paraId="01A7305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2.28</w:t>
            </w:r>
          </w:p>
        </w:tc>
        <w:tc>
          <w:tcPr>
            <w:tcW w:w="630" w:type="dxa"/>
            <w:tcBorders>
              <w:tl2br w:val="nil"/>
              <w:tr2bl w:val="nil"/>
            </w:tcBorders>
            <w:noWrap w:val="0"/>
            <w:vAlign w:val="center"/>
          </w:tcPr>
          <w:p w14:paraId="2958DD66">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13.125</w:t>
            </w:r>
          </w:p>
        </w:tc>
        <w:tc>
          <w:tcPr>
            <w:tcW w:w="1509" w:type="dxa"/>
            <w:tcBorders>
              <w:tl2br w:val="nil"/>
              <w:tr2bl w:val="nil"/>
            </w:tcBorders>
            <w:noWrap w:val="0"/>
            <w:vAlign w:val="center"/>
          </w:tcPr>
          <w:p w14:paraId="3DD11AF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2.05</w:t>
            </w:r>
          </w:p>
        </w:tc>
        <w:tc>
          <w:tcPr>
            <w:tcW w:w="634" w:type="dxa"/>
            <w:tcBorders>
              <w:tl2br w:val="nil"/>
              <w:tr2bl w:val="nil"/>
            </w:tcBorders>
            <w:noWrap w:val="0"/>
            <w:vAlign w:val="center"/>
          </w:tcPr>
          <w:p w14:paraId="6532022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11.8125</w:t>
            </w:r>
          </w:p>
        </w:tc>
        <w:tc>
          <w:tcPr>
            <w:tcW w:w="978" w:type="dxa"/>
            <w:tcBorders>
              <w:tl2br w:val="nil"/>
              <w:tr2bl w:val="nil"/>
            </w:tcBorders>
            <w:noWrap w:val="0"/>
            <w:vAlign w:val="center"/>
          </w:tcPr>
          <w:p w14:paraId="60F17E7C">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0.23</w:t>
            </w:r>
          </w:p>
        </w:tc>
        <w:tc>
          <w:tcPr>
            <w:tcW w:w="751" w:type="dxa"/>
            <w:tcBorders>
              <w:tl2br w:val="nil"/>
              <w:tr2bl w:val="nil"/>
            </w:tcBorders>
            <w:noWrap w:val="0"/>
            <w:vAlign w:val="center"/>
          </w:tcPr>
          <w:p w14:paraId="63CF648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1.313</w:t>
            </w:r>
          </w:p>
        </w:tc>
      </w:tr>
      <w:tr w14:paraId="61439BE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tcBorders>
              <w:tl2br w:val="nil"/>
              <w:tr2bl w:val="nil"/>
            </w:tcBorders>
            <w:shd w:val="clear" w:color="auto" w:fill="auto"/>
            <w:noWrap w:val="0"/>
            <w:vAlign w:val="center"/>
          </w:tcPr>
          <w:p w14:paraId="0C2F8B1A">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w:t>
            </w:r>
          </w:p>
        </w:tc>
        <w:tc>
          <w:tcPr>
            <w:tcW w:w="352" w:type="pct"/>
            <w:tcBorders>
              <w:tl2br w:val="nil"/>
              <w:tr2bl w:val="nil"/>
            </w:tcBorders>
            <w:shd w:val="clear" w:color="auto" w:fill="auto"/>
            <w:noWrap w:val="0"/>
            <w:vAlign w:val="center"/>
          </w:tcPr>
          <w:p w14:paraId="43AABEF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颗粒物</w:t>
            </w:r>
          </w:p>
        </w:tc>
        <w:tc>
          <w:tcPr>
            <w:tcW w:w="623" w:type="pct"/>
            <w:tcBorders>
              <w:tl2br w:val="nil"/>
              <w:tr2bl w:val="nil"/>
            </w:tcBorders>
            <w:shd w:val="clear" w:color="auto" w:fill="auto"/>
            <w:noWrap w:val="0"/>
            <w:vAlign w:val="center"/>
          </w:tcPr>
          <w:p w14:paraId="5AE89E7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26700</w:t>
            </w:r>
          </w:p>
        </w:tc>
        <w:tc>
          <w:tcPr>
            <w:tcW w:w="493" w:type="pct"/>
            <w:tcBorders>
              <w:tl2br w:val="nil"/>
              <w:tr2bl w:val="nil"/>
            </w:tcBorders>
            <w:shd w:val="clear" w:color="auto" w:fill="auto"/>
            <w:noWrap w:val="0"/>
            <w:vAlign w:val="center"/>
          </w:tcPr>
          <w:p w14:paraId="2FD1259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42%</w:t>
            </w:r>
          </w:p>
        </w:tc>
        <w:tc>
          <w:tcPr>
            <w:tcW w:w="837" w:type="dxa"/>
            <w:tcBorders>
              <w:tl2br w:val="nil"/>
              <w:tr2bl w:val="nil"/>
            </w:tcBorders>
            <w:shd w:val="clear" w:color="auto" w:fill="auto"/>
            <w:noWrap w:val="0"/>
            <w:vAlign w:val="center"/>
          </w:tcPr>
          <w:p w14:paraId="02AC6F1D">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2.73</w:t>
            </w:r>
          </w:p>
        </w:tc>
        <w:tc>
          <w:tcPr>
            <w:tcW w:w="630" w:type="dxa"/>
            <w:tcBorders>
              <w:tl2br w:val="nil"/>
              <w:tr2bl w:val="nil"/>
            </w:tcBorders>
            <w:shd w:val="clear" w:color="auto" w:fill="auto"/>
            <w:noWrap w:val="0"/>
            <w:vAlign w:val="center"/>
          </w:tcPr>
          <w:p w14:paraId="6D3128A3">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15.75</w:t>
            </w:r>
          </w:p>
        </w:tc>
        <w:tc>
          <w:tcPr>
            <w:tcW w:w="1509" w:type="dxa"/>
            <w:tcBorders>
              <w:tl2br w:val="nil"/>
              <w:tr2bl w:val="nil"/>
            </w:tcBorders>
            <w:shd w:val="clear" w:color="auto" w:fill="auto"/>
            <w:noWrap w:val="0"/>
            <w:vAlign w:val="center"/>
          </w:tcPr>
          <w:p w14:paraId="21D196C0">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2.46</w:t>
            </w:r>
          </w:p>
        </w:tc>
        <w:tc>
          <w:tcPr>
            <w:tcW w:w="634" w:type="dxa"/>
            <w:tcBorders>
              <w:tl2br w:val="nil"/>
              <w:tr2bl w:val="nil"/>
            </w:tcBorders>
            <w:shd w:val="clear" w:color="auto" w:fill="auto"/>
            <w:noWrap w:val="0"/>
            <w:vAlign w:val="center"/>
          </w:tcPr>
          <w:p w14:paraId="376733C2">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14.175</w:t>
            </w:r>
          </w:p>
        </w:tc>
        <w:tc>
          <w:tcPr>
            <w:tcW w:w="978" w:type="dxa"/>
            <w:tcBorders>
              <w:tl2br w:val="nil"/>
              <w:tr2bl w:val="nil"/>
            </w:tcBorders>
            <w:shd w:val="clear" w:color="auto" w:fill="auto"/>
            <w:noWrap w:val="0"/>
            <w:vAlign w:val="center"/>
          </w:tcPr>
          <w:p w14:paraId="5048F62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0.27</w:t>
            </w:r>
          </w:p>
        </w:tc>
        <w:tc>
          <w:tcPr>
            <w:tcW w:w="751" w:type="dxa"/>
            <w:tcBorders>
              <w:tl2br w:val="nil"/>
              <w:tr2bl w:val="nil"/>
            </w:tcBorders>
            <w:shd w:val="clear" w:color="auto" w:fill="auto"/>
            <w:noWrap w:val="0"/>
            <w:vAlign w:val="center"/>
          </w:tcPr>
          <w:p w14:paraId="06E3EE7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1.575</w:t>
            </w:r>
          </w:p>
        </w:tc>
      </w:tr>
      <w:tr w14:paraId="55F0BEC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tcBorders>
              <w:tl2br w:val="nil"/>
              <w:tr2bl w:val="nil"/>
            </w:tcBorders>
            <w:noWrap w:val="0"/>
            <w:vAlign w:val="center"/>
          </w:tcPr>
          <w:p w14:paraId="086F8BA6">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w:t>
            </w:r>
          </w:p>
        </w:tc>
        <w:tc>
          <w:tcPr>
            <w:tcW w:w="352" w:type="pct"/>
            <w:tcBorders>
              <w:tl2br w:val="nil"/>
              <w:tr2bl w:val="nil"/>
            </w:tcBorders>
            <w:shd w:val="clear" w:color="auto" w:fill="auto"/>
            <w:noWrap w:val="0"/>
            <w:vAlign w:val="center"/>
          </w:tcPr>
          <w:p w14:paraId="3A0DA67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颗粒物</w:t>
            </w:r>
          </w:p>
        </w:tc>
        <w:tc>
          <w:tcPr>
            <w:tcW w:w="623" w:type="pct"/>
            <w:tcBorders>
              <w:tl2br w:val="nil"/>
              <w:tr2bl w:val="nil"/>
            </w:tcBorders>
            <w:noWrap w:val="0"/>
            <w:vAlign w:val="center"/>
          </w:tcPr>
          <w:p w14:paraId="379C213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4300</w:t>
            </w:r>
          </w:p>
        </w:tc>
        <w:tc>
          <w:tcPr>
            <w:tcW w:w="493" w:type="pct"/>
            <w:tcBorders>
              <w:tl2br w:val="nil"/>
              <w:tr2bl w:val="nil"/>
            </w:tcBorders>
            <w:noWrap w:val="0"/>
            <w:vAlign w:val="center"/>
          </w:tcPr>
          <w:p w14:paraId="2869040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7%</w:t>
            </w:r>
          </w:p>
        </w:tc>
        <w:tc>
          <w:tcPr>
            <w:tcW w:w="837" w:type="dxa"/>
            <w:tcBorders>
              <w:tl2br w:val="nil"/>
              <w:tr2bl w:val="nil"/>
            </w:tcBorders>
            <w:noWrap w:val="0"/>
            <w:vAlign w:val="center"/>
          </w:tcPr>
          <w:p w14:paraId="502CB1B9">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0.46</w:t>
            </w:r>
          </w:p>
        </w:tc>
        <w:tc>
          <w:tcPr>
            <w:tcW w:w="630" w:type="dxa"/>
            <w:tcBorders>
              <w:tl2br w:val="nil"/>
              <w:tr2bl w:val="nil"/>
            </w:tcBorders>
            <w:noWrap w:val="0"/>
            <w:vAlign w:val="center"/>
          </w:tcPr>
          <w:p w14:paraId="1050CEBD">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2.625</w:t>
            </w:r>
          </w:p>
        </w:tc>
        <w:tc>
          <w:tcPr>
            <w:tcW w:w="1509" w:type="dxa"/>
            <w:tcBorders>
              <w:tl2br w:val="nil"/>
              <w:tr2bl w:val="nil"/>
            </w:tcBorders>
            <w:noWrap w:val="0"/>
            <w:vAlign w:val="center"/>
          </w:tcPr>
          <w:p w14:paraId="64790356">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0.41</w:t>
            </w:r>
          </w:p>
        </w:tc>
        <w:tc>
          <w:tcPr>
            <w:tcW w:w="634" w:type="dxa"/>
            <w:tcBorders>
              <w:tl2br w:val="nil"/>
              <w:tr2bl w:val="nil"/>
            </w:tcBorders>
            <w:noWrap w:val="0"/>
            <w:vAlign w:val="center"/>
          </w:tcPr>
          <w:p w14:paraId="7BD46D8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2.3625</w:t>
            </w:r>
          </w:p>
        </w:tc>
        <w:tc>
          <w:tcPr>
            <w:tcW w:w="978" w:type="dxa"/>
            <w:tcBorders>
              <w:tl2br w:val="nil"/>
              <w:tr2bl w:val="nil"/>
            </w:tcBorders>
            <w:noWrap w:val="0"/>
            <w:vAlign w:val="center"/>
          </w:tcPr>
          <w:p w14:paraId="289BB8D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0.05</w:t>
            </w:r>
          </w:p>
        </w:tc>
        <w:tc>
          <w:tcPr>
            <w:tcW w:w="751" w:type="dxa"/>
            <w:tcBorders>
              <w:tl2br w:val="nil"/>
              <w:tr2bl w:val="nil"/>
            </w:tcBorders>
            <w:noWrap w:val="0"/>
            <w:vAlign w:val="center"/>
          </w:tcPr>
          <w:p w14:paraId="11E14918">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0.263</w:t>
            </w:r>
          </w:p>
        </w:tc>
      </w:tr>
    </w:tbl>
    <w:p w14:paraId="2BA98F92">
      <w:pPr>
        <w:spacing w:before="251" w:line="219"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8"/>
          <w:highlight w:val="none"/>
          <w:lang w:val="en-US" w:eastAsia="zh-CN" w:bidi="ar-SA"/>
        </w:rPr>
        <w:t xml:space="preserve">表3.3-5    </w:t>
      </w:r>
      <w:r>
        <w:rPr>
          <w:rFonts w:hint="default" w:ascii="Times New Roman" w:hAnsi="Times New Roman" w:eastAsia="宋体" w:cs="Times New Roman"/>
          <w:b/>
          <w:bCs/>
          <w:color w:val="auto"/>
          <w:sz w:val="24"/>
          <w:szCs w:val="28"/>
          <w:highlight w:val="none"/>
          <w:lang w:val="en-US" w:eastAsia="zh-CN"/>
        </w:rPr>
        <w:t>破碎筛分工段</w:t>
      </w:r>
      <w:r>
        <w:rPr>
          <w:rFonts w:hint="default" w:ascii="Times New Roman" w:hAnsi="Times New Roman" w:eastAsia="宋体" w:cs="Times New Roman"/>
          <w:b/>
          <w:bCs/>
          <w:color w:val="auto"/>
          <w:sz w:val="24"/>
          <w:szCs w:val="28"/>
          <w:highlight w:val="none"/>
        </w:rPr>
        <w:t>污染物</w:t>
      </w:r>
      <w:r>
        <w:rPr>
          <w:rFonts w:hint="default" w:ascii="Times New Roman" w:hAnsi="Times New Roman" w:eastAsia="宋体" w:cs="Times New Roman"/>
          <w:b/>
          <w:bCs/>
          <w:color w:val="auto"/>
          <w:kern w:val="0"/>
          <w:sz w:val="24"/>
          <w:szCs w:val="28"/>
          <w:highlight w:val="none"/>
          <w:lang w:val="en-US" w:eastAsia="zh-CN" w:bidi="ar-SA"/>
        </w:rPr>
        <w:t>（有组织）产排情况</w:t>
      </w:r>
    </w:p>
    <w:tbl>
      <w:tblPr>
        <w:tblStyle w:val="99"/>
        <w:tblW w:w="511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68"/>
        <w:gridCol w:w="739"/>
        <w:gridCol w:w="842"/>
        <w:gridCol w:w="848"/>
        <w:gridCol w:w="803"/>
        <w:gridCol w:w="941"/>
        <w:gridCol w:w="1191"/>
        <w:gridCol w:w="908"/>
        <w:gridCol w:w="717"/>
        <w:gridCol w:w="931"/>
      </w:tblGrid>
      <w:tr w14:paraId="1BF9A9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690" w:type="pct"/>
            <w:vMerge w:val="restart"/>
            <w:tcBorders>
              <w:tl2br w:val="nil"/>
              <w:tr2bl w:val="nil"/>
            </w:tcBorders>
            <w:noWrap w:val="0"/>
            <w:vAlign w:val="center"/>
          </w:tcPr>
          <w:p w14:paraId="5B92FAA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402" w:type="pct"/>
            <w:vMerge w:val="restart"/>
            <w:tcBorders>
              <w:tl2br w:val="nil"/>
              <w:tr2bl w:val="nil"/>
            </w:tcBorders>
            <w:noWrap w:val="0"/>
            <w:vAlign w:val="center"/>
          </w:tcPr>
          <w:p w14:paraId="459C788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cs="Times New Roman"/>
                <w:b/>
                <w:bCs/>
                <w:color w:val="auto"/>
                <w:spacing w:val="-2"/>
                <w:sz w:val="21"/>
                <w:szCs w:val="21"/>
                <w:highlight w:val="none"/>
                <w:lang w:val="en-US" w:eastAsia="zh-CN"/>
              </w:rPr>
              <w:t>风量</w:t>
            </w:r>
          </w:p>
          <w:p w14:paraId="545BB6D0">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m</w:t>
            </w:r>
            <w:r>
              <w:rPr>
                <w:rFonts w:hint="default" w:ascii="Times New Roman" w:hAnsi="Times New Roman" w:eastAsia="宋体" w:cs="Times New Roman"/>
                <w:b/>
                <w:bCs/>
                <w:color w:val="auto"/>
                <w:spacing w:val="-2"/>
                <w:sz w:val="21"/>
                <w:szCs w:val="21"/>
                <w:highlight w:val="none"/>
                <w:vertAlign w:val="superscript"/>
              </w:rPr>
              <w:t>3</w:t>
            </w:r>
            <w:r>
              <w:rPr>
                <w:rFonts w:hint="default" w:ascii="Times New Roman" w:hAnsi="Times New Roman" w:eastAsia="宋体" w:cs="Times New Roman"/>
                <w:b/>
                <w:bCs/>
                <w:color w:val="auto"/>
                <w:spacing w:val="-2"/>
                <w:sz w:val="21"/>
                <w:szCs w:val="21"/>
                <w:highlight w:val="none"/>
              </w:rPr>
              <w:t>/h</w:t>
            </w:r>
          </w:p>
        </w:tc>
        <w:tc>
          <w:tcPr>
            <w:tcW w:w="458" w:type="pct"/>
            <w:vMerge w:val="restart"/>
            <w:tcBorders>
              <w:tl2br w:val="nil"/>
              <w:tr2bl w:val="nil"/>
            </w:tcBorders>
            <w:noWrap w:val="0"/>
            <w:vAlign w:val="center"/>
          </w:tcPr>
          <w:p w14:paraId="0F354F29">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污染物</w:t>
            </w:r>
          </w:p>
        </w:tc>
        <w:tc>
          <w:tcPr>
            <w:tcW w:w="1410" w:type="pct"/>
            <w:gridSpan w:val="3"/>
            <w:tcBorders>
              <w:tl2br w:val="nil"/>
              <w:tr2bl w:val="nil"/>
            </w:tcBorders>
            <w:noWrap w:val="0"/>
            <w:vAlign w:val="center"/>
          </w:tcPr>
          <w:p w14:paraId="543940F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产生情况</w:t>
            </w:r>
          </w:p>
        </w:tc>
        <w:tc>
          <w:tcPr>
            <w:tcW w:w="648" w:type="pct"/>
            <w:vMerge w:val="restart"/>
            <w:tcBorders>
              <w:tl2br w:val="nil"/>
              <w:tr2bl w:val="nil"/>
            </w:tcBorders>
            <w:noWrap w:val="0"/>
            <w:vAlign w:val="center"/>
          </w:tcPr>
          <w:p w14:paraId="22812D3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lang w:eastAsia="zh-CN"/>
              </w:rPr>
            </w:pPr>
            <w:r>
              <w:rPr>
                <w:rFonts w:hint="default" w:ascii="Times New Roman" w:hAnsi="Times New Roman" w:eastAsia="宋体" w:cs="Times New Roman"/>
                <w:b/>
                <w:bCs/>
                <w:color w:val="auto"/>
                <w:spacing w:val="-2"/>
                <w:sz w:val="21"/>
                <w:szCs w:val="21"/>
                <w:highlight w:val="none"/>
              </w:rPr>
              <w:t>处理效率</w:t>
            </w:r>
          </w:p>
        </w:tc>
        <w:tc>
          <w:tcPr>
            <w:tcW w:w="1390" w:type="pct"/>
            <w:gridSpan w:val="3"/>
            <w:tcBorders>
              <w:tl2br w:val="nil"/>
              <w:tr2bl w:val="nil"/>
            </w:tcBorders>
            <w:noWrap w:val="0"/>
            <w:vAlign w:val="center"/>
          </w:tcPr>
          <w:p w14:paraId="7219F64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排放情况</w:t>
            </w:r>
          </w:p>
        </w:tc>
      </w:tr>
      <w:tr w14:paraId="3DA01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690" w:type="pct"/>
            <w:vMerge w:val="continue"/>
            <w:tcBorders>
              <w:tl2br w:val="nil"/>
              <w:tr2bl w:val="nil"/>
            </w:tcBorders>
            <w:noWrap w:val="0"/>
            <w:vAlign w:val="center"/>
          </w:tcPr>
          <w:p w14:paraId="576A438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402" w:type="pct"/>
            <w:vMerge w:val="continue"/>
            <w:tcBorders>
              <w:tl2br w:val="nil"/>
              <w:tr2bl w:val="nil"/>
            </w:tcBorders>
            <w:noWrap w:val="0"/>
            <w:vAlign w:val="center"/>
          </w:tcPr>
          <w:p w14:paraId="6DF9CEF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458" w:type="pct"/>
            <w:vMerge w:val="continue"/>
            <w:tcBorders>
              <w:tl2br w:val="nil"/>
              <w:tr2bl w:val="nil"/>
            </w:tcBorders>
            <w:noWrap w:val="0"/>
            <w:vAlign w:val="center"/>
          </w:tcPr>
          <w:p w14:paraId="2C829B6C">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461" w:type="pct"/>
            <w:tcBorders>
              <w:tl2br w:val="nil"/>
              <w:tr2bl w:val="nil"/>
            </w:tcBorders>
            <w:noWrap w:val="0"/>
            <w:vAlign w:val="center"/>
          </w:tcPr>
          <w:p w14:paraId="38255B61">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浓度</w:t>
            </w:r>
          </w:p>
          <w:p w14:paraId="794558B2">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rPr>
              <w:t>mg/m</w:t>
            </w:r>
            <w:r>
              <w:rPr>
                <w:rFonts w:hint="default" w:ascii="Times New Roman" w:hAnsi="Times New Roman" w:eastAsia="宋体" w:cs="Times New Roman"/>
                <w:b/>
                <w:bCs/>
                <w:color w:val="auto"/>
                <w:spacing w:val="-2"/>
                <w:sz w:val="21"/>
                <w:szCs w:val="21"/>
                <w:highlight w:val="none"/>
                <w:vertAlign w:val="superscript"/>
                <w:lang w:val="en-US" w:eastAsia="zh-CN"/>
              </w:rPr>
              <w:t>3</w:t>
            </w:r>
          </w:p>
        </w:tc>
        <w:tc>
          <w:tcPr>
            <w:tcW w:w="437" w:type="pct"/>
            <w:tcBorders>
              <w:tl2br w:val="nil"/>
              <w:tr2bl w:val="nil"/>
            </w:tcBorders>
            <w:noWrap w:val="0"/>
            <w:vAlign w:val="center"/>
          </w:tcPr>
          <w:p w14:paraId="575DCD5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速率</w:t>
            </w:r>
          </w:p>
          <w:p w14:paraId="2909300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kg/h</w:t>
            </w:r>
          </w:p>
        </w:tc>
        <w:tc>
          <w:tcPr>
            <w:tcW w:w="512" w:type="pct"/>
            <w:tcBorders>
              <w:tl2br w:val="nil"/>
              <w:tr2bl w:val="nil"/>
            </w:tcBorders>
            <w:noWrap w:val="0"/>
            <w:vAlign w:val="center"/>
          </w:tcPr>
          <w:p w14:paraId="31377BD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产生量</w:t>
            </w:r>
          </w:p>
          <w:p w14:paraId="17DDA928">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t/a</w:t>
            </w:r>
          </w:p>
        </w:tc>
        <w:tc>
          <w:tcPr>
            <w:tcW w:w="648" w:type="pct"/>
            <w:vMerge w:val="continue"/>
            <w:tcBorders>
              <w:tl2br w:val="nil"/>
              <w:tr2bl w:val="nil"/>
            </w:tcBorders>
            <w:noWrap w:val="0"/>
            <w:vAlign w:val="center"/>
          </w:tcPr>
          <w:p w14:paraId="134CAC3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494" w:type="pct"/>
            <w:tcBorders>
              <w:tl2br w:val="nil"/>
              <w:tr2bl w:val="nil"/>
            </w:tcBorders>
            <w:noWrap w:val="0"/>
            <w:vAlign w:val="center"/>
          </w:tcPr>
          <w:p w14:paraId="42FEC90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浓度</w:t>
            </w:r>
          </w:p>
          <w:p w14:paraId="261C39A3">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rPr>
              <w:t>mg/m</w:t>
            </w:r>
            <w:r>
              <w:rPr>
                <w:rFonts w:hint="default" w:ascii="Times New Roman" w:hAnsi="Times New Roman" w:eastAsia="宋体" w:cs="Times New Roman"/>
                <w:b/>
                <w:bCs/>
                <w:color w:val="auto"/>
                <w:spacing w:val="-2"/>
                <w:sz w:val="21"/>
                <w:szCs w:val="21"/>
                <w:highlight w:val="none"/>
                <w:vertAlign w:val="superscript"/>
                <w:lang w:val="en-US" w:eastAsia="zh-CN"/>
              </w:rPr>
              <w:t>3</w:t>
            </w:r>
          </w:p>
        </w:tc>
        <w:tc>
          <w:tcPr>
            <w:tcW w:w="390" w:type="pct"/>
            <w:tcBorders>
              <w:tl2br w:val="nil"/>
              <w:tr2bl w:val="nil"/>
            </w:tcBorders>
            <w:noWrap w:val="0"/>
            <w:vAlign w:val="center"/>
          </w:tcPr>
          <w:p w14:paraId="7077AB1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速率</w:t>
            </w:r>
          </w:p>
          <w:p w14:paraId="4E99DD8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kg/h</w:t>
            </w:r>
          </w:p>
        </w:tc>
        <w:tc>
          <w:tcPr>
            <w:tcW w:w="505" w:type="pct"/>
            <w:tcBorders>
              <w:tl2br w:val="nil"/>
              <w:tr2bl w:val="nil"/>
            </w:tcBorders>
            <w:noWrap w:val="0"/>
            <w:vAlign w:val="center"/>
          </w:tcPr>
          <w:p w14:paraId="2D8E112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排放量</w:t>
            </w:r>
          </w:p>
          <w:p w14:paraId="08C5431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t/a</w:t>
            </w:r>
          </w:p>
        </w:tc>
      </w:tr>
      <w:tr w14:paraId="6898F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90" w:type="pct"/>
            <w:tcBorders>
              <w:tl2br w:val="nil"/>
              <w:tr2bl w:val="nil"/>
            </w:tcBorders>
            <w:noWrap w:val="0"/>
            <w:vAlign w:val="center"/>
          </w:tcPr>
          <w:p w14:paraId="4C88C08C">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粗碎厂房排气筒P1</w:t>
            </w:r>
          </w:p>
        </w:tc>
        <w:tc>
          <w:tcPr>
            <w:tcW w:w="402" w:type="pct"/>
            <w:tcBorders>
              <w:tl2br w:val="nil"/>
              <w:tr2bl w:val="nil"/>
            </w:tcBorders>
            <w:noWrap w:val="0"/>
            <w:vAlign w:val="center"/>
          </w:tcPr>
          <w:p w14:paraId="2CC167B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9928</w:t>
            </w:r>
          </w:p>
        </w:tc>
        <w:tc>
          <w:tcPr>
            <w:tcW w:w="458" w:type="pct"/>
            <w:tcBorders>
              <w:tl2br w:val="nil"/>
              <w:tr2bl w:val="nil"/>
            </w:tcBorders>
            <w:noWrap w:val="0"/>
            <w:vAlign w:val="center"/>
          </w:tcPr>
          <w:p w14:paraId="609DD2F9">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PM</w:t>
            </w:r>
            <w:r>
              <w:rPr>
                <w:rFonts w:hint="default" w:ascii="Times New Roman" w:hAnsi="Times New Roman" w:cs="Times New Roman"/>
                <w:color w:val="auto"/>
                <w:spacing w:val="-2"/>
                <w:sz w:val="21"/>
                <w:szCs w:val="21"/>
                <w:highlight w:val="none"/>
                <w:vertAlign w:val="subscript"/>
                <w:lang w:val="en-US" w:eastAsia="zh-CN"/>
              </w:rPr>
              <w:t>10</w:t>
            </w:r>
          </w:p>
        </w:tc>
        <w:tc>
          <w:tcPr>
            <w:tcW w:w="848" w:type="dxa"/>
            <w:tcBorders>
              <w:tl2br w:val="nil"/>
              <w:tr2bl w:val="nil"/>
            </w:tcBorders>
            <w:noWrap w:val="0"/>
            <w:vAlign w:val="center"/>
          </w:tcPr>
          <w:p w14:paraId="6CCBAB4A">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104.75 </w:t>
            </w:r>
          </w:p>
        </w:tc>
        <w:tc>
          <w:tcPr>
            <w:tcW w:w="803" w:type="dxa"/>
            <w:tcBorders>
              <w:tl2br w:val="nil"/>
              <w:tr2bl w:val="nil"/>
            </w:tcBorders>
            <w:noWrap w:val="0"/>
            <w:vAlign w:val="center"/>
          </w:tcPr>
          <w:p w14:paraId="387A8C5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1.04</w:t>
            </w:r>
          </w:p>
        </w:tc>
        <w:tc>
          <w:tcPr>
            <w:tcW w:w="941" w:type="dxa"/>
            <w:tcBorders>
              <w:tl2br w:val="nil"/>
              <w:tr2bl w:val="nil"/>
            </w:tcBorders>
            <w:noWrap w:val="0"/>
            <w:vAlign w:val="center"/>
          </w:tcPr>
          <w:p w14:paraId="4455BB4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6</w:t>
            </w:r>
          </w:p>
        </w:tc>
        <w:tc>
          <w:tcPr>
            <w:tcW w:w="648" w:type="pct"/>
            <w:vMerge w:val="restart"/>
            <w:tcBorders>
              <w:tl2br w:val="nil"/>
              <w:tr2bl w:val="nil"/>
            </w:tcBorders>
            <w:noWrap w:val="0"/>
            <w:vAlign w:val="center"/>
          </w:tcPr>
          <w:p w14:paraId="53E83B61">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b w:val="0"/>
                <w:bCs w:val="0"/>
                <w:color w:val="auto"/>
                <w:spacing w:val="-2"/>
                <w:sz w:val="21"/>
                <w:szCs w:val="21"/>
                <w:highlight w:val="none"/>
                <w:lang w:val="en-US" w:eastAsia="zh-CN"/>
              </w:rPr>
            </w:pPr>
            <w:r>
              <w:rPr>
                <w:rFonts w:hint="default" w:ascii="Times New Roman" w:hAnsi="Times New Roman" w:eastAsia="宋体" w:cs="Times New Roman"/>
                <w:b w:val="0"/>
                <w:bCs w:val="0"/>
                <w:color w:val="auto"/>
                <w:spacing w:val="-2"/>
                <w:sz w:val="21"/>
                <w:szCs w:val="21"/>
                <w:highlight w:val="none"/>
                <w:lang w:val="en-US" w:eastAsia="zh-CN"/>
              </w:rPr>
              <w:t>99%</w:t>
            </w:r>
          </w:p>
        </w:tc>
        <w:tc>
          <w:tcPr>
            <w:tcW w:w="908" w:type="dxa"/>
            <w:tcBorders>
              <w:tl2br w:val="nil"/>
              <w:tr2bl w:val="nil"/>
            </w:tcBorders>
            <w:noWrap w:val="0"/>
            <w:vAlign w:val="center"/>
          </w:tcPr>
          <w:p w14:paraId="779EF90E">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10.48 </w:t>
            </w:r>
          </w:p>
        </w:tc>
        <w:tc>
          <w:tcPr>
            <w:tcW w:w="717" w:type="dxa"/>
            <w:tcBorders>
              <w:tl2br w:val="nil"/>
              <w:tr2bl w:val="nil"/>
            </w:tcBorders>
            <w:noWrap w:val="0"/>
            <w:vAlign w:val="center"/>
          </w:tcPr>
          <w:p w14:paraId="5B64BF2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0.104</w:t>
            </w:r>
          </w:p>
        </w:tc>
        <w:tc>
          <w:tcPr>
            <w:tcW w:w="931" w:type="dxa"/>
            <w:tcBorders>
              <w:tl2br w:val="nil"/>
              <w:tr2bl w:val="nil"/>
            </w:tcBorders>
            <w:noWrap w:val="0"/>
            <w:vAlign w:val="center"/>
          </w:tcPr>
          <w:p w14:paraId="0ACFBBB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0.6</w:t>
            </w:r>
          </w:p>
        </w:tc>
      </w:tr>
      <w:tr w14:paraId="123184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90" w:type="pct"/>
            <w:tcBorders>
              <w:tl2br w:val="nil"/>
              <w:tr2bl w:val="nil"/>
            </w:tcBorders>
            <w:noWrap w:val="0"/>
            <w:vAlign w:val="center"/>
          </w:tcPr>
          <w:p w14:paraId="413045A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中细碎厂房排气筒P2</w:t>
            </w:r>
          </w:p>
        </w:tc>
        <w:tc>
          <w:tcPr>
            <w:tcW w:w="402" w:type="pct"/>
            <w:tcBorders>
              <w:tl2br w:val="nil"/>
              <w:tr2bl w:val="nil"/>
            </w:tcBorders>
            <w:noWrap w:val="0"/>
            <w:vAlign w:val="center"/>
          </w:tcPr>
          <w:p w14:paraId="370C6A5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22300</w:t>
            </w:r>
          </w:p>
        </w:tc>
        <w:tc>
          <w:tcPr>
            <w:tcW w:w="458" w:type="pct"/>
            <w:tcBorders>
              <w:tl2br w:val="nil"/>
              <w:tr2bl w:val="nil"/>
            </w:tcBorders>
            <w:noWrap w:val="0"/>
            <w:vAlign w:val="center"/>
          </w:tcPr>
          <w:p w14:paraId="647B349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PM</w:t>
            </w:r>
            <w:r>
              <w:rPr>
                <w:rFonts w:hint="default" w:ascii="Times New Roman" w:hAnsi="Times New Roman" w:cs="Times New Roman"/>
                <w:color w:val="auto"/>
                <w:spacing w:val="-2"/>
                <w:sz w:val="21"/>
                <w:szCs w:val="21"/>
                <w:highlight w:val="none"/>
                <w:vertAlign w:val="subscript"/>
                <w:lang w:val="en-US" w:eastAsia="zh-CN"/>
              </w:rPr>
              <w:t>10</w:t>
            </w:r>
          </w:p>
        </w:tc>
        <w:tc>
          <w:tcPr>
            <w:tcW w:w="848" w:type="dxa"/>
            <w:tcBorders>
              <w:tl2br w:val="nil"/>
              <w:tr2bl w:val="nil"/>
            </w:tcBorders>
            <w:noWrap w:val="0"/>
            <w:vAlign w:val="center"/>
          </w:tcPr>
          <w:p w14:paraId="5D98997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102.24 </w:t>
            </w:r>
          </w:p>
        </w:tc>
        <w:tc>
          <w:tcPr>
            <w:tcW w:w="803" w:type="dxa"/>
            <w:tcBorders>
              <w:tl2br w:val="nil"/>
              <w:tr2bl w:val="nil"/>
            </w:tcBorders>
            <w:noWrap w:val="0"/>
            <w:vAlign w:val="center"/>
          </w:tcPr>
          <w:p w14:paraId="31A709E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2.28</w:t>
            </w:r>
          </w:p>
        </w:tc>
        <w:tc>
          <w:tcPr>
            <w:tcW w:w="941" w:type="dxa"/>
            <w:tcBorders>
              <w:tl2br w:val="nil"/>
              <w:tr2bl w:val="nil"/>
            </w:tcBorders>
            <w:noWrap w:val="0"/>
            <w:vAlign w:val="center"/>
          </w:tcPr>
          <w:p w14:paraId="571B223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13.125</w:t>
            </w:r>
          </w:p>
        </w:tc>
        <w:tc>
          <w:tcPr>
            <w:tcW w:w="648" w:type="pct"/>
            <w:vMerge w:val="continue"/>
            <w:tcBorders>
              <w:tl2br w:val="nil"/>
              <w:tr2bl w:val="nil"/>
            </w:tcBorders>
            <w:noWrap w:val="0"/>
            <w:vAlign w:val="center"/>
          </w:tcPr>
          <w:p w14:paraId="1D2DE6E3">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908" w:type="dxa"/>
            <w:tcBorders>
              <w:tl2br w:val="nil"/>
              <w:tr2bl w:val="nil"/>
            </w:tcBorders>
            <w:noWrap w:val="0"/>
            <w:vAlign w:val="center"/>
          </w:tcPr>
          <w:p w14:paraId="262FCC7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10.22 </w:t>
            </w:r>
          </w:p>
        </w:tc>
        <w:tc>
          <w:tcPr>
            <w:tcW w:w="717" w:type="dxa"/>
            <w:tcBorders>
              <w:tl2br w:val="nil"/>
              <w:tr2bl w:val="nil"/>
            </w:tcBorders>
            <w:noWrap w:val="0"/>
            <w:vAlign w:val="center"/>
          </w:tcPr>
          <w:p w14:paraId="281209F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0.228</w:t>
            </w:r>
          </w:p>
        </w:tc>
        <w:tc>
          <w:tcPr>
            <w:tcW w:w="931" w:type="dxa"/>
            <w:tcBorders>
              <w:tl2br w:val="nil"/>
              <w:tr2bl w:val="nil"/>
            </w:tcBorders>
            <w:noWrap w:val="0"/>
            <w:vAlign w:val="center"/>
          </w:tcPr>
          <w:p w14:paraId="2132EF4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1.313</w:t>
            </w:r>
          </w:p>
        </w:tc>
      </w:tr>
      <w:tr w14:paraId="696B32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90" w:type="pct"/>
            <w:tcBorders>
              <w:tl2br w:val="nil"/>
              <w:tr2bl w:val="nil"/>
            </w:tcBorders>
            <w:noWrap w:val="0"/>
            <w:vAlign w:val="center"/>
          </w:tcPr>
          <w:p w14:paraId="3A5910F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筛分厂房排气筒P3</w:t>
            </w:r>
          </w:p>
        </w:tc>
        <w:tc>
          <w:tcPr>
            <w:tcW w:w="402" w:type="pct"/>
            <w:tcBorders>
              <w:tl2br w:val="nil"/>
              <w:tr2bl w:val="nil"/>
            </w:tcBorders>
            <w:noWrap w:val="0"/>
            <w:vAlign w:val="center"/>
          </w:tcPr>
          <w:p w14:paraId="67E57338">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26700</w:t>
            </w:r>
          </w:p>
        </w:tc>
        <w:tc>
          <w:tcPr>
            <w:tcW w:w="458" w:type="pct"/>
            <w:tcBorders>
              <w:tl2br w:val="nil"/>
              <w:tr2bl w:val="nil"/>
            </w:tcBorders>
            <w:noWrap w:val="0"/>
            <w:vAlign w:val="center"/>
          </w:tcPr>
          <w:p w14:paraId="140D9A99">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PM</w:t>
            </w:r>
            <w:r>
              <w:rPr>
                <w:rFonts w:hint="default" w:ascii="Times New Roman" w:hAnsi="Times New Roman" w:cs="Times New Roman"/>
                <w:color w:val="auto"/>
                <w:spacing w:val="-2"/>
                <w:sz w:val="21"/>
                <w:szCs w:val="21"/>
                <w:highlight w:val="none"/>
                <w:vertAlign w:val="subscript"/>
                <w:lang w:val="en-US" w:eastAsia="zh-CN"/>
              </w:rPr>
              <w:t>10</w:t>
            </w:r>
          </w:p>
        </w:tc>
        <w:tc>
          <w:tcPr>
            <w:tcW w:w="848" w:type="dxa"/>
            <w:tcBorders>
              <w:tl2br w:val="nil"/>
              <w:tr2bl w:val="nil"/>
            </w:tcBorders>
            <w:noWrap w:val="0"/>
            <w:vAlign w:val="center"/>
          </w:tcPr>
          <w:p w14:paraId="2D6FC21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102.25 </w:t>
            </w:r>
          </w:p>
        </w:tc>
        <w:tc>
          <w:tcPr>
            <w:tcW w:w="803" w:type="dxa"/>
            <w:tcBorders>
              <w:tl2br w:val="nil"/>
              <w:tr2bl w:val="nil"/>
            </w:tcBorders>
            <w:noWrap w:val="0"/>
            <w:vAlign w:val="center"/>
          </w:tcPr>
          <w:p w14:paraId="61378EB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2.73</w:t>
            </w:r>
          </w:p>
        </w:tc>
        <w:tc>
          <w:tcPr>
            <w:tcW w:w="941" w:type="dxa"/>
            <w:tcBorders>
              <w:tl2br w:val="nil"/>
              <w:tr2bl w:val="nil"/>
            </w:tcBorders>
            <w:noWrap w:val="0"/>
            <w:vAlign w:val="center"/>
          </w:tcPr>
          <w:p w14:paraId="5E8FFCE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15.75</w:t>
            </w:r>
          </w:p>
        </w:tc>
        <w:tc>
          <w:tcPr>
            <w:tcW w:w="648" w:type="pct"/>
            <w:vMerge w:val="continue"/>
            <w:tcBorders>
              <w:tl2br w:val="nil"/>
              <w:tr2bl w:val="nil"/>
            </w:tcBorders>
            <w:noWrap w:val="0"/>
            <w:vAlign w:val="center"/>
          </w:tcPr>
          <w:p w14:paraId="241338B3">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908" w:type="dxa"/>
            <w:tcBorders>
              <w:tl2br w:val="nil"/>
              <w:tr2bl w:val="nil"/>
            </w:tcBorders>
            <w:noWrap w:val="0"/>
            <w:vAlign w:val="center"/>
          </w:tcPr>
          <w:p w14:paraId="01F548A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10.22 </w:t>
            </w:r>
          </w:p>
        </w:tc>
        <w:tc>
          <w:tcPr>
            <w:tcW w:w="717" w:type="dxa"/>
            <w:tcBorders>
              <w:tl2br w:val="nil"/>
              <w:tr2bl w:val="nil"/>
            </w:tcBorders>
            <w:noWrap w:val="0"/>
            <w:vAlign w:val="center"/>
          </w:tcPr>
          <w:p w14:paraId="6DB8624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0.273</w:t>
            </w:r>
          </w:p>
        </w:tc>
        <w:tc>
          <w:tcPr>
            <w:tcW w:w="931" w:type="dxa"/>
            <w:tcBorders>
              <w:tl2br w:val="nil"/>
              <w:tr2bl w:val="nil"/>
            </w:tcBorders>
            <w:noWrap w:val="0"/>
            <w:vAlign w:val="center"/>
          </w:tcPr>
          <w:p w14:paraId="0114625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1.575</w:t>
            </w:r>
          </w:p>
        </w:tc>
      </w:tr>
      <w:tr w14:paraId="79C87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90" w:type="pct"/>
            <w:tcBorders>
              <w:tl2br w:val="nil"/>
              <w:tr2bl w:val="nil"/>
            </w:tcBorders>
            <w:noWrap w:val="0"/>
            <w:vAlign w:val="center"/>
          </w:tcPr>
          <w:p w14:paraId="65CFE07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粉矿仓排气筒P4</w:t>
            </w:r>
          </w:p>
        </w:tc>
        <w:tc>
          <w:tcPr>
            <w:tcW w:w="402" w:type="pct"/>
            <w:tcBorders>
              <w:tl2br w:val="nil"/>
              <w:tr2bl w:val="nil"/>
            </w:tcBorders>
            <w:noWrap w:val="0"/>
            <w:vAlign w:val="center"/>
          </w:tcPr>
          <w:p w14:paraId="4F588A18">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4300</w:t>
            </w:r>
          </w:p>
        </w:tc>
        <w:tc>
          <w:tcPr>
            <w:tcW w:w="458" w:type="pct"/>
            <w:tcBorders>
              <w:tl2br w:val="nil"/>
              <w:tr2bl w:val="nil"/>
            </w:tcBorders>
            <w:noWrap w:val="0"/>
            <w:vAlign w:val="center"/>
          </w:tcPr>
          <w:p w14:paraId="029BC09E">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PM</w:t>
            </w:r>
            <w:r>
              <w:rPr>
                <w:rFonts w:hint="default" w:ascii="Times New Roman" w:hAnsi="Times New Roman" w:cs="Times New Roman"/>
                <w:color w:val="auto"/>
                <w:spacing w:val="-2"/>
                <w:sz w:val="21"/>
                <w:szCs w:val="21"/>
                <w:highlight w:val="none"/>
                <w:vertAlign w:val="subscript"/>
                <w:lang w:val="en-US" w:eastAsia="zh-CN"/>
              </w:rPr>
              <w:t>10</w:t>
            </w:r>
          </w:p>
        </w:tc>
        <w:tc>
          <w:tcPr>
            <w:tcW w:w="848" w:type="dxa"/>
            <w:tcBorders>
              <w:tl2br w:val="nil"/>
              <w:tr2bl w:val="nil"/>
            </w:tcBorders>
            <w:noWrap w:val="0"/>
            <w:vAlign w:val="center"/>
          </w:tcPr>
          <w:p w14:paraId="0DF219CF">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106.98 </w:t>
            </w:r>
          </w:p>
        </w:tc>
        <w:tc>
          <w:tcPr>
            <w:tcW w:w="803" w:type="dxa"/>
            <w:tcBorders>
              <w:tl2br w:val="nil"/>
              <w:tr2bl w:val="nil"/>
            </w:tcBorders>
            <w:noWrap w:val="0"/>
            <w:vAlign w:val="center"/>
          </w:tcPr>
          <w:p w14:paraId="3BD45A2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0.46</w:t>
            </w:r>
          </w:p>
        </w:tc>
        <w:tc>
          <w:tcPr>
            <w:tcW w:w="941" w:type="dxa"/>
            <w:tcBorders>
              <w:tl2br w:val="nil"/>
              <w:tr2bl w:val="nil"/>
            </w:tcBorders>
            <w:noWrap w:val="0"/>
            <w:vAlign w:val="center"/>
          </w:tcPr>
          <w:p w14:paraId="78BB52F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2.625</w:t>
            </w:r>
          </w:p>
        </w:tc>
        <w:tc>
          <w:tcPr>
            <w:tcW w:w="648" w:type="pct"/>
            <w:vMerge w:val="continue"/>
            <w:tcBorders>
              <w:tl2br w:val="nil"/>
              <w:tr2bl w:val="nil"/>
            </w:tcBorders>
            <w:noWrap w:val="0"/>
            <w:vAlign w:val="center"/>
          </w:tcPr>
          <w:p w14:paraId="31CBDDF8">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908" w:type="dxa"/>
            <w:tcBorders>
              <w:tl2br w:val="nil"/>
              <w:tr2bl w:val="nil"/>
            </w:tcBorders>
            <w:noWrap w:val="0"/>
            <w:vAlign w:val="center"/>
          </w:tcPr>
          <w:p w14:paraId="2D2CFE7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 xml:space="preserve">10.70 </w:t>
            </w:r>
          </w:p>
        </w:tc>
        <w:tc>
          <w:tcPr>
            <w:tcW w:w="717" w:type="dxa"/>
            <w:tcBorders>
              <w:tl2br w:val="nil"/>
              <w:tr2bl w:val="nil"/>
            </w:tcBorders>
            <w:noWrap w:val="0"/>
            <w:vAlign w:val="center"/>
          </w:tcPr>
          <w:p w14:paraId="13BA00B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0.046</w:t>
            </w:r>
          </w:p>
        </w:tc>
        <w:tc>
          <w:tcPr>
            <w:tcW w:w="931" w:type="dxa"/>
            <w:tcBorders>
              <w:tl2br w:val="nil"/>
              <w:tr2bl w:val="nil"/>
            </w:tcBorders>
            <w:noWrap w:val="0"/>
            <w:vAlign w:val="center"/>
          </w:tcPr>
          <w:p w14:paraId="68602D4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0.2625</w:t>
            </w:r>
          </w:p>
        </w:tc>
      </w:tr>
    </w:tbl>
    <w:p w14:paraId="0BA1CEFE">
      <w:pPr>
        <w:spacing w:before="0" w:line="480" w:lineRule="exact"/>
        <w:ind w:firstLine="0" w:firstLineChars="0"/>
        <w:jc w:val="center"/>
        <w:rPr>
          <w:rFonts w:hint="default" w:ascii="Times New Roman" w:hAnsi="Times New Roman" w:eastAsia="宋体" w:cs="Times New Roman"/>
          <w:b/>
          <w:bCs/>
          <w:color w:val="auto"/>
          <w:kern w:val="0"/>
          <w:sz w:val="24"/>
          <w:szCs w:val="28"/>
          <w:highlight w:val="none"/>
          <w:lang w:val="en-US" w:eastAsia="zh-CN" w:bidi="ar-SA"/>
        </w:rPr>
      </w:pPr>
      <w:r>
        <w:rPr>
          <w:rFonts w:hint="default" w:ascii="Times New Roman" w:hAnsi="Times New Roman" w:eastAsia="宋体" w:cs="Times New Roman"/>
          <w:b/>
          <w:bCs/>
          <w:color w:val="auto"/>
          <w:kern w:val="0"/>
          <w:sz w:val="24"/>
          <w:szCs w:val="28"/>
          <w:highlight w:val="none"/>
          <w:lang w:val="en-US" w:eastAsia="zh-CN" w:bidi="ar-SA"/>
        </w:rPr>
        <w:t>表3.</w:t>
      </w:r>
      <w:r>
        <w:rPr>
          <w:rFonts w:hint="default" w:cs="Times New Roman"/>
          <w:b/>
          <w:bCs/>
          <w:color w:val="auto"/>
          <w:kern w:val="0"/>
          <w:sz w:val="24"/>
          <w:szCs w:val="28"/>
          <w:highlight w:val="none"/>
          <w:lang w:val="en-US" w:eastAsia="zh-CN" w:bidi="ar-SA"/>
        </w:rPr>
        <w:t>3</w:t>
      </w:r>
      <w:r>
        <w:rPr>
          <w:rFonts w:hint="default" w:ascii="Times New Roman" w:hAnsi="Times New Roman" w:eastAsia="宋体" w:cs="Times New Roman"/>
          <w:b/>
          <w:bCs/>
          <w:color w:val="auto"/>
          <w:kern w:val="0"/>
          <w:sz w:val="24"/>
          <w:szCs w:val="28"/>
          <w:highlight w:val="none"/>
          <w:lang w:val="en-US" w:eastAsia="zh-CN" w:bidi="ar-SA"/>
        </w:rPr>
        <w:t xml:space="preserve">-5    </w:t>
      </w:r>
      <w:r>
        <w:rPr>
          <w:rFonts w:hint="default" w:ascii="Times New Roman" w:hAnsi="Times New Roman" w:eastAsia="宋体" w:cs="Times New Roman"/>
          <w:b/>
          <w:bCs/>
          <w:color w:val="auto"/>
          <w:sz w:val="24"/>
          <w:szCs w:val="28"/>
          <w:highlight w:val="none"/>
          <w:lang w:val="en-US" w:eastAsia="zh-CN"/>
        </w:rPr>
        <w:t>破碎筛分工段</w:t>
      </w:r>
      <w:r>
        <w:rPr>
          <w:rFonts w:hint="default" w:ascii="Times New Roman" w:hAnsi="Times New Roman" w:eastAsia="宋体" w:cs="Times New Roman"/>
          <w:b/>
          <w:bCs/>
          <w:color w:val="auto"/>
          <w:sz w:val="24"/>
          <w:szCs w:val="28"/>
          <w:highlight w:val="none"/>
        </w:rPr>
        <w:t>污染物</w:t>
      </w:r>
      <w:r>
        <w:rPr>
          <w:rFonts w:hint="default" w:ascii="Times New Roman" w:hAnsi="Times New Roman" w:eastAsia="宋体" w:cs="Times New Roman"/>
          <w:b/>
          <w:bCs/>
          <w:color w:val="auto"/>
          <w:kern w:val="0"/>
          <w:sz w:val="24"/>
          <w:szCs w:val="28"/>
          <w:highlight w:val="none"/>
          <w:lang w:val="en-US" w:eastAsia="zh-CN" w:bidi="ar-SA"/>
        </w:rPr>
        <w:t>（无组织）产排情况</w:t>
      </w:r>
    </w:p>
    <w:tbl>
      <w:tblPr>
        <w:tblStyle w:val="9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27"/>
        <w:gridCol w:w="464"/>
        <w:gridCol w:w="679"/>
        <w:gridCol w:w="778"/>
        <w:gridCol w:w="3722"/>
        <w:gridCol w:w="370"/>
        <w:gridCol w:w="370"/>
        <w:gridCol w:w="374"/>
        <w:gridCol w:w="708"/>
        <w:gridCol w:w="792"/>
      </w:tblGrid>
      <w:tr w14:paraId="383E9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7" w:type="pct"/>
            <w:vMerge w:val="restart"/>
            <w:tcBorders>
              <w:tl2br w:val="nil"/>
              <w:tr2bl w:val="nil"/>
            </w:tcBorders>
            <w:noWrap w:val="0"/>
            <w:vAlign w:val="center"/>
          </w:tcPr>
          <w:p w14:paraId="01C53C6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面源名称</w:t>
            </w:r>
          </w:p>
        </w:tc>
        <w:tc>
          <w:tcPr>
            <w:tcW w:w="261" w:type="pct"/>
            <w:vMerge w:val="restart"/>
            <w:tcBorders>
              <w:tl2br w:val="nil"/>
              <w:tr2bl w:val="nil"/>
            </w:tcBorders>
            <w:noWrap w:val="0"/>
            <w:vAlign w:val="center"/>
          </w:tcPr>
          <w:p w14:paraId="196D76E1">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污染物</w:t>
            </w:r>
          </w:p>
        </w:tc>
        <w:tc>
          <w:tcPr>
            <w:tcW w:w="815" w:type="pct"/>
            <w:gridSpan w:val="2"/>
            <w:tcBorders>
              <w:tl2br w:val="nil"/>
              <w:tr2bl w:val="nil"/>
            </w:tcBorders>
            <w:noWrap w:val="0"/>
            <w:vAlign w:val="center"/>
          </w:tcPr>
          <w:p w14:paraId="0618C159">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产生情况</w:t>
            </w:r>
          </w:p>
        </w:tc>
        <w:tc>
          <w:tcPr>
            <w:tcW w:w="2072" w:type="pct"/>
            <w:vMerge w:val="restart"/>
            <w:tcBorders>
              <w:tl2br w:val="nil"/>
              <w:tr2bl w:val="nil"/>
            </w:tcBorders>
            <w:noWrap w:val="0"/>
            <w:vAlign w:val="center"/>
          </w:tcPr>
          <w:p w14:paraId="2EA5AA2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处理效率</w:t>
            </w:r>
          </w:p>
        </w:tc>
        <w:tc>
          <w:tcPr>
            <w:tcW w:w="626" w:type="pct"/>
            <w:gridSpan w:val="3"/>
            <w:tcBorders>
              <w:tl2br w:val="nil"/>
              <w:tr2bl w:val="nil"/>
            </w:tcBorders>
            <w:noWrap w:val="0"/>
            <w:vAlign w:val="center"/>
          </w:tcPr>
          <w:p w14:paraId="67D0CA3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面源尺寸</w:t>
            </w:r>
            <w:r>
              <w:rPr>
                <w:rFonts w:hint="default" w:ascii="Times New Roman" w:hAnsi="Times New Roman" w:cs="Times New Roman"/>
                <w:b/>
                <w:bCs/>
                <w:color w:val="auto"/>
                <w:spacing w:val="-2"/>
                <w:sz w:val="21"/>
                <w:szCs w:val="21"/>
                <w:highlight w:val="none"/>
                <w:lang w:eastAsia="zh-CN"/>
              </w:rPr>
              <w:t>（</w:t>
            </w:r>
            <w:r>
              <w:rPr>
                <w:rFonts w:hint="default" w:ascii="Times New Roman" w:hAnsi="Times New Roman" w:eastAsia="宋体" w:cs="Times New Roman"/>
                <w:b/>
                <w:bCs/>
                <w:color w:val="auto"/>
                <w:spacing w:val="-2"/>
                <w:sz w:val="21"/>
                <w:szCs w:val="21"/>
                <w:highlight w:val="none"/>
              </w:rPr>
              <w:t>m</w:t>
            </w:r>
            <w:r>
              <w:rPr>
                <w:rFonts w:hint="default" w:ascii="Times New Roman" w:hAnsi="Times New Roman" w:cs="Times New Roman"/>
                <w:b/>
                <w:bCs/>
                <w:color w:val="auto"/>
                <w:spacing w:val="-2"/>
                <w:sz w:val="21"/>
                <w:szCs w:val="21"/>
                <w:highlight w:val="none"/>
                <w:lang w:eastAsia="zh-CN"/>
              </w:rPr>
              <w:t>）</w:t>
            </w:r>
          </w:p>
        </w:tc>
        <w:tc>
          <w:tcPr>
            <w:tcW w:w="815" w:type="pct"/>
            <w:gridSpan w:val="2"/>
            <w:tcBorders>
              <w:tl2br w:val="nil"/>
              <w:tr2bl w:val="nil"/>
            </w:tcBorders>
            <w:noWrap w:val="0"/>
            <w:vAlign w:val="center"/>
          </w:tcPr>
          <w:p w14:paraId="66AD8EB0">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排放情况</w:t>
            </w:r>
          </w:p>
        </w:tc>
      </w:tr>
      <w:tr w14:paraId="46CC1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7" w:type="pct"/>
            <w:vMerge w:val="continue"/>
            <w:tcBorders>
              <w:tl2br w:val="nil"/>
              <w:tr2bl w:val="nil"/>
            </w:tcBorders>
            <w:noWrap w:val="0"/>
            <w:vAlign w:val="center"/>
          </w:tcPr>
          <w:p w14:paraId="0EBB834E">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261" w:type="pct"/>
            <w:vMerge w:val="continue"/>
            <w:tcBorders>
              <w:tl2br w:val="nil"/>
              <w:tr2bl w:val="nil"/>
            </w:tcBorders>
            <w:noWrap w:val="0"/>
            <w:vAlign w:val="center"/>
          </w:tcPr>
          <w:p w14:paraId="15A2EDC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380" w:type="pct"/>
            <w:tcBorders>
              <w:tl2br w:val="nil"/>
              <w:tr2bl w:val="nil"/>
            </w:tcBorders>
            <w:noWrap w:val="0"/>
            <w:vAlign w:val="center"/>
          </w:tcPr>
          <w:p w14:paraId="15D451F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速率kg/h</w:t>
            </w:r>
          </w:p>
        </w:tc>
        <w:tc>
          <w:tcPr>
            <w:tcW w:w="434" w:type="pct"/>
            <w:tcBorders>
              <w:tl2br w:val="nil"/>
              <w:tr2bl w:val="nil"/>
            </w:tcBorders>
            <w:noWrap w:val="0"/>
            <w:vAlign w:val="center"/>
          </w:tcPr>
          <w:p w14:paraId="68F4C109">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产生量t/a</w:t>
            </w:r>
          </w:p>
        </w:tc>
        <w:tc>
          <w:tcPr>
            <w:tcW w:w="2072" w:type="pct"/>
            <w:vMerge w:val="continue"/>
            <w:tcBorders>
              <w:tl2br w:val="nil"/>
              <w:tr2bl w:val="nil"/>
            </w:tcBorders>
            <w:noWrap w:val="0"/>
            <w:vAlign w:val="center"/>
          </w:tcPr>
          <w:p w14:paraId="484206FD">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p>
        </w:tc>
        <w:tc>
          <w:tcPr>
            <w:tcW w:w="208" w:type="pct"/>
            <w:tcBorders>
              <w:tl2br w:val="nil"/>
              <w:tr2bl w:val="nil"/>
            </w:tcBorders>
            <w:noWrap w:val="0"/>
            <w:vAlign w:val="center"/>
          </w:tcPr>
          <w:p w14:paraId="5856FC23">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长</w:t>
            </w:r>
          </w:p>
        </w:tc>
        <w:tc>
          <w:tcPr>
            <w:tcW w:w="208" w:type="pct"/>
            <w:tcBorders>
              <w:tl2br w:val="nil"/>
              <w:tr2bl w:val="nil"/>
            </w:tcBorders>
            <w:noWrap w:val="0"/>
            <w:vAlign w:val="center"/>
          </w:tcPr>
          <w:p w14:paraId="4A060EE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宽</w:t>
            </w:r>
          </w:p>
        </w:tc>
        <w:tc>
          <w:tcPr>
            <w:tcW w:w="209" w:type="pct"/>
            <w:tcBorders>
              <w:tl2br w:val="nil"/>
              <w:tr2bl w:val="nil"/>
            </w:tcBorders>
            <w:noWrap w:val="0"/>
            <w:vAlign w:val="center"/>
          </w:tcPr>
          <w:p w14:paraId="6D94AB2D">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高</w:t>
            </w:r>
          </w:p>
        </w:tc>
        <w:tc>
          <w:tcPr>
            <w:tcW w:w="396" w:type="pct"/>
            <w:tcBorders>
              <w:tl2br w:val="nil"/>
              <w:tr2bl w:val="nil"/>
            </w:tcBorders>
            <w:noWrap w:val="0"/>
            <w:vAlign w:val="center"/>
          </w:tcPr>
          <w:p w14:paraId="6A1935F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速率kg/h</w:t>
            </w:r>
          </w:p>
        </w:tc>
        <w:tc>
          <w:tcPr>
            <w:tcW w:w="418" w:type="pct"/>
            <w:tcBorders>
              <w:tl2br w:val="nil"/>
              <w:tr2bl w:val="nil"/>
            </w:tcBorders>
            <w:noWrap w:val="0"/>
            <w:vAlign w:val="center"/>
          </w:tcPr>
          <w:p w14:paraId="33762EC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排放量t/a</w:t>
            </w:r>
          </w:p>
        </w:tc>
      </w:tr>
      <w:tr w14:paraId="525F12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407" w:type="pct"/>
            <w:tcBorders>
              <w:tl2br w:val="nil"/>
              <w:tr2bl w:val="nil"/>
            </w:tcBorders>
            <w:noWrap w:val="0"/>
            <w:vAlign w:val="center"/>
          </w:tcPr>
          <w:p w14:paraId="1651321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bookmarkStart w:id="433" w:name="OLE_LINK10" w:colFirst="2" w:colLast="3"/>
            <w:r>
              <w:rPr>
                <w:rFonts w:hint="default" w:ascii="Times New Roman" w:hAnsi="Times New Roman" w:eastAsia="宋体" w:cs="Times New Roman"/>
                <w:color w:val="auto"/>
                <w:spacing w:val="-2"/>
                <w:sz w:val="21"/>
                <w:szCs w:val="21"/>
                <w:highlight w:val="none"/>
                <w:lang w:val="en-US" w:eastAsia="zh-CN"/>
              </w:rPr>
              <w:t>粗碎厂房</w:t>
            </w:r>
          </w:p>
        </w:tc>
        <w:tc>
          <w:tcPr>
            <w:tcW w:w="261" w:type="pct"/>
            <w:tcBorders>
              <w:tl2br w:val="nil"/>
              <w:tr2bl w:val="nil"/>
            </w:tcBorders>
            <w:noWrap w:val="0"/>
            <w:vAlign w:val="center"/>
          </w:tcPr>
          <w:p w14:paraId="203D958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颗粒物</w:t>
            </w:r>
          </w:p>
        </w:tc>
        <w:tc>
          <w:tcPr>
            <w:tcW w:w="380" w:type="pct"/>
            <w:tcBorders>
              <w:tl2br w:val="nil"/>
              <w:tr2bl w:val="nil"/>
            </w:tcBorders>
            <w:noWrap w:val="0"/>
            <w:vAlign w:val="center"/>
          </w:tcPr>
          <w:p w14:paraId="21C9D91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0.10</w:t>
            </w:r>
          </w:p>
        </w:tc>
        <w:tc>
          <w:tcPr>
            <w:tcW w:w="434" w:type="pct"/>
            <w:tcBorders>
              <w:tl2br w:val="nil"/>
              <w:tr2bl w:val="nil"/>
            </w:tcBorders>
            <w:noWrap w:val="0"/>
            <w:vAlign w:val="center"/>
          </w:tcPr>
          <w:p w14:paraId="71D9CEF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0.6</w:t>
            </w:r>
          </w:p>
        </w:tc>
        <w:tc>
          <w:tcPr>
            <w:tcW w:w="2072" w:type="pct"/>
            <w:vMerge w:val="restart"/>
            <w:tcBorders>
              <w:tl2br w:val="nil"/>
              <w:tr2bl w:val="nil"/>
            </w:tcBorders>
            <w:noWrap w:val="0"/>
            <w:vAlign w:val="center"/>
          </w:tcPr>
          <w:p w14:paraId="178F4F9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rPr>
            </w:pPr>
            <w:r>
              <w:rPr>
                <w:rFonts w:hint="default" w:ascii="Times New Roman" w:hAnsi="Times New Roman" w:cs="Times New Roman"/>
                <w:color w:val="auto"/>
                <w:spacing w:val="-2"/>
                <w:sz w:val="21"/>
                <w:szCs w:val="21"/>
                <w:highlight w:val="none"/>
                <w:lang w:val="en-US" w:eastAsia="zh-CN"/>
              </w:rPr>
              <w:t>厂房封闭，设置喷淋降尘，可有效降低粉尘排放，以99%计</w:t>
            </w:r>
          </w:p>
        </w:tc>
        <w:tc>
          <w:tcPr>
            <w:tcW w:w="208" w:type="pct"/>
            <w:tcBorders>
              <w:tl2br w:val="nil"/>
              <w:tr2bl w:val="nil"/>
            </w:tcBorders>
            <w:noWrap w:val="0"/>
            <w:vAlign w:val="center"/>
          </w:tcPr>
          <w:p w14:paraId="57874173">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12</w:t>
            </w:r>
          </w:p>
        </w:tc>
        <w:tc>
          <w:tcPr>
            <w:tcW w:w="208" w:type="pct"/>
            <w:tcBorders>
              <w:tl2br w:val="nil"/>
              <w:tr2bl w:val="nil"/>
            </w:tcBorders>
            <w:noWrap w:val="0"/>
            <w:vAlign w:val="center"/>
          </w:tcPr>
          <w:p w14:paraId="2771B6E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9</w:t>
            </w:r>
          </w:p>
        </w:tc>
        <w:tc>
          <w:tcPr>
            <w:tcW w:w="209" w:type="pct"/>
            <w:tcBorders>
              <w:tl2br w:val="nil"/>
              <w:tr2bl w:val="nil"/>
            </w:tcBorders>
            <w:noWrap w:val="0"/>
            <w:vAlign w:val="center"/>
          </w:tcPr>
          <w:p w14:paraId="0B0E1B62">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9</w:t>
            </w:r>
          </w:p>
        </w:tc>
        <w:tc>
          <w:tcPr>
            <w:tcW w:w="712" w:type="dxa"/>
            <w:tcBorders>
              <w:tl2br w:val="nil"/>
              <w:tr2bl w:val="nil"/>
            </w:tcBorders>
            <w:noWrap w:val="0"/>
            <w:vAlign w:val="center"/>
          </w:tcPr>
          <w:p w14:paraId="44886A51">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0.001</w:t>
            </w:r>
          </w:p>
        </w:tc>
        <w:tc>
          <w:tcPr>
            <w:tcW w:w="754" w:type="dxa"/>
            <w:tcBorders>
              <w:tl2br w:val="nil"/>
              <w:tr2bl w:val="nil"/>
            </w:tcBorders>
            <w:noWrap w:val="0"/>
            <w:vAlign w:val="center"/>
          </w:tcPr>
          <w:p w14:paraId="57E88290">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0.006</w:t>
            </w:r>
          </w:p>
        </w:tc>
      </w:tr>
      <w:bookmarkEnd w:id="433"/>
      <w:tr w14:paraId="27D7EC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0" w:hRule="atLeast"/>
          <w:jc w:val="center"/>
        </w:trPr>
        <w:tc>
          <w:tcPr>
            <w:tcW w:w="407" w:type="pct"/>
            <w:tcBorders>
              <w:tl2br w:val="nil"/>
              <w:tr2bl w:val="nil"/>
            </w:tcBorders>
            <w:noWrap w:val="0"/>
            <w:vAlign w:val="center"/>
          </w:tcPr>
          <w:p w14:paraId="667ACB4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中细碎厂房</w:t>
            </w:r>
          </w:p>
        </w:tc>
        <w:tc>
          <w:tcPr>
            <w:tcW w:w="261" w:type="pct"/>
            <w:tcBorders>
              <w:tl2br w:val="nil"/>
              <w:tr2bl w:val="nil"/>
            </w:tcBorders>
            <w:noWrap w:val="0"/>
            <w:vAlign w:val="center"/>
          </w:tcPr>
          <w:p w14:paraId="734A29F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颗粒物</w:t>
            </w:r>
          </w:p>
        </w:tc>
        <w:tc>
          <w:tcPr>
            <w:tcW w:w="380" w:type="pct"/>
            <w:tcBorders>
              <w:tl2br w:val="nil"/>
              <w:tr2bl w:val="nil"/>
            </w:tcBorders>
            <w:noWrap w:val="0"/>
            <w:vAlign w:val="center"/>
          </w:tcPr>
          <w:p w14:paraId="3EA416C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0.23</w:t>
            </w:r>
          </w:p>
        </w:tc>
        <w:tc>
          <w:tcPr>
            <w:tcW w:w="434" w:type="pct"/>
            <w:tcBorders>
              <w:tl2br w:val="nil"/>
              <w:tr2bl w:val="nil"/>
            </w:tcBorders>
            <w:noWrap w:val="0"/>
            <w:vAlign w:val="center"/>
          </w:tcPr>
          <w:p w14:paraId="1385496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1.3125</w:t>
            </w:r>
          </w:p>
        </w:tc>
        <w:tc>
          <w:tcPr>
            <w:tcW w:w="2072" w:type="pct"/>
            <w:vMerge w:val="continue"/>
            <w:tcBorders>
              <w:tl2br w:val="nil"/>
              <w:tr2bl w:val="nil"/>
            </w:tcBorders>
            <w:noWrap w:val="0"/>
            <w:vAlign w:val="center"/>
          </w:tcPr>
          <w:p w14:paraId="36591A97">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208" w:type="pct"/>
            <w:tcBorders>
              <w:tl2br w:val="nil"/>
              <w:tr2bl w:val="nil"/>
            </w:tcBorders>
            <w:noWrap w:val="0"/>
            <w:vAlign w:val="center"/>
          </w:tcPr>
          <w:p w14:paraId="4A6C9BE0">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18</w:t>
            </w:r>
          </w:p>
        </w:tc>
        <w:tc>
          <w:tcPr>
            <w:tcW w:w="208" w:type="pct"/>
            <w:tcBorders>
              <w:tl2br w:val="nil"/>
              <w:tr2bl w:val="nil"/>
            </w:tcBorders>
            <w:noWrap w:val="0"/>
            <w:vAlign w:val="center"/>
          </w:tcPr>
          <w:p w14:paraId="1BA0CE7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15</w:t>
            </w:r>
          </w:p>
        </w:tc>
        <w:tc>
          <w:tcPr>
            <w:tcW w:w="209" w:type="pct"/>
            <w:tcBorders>
              <w:tl2br w:val="nil"/>
              <w:tr2bl w:val="nil"/>
            </w:tcBorders>
            <w:noWrap w:val="0"/>
            <w:vAlign w:val="center"/>
          </w:tcPr>
          <w:p w14:paraId="3A62C1BF">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15</w:t>
            </w:r>
          </w:p>
        </w:tc>
        <w:tc>
          <w:tcPr>
            <w:tcW w:w="712" w:type="dxa"/>
            <w:tcBorders>
              <w:tl2br w:val="nil"/>
              <w:tr2bl w:val="nil"/>
            </w:tcBorders>
            <w:noWrap w:val="0"/>
            <w:vAlign w:val="center"/>
          </w:tcPr>
          <w:p w14:paraId="6DC09107">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0.0023</w:t>
            </w:r>
          </w:p>
        </w:tc>
        <w:tc>
          <w:tcPr>
            <w:tcW w:w="754" w:type="dxa"/>
            <w:tcBorders>
              <w:tl2br w:val="nil"/>
              <w:tr2bl w:val="nil"/>
            </w:tcBorders>
            <w:noWrap w:val="0"/>
            <w:vAlign w:val="center"/>
          </w:tcPr>
          <w:p w14:paraId="45C648DE">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0.013125</w:t>
            </w:r>
          </w:p>
        </w:tc>
      </w:tr>
      <w:tr w14:paraId="4DE849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7" w:type="pct"/>
            <w:tcBorders>
              <w:tl2br w:val="nil"/>
              <w:tr2bl w:val="nil"/>
            </w:tcBorders>
            <w:noWrap w:val="0"/>
            <w:vAlign w:val="center"/>
          </w:tcPr>
          <w:p w14:paraId="0B0F41A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w:t>
            </w:r>
          </w:p>
        </w:tc>
        <w:tc>
          <w:tcPr>
            <w:tcW w:w="261" w:type="pct"/>
            <w:tcBorders>
              <w:tl2br w:val="nil"/>
              <w:tr2bl w:val="nil"/>
            </w:tcBorders>
            <w:noWrap w:val="0"/>
            <w:vAlign w:val="center"/>
          </w:tcPr>
          <w:p w14:paraId="5B95148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颗粒物</w:t>
            </w:r>
          </w:p>
        </w:tc>
        <w:tc>
          <w:tcPr>
            <w:tcW w:w="380" w:type="pct"/>
            <w:tcBorders>
              <w:tl2br w:val="nil"/>
              <w:tr2bl w:val="nil"/>
            </w:tcBorders>
            <w:noWrap w:val="0"/>
            <w:vAlign w:val="center"/>
          </w:tcPr>
          <w:p w14:paraId="5FDA693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0.27</w:t>
            </w:r>
          </w:p>
        </w:tc>
        <w:tc>
          <w:tcPr>
            <w:tcW w:w="434" w:type="pct"/>
            <w:tcBorders>
              <w:tl2br w:val="nil"/>
              <w:tr2bl w:val="nil"/>
            </w:tcBorders>
            <w:noWrap w:val="0"/>
            <w:vAlign w:val="center"/>
          </w:tcPr>
          <w:p w14:paraId="2ACF7B4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1.575</w:t>
            </w:r>
          </w:p>
        </w:tc>
        <w:tc>
          <w:tcPr>
            <w:tcW w:w="2072" w:type="pct"/>
            <w:vMerge w:val="continue"/>
            <w:tcBorders>
              <w:tl2br w:val="nil"/>
              <w:tr2bl w:val="nil"/>
            </w:tcBorders>
            <w:noWrap w:val="0"/>
            <w:vAlign w:val="center"/>
          </w:tcPr>
          <w:p w14:paraId="2B23C084">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208" w:type="pct"/>
            <w:tcBorders>
              <w:tl2br w:val="nil"/>
              <w:tr2bl w:val="nil"/>
            </w:tcBorders>
            <w:noWrap w:val="0"/>
            <w:vAlign w:val="center"/>
          </w:tcPr>
          <w:p w14:paraId="0809AA6A">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18</w:t>
            </w:r>
          </w:p>
        </w:tc>
        <w:tc>
          <w:tcPr>
            <w:tcW w:w="208" w:type="pct"/>
            <w:tcBorders>
              <w:tl2br w:val="nil"/>
              <w:tr2bl w:val="nil"/>
            </w:tcBorders>
            <w:noWrap w:val="0"/>
            <w:vAlign w:val="center"/>
          </w:tcPr>
          <w:p w14:paraId="19F7EA80">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12</w:t>
            </w:r>
          </w:p>
        </w:tc>
        <w:tc>
          <w:tcPr>
            <w:tcW w:w="209" w:type="pct"/>
            <w:tcBorders>
              <w:tl2br w:val="nil"/>
              <w:tr2bl w:val="nil"/>
            </w:tcBorders>
            <w:noWrap w:val="0"/>
            <w:vAlign w:val="center"/>
          </w:tcPr>
          <w:p w14:paraId="031C9A2B">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11</w:t>
            </w:r>
          </w:p>
        </w:tc>
        <w:tc>
          <w:tcPr>
            <w:tcW w:w="712" w:type="dxa"/>
            <w:tcBorders>
              <w:tl2br w:val="nil"/>
              <w:tr2bl w:val="nil"/>
            </w:tcBorders>
            <w:noWrap w:val="0"/>
            <w:vAlign w:val="center"/>
          </w:tcPr>
          <w:p w14:paraId="77C0DDD9">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0.0027</w:t>
            </w:r>
          </w:p>
        </w:tc>
        <w:tc>
          <w:tcPr>
            <w:tcW w:w="754" w:type="dxa"/>
            <w:tcBorders>
              <w:tl2br w:val="nil"/>
              <w:tr2bl w:val="nil"/>
            </w:tcBorders>
            <w:noWrap w:val="0"/>
            <w:vAlign w:val="center"/>
          </w:tcPr>
          <w:p w14:paraId="63541100">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0.01575</w:t>
            </w:r>
          </w:p>
        </w:tc>
      </w:tr>
      <w:tr w14:paraId="2A3EC6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7" w:type="pct"/>
            <w:tcBorders>
              <w:tl2br w:val="nil"/>
              <w:tr2bl w:val="nil"/>
            </w:tcBorders>
            <w:noWrap w:val="0"/>
            <w:vAlign w:val="center"/>
          </w:tcPr>
          <w:p w14:paraId="52FD8C9F">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w:t>
            </w:r>
          </w:p>
        </w:tc>
        <w:tc>
          <w:tcPr>
            <w:tcW w:w="261" w:type="pct"/>
            <w:tcBorders>
              <w:tl2br w:val="nil"/>
              <w:tr2bl w:val="nil"/>
            </w:tcBorders>
            <w:noWrap w:val="0"/>
            <w:vAlign w:val="center"/>
          </w:tcPr>
          <w:p w14:paraId="5E75169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颗粒物</w:t>
            </w:r>
          </w:p>
        </w:tc>
        <w:tc>
          <w:tcPr>
            <w:tcW w:w="380" w:type="pct"/>
            <w:tcBorders>
              <w:tl2br w:val="nil"/>
              <w:tr2bl w:val="nil"/>
            </w:tcBorders>
            <w:noWrap w:val="0"/>
            <w:vAlign w:val="center"/>
          </w:tcPr>
          <w:p w14:paraId="1246F2E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0.05</w:t>
            </w:r>
          </w:p>
        </w:tc>
        <w:tc>
          <w:tcPr>
            <w:tcW w:w="434" w:type="pct"/>
            <w:tcBorders>
              <w:tl2br w:val="nil"/>
              <w:tr2bl w:val="nil"/>
            </w:tcBorders>
            <w:noWrap w:val="0"/>
            <w:vAlign w:val="center"/>
          </w:tcPr>
          <w:p w14:paraId="2AAB7F8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0.2625</w:t>
            </w:r>
          </w:p>
        </w:tc>
        <w:tc>
          <w:tcPr>
            <w:tcW w:w="2072" w:type="pct"/>
            <w:tcBorders>
              <w:tl2br w:val="nil"/>
              <w:tr2bl w:val="nil"/>
            </w:tcBorders>
            <w:noWrap w:val="0"/>
            <w:vAlign w:val="center"/>
          </w:tcPr>
          <w:p w14:paraId="0C7E3CC0">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粉矿仓全封闭，设置喷淋降尘，可有效降低粉尘排放，以99%计</w:t>
            </w:r>
          </w:p>
        </w:tc>
        <w:tc>
          <w:tcPr>
            <w:tcW w:w="208" w:type="pct"/>
            <w:tcBorders>
              <w:tl2br w:val="nil"/>
              <w:tr2bl w:val="nil"/>
            </w:tcBorders>
            <w:noWrap w:val="0"/>
            <w:vAlign w:val="center"/>
          </w:tcPr>
          <w:p w14:paraId="45C47DD5">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10</w:t>
            </w:r>
          </w:p>
        </w:tc>
        <w:tc>
          <w:tcPr>
            <w:tcW w:w="208" w:type="pct"/>
            <w:tcBorders>
              <w:tl2br w:val="nil"/>
              <w:tr2bl w:val="nil"/>
            </w:tcBorders>
            <w:noWrap w:val="0"/>
            <w:vAlign w:val="center"/>
          </w:tcPr>
          <w:p w14:paraId="3BDFADE1">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10</w:t>
            </w:r>
          </w:p>
        </w:tc>
        <w:tc>
          <w:tcPr>
            <w:tcW w:w="209" w:type="pct"/>
            <w:tcBorders>
              <w:tl2br w:val="nil"/>
              <w:tr2bl w:val="nil"/>
            </w:tcBorders>
            <w:noWrap w:val="0"/>
            <w:vAlign w:val="center"/>
          </w:tcPr>
          <w:p w14:paraId="2465F961">
            <w:pPr>
              <w:pStyle w:val="127"/>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15</w:t>
            </w:r>
          </w:p>
        </w:tc>
        <w:tc>
          <w:tcPr>
            <w:tcW w:w="712" w:type="dxa"/>
            <w:tcBorders>
              <w:tl2br w:val="nil"/>
              <w:tr2bl w:val="nil"/>
            </w:tcBorders>
            <w:noWrap w:val="0"/>
            <w:vAlign w:val="center"/>
          </w:tcPr>
          <w:p w14:paraId="739E1B45">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0.0005</w:t>
            </w:r>
          </w:p>
        </w:tc>
        <w:tc>
          <w:tcPr>
            <w:tcW w:w="754" w:type="dxa"/>
            <w:tcBorders>
              <w:tl2br w:val="nil"/>
              <w:tr2bl w:val="nil"/>
            </w:tcBorders>
            <w:noWrap w:val="0"/>
            <w:vAlign w:val="center"/>
          </w:tcPr>
          <w:p w14:paraId="4B79FE5F">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0.002625</w:t>
            </w:r>
          </w:p>
        </w:tc>
      </w:tr>
    </w:tbl>
    <w:p w14:paraId="73AF249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（2）无组织废气</w:t>
      </w:r>
    </w:p>
    <w:p w14:paraId="7574B0BE">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项目无组织废气排放主要包括</w:t>
      </w:r>
      <w:r>
        <w:rPr>
          <w:rFonts w:hint="default" w:ascii="Times New Roman" w:hAnsi="Times New Roman" w:cs="Times New Roman"/>
          <w:color w:val="auto"/>
          <w:kern w:val="0"/>
          <w:highlight w:val="none"/>
          <w:lang w:val="en-US" w:eastAsia="zh-CN"/>
        </w:rPr>
        <w:t>破碎筛分</w:t>
      </w:r>
      <w:r>
        <w:rPr>
          <w:rFonts w:hint="default" w:ascii="Times New Roman" w:hAnsi="Times New Roman" w:cs="Times New Roman"/>
          <w:color w:val="auto"/>
          <w:kern w:val="0"/>
          <w:highlight w:val="none"/>
        </w:rPr>
        <w:t>粉尘、</w:t>
      </w:r>
      <w:r>
        <w:rPr>
          <w:rFonts w:hint="default" w:ascii="Times New Roman" w:hAnsi="Times New Roman" w:cs="Times New Roman"/>
          <w:color w:val="auto"/>
          <w:highlight w:val="none"/>
          <w:lang w:val="en-US" w:eastAsia="zh-CN"/>
        </w:rPr>
        <w:t>原矿</w:t>
      </w:r>
      <w:r>
        <w:rPr>
          <w:rFonts w:hint="default" w:ascii="Times New Roman" w:hAnsi="Times New Roman" w:cs="Times New Roman"/>
          <w:color w:val="auto"/>
          <w:highlight w:val="none"/>
        </w:rPr>
        <w:t>堆场</w:t>
      </w:r>
      <w:r>
        <w:rPr>
          <w:rFonts w:hint="default" w:ascii="Times New Roman" w:hAnsi="Times New Roman" w:cs="Times New Roman"/>
          <w:color w:val="auto"/>
          <w:kern w:val="0"/>
          <w:highlight w:val="none"/>
        </w:rPr>
        <w:t>扬尘、尾矿库扬尘、</w:t>
      </w:r>
      <w:r>
        <w:rPr>
          <w:rFonts w:hint="default" w:ascii="Times New Roman" w:hAnsi="Times New Roman" w:cs="Times New Roman"/>
          <w:color w:val="auto"/>
          <w:kern w:val="0"/>
          <w:highlight w:val="none"/>
          <w:lang w:val="en-US" w:eastAsia="zh-CN"/>
        </w:rPr>
        <w:t>装卸粉尘</w:t>
      </w:r>
      <w:r>
        <w:rPr>
          <w:rFonts w:hint="default" w:cs="Times New Roman"/>
          <w:color w:val="auto"/>
          <w:kern w:val="0"/>
          <w:highlight w:val="none"/>
          <w:lang w:val="en-US" w:eastAsia="zh-CN"/>
        </w:rPr>
        <w:t>及</w:t>
      </w:r>
      <w:r>
        <w:rPr>
          <w:rFonts w:hint="default" w:ascii="Times New Roman" w:hAnsi="Times New Roman" w:cs="Times New Roman"/>
          <w:color w:val="auto"/>
          <w:kern w:val="0"/>
          <w:highlight w:val="none"/>
        </w:rPr>
        <w:t>道路运输扬尘等。</w:t>
      </w:r>
    </w:p>
    <w:p w14:paraId="48E646A6">
      <w:pPr>
        <w:numPr>
          <w:ilvl w:val="0"/>
          <w:numId w:val="6"/>
        </w:numPr>
        <w:ind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破碎筛分</w:t>
      </w:r>
      <w:r>
        <w:rPr>
          <w:rFonts w:hint="default" w:ascii="Times New Roman" w:hAnsi="Times New Roman" w:cs="Times New Roman"/>
          <w:color w:val="auto"/>
          <w:kern w:val="0"/>
          <w:highlight w:val="none"/>
        </w:rPr>
        <w:t>粉尘</w:t>
      </w:r>
    </w:p>
    <w:p w14:paraId="6F69397B">
      <w:pPr>
        <w:numPr>
          <w:ilvl w:val="0"/>
          <w:numId w:val="0"/>
        </w:numPr>
        <w:ind w:firstLine="480" w:firstLineChars="20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kern w:val="0"/>
          <w:highlight w:val="none"/>
          <w:lang w:val="en-US" w:eastAsia="zh-CN"/>
        </w:rPr>
        <w:t>通过上</w:t>
      </w:r>
      <w:r>
        <w:rPr>
          <w:rFonts w:hint="default" w:cs="Times New Roman"/>
          <w:color w:val="auto"/>
          <w:kern w:val="0"/>
          <w:highlight w:val="none"/>
          <w:lang w:val="en-US" w:eastAsia="zh-CN"/>
        </w:rPr>
        <w:t>表3.3-5</w:t>
      </w:r>
      <w:r>
        <w:rPr>
          <w:rFonts w:hint="default" w:ascii="Times New Roman" w:hAnsi="Times New Roman" w:cs="Times New Roman"/>
          <w:color w:val="auto"/>
          <w:kern w:val="0"/>
          <w:highlight w:val="none"/>
          <w:lang w:val="en-US" w:eastAsia="zh-CN"/>
        </w:rPr>
        <w:t>计算可知，本项目粗碎厂房、中细碎厂房、筛分厂房均会产生无组织粉尘，未收集</w:t>
      </w:r>
      <w:r>
        <w:rPr>
          <w:rFonts w:hint="default" w:ascii="Times New Roman" w:hAnsi="Times New Roman" w:eastAsia="宋体" w:cs="Times New Roman"/>
          <w:color w:val="auto"/>
          <w:kern w:val="0"/>
          <w:highlight w:val="none"/>
          <w:lang w:val="en-US" w:eastAsia="zh-CN"/>
        </w:rPr>
        <w:t>粉尘量合计为11.25t/a，本项目各厂房均采取厂房封闭，设置喷淋降尘的方式，可有效降低粉尘排放，可达到99%的降尘效率，则破碎筛分过程中无组织粉尘排放量为0.1125t/a。</w:t>
      </w:r>
    </w:p>
    <w:p w14:paraId="38BF3480">
      <w:pPr>
        <w:numPr>
          <w:ilvl w:val="0"/>
          <w:numId w:val="0"/>
        </w:numPr>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原料</w:t>
      </w:r>
      <w:r>
        <w:rPr>
          <w:rFonts w:hint="default" w:ascii="Times New Roman" w:hAnsi="Times New Roman" w:cs="Times New Roman"/>
          <w:color w:val="auto"/>
          <w:szCs w:val="24"/>
          <w:highlight w:val="none"/>
        </w:rPr>
        <w:t>堆场扬尘</w:t>
      </w:r>
    </w:p>
    <w:p w14:paraId="5E023D10">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szCs w:val="24"/>
          <w:highlight w:val="none"/>
        </w:rPr>
        <w:t>根据《固体物料堆存颗粒物产排污核算系数手册》对堆场扬尘的产生量及排放量进行核算。</w:t>
      </w:r>
    </w:p>
    <w:p w14:paraId="4F271CD9">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w:t>
      </w:r>
      <w:r>
        <w:rPr>
          <w:rFonts w:hint="default" w:ascii="Times New Roman" w:hAnsi="Times New Roman" w:cs="Times New Roman"/>
          <w:color w:val="auto"/>
          <w:szCs w:val="24"/>
          <w:highlight w:val="none"/>
          <w:lang w:val="en-US" w:eastAsia="zh-CN"/>
        </w:rPr>
        <w:t>原料</w:t>
      </w:r>
      <w:r>
        <w:rPr>
          <w:rFonts w:hint="default" w:ascii="Times New Roman" w:hAnsi="Times New Roman" w:cs="Times New Roman"/>
          <w:color w:val="auto"/>
          <w:kern w:val="0"/>
          <w:highlight w:val="none"/>
        </w:rPr>
        <w:t>堆场扬尘产生量</w:t>
      </w:r>
    </w:p>
    <w:p w14:paraId="5EBC1695">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公式</w:t>
      </w:r>
      <w:r>
        <w:rPr>
          <w:rFonts w:hint="default" w:ascii="Times New Roman" w:hAnsi="Times New Roman" w:cs="Times New Roman"/>
          <w:color w:val="auto"/>
          <w:highlight w:val="none"/>
          <w:lang w:val="de-DE"/>
        </w:rPr>
        <w:t>：</w:t>
      </w:r>
      <w:r>
        <w:rPr>
          <w:rFonts w:hint="default" w:ascii="Times New Roman" w:hAnsi="Times New Roman" w:cs="Times New Roman"/>
          <w:color w:val="auto"/>
          <w:highlight w:val="none"/>
        </w:rPr>
        <w:t>P=ZC</w:t>
      </w:r>
      <w:r>
        <w:rPr>
          <w:rFonts w:hint="default" w:ascii="Times New Roman" w:hAnsi="Times New Roman" w:cs="Times New Roman"/>
          <w:color w:val="auto"/>
          <w:highlight w:val="none"/>
          <w:vertAlign w:val="subscript"/>
        </w:rPr>
        <w:t>y</w:t>
      </w:r>
      <w:r>
        <w:rPr>
          <w:rFonts w:hint="default" w:ascii="Times New Roman" w:hAnsi="Times New Roman" w:cs="Times New Roman"/>
          <w:color w:val="auto"/>
          <w:highlight w:val="none"/>
        </w:rPr>
        <w:t>+FC</w:t>
      </w:r>
      <w:r>
        <w:rPr>
          <w:rFonts w:hint="default" w:ascii="Times New Roman" w:hAnsi="Times New Roman" w:cs="Times New Roman"/>
          <w:color w:val="auto"/>
          <w:highlight w:val="none"/>
          <w:vertAlign w:val="subscript"/>
        </w:rPr>
        <w:t>y</w:t>
      </w:r>
      <w:r>
        <w:rPr>
          <w:rFonts w:hint="default" w:ascii="Times New Roman" w:hAnsi="Times New Roman" w:cs="Times New Roman"/>
          <w:color w:val="auto"/>
          <w:highlight w:val="none"/>
        </w:rPr>
        <w:t>=｛N</w:t>
      </w:r>
      <w:r>
        <w:rPr>
          <w:rFonts w:hint="default" w:ascii="Times New Roman" w:hAnsi="Times New Roman" w:cs="Times New Roman"/>
          <w:color w:val="auto"/>
          <w:highlight w:val="none"/>
          <w:vertAlign w:val="subscript"/>
        </w:rPr>
        <w:t>C</w:t>
      </w:r>
      <w:r>
        <w:rPr>
          <w:rFonts w:hint="default" w:ascii="Times New Roman" w:hAnsi="Times New Roman" w:cs="Times New Roman"/>
          <w:color w:val="auto"/>
          <w:highlight w:val="none"/>
        </w:rPr>
        <w:t>×D×（a/b）+2×E</w:t>
      </w:r>
      <w:r>
        <w:rPr>
          <w:rFonts w:hint="default" w:ascii="Times New Roman" w:hAnsi="Times New Roman" w:cs="Times New Roman"/>
          <w:color w:val="auto"/>
          <w:highlight w:val="none"/>
          <w:vertAlign w:val="subscript"/>
        </w:rPr>
        <w:t>f</w:t>
      </w:r>
      <w:r>
        <w:rPr>
          <w:rFonts w:hint="default" w:ascii="Times New Roman" w:hAnsi="Times New Roman" w:cs="Times New Roman"/>
          <w:color w:val="auto"/>
          <w:highlight w:val="none"/>
        </w:rPr>
        <w:t>×S｝×10</w:t>
      </w:r>
      <w:r>
        <w:rPr>
          <w:rFonts w:hint="default" w:ascii="Times New Roman" w:hAnsi="Times New Roman" w:cs="Times New Roman"/>
          <w:color w:val="auto"/>
          <w:highlight w:val="none"/>
          <w:vertAlign w:val="superscript"/>
        </w:rPr>
        <w:t>-3</w:t>
      </w:r>
    </w:p>
    <w:p w14:paraId="475A7423">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w:t>
      </w:r>
      <w:r>
        <w:rPr>
          <w:rFonts w:hint="default" w:ascii="Times New Roman" w:hAnsi="Times New Roman" w:cs="Times New Roman"/>
          <w:color w:val="auto"/>
          <w:highlight w:val="none"/>
        </w:rPr>
        <w:t>Р</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指颗粒物产生量（单位：吨）；</w:t>
      </w:r>
    </w:p>
    <w:p w14:paraId="5AC7981E">
      <w:pPr>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ZC</w:t>
      </w:r>
      <w:r>
        <w:rPr>
          <w:rFonts w:hint="default" w:ascii="Times New Roman" w:hAnsi="Times New Roman" w:cs="Times New Roman"/>
          <w:color w:val="auto"/>
          <w:highlight w:val="none"/>
          <w:vertAlign w:val="subscript"/>
        </w:rPr>
        <w:t>y</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指装卸扬尘产生量（单位：吨）；</w:t>
      </w:r>
    </w:p>
    <w:p w14:paraId="5017189C">
      <w:pPr>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FC</w:t>
      </w:r>
      <w:r>
        <w:rPr>
          <w:rFonts w:hint="default" w:ascii="Times New Roman" w:hAnsi="Times New Roman" w:cs="Times New Roman"/>
          <w:color w:val="auto"/>
          <w:highlight w:val="none"/>
          <w:vertAlign w:val="subscript"/>
        </w:rPr>
        <w:t>y</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指风蚀扬尘产生量（单位：吨）；</w:t>
      </w:r>
    </w:p>
    <w:p w14:paraId="63A1259F">
      <w:pPr>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vertAlign w:val="subscript"/>
        </w:rPr>
        <w:t>C</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指年物料运载车次（单位：车），年物料总运输量为</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万t，运载车次为</w:t>
      </w:r>
      <w:r>
        <w:rPr>
          <w:rFonts w:hint="default" w:ascii="Times New Roman" w:hAnsi="Times New Roman" w:cs="Times New Roman"/>
          <w:color w:val="auto"/>
          <w:highlight w:val="none"/>
          <w:lang w:val="en-US" w:eastAsia="zh-CN"/>
        </w:rPr>
        <w:t>2143</w:t>
      </w:r>
      <w:r>
        <w:rPr>
          <w:rFonts w:hint="default" w:ascii="Times New Roman" w:hAnsi="Times New Roman" w:cs="Times New Roman"/>
          <w:color w:val="auto"/>
          <w:highlight w:val="none"/>
        </w:rPr>
        <w:t>车；</w:t>
      </w:r>
    </w:p>
    <w:p w14:paraId="443B321E">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D-指单车平均运载量（单位：吨/车），</w:t>
      </w:r>
      <w:r>
        <w:rPr>
          <w:rFonts w:hint="default" w:ascii="Times New Roman" w:hAnsi="Times New Roman" w:cs="Times New Roman"/>
          <w:color w:val="auto"/>
          <w:highlight w:val="none"/>
          <w:lang w:val="en-US" w:eastAsia="zh-CN"/>
        </w:rPr>
        <w:t>70</w:t>
      </w:r>
      <w:r>
        <w:rPr>
          <w:rFonts w:hint="default" w:ascii="Times New Roman" w:hAnsi="Times New Roman" w:cs="Times New Roman"/>
          <w:color w:val="auto"/>
          <w:highlight w:val="none"/>
        </w:rPr>
        <w:t>吨/车；</w:t>
      </w:r>
    </w:p>
    <w:p w14:paraId="06D3BF01">
      <w:pPr>
        <w:ind w:firstLine="960" w:firstLineChars="40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（a/b）-指装卸扬尘概化系数（单位：千克/吨），a指各省风速概化系数，新疆地区取0.0011；b指物料含水率概化系数，项目取0.0064；</w:t>
      </w:r>
    </w:p>
    <w:p w14:paraId="1B497B07">
      <w:pPr>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E</w:t>
      </w:r>
      <w:r>
        <w:rPr>
          <w:rFonts w:hint="default" w:ascii="Times New Roman" w:hAnsi="Times New Roman" w:cs="Times New Roman"/>
          <w:color w:val="auto"/>
          <w:highlight w:val="none"/>
          <w:vertAlign w:val="subscript"/>
        </w:rPr>
        <w:t>f</w:t>
      </w:r>
      <w:r>
        <w:rPr>
          <w:rFonts w:hint="default" w:ascii="Times New Roman" w:hAnsi="Times New Roman" w:cs="Times New Roman"/>
          <w:color w:val="auto"/>
          <w:highlight w:val="none"/>
        </w:rPr>
        <w:t>-指堆场风蚀扬尘概化系数（单位：千克/平方米），</w:t>
      </w:r>
      <w:r>
        <w:rPr>
          <w:rFonts w:hint="default" w:ascii="Times New Roman" w:hAnsi="Times New Roman" w:cs="Times New Roman"/>
          <w:color w:val="auto"/>
          <w:highlight w:val="none"/>
          <w:lang w:val="en-US" w:eastAsia="zh-CN"/>
        </w:rPr>
        <w:t>堆场为金矿原矿（块矿），因此</w:t>
      </w:r>
      <w:r>
        <w:rPr>
          <w:rFonts w:hint="default" w:ascii="Times New Roman" w:hAnsi="Times New Roman" w:cs="Times New Roman"/>
          <w:color w:val="auto"/>
          <w:highlight w:val="none"/>
        </w:rPr>
        <w:t>项目E</w:t>
      </w:r>
      <w:r>
        <w:rPr>
          <w:rFonts w:hint="default" w:ascii="Times New Roman" w:hAnsi="Times New Roman" w:cs="Times New Roman"/>
          <w:color w:val="auto"/>
          <w:highlight w:val="none"/>
          <w:vertAlign w:val="subscript"/>
        </w:rPr>
        <w:t>f</w:t>
      </w:r>
      <w:r>
        <w:rPr>
          <w:rFonts w:hint="default" w:ascii="Times New Roman" w:hAnsi="Times New Roman" w:cs="Times New Roman"/>
          <w:color w:val="auto"/>
          <w:highlight w:val="none"/>
        </w:rPr>
        <w:t>取</w:t>
      </w:r>
      <w:r>
        <w:rPr>
          <w:rFonts w:hint="default" w:ascii="Times New Roman" w:hAnsi="Times New Roman" w:cs="Times New Roman"/>
          <w:color w:val="auto"/>
          <w:highlight w:val="none"/>
          <w:lang w:val="en-US" w:eastAsia="zh-CN"/>
        </w:rPr>
        <w:t>值为</w:t>
      </w:r>
      <w:r>
        <w:rPr>
          <w:rFonts w:hint="default" w:ascii="Times New Roman" w:hAnsi="Times New Roman" w:cs="Times New Roman"/>
          <w:color w:val="auto"/>
          <w:highlight w:val="none"/>
        </w:rPr>
        <w:t>0；</w:t>
      </w:r>
    </w:p>
    <w:p w14:paraId="1A559D15">
      <w:pPr>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S-指堆场占地面积（单位：平方米），堆场面积</w:t>
      </w:r>
      <w:r>
        <w:rPr>
          <w:rFonts w:hint="default" w:ascii="Times New Roman" w:hAnsi="Times New Roman" w:cs="Times New Roman"/>
          <w:color w:val="auto"/>
          <w:highlight w:val="none"/>
          <w:lang w:eastAsia="zh-CN"/>
        </w:rPr>
        <w:t>约</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00m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3F0EFFF0">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w:t>
      </w:r>
      <w:r>
        <w:rPr>
          <w:rFonts w:hint="default" w:ascii="Times New Roman" w:hAnsi="Times New Roman" w:cs="Times New Roman"/>
          <w:color w:val="auto"/>
          <w:kern w:val="0"/>
          <w:highlight w:val="none"/>
          <w:lang w:val="en-US" w:eastAsia="zh-CN"/>
        </w:rPr>
        <w:t>原料</w:t>
      </w:r>
      <w:r>
        <w:rPr>
          <w:rFonts w:hint="default" w:ascii="Times New Roman" w:hAnsi="Times New Roman" w:cs="Times New Roman"/>
          <w:color w:val="auto"/>
          <w:kern w:val="0"/>
          <w:highlight w:val="none"/>
        </w:rPr>
        <w:t>堆场扬尘排放量</w:t>
      </w:r>
    </w:p>
    <w:p w14:paraId="16928BEC">
      <w:pPr>
        <w:ind w:firstLine="480"/>
        <w:rPr>
          <w:rFonts w:hint="default" w:ascii="Times New Roman" w:hAnsi="Times New Roman" w:cs="Times New Roman"/>
          <w:bCs/>
          <w:color w:val="auto"/>
          <w:highlight w:val="none"/>
          <w:lang w:val="de-DE"/>
        </w:rPr>
      </w:pPr>
      <w:r>
        <w:rPr>
          <w:rFonts w:hint="default" w:ascii="Times New Roman" w:hAnsi="Times New Roman" w:cs="Times New Roman"/>
          <w:color w:val="auto"/>
          <w:kern w:val="0"/>
          <w:highlight w:val="none"/>
        </w:rPr>
        <w:t>公式</w:t>
      </w:r>
      <w:r>
        <w:rPr>
          <w:rFonts w:hint="default" w:ascii="Times New Roman" w:hAnsi="Times New Roman" w:cs="Times New Roman"/>
          <w:color w:val="auto"/>
          <w:highlight w:val="none"/>
          <w:lang w:val="de-DE"/>
        </w:rPr>
        <w:t>：</w:t>
      </w:r>
      <w:r>
        <w:rPr>
          <w:rFonts w:hint="default" w:ascii="Times New Roman" w:hAnsi="Times New Roman" w:cs="Times New Roman"/>
          <w:color w:val="auto"/>
          <w:highlight w:val="none"/>
        </w:rPr>
        <w:t>U</w:t>
      </w:r>
      <w:r>
        <w:rPr>
          <w:rFonts w:hint="default" w:ascii="Times New Roman" w:hAnsi="Times New Roman" w:cs="Times New Roman"/>
          <w:color w:val="auto"/>
          <w:highlight w:val="none"/>
          <w:vertAlign w:val="subscript"/>
        </w:rPr>
        <w:t>c</w:t>
      </w:r>
      <w:r>
        <w:rPr>
          <w:rFonts w:hint="default" w:ascii="Times New Roman" w:hAnsi="Times New Roman" w:cs="Times New Roman"/>
          <w:color w:val="auto"/>
          <w:highlight w:val="none"/>
          <w:lang w:val="de-DE"/>
        </w:rPr>
        <w:t>=</w:t>
      </w:r>
      <w:r>
        <w:rPr>
          <w:rFonts w:hint="default" w:ascii="Times New Roman" w:hAnsi="Times New Roman" w:cs="Times New Roman"/>
          <w:color w:val="auto"/>
          <w:highlight w:val="none"/>
        </w:rPr>
        <w:t>P×（1-C</w:t>
      </w:r>
      <w:r>
        <w:rPr>
          <w:rFonts w:hint="default" w:ascii="Times New Roman" w:hAnsi="Times New Roman" w:cs="Times New Roman"/>
          <w:color w:val="auto"/>
          <w:highlight w:val="none"/>
          <w:vertAlign w:val="subscript"/>
        </w:rPr>
        <w:t>m</w:t>
      </w:r>
      <w:r>
        <w:rPr>
          <w:rFonts w:hint="default" w:ascii="Times New Roman" w:hAnsi="Times New Roman" w:cs="Times New Roman"/>
          <w:color w:val="auto"/>
          <w:highlight w:val="none"/>
        </w:rPr>
        <w:t>）×（1-T</w:t>
      </w:r>
      <w:r>
        <w:rPr>
          <w:rFonts w:hint="default" w:ascii="Times New Roman" w:hAnsi="Times New Roman" w:cs="Times New Roman"/>
          <w:color w:val="auto"/>
          <w:highlight w:val="none"/>
          <w:vertAlign w:val="subscript"/>
        </w:rPr>
        <w:t>m</w:t>
      </w:r>
      <w:r>
        <w:rPr>
          <w:rFonts w:hint="default" w:ascii="Times New Roman" w:hAnsi="Times New Roman" w:cs="Times New Roman"/>
          <w:color w:val="auto"/>
          <w:highlight w:val="none"/>
        </w:rPr>
        <w:t>）</w:t>
      </w:r>
    </w:p>
    <w:p w14:paraId="0BBEC32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式中：U</w:t>
      </w:r>
      <w:r>
        <w:rPr>
          <w:rFonts w:hint="default" w:ascii="Times New Roman" w:hAnsi="Times New Roman" w:cs="Times New Roman"/>
          <w:color w:val="auto"/>
          <w:highlight w:val="none"/>
          <w:vertAlign w:val="subscript"/>
        </w:rPr>
        <w:t>c</w:t>
      </w:r>
      <w:r>
        <w:rPr>
          <w:rFonts w:hint="default" w:ascii="Times New Roman" w:hAnsi="Times New Roman" w:cs="Times New Roman"/>
          <w:color w:val="auto"/>
          <w:highlight w:val="none"/>
        </w:rPr>
        <w:t>-指颗粒物排放量（单位：吨）﹔</w:t>
      </w:r>
    </w:p>
    <w:p w14:paraId="5D48BF0C">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Р-指颗粒物产生量（单位：吨）；</w:t>
      </w:r>
    </w:p>
    <w:p w14:paraId="4F606E3B">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m</w:t>
      </w:r>
      <w:r>
        <w:rPr>
          <w:rFonts w:hint="default" w:ascii="Times New Roman" w:hAnsi="Times New Roman" w:cs="Times New Roman"/>
          <w:color w:val="auto"/>
          <w:highlight w:val="none"/>
        </w:rPr>
        <w:t>-指颗粒物控制措施控制效率（单位：%），堆场采取洒水降尘措施，控制效率为74%；</w:t>
      </w:r>
    </w:p>
    <w:p w14:paraId="395AEEFE">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T</w:t>
      </w:r>
      <w:r>
        <w:rPr>
          <w:rFonts w:hint="default" w:ascii="Times New Roman" w:hAnsi="Times New Roman" w:cs="Times New Roman"/>
          <w:color w:val="auto"/>
          <w:highlight w:val="none"/>
          <w:vertAlign w:val="subscript"/>
        </w:rPr>
        <w:t>m</w:t>
      </w:r>
      <w:r>
        <w:rPr>
          <w:rFonts w:hint="default" w:ascii="Times New Roman" w:hAnsi="Times New Roman" w:cs="Times New Roman"/>
          <w:color w:val="auto"/>
          <w:highlight w:val="none"/>
        </w:rPr>
        <w:t>-指堆场类型控制效率（单位：%），项目取</w:t>
      </w:r>
      <w:r>
        <w:rPr>
          <w:rFonts w:hint="default" w:ascii="Times New Roman" w:hAnsi="Times New Roman" w:cs="Times New Roman"/>
          <w:color w:val="auto"/>
          <w:highlight w:val="none"/>
          <w:lang w:val="en-US" w:eastAsia="zh-CN"/>
        </w:rPr>
        <w:t>60</w:t>
      </w:r>
      <w:r>
        <w:rPr>
          <w:rFonts w:hint="default" w:ascii="Times New Roman" w:hAnsi="Times New Roman" w:cs="Times New Roman"/>
          <w:color w:val="auto"/>
          <w:highlight w:val="none"/>
        </w:rPr>
        <w:t>%。</w:t>
      </w:r>
    </w:p>
    <w:p w14:paraId="2C60ADA7">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计算结果：堆场扬尘产生量为</w:t>
      </w:r>
      <w:r>
        <w:rPr>
          <w:rFonts w:hint="default" w:ascii="Times New Roman" w:hAnsi="Times New Roman" w:cs="Times New Roman"/>
          <w:color w:val="auto"/>
          <w:kern w:val="0"/>
          <w:highlight w:val="none"/>
          <w:lang w:val="en-US" w:eastAsia="zh-CN"/>
        </w:rPr>
        <w:t>25.78</w:t>
      </w:r>
      <w:r>
        <w:rPr>
          <w:rFonts w:hint="default" w:ascii="Times New Roman" w:hAnsi="Times New Roman" w:cs="Times New Roman"/>
          <w:color w:val="auto"/>
          <w:kern w:val="0"/>
          <w:highlight w:val="none"/>
        </w:rPr>
        <w:t>t/a，</w:t>
      </w:r>
      <w:r>
        <w:rPr>
          <w:rFonts w:hint="default" w:ascii="Times New Roman" w:hAnsi="Times New Roman" w:cs="Times New Roman"/>
          <w:color w:val="auto"/>
          <w:kern w:val="0"/>
          <w:szCs w:val="24"/>
          <w:highlight w:val="none"/>
        </w:rPr>
        <w:t>根据《</w:t>
      </w:r>
      <w:r>
        <w:rPr>
          <w:rFonts w:hint="default" w:cs="Times New Roman"/>
          <w:color w:val="auto"/>
          <w:kern w:val="0"/>
          <w:szCs w:val="24"/>
          <w:highlight w:val="none"/>
          <w:lang w:eastAsia="zh-CN"/>
        </w:rPr>
        <w:t>工业料堆场</w:t>
      </w:r>
      <w:r>
        <w:rPr>
          <w:rFonts w:hint="default" w:cs="Times New Roman"/>
          <w:color w:val="auto"/>
          <w:kern w:val="0"/>
          <w:szCs w:val="24"/>
          <w:highlight w:val="none"/>
          <w:lang w:val="en-US" w:eastAsia="zh-CN"/>
        </w:rPr>
        <w:t>扬</w:t>
      </w:r>
      <w:r>
        <w:rPr>
          <w:rFonts w:hint="default" w:cs="Times New Roman"/>
          <w:color w:val="auto"/>
          <w:kern w:val="0"/>
          <w:szCs w:val="24"/>
          <w:highlight w:val="none"/>
          <w:lang w:eastAsia="zh-CN"/>
        </w:rPr>
        <w:t>尘整治规范</w:t>
      </w:r>
      <w:r>
        <w:rPr>
          <w:rFonts w:hint="default" w:ascii="Times New Roman" w:hAnsi="Times New Roman" w:cs="Times New Roman"/>
          <w:color w:val="auto"/>
          <w:kern w:val="0"/>
          <w:szCs w:val="24"/>
          <w:highlight w:val="none"/>
        </w:rPr>
        <w:t>》（DB65/T4061-2017），项目区属于一般控制区</w:t>
      </w:r>
      <w:r>
        <w:rPr>
          <w:rFonts w:hint="default" w:ascii="Times New Roman" w:hAnsi="Times New Roman" w:cs="Times New Roman"/>
          <w:color w:val="auto"/>
          <w:kern w:val="0"/>
          <w:highlight w:val="none"/>
        </w:rPr>
        <w:t>，当地风速≤2m/s，块体≤</w:t>
      </w:r>
      <w:r>
        <w:rPr>
          <w:rFonts w:hint="default" w:ascii="Times New Roman" w:hAnsi="Times New Roman" w:cs="Times New Roman"/>
          <w:color w:val="auto"/>
          <w:kern w:val="0"/>
          <w:highlight w:val="none"/>
          <w:lang w:val="en-US" w:eastAsia="zh-CN"/>
        </w:rPr>
        <w:t>300</w:t>
      </w:r>
      <w:r>
        <w:rPr>
          <w:rFonts w:hint="default" w:ascii="Times New Roman" w:hAnsi="Times New Roman" w:cs="Times New Roman"/>
          <w:color w:val="auto"/>
          <w:kern w:val="0"/>
          <w:highlight w:val="none"/>
        </w:rPr>
        <w:t>mm，本次环评要求在堆场</w:t>
      </w:r>
      <w:r>
        <w:rPr>
          <w:rFonts w:hint="default" w:ascii="Times New Roman" w:hAnsi="Times New Roman" w:cs="Times New Roman"/>
          <w:color w:val="auto"/>
          <w:kern w:val="0"/>
          <w:highlight w:val="none"/>
          <w:lang w:val="en-US" w:eastAsia="zh-CN"/>
        </w:rPr>
        <w:t>采取</w:t>
      </w:r>
      <w:r>
        <w:rPr>
          <w:rFonts w:hint="default" w:ascii="Times New Roman" w:hAnsi="Times New Roman" w:eastAsia="宋体" w:cs="Times New Roman"/>
          <w:color w:val="auto"/>
          <w:sz w:val="24"/>
          <w:szCs w:val="28"/>
          <w:highlight w:val="none"/>
          <w:lang w:eastAsia="zh-CN"/>
        </w:rPr>
        <w:t>抑尘网</w:t>
      </w:r>
      <w:r>
        <w:rPr>
          <w:rFonts w:hint="default" w:ascii="Times New Roman" w:hAnsi="Times New Roman" w:cs="Times New Roman"/>
          <w:color w:val="auto"/>
          <w:kern w:val="0"/>
          <w:highlight w:val="none"/>
          <w:lang w:val="en-US" w:eastAsia="zh-CN"/>
        </w:rPr>
        <w:t>覆盖</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洒水降尘措施后，可适当减少粉尘的排放。</w:t>
      </w:r>
      <w:r>
        <w:rPr>
          <w:rFonts w:hint="default" w:ascii="Times New Roman" w:hAnsi="Times New Roman" w:cs="Times New Roman"/>
          <w:color w:val="auto"/>
          <w:highlight w:val="none"/>
        </w:rPr>
        <w:t>堆场采取</w:t>
      </w:r>
      <w:r>
        <w:rPr>
          <w:rFonts w:hint="default" w:ascii="Times New Roman" w:hAnsi="Times New Roman" w:eastAsia="宋体" w:cs="Times New Roman"/>
          <w:color w:val="auto"/>
          <w:sz w:val="24"/>
          <w:szCs w:val="28"/>
          <w:highlight w:val="none"/>
          <w:lang w:eastAsia="zh-CN"/>
        </w:rPr>
        <w:t>抑尘网</w:t>
      </w:r>
      <w:r>
        <w:rPr>
          <w:rFonts w:hint="default" w:ascii="Times New Roman" w:hAnsi="Times New Roman" w:cs="Times New Roman"/>
          <w:color w:val="auto"/>
          <w:kern w:val="0"/>
          <w:highlight w:val="none"/>
          <w:lang w:val="en-US" w:eastAsia="zh-CN"/>
        </w:rPr>
        <w:t>覆盖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洒水降尘</w:t>
      </w:r>
      <w:r>
        <w:rPr>
          <w:rFonts w:hint="default" w:ascii="Times New Roman" w:hAnsi="Times New Roman" w:cs="Times New Roman"/>
          <w:color w:val="auto"/>
          <w:kern w:val="0"/>
          <w:highlight w:val="none"/>
        </w:rPr>
        <w:t>措施后</w:t>
      </w:r>
      <w:r>
        <w:rPr>
          <w:rFonts w:hint="default" w:ascii="Times New Roman" w:hAnsi="Times New Roman" w:cs="Times New Roman"/>
          <w:color w:val="auto"/>
          <w:highlight w:val="none"/>
        </w:rPr>
        <w:t>，</w:t>
      </w:r>
      <w:r>
        <w:rPr>
          <w:rFonts w:hint="default" w:ascii="Times New Roman" w:hAnsi="Times New Roman" w:cs="Times New Roman"/>
          <w:color w:val="auto"/>
          <w:kern w:val="0"/>
          <w:highlight w:val="none"/>
        </w:rPr>
        <w:t>排放量为</w:t>
      </w:r>
      <w:r>
        <w:rPr>
          <w:rFonts w:hint="default" w:ascii="Times New Roman" w:hAnsi="Times New Roman" w:cs="Times New Roman"/>
          <w:color w:val="auto"/>
          <w:kern w:val="0"/>
          <w:highlight w:val="none"/>
          <w:lang w:val="en-US" w:eastAsia="zh-CN"/>
        </w:rPr>
        <w:t>2.68</w:t>
      </w:r>
      <w:r>
        <w:rPr>
          <w:rFonts w:hint="default" w:ascii="Times New Roman" w:hAnsi="Times New Roman" w:cs="Times New Roman"/>
          <w:color w:val="auto"/>
          <w:kern w:val="0"/>
          <w:highlight w:val="none"/>
        </w:rPr>
        <w:t>t/a。</w:t>
      </w:r>
    </w:p>
    <w:p w14:paraId="17F8690F">
      <w:pPr>
        <w:numPr>
          <w:ilvl w:val="0"/>
          <w:numId w:val="0"/>
        </w:numPr>
        <w:ind w:firstLine="480" w:firstLineChars="200"/>
        <w:rPr>
          <w:rFonts w:hint="default" w:ascii="Times New Roman" w:hAnsi="Times New Roman" w:cs="Times New Roman"/>
          <w:color w:val="auto"/>
          <w:kern w:val="0"/>
          <w:highlight w:val="none"/>
        </w:rPr>
      </w:pPr>
      <w:r>
        <w:rPr>
          <w:rFonts w:hint="default" w:cs="Times New Roman"/>
          <w:color w:val="auto"/>
          <w:kern w:val="0"/>
          <w:highlight w:val="none"/>
          <w:lang w:val="en-US" w:eastAsia="zh-CN"/>
        </w:rPr>
        <w:t>3</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运输扬尘</w:t>
      </w:r>
    </w:p>
    <w:p w14:paraId="731183C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道路运输扬尘量计算采用上海港环境保护中心与原武汉水运学院提出的关于汽车在有散状物料的道路上的扬尘量经验公式计算。</w:t>
      </w:r>
    </w:p>
    <w:p w14:paraId="7453C1E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w:t>
      </w:r>
      <w:r>
        <w:rPr>
          <w:rFonts w:hint="default" w:ascii="Times New Roman" w:hAnsi="Times New Roman" w:cs="Times New Roman"/>
          <w:color w:val="auto"/>
          <w:kern w:val="0"/>
          <w:highlight w:val="none"/>
        </w:rPr>
        <w:t>公式</w:t>
      </w:r>
      <w:r>
        <w:rPr>
          <w:rFonts w:hint="default" w:ascii="Times New Roman" w:hAnsi="Times New Roman" w:cs="Times New Roman"/>
          <w:color w:val="auto"/>
          <w:highlight w:val="none"/>
          <w:lang w:val="de-DE"/>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p</w:t>
      </w:r>
      <w:r>
        <w:rPr>
          <w:rFonts w:hint="default" w:ascii="Times New Roman" w:hAnsi="Times New Roman" w:cs="Times New Roman"/>
          <w:color w:val="auto"/>
          <w:highlight w:val="none"/>
        </w:rPr>
        <w:t>=0.123·（V/5）·（M/6.8）</w:t>
      </w:r>
      <w:r>
        <w:rPr>
          <w:rFonts w:hint="default" w:ascii="Times New Roman" w:hAnsi="Times New Roman" w:cs="Times New Roman"/>
          <w:color w:val="auto"/>
          <w:highlight w:val="none"/>
          <w:vertAlign w:val="superscript"/>
        </w:rPr>
        <w:t>0.85</w:t>
      </w:r>
      <w:r>
        <w:rPr>
          <w:rFonts w:hint="default" w:ascii="Times New Roman" w:hAnsi="Times New Roman" w:cs="Times New Roman"/>
          <w:color w:val="auto"/>
          <w:highlight w:val="none"/>
        </w:rPr>
        <w:t>·（P/0.5）</w:t>
      </w:r>
      <w:r>
        <w:rPr>
          <w:rFonts w:hint="default" w:ascii="Times New Roman" w:hAnsi="Times New Roman" w:cs="Times New Roman"/>
          <w:color w:val="auto"/>
          <w:highlight w:val="none"/>
          <w:vertAlign w:val="superscript"/>
        </w:rPr>
        <w:t>0.72</w:t>
      </w:r>
    </w:p>
    <w:p w14:paraId="15113114">
      <w:pPr>
        <w:ind w:firstLine="1680" w:firstLineChars="700"/>
        <w:rPr>
          <w:rFonts w:hint="default" w:ascii="Times New Roman" w:hAnsi="Times New Roman" w:cs="Times New Roman"/>
          <w:color w:val="auto"/>
          <w:highlight w:val="none"/>
          <w:lang w:val="es-VE"/>
        </w:rPr>
      </w:pPr>
      <w:r>
        <w:rPr>
          <w:rFonts w:hint="default" w:ascii="Times New Roman" w:hAnsi="Times New Roman" w:cs="Times New Roman"/>
          <w:color w:val="auto"/>
          <w:highlight w:val="none"/>
          <w:lang w:val="es-VE"/>
        </w:rPr>
        <w:t>Q</w:t>
      </w:r>
      <w:r>
        <w:rPr>
          <w:rFonts w:hint="default" w:ascii="Times New Roman" w:hAnsi="Times New Roman" w:cs="Times New Roman"/>
          <w:color w:val="auto"/>
          <w:highlight w:val="none"/>
        </w:rPr>
        <w:t>′</w:t>
      </w:r>
      <w:r>
        <w:rPr>
          <w:rFonts w:hint="default" w:ascii="Times New Roman" w:hAnsi="Times New Roman" w:cs="Times New Roman"/>
          <w:color w:val="auto"/>
          <w:highlight w:val="none"/>
          <w:vertAlign w:val="subscript"/>
          <w:lang w:val="es-VE"/>
        </w:rPr>
        <w:t>p</w:t>
      </w:r>
      <w:r>
        <w:rPr>
          <w:rFonts w:hint="default" w:ascii="Times New Roman" w:hAnsi="Times New Roman" w:cs="Times New Roman"/>
          <w:color w:val="auto"/>
          <w:highlight w:val="none"/>
          <w:lang w:val="es-VE"/>
        </w:rPr>
        <w:t>=Q</w:t>
      </w:r>
      <w:r>
        <w:rPr>
          <w:rFonts w:hint="default" w:ascii="Times New Roman" w:hAnsi="Times New Roman" w:cs="Times New Roman"/>
          <w:color w:val="auto"/>
          <w:highlight w:val="none"/>
          <w:vertAlign w:val="subscript"/>
          <w:lang w:val="es-VE"/>
        </w:rPr>
        <w:t>p</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s-VE"/>
        </w:rPr>
        <w:t>L</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s-VE"/>
        </w:rPr>
        <w:t>Q/M</w:t>
      </w:r>
    </w:p>
    <w:p w14:paraId="633A6C59">
      <w:pPr>
        <w:ind w:firstLine="480"/>
        <w:rPr>
          <w:rFonts w:hint="default" w:ascii="Times New Roman" w:hAnsi="Times New Roman" w:cs="Times New Roman"/>
          <w:color w:val="auto"/>
          <w:highlight w:val="none"/>
          <w:lang w:val="es-VE"/>
        </w:rPr>
      </w:pPr>
      <w:r>
        <w:rPr>
          <w:rFonts w:hint="default" w:ascii="Times New Roman" w:hAnsi="Times New Roman" w:cs="Times New Roman"/>
          <w:color w:val="auto"/>
          <w:highlight w:val="none"/>
        </w:rPr>
        <w:t>计算参数</w:t>
      </w:r>
      <w:r>
        <w:rPr>
          <w:rFonts w:hint="default" w:ascii="Times New Roman" w:hAnsi="Times New Roman" w:cs="Times New Roman"/>
          <w:color w:val="auto"/>
          <w:highlight w:val="none"/>
          <w:lang w:val="es-VE"/>
        </w:rPr>
        <w:t>：Q</w:t>
      </w:r>
      <w:r>
        <w:rPr>
          <w:rFonts w:hint="default" w:ascii="Times New Roman" w:hAnsi="Times New Roman" w:cs="Times New Roman"/>
          <w:color w:val="auto"/>
          <w:highlight w:val="none"/>
          <w:vertAlign w:val="subscript"/>
          <w:lang w:val="es-VE"/>
        </w:rPr>
        <w:t>p</w:t>
      </w:r>
      <w:r>
        <w:rPr>
          <w:rFonts w:hint="default" w:ascii="Times New Roman" w:hAnsi="Times New Roman" w:cs="Times New Roman"/>
          <w:color w:val="auto"/>
          <w:highlight w:val="none"/>
          <w:lang w:val="es-VE"/>
        </w:rPr>
        <w:t>-</w:t>
      </w:r>
      <w:r>
        <w:rPr>
          <w:rFonts w:hint="default" w:ascii="Times New Roman" w:hAnsi="Times New Roman" w:cs="Times New Roman"/>
          <w:color w:val="auto"/>
          <w:highlight w:val="none"/>
        </w:rPr>
        <w:t>道路扬尘量</w:t>
      </w:r>
      <w:r>
        <w:rPr>
          <w:rFonts w:hint="default" w:ascii="Times New Roman" w:hAnsi="Times New Roman" w:cs="Times New Roman"/>
          <w:color w:val="auto"/>
          <w:highlight w:val="none"/>
          <w:lang w:val="es-VE"/>
        </w:rPr>
        <w:t>，（kg/km·</w:t>
      </w:r>
      <w:r>
        <w:rPr>
          <w:rFonts w:hint="default" w:ascii="Times New Roman" w:hAnsi="Times New Roman" w:cs="Times New Roman"/>
          <w:color w:val="auto"/>
          <w:highlight w:val="none"/>
        </w:rPr>
        <w:t>辆</w:t>
      </w:r>
      <w:r>
        <w:rPr>
          <w:rFonts w:hint="default" w:ascii="Times New Roman" w:hAnsi="Times New Roman" w:cs="Times New Roman"/>
          <w:color w:val="auto"/>
          <w:highlight w:val="none"/>
          <w:lang w:val="es-VE"/>
        </w:rPr>
        <w:t>）；</w:t>
      </w:r>
    </w:p>
    <w:p w14:paraId="17C6ADFF">
      <w:pPr>
        <w:ind w:firstLine="1680" w:firstLineChars="700"/>
        <w:rPr>
          <w:rFonts w:hint="default" w:ascii="Times New Roman" w:hAnsi="Times New Roman" w:cs="Times New Roman"/>
          <w:color w:val="auto"/>
          <w:highlight w:val="none"/>
          <w:lang w:val="es-VE"/>
        </w:rPr>
      </w:pPr>
      <w:r>
        <w:rPr>
          <w:rFonts w:hint="default" w:ascii="Times New Roman" w:hAnsi="Times New Roman" w:cs="Times New Roman"/>
          <w:color w:val="auto"/>
          <w:highlight w:val="none"/>
          <w:lang w:val="es-VE"/>
        </w:rPr>
        <w:t>Q′</w:t>
      </w:r>
      <w:r>
        <w:rPr>
          <w:rFonts w:hint="default" w:ascii="Times New Roman" w:hAnsi="Times New Roman" w:cs="Times New Roman"/>
          <w:color w:val="auto"/>
          <w:highlight w:val="none"/>
          <w:vertAlign w:val="subscript"/>
          <w:lang w:val="es-VE"/>
        </w:rPr>
        <w:t>p</w:t>
      </w:r>
      <w:r>
        <w:rPr>
          <w:rFonts w:hint="default" w:ascii="Times New Roman" w:hAnsi="Times New Roman" w:cs="Times New Roman"/>
          <w:color w:val="auto"/>
          <w:highlight w:val="none"/>
          <w:lang w:val="es-VE"/>
        </w:rPr>
        <w:t>-</w:t>
      </w:r>
      <w:r>
        <w:rPr>
          <w:rFonts w:hint="default" w:ascii="Times New Roman" w:hAnsi="Times New Roman" w:cs="Times New Roman"/>
          <w:color w:val="auto"/>
          <w:highlight w:val="none"/>
        </w:rPr>
        <w:t>总扬尘量</w:t>
      </w:r>
      <w:r>
        <w:rPr>
          <w:rFonts w:hint="default" w:ascii="Times New Roman" w:hAnsi="Times New Roman" w:cs="Times New Roman"/>
          <w:color w:val="auto"/>
          <w:highlight w:val="none"/>
          <w:lang w:val="es-VE"/>
        </w:rPr>
        <w:t>，（</w:t>
      </w:r>
      <w:r>
        <w:rPr>
          <w:rFonts w:hint="default" w:ascii="Times New Roman" w:hAnsi="Times New Roman" w:cs="Times New Roman"/>
          <w:color w:val="auto"/>
          <w:highlight w:val="none"/>
          <w:lang w:val="en-US" w:eastAsia="zh-CN"/>
        </w:rPr>
        <w:t>kg</w:t>
      </w:r>
      <w:r>
        <w:rPr>
          <w:rFonts w:hint="default" w:ascii="Times New Roman" w:hAnsi="Times New Roman" w:cs="Times New Roman"/>
          <w:color w:val="auto"/>
          <w:highlight w:val="none"/>
          <w:lang w:val="es-VE"/>
        </w:rPr>
        <w:t>/a）；</w:t>
      </w:r>
    </w:p>
    <w:p w14:paraId="1F4ADC6E">
      <w:pPr>
        <w:ind w:firstLine="1680" w:firstLineChars="700"/>
        <w:rPr>
          <w:rFonts w:hint="default" w:ascii="Times New Roman" w:hAnsi="Times New Roman" w:cs="Times New Roman"/>
          <w:color w:val="auto"/>
          <w:highlight w:val="none"/>
          <w:lang w:val="es-VE"/>
        </w:rPr>
      </w:pPr>
      <w:r>
        <w:rPr>
          <w:rFonts w:hint="default" w:ascii="Times New Roman" w:hAnsi="Times New Roman" w:cs="Times New Roman"/>
          <w:color w:val="auto"/>
          <w:highlight w:val="none"/>
          <w:lang w:val="es-VE"/>
        </w:rPr>
        <w:t>V-</w:t>
      </w:r>
      <w:r>
        <w:rPr>
          <w:rFonts w:hint="default" w:ascii="Times New Roman" w:hAnsi="Times New Roman" w:cs="Times New Roman"/>
          <w:color w:val="auto"/>
          <w:highlight w:val="none"/>
        </w:rPr>
        <w:t>车辆速度</w:t>
      </w:r>
      <w:r>
        <w:rPr>
          <w:rFonts w:hint="default" w:ascii="Times New Roman" w:hAnsi="Times New Roman" w:cs="Times New Roman"/>
          <w:color w:val="auto"/>
          <w:highlight w:val="none"/>
          <w:lang w:val="es-VE"/>
        </w:rPr>
        <w:t>，（</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s-VE"/>
        </w:rPr>
        <w:t>0km/h）；</w:t>
      </w:r>
    </w:p>
    <w:p w14:paraId="5BB0260F">
      <w:pPr>
        <w:ind w:firstLine="1680" w:firstLineChars="700"/>
        <w:rPr>
          <w:rFonts w:hint="default" w:ascii="Times New Roman" w:hAnsi="Times New Roman" w:cs="Times New Roman"/>
          <w:color w:val="auto"/>
          <w:highlight w:val="none"/>
        </w:rPr>
      </w:pPr>
      <w:r>
        <w:rPr>
          <w:rFonts w:hint="default" w:ascii="Times New Roman" w:hAnsi="Times New Roman" w:cs="Times New Roman"/>
          <w:color w:val="auto"/>
          <w:highlight w:val="none"/>
        </w:rPr>
        <w:t>M-车辆载重，</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0t/辆；</w:t>
      </w:r>
    </w:p>
    <w:p w14:paraId="7C053145">
      <w:pPr>
        <w:ind w:firstLine="1680" w:firstLineChars="700"/>
        <w:rPr>
          <w:rFonts w:hint="default" w:ascii="Times New Roman" w:hAnsi="Times New Roman" w:cs="Times New Roman"/>
          <w:color w:val="auto"/>
          <w:highlight w:val="none"/>
        </w:rPr>
      </w:pPr>
      <w:r>
        <w:rPr>
          <w:rFonts w:hint="default" w:ascii="Times New Roman" w:hAnsi="Times New Roman" w:cs="Times New Roman"/>
          <w:color w:val="auto"/>
          <w:highlight w:val="none"/>
        </w:rPr>
        <w:t>P-路面灰尘覆盖率，0.</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kg/m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6E80B264">
      <w:pPr>
        <w:ind w:firstLine="1680" w:firstLineChars="700"/>
        <w:rPr>
          <w:rFonts w:hint="default" w:ascii="Times New Roman" w:hAnsi="Times New Roman" w:cs="Times New Roman"/>
          <w:color w:val="auto"/>
          <w:highlight w:val="none"/>
          <w:lang w:val="es-VE"/>
        </w:rPr>
      </w:pPr>
      <w:r>
        <w:rPr>
          <w:rFonts w:hint="default" w:ascii="Times New Roman" w:hAnsi="Times New Roman" w:cs="Times New Roman"/>
          <w:color w:val="auto"/>
          <w:highlight w:val="none"/>
          <w:lang w:val="es-VE"/>
        </w:rPr>
        <w:t>L-运距，（</w:t>
      </w:r>
      <w:r>
        <w:rPr>
          <w:rFonts w:hint="default" w:ascii="Times New Roman" w:hAnsi="Times New Roman" w:cs="Times New Roman"/>
          <w:color w:val="auto"/>
          <w:highlight w:val="none"/>
          <w:lang w:val="en-US" w:eastAsia="zh-CN"/>
        </w:rPr>
        <w:t>采矿场</w:t>
      </w:r>
      <w:r>
        <w:rPr>
          <w:rFonts w:hint="default" w:ascii="Times New Roman" w:hAnsi="Times New Roman" w:cs="Times New Roman"/>
          <w:color w:val="auto"/>
          <w:highlight w:val="none"/>
        </w:rPr>
        <w:t>至</w:t>
      </w:r>
      <w:r>
        <w:rPr>
          <w:rFonts w:hint="default" w:ascii="Times New Roman" w:hAnsi="Times New Roman" w:cs="Times New Roman"/>
          <w:color w:val="auto"/>
          <w:highlight w:val="none"/>
          <w:lang w:val="en-US" w:eastAsia="zh-CN"/>
        </w:rPr>
        <w:t>选矿原矿堆场</w:t>
      </w:r>
      <w:r>
        <w:rPr>
          <w:rFonts w:hint="default" w:ascii="Times New Roman" w:hAnsi="Times New Roman" w:cs="Times New Roman"/>
          <w:color w:val="auto"/>
          <w:highlight w:val="none"/>
          <w:lang w:val="es-VE"/>
        </w:rPr>
        <w:t>运距约</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k</w:t>
      </w:r>
      <w:r>
        <w:rPr>
          <w:rFonts w:hint="default" w:ascii="Times New Roman" w:hAnsi="Times New Roman" w:cs="Times New Roman"/>
          <w:color w:val="auto"/>
          <w:highlight w:val="none"/>
          <w:lang w:val="es-VE"/>
        </w:rPr>
        <w:t>m）；</w:t>
      </w:r>
    </w:p>
    <w:p w14:paraId="111531EF">
      <w:pPr>
        <w:ind w:firstLine="1680" w:firstLineChars="700"/>
        <w:rPr>
          <w:rFonts w:hint="default" w:ascii="Times New Roman" w:hAnsi="Times New Roman" w:cs="Times New Roman"/>
          <w:color w:val="auto"/>
          <w:highlight w:val="none"/>
          <w:lang w:val="es-VE"/>
        </w:rPr>
      </w:pPr>
      <w:r>
        <w:rPr>
          <w:rFonts w:hint="default" w:ascii="Times New Roman" w:hAnsi="Times New Roman" w:cs="Times New Roman"/>
          <w:color w:val="auto"/>
          <w:highlight w:val="none"/>
          <w:lang w:val="es-VE"/>
        </w:rPr>
        <w:t>Q-运输量，（</w:t>
      </w:r>
      <w:r>
        <w:rPr>
          <w:rFonts w:hint="default" w:ascii="Times New Roman" w:hAnsi="Times New Roman" w:cs="Times New Roman"/>
          <w:color w:val="auto"/>
          <w:highlight w:val="none"/>
        </w:rPr>
        <w:t>运输量为</w:t>
      </w:r>
      <w:r>
        <w:rPr>
          <w:rFonts w:hint="default" w:ascii="Times New Roman" w:hAnsi="Times New Roman" w:cs="Times New Roman"/>
          <w:color w:val="auto"/>
          <w:highlight w:val="none"/>
          <w:lang w:val="en-US" w:eastAsia="zh-CN"/>
        </w:rPr>
        <w:t>15万</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s-VE"/>
        </w:rPr>
        <w:t>）。</w:t>
      </w:r>
    </w:p>
    <w:p w14:paraId="15118F93">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运输过程中道路扬尘量为</w:t>
      </w:r>
      <w:r>
        <w:rPr>
          <w:rFonts w:hint="default" w:ascii="Times New Roman" w:hAnsi="Times New Roman" w:cs="Times New Roman"/>
          <w:color w:val="auto"/>
          <w:kern w:val="0"/>
          <w:highlight w:val="none"/>
          <w:lang w:val="en-US" w:eastAsia="zh-CN"/>
        </w:rPr>
        <w:t>1.12</w:t>
      </w:r>
      <w:r>
        <w:rPr>
          <w:rFonts w:hint="default" w:ascii="Times New Roman" w:hAnsi="Times New Roman" w:cs="Times New Roman"/>
          <w:color w:val="auto"/>
          <w:highlight w:val="none"/>
          <w:lang w:val="es-VE"/>
        </w:rPr>
        <w:t>kg/km·</w:t>
      </w:r>
      <w:r>
        <w:rPr>
          <w:rFonts w:hint="default" w:ascii="Times New Roman" w:hAnsi="Times New Roman" w:cs="Times New Roman"/>
          <w:color w:val="auto"/>
          <w:highlight w:val="none"/>
        </w:rPr>
        <w:t>辆</w:t>
      </w:r>
      <w:r>
        <w:rPr>
          <w:rFonts w:hint="default" w:ascii="Times New Roman" w:hAnsi="Times New Roman" w:cs="Times New Roman"/>
          <w:color w:val="auto"/>
          <w:kern w:val="0"/>
          <w:highlight w:val="none"/>
        </w:rPr>
        <w:t>，总扬尘量为</w:t>
      </w:r>
      <w:r>
        <w:rPr>
          <w:rFonts w:hint="default" w:ascii="Times New Roman" w:hAnsi="Times New Roman" w:cs="Times New Roman"/>
          <w:color w:val="auto"/>
          <w:kern w:val="0"/>
          <w:highlight w:val="none"/>
          <w:lang w:val="en-US" w:eastAsia="zh-CN"/>
        </w:rPr>
        <w:t>2.88</w:t>
      </w:r>
      <w:r>
        <w:rPr>
          <w:rFonts w:hint="default" w:ascii="Times New Roman" w:hAnsi="Times New Roman" w:cs="Times New Roman"/>
          <w:color w:val="auto"/>
          <w:kern w:val="0"/>
          <w:highlight w:val="none"/>
        </w:rPr>
        <w:t>t/a，在采取</w:t>
      </w:r>
      <w:r>
        <w:rPr>
          <w:rFonts w:hint="default" w:ascii="Times New Roman" w:hAnsi="Times New Roman" w:cs="Times New Roman"/>
          <w:color w:val="auto"/>
          <w:kern w:val="0"/>
          <w:highlight w:val="none"/>
          <w:lang w:val="en-US" w:eastAsia="zh-CN"/>
        </w:rPr>
        <w:t>道路洒水、道路路面铺碎石、降低车速及加盖篷布</w:t>
      </w:r>
      <w:r>
        <w:rPr>
          <w:rFonts w:hint="default" w:ascii="Times New Roman" w:hAnsi="Times New Roman" w:cs="Times New Roman"/>
          <w:color w:val="auto"/>
          <w:kern w:val="0"/>
          <w:highlight w:val="none"/>
        </w:rPr>
        <w:t>等措施后，</w:t>
      </w:r>
      <w:r>
        <w:rPr>
          <w:rFonts w:hint="default" w:ascii="Times New Roman" w:hAnsi="Times New Roman" w:cs="Times New Roman"/>
          <w:color w:val="auto"/>
          <w:highlight w:val="none"/>
        </w:rPr>
        <w:t>控制效率分别为</w:t>
      </w:r>
      <w:r>
        <w:rPr>
          <w:rFonts w:hint="default" w:ascii="Times New Roman" w:hAnsi="Times New Roman" w:cs="Times New Roman"/>
          <w:color w:val="auto"/>
          <w:kern w:val="0"/>
          <w:highlight w:val="none"/>
        </w:rPr>
        <w:t>80%</w:t>
      </w:r>
      <w:r>
        <w:rPr>
          <w:rFonts w:hint="default" w:ascii="Times New Roman" w:hAnsi="Times New Roman" w:cs="Times New Roman"/>
          <w:color w:val="auto"/>
          <w:kern w:val="0"/>
          <w:highlight w:val="none"/>
          <w:lang w:val="en-US" w:eastAsia="zh-CN"/>
        </w:rPr>
        <w:t>、60%</w:t>
      </w:r>
      <w:r>
        <w:rPr>
          <w:rFonts w:hint="default" w:ascii="Times New Roman" w:hAnsi="Times New Roman" w:cs="Times New Roman"/>
          <w:color w:val="auto"/>
          <w:kern w:val="0"/>
          <w:highlight w:val="none"/>
        </w:rPr>
        <w:t>，采取措施后运输道路扬尘量为</w:t>
      </w:r>
      <w:r>
        <w:rPr>
          <w:rFonts w:hint="default" w:ascii="Times New Roman" w:hAnsi="Times New Roman" w:cs="Times New Roman"/>
          <w:color w:val="auto"/>
          <w:kern w:val="0"/>
          <w:highlight w:val="none"/>
          <w:lang w:val="en-US" w:eastAsia="zh-CN"/>
        </w:rPr>
        <w:t>0.69</w:t>
      </w:r>
      <w:r>
        <w:rPr>
          <w:rFonts w:hint="default" w:ascii="Times New Roman" w:hAnsi="Times New Roman" w:cs="Times New Roman"/>
          <w:color w:val="auto"/>
          <w:kern w:val="0"/>
          <w:highlight w:val="none"/>
        </w:rPr>
        <w:t>t/a。</w:t>
      </w:r>
    </w:p>
    <w:p w14:paraId="067DDC76">
      <w:pPr>
        <w:ind w:firstLine="480"/>
        <w:rPr>
          <w:rFonts w:hint="default" w:ascii="Times New Roman" w:hAnsi="Times New Roman" w:cs="Times New Roman"/>
          <w:color w:val="auto"/>
          <w:kern w:val="0"/>
          <w:highlight w:val="none"/>
        </w:rPr>
      </w:pPr>
      <w:r>
        <w:rPr>
          <w:rFonts w:hint="default" w:cs="Times New Roman"/>
          <w:color w:val="auto"/>
          <w:kern w:val="0"/>
          <w:highlight w:val="none"/>
          <w:lang w:val="en-US" w:eastAsia="zh-CN"/>
        </w:rPr>
        <w:t>4</w:t>
      </w:r>
      <w:r>
        <w:rPr>
          <w:rFonts w:hint="default" w:ascii="Times New Roman" w:hAnsi="Times New Roman" w:cs="Times New Roman"/>
          <w:color w:val="auto"/>
          <w:kern w:val="0"/>
          <w:highlight w:val="none"/>
        </w:rPr>
        <w:t>）尾矿库扬尘</w:t>
      </w:r>
    </w:p>
    <w:p w14:paraId="6C9F6613">
      <w:pPr>
        <w:pStyle w:val="7"/>
        <w:spacing w:line="48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本工程尾矿采用湿排工艺，脱水后</w:t>
      </w:r>
      <w:r>
        <w:rPr>
          <w:rFonts w:hint="default" w:ascii="Times New Roman" w:hAnsi="Times New Roman" w:eastAsia="宋体" w:cs="Times New Roman"/>
          <w:color w:val="auto"/>
          <w:sz w:val="24"/>
          <w:szCs w:val="24"/>
          <w:highlight w:val="none"/>
        </w:rPr>
        <w:t>尾矿为</w:t>
      </w:r>
      <w:r>
        <w:rPr>
          <w:rFonts w:hint="default" w:ascii="Times New Roman" w:hAnsi="Times New Roman" w:cs="Times New Roman"/>
          <w:color w:val="auto"/>
          <w:sz w:val="24"/>
          <w:szCs w:val="24"/>
          <w:highlight w:val="none"/>
          <w:lang w:val="en-US" w:eastAsia="zh-CN"/>
        </w:rPr>
        <w:t>14.577</w:t>
      </w:r>
      <w:r>
        <w:rPr>
          <w:rFonts w:hint="default" w:ascii="Times New Roman" w:hAnsi="Times New Roman" w:eastAsia="宋体" w:cs="Times New Roman"/>
          <w:color w:val="auto"/>
          <w:sz w:val="24"/>
          <w:szCs w:val="24"/>
          <w:highlight w:val="none"/>
        </w:rPr>
        <w:t>万t/a</w:t>
      </w:r>
      <w:r>
        <w:rPr>
          <w:rFonts w:hint="default" w:ascii="Times New Roman" w:hAnsi="Times New Roman" w:eastAsia="宋体" w:cs="Times New Roman"/>
          <w:color w:val="auto"/>
          <w:sz w:val="24"/>
          <w:szCs w:val="24"/>
          <w:highlight w:val="none"/>
          <w:lang w:val="en-US" w:eastAsia="zh-CN"/>
        </w:rPr>
        <w:t>，经管道泵送至尾矿库内堆存，部分用于回填采坑。</w:t>
      </w:r>
      <w:r>
        <w:rPr>
          <w:rFonts w:hint="default" w:ascii="Times New Roman" w:hAnsi="Times New Roman" w:eastAsia="宋体" w:cs="Times New Roman"/>
          <w:color w:val="auto"/>
          <w:sz w:val="24"/>
          <w:szCs w:val="24"/>
          <w:highlight w:val="none"/>
        </w:rPr>
        <w:t>项目运营</w:t>
      </w:r>
      <w:r>
        <w:rPr>
          <w:rFonts w:hint="default" w:ascii="Times New Roman" w:hAnsi="Times New Roman" w:eastAsia="宋体" w:cs="Times New Roman"/>
          <w:color w:val="auto"/>
          <w:sz w:val="24"/>
          <w:szCs w:val="24"/>
          <w:highlight w:val="none"/>
          <w:lang w:eastAsia="zh-CN"/>
        </w:rPr>
        <w:t>期间</w:t>
      </w:r>
      <w:r>
        <w:rPr>
          <w:rFonts w:hint="default" w:ascii="Times New Roman" w:hAnsi="Times New Roman" w:eastAsia="宋体" w:cs="Times New Roman"/>
          <w:color w:val="auto"/>
          <w:sz w:val="24"/>
          <w:szCs w:val="24"/>
          <w:highlight w:val="none"/>
        </w:rPr>
        <w:t>，尾矿库的干坡面会产生扬尘，由于尾矿含有一定的水分，</w:t>
      </w:r>
      <w:r>
        <w:rPr>
          <w:rFonts w:hint="default" w:ascii="Times New Roman" w:hAnsi="Times New Roman" w:eastAsia="宋体" w:cs="Times New Roman"/>
          <w:color w:val="auto"/>
          <w:sz w:val="24"/>
          <w:szCs w:val="24"/>
          <w:highlight w:val="none"/>
          <w:lang w:eastAsia="zh-CN"/>
        </w:rPr>
        <w:t>采取</w:t>
      </w:r>
      <w:r>
        <w:rPr>
          <w:rFonts w:hint="default" w:ascii="Times New Roman" w:hAnsi="Times New Roman" w:eastAsia="宋体" w:cs="Times New Roman"/>
          <w:color w:val="auto"/>
          <w:sz w:val="24"/>
          <w:szCs w:val="24"/>
          <w:highlight w:val="none"/>
          <w:lang w:val="en-US" w:eastAsia="zh-CN"/>
        </w:rPr>
        <w:t>分段排矿</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洒水降尘</w:t>
      </w:r>
      <w:r>
        <w:rPr>
          <w:rFonts w:hint="default" w:ascii="Times New Roman" w:hAnsi="Times New Roman" w:eastAsia="宋体" w:cs="Times New Roman"/>
          <w:color w:val="auto"/>
          <w:sz w:val="24"/>
          <w:szCs w:val="24"/>
          <w:highlight w:val="none"/>
        </w:rPr>
        <w:t>等措施</w:t>
      </w:r>
      <w:r>
        <w:rPr>
          <w:rFonts w:hint="default" w:ascii="Times New Roman" w:hAnsi="Times New Roman" w:eastAsia="宋体" w:cs="Times New Roman"/>
          <w:color w:val="auto"/>
          <w:sz w:val="24"/>
          <w:szCs w:val="24"/>
          <w:highlight w:val="none"/>
          <w:lang w:eastAsia="zh-CN"/>
        </w:rPr>
        <w:t>，可</w:t>
      </w:r>
      <w:r>
        <w:rPr>
          <w:rFonts w:hint="default" w:ascii="Times New Roman" w:hAnsi="Times New Roman" w:eastAsia="宋体" w:cs="Times New Roman"/>
          <w:color w:val="auto"/>
          <w:sz w:val="24"/>
          <w:szCs w:val="24"/>
          <w:highlight w:val="none"/>
        </w:rPr>
        <w:t>有效防止尾矿起尘</w:t>
      </w:r>
      <w:r>
        <w:rPr>
          <w:rFonts w:hint="default" w:ascii="Times New Roman" w:hAnsi="Times New Roman" w:eastAsia="宋体" w:cs="Times New Roman"/>
          <w:color w:val="auto"/>
          <w:sz w:val="24"/>
          <w:szCs w:val="24"/>
          <w:highlight w:val="none"/>
          <w:lang w:eastAsia="zh-CN"/>
        </w:rPr>
        <w:t>。</w:t>
      </w:r>
    </w:p>
    <w:p w14:paraId="1FCFF809">
      <w:pPr>
        <w:pStyle w:val="7"/>
        <w:spacing w:line="480" w:lineRule="exact"/>
        <w:ind w:firstLine="480"/>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尾矿干滩起尘量的产生采用北京环科院与北大环境中心研究的经验公式</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即：</w:t>
      </w:r>
    </w:p>
    <w:p w14:paraId="3B65305C">
      <w:pPr>
        <w:pStyle w:val="7"/>
        <w:spacing w:line="480" w:lineRule="exact"/>
        <w:ind w:firstLine="480"/>
        <w:jc w:val="center"/>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E=k（0.0008535）U</w:t>
      </w:r>
      <w:r>
        <w:rPr>
          <w:rFonts w:hint="default" w:ascii="Times New Roman" w:hAnsi="Times New Roman" w:eastAsia="宋体" w:cs="Times New Roman"/>
          <w:color w:val="auto"/>
          <w:sz w:val="24"/>
          <w:szCs w:val="28"/>
          <w:highlight w:val="none"/>
          <w:vertAlign w:val="superscript"/>
        </w:rPr>
        <w:t>3.22</w:t>
      </w:r>
      <w:r>
        <w:rPr>
          <w:rFonts w:hint="default" w:ascii="Times New Roman" w:hAnsi="Times New Roman" w:eastAsia="宋体" w:cs="Times New Roman"/>
          <w:color w:val="auto"/>
          <w:sz w:val="24"/>
          <w:szCs w:val="28"/>
          <w:highlight w:val="none"/>
        </w:rPr>
        <w:t>e</w:t>
      </w:r>
      <w:r>
        <w:rPr>
          <w:rFonts w:hint="default" w:ascii="Times New Roman" w:hAnsi="Times New Roman" w:eastAsia="宋体" w:cs="Times New Roman"/>
          <w:color w:val="auto"/>
          <w:sz w:val="24"/>
          <w:szCs w:val="28"/>
          <w:highlight w:val="none"/>
          <w:vertAlign w:val="superscript"/>
        </w:rPr>
        <w:t>-0.2W</w:t>
      </w:r>
    </w:p>
    <w:p w14:paraId="19C3DAEC">
      <w:pPr>
        <w:pStyle w:val="7"/>
        <w:spacing w:line="480" w:lineRule="exact"/>
        <w:ind w:firstLine="480"/>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式中：E</w:t>
      </w:r>
      <w:r>
        <w:rPr>
          <w:rFonts w:hint="default" w:ascii="Times New Roman" w:hAnsi="Times New Roman" w:eastAsia="宋体"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rPr>
        <w:t>起尘量，kg/t（物料）</w:t>
      </w:r>
    </w:p>
    <w:p w14:paraId="49047166">
      <w:pPr>
        <w:pStyle w:val="7"/>
        <w:spacing w:line="480" w:lineRule="exact"/>
        <w:ind w:firstLine="1200" w:firstLineChars="500"/>
        <w:rPr>
          <w:rFonts w:hint="default" w:ascii="Times New Roman" w:hAnsi="Times New Roman" w:eastAsia="宋体" w:cs="Times New Roman"/>
          <w:color w:val="auto"/>
          <w:sz w:val="24"/>
          <w:szCs w:val="28"/>
          <w:highlight w:val="none"/>
          <w:lang w:eastAsia="zh-CN"/>
        </w:rPr>
      </w:pPr>
      <w:r>
        <w:rPr>
          <w:rFonts w:hint="default" w:ascii="Times New Roman" w:hAnsi="Times New Roman" w:eastAsia="宋体" w:cs="Times New Roman"/>
          <w:color w:val="auto"/>
          <w:sz w:val="24"/>
          <w:szCs w:val="28"/>
          <w:highlight w:val="none"/>
          <w:lang w:val="en-US" w:eastAsia="zh-CN"/>
        </w:rPr>
        <w:t>k--</w:t>
      </w:r>
      <w:r>
        <w:rPr>
          <w:rFonts w:hint="default" w:ascii="Times New Roman" w:hAnsi="Times New Roman" w:eastAsia="宋体" w:cs="Times New Roman"/>
          <w:color w:val="auto"/>
          <w:sz w:val="24"/>
          <w:szCs w:val="28"/>
          <w:highlight w:val="none"/>
        </w:rPr>
        <w:t>输沙量</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kg/m·h</w:t>
      </w:r>
      <w:r>
        <w:rPr>
          <w:rFonts w:hint="default" w:ascii="Times New Roman" w:hAnsi="Times New Roman" w:eastAsia="宋体" w:cs="Times New Roman"/>
          <w:color w:val="auto"/>
          <w:sz w:val="24"/>
          <w:szCs w:val="28"/>
          <w:highlight w:val="none"/>
          <w:lang w:eastAsia="zh-CN"/>
        </w:rPr>
        <w:t>；</w:t>
      </w:r>
    </w:p>
    <w:p w14:paraId="215E329B">
      <w:pPr>
        <w:pStyle w:val="7"/>
        <w:spacing w:line="480" w:lineRule="exact"/>
        <w:ind w:firstLine="1200" w:firstLineChars="500"/>
        <w:rPr>
          <w:rFonts w:hint="default" w:ascii="Times New Roman" w:hAnsi="Times New Roman" w:eastAsia="宋体" w:cs="Times New Roman"/>
          <w:color w:val="auto"/>
          <w:sz w:val="24"/>
          <w:szCs w:val="28"/>
          <w:highlight w:val="none"/>
          <w:lang w:val="en-US" w:eastAsia="zh-CN"/>
        </w:rPr>
      </w:pPr>
      <w:r>
        <w:rPr>
          <w:rFonts w:hint="default" w:ascii="Times New Roman" w:hAnsi="Times New Roman" w:eastAsia="宋体" w:cs="Times New Roman"/>
          <w:color w:val="auto"/>
          <w:sz w:val="24"/>
          <w:szCs w:val="28"/>
          <w:highlight w:val="none"/>
        </w:rPr>
        <w:t>U</w:t>
      </w:r>
      <w:r>
        <w:rPr>
          <w:rFonts w:hint="default" w:ascii="Times New Roman" w:hAnsi="Times New Roman" w:eastAsia="宋体"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rPr>
        <w:t>地面风速，m/s</w:t>
      </w:r>
      <w:r>
        <w:rPr>
          <w:rFonts w:hint="default" w:ascii="Times New Roman" w:hAnsi="Times New Roman" w:eastAsia="宋体" w:cs="Times New Roman"/>
          <w:color w:val="auto"/>
          <w:sz w:val="24"/>
          <w:szCs w:val="28"/>
          <w:highlight w:val="none"/>
          <w:lang w:eastAsia="zh-CN"/>
        </w:rPr>
        <w:t>；</w:t>
      </w:r>
    </w:p>
    <w:p w14:paraId="6B592448">
      <w:pPr>
        <w:pStyle w:val="7"/>
        <w:spacing w:line="480" w:lineRule="exact"/>
        <w:ind w:firstLine="1200" w:firstLineChars="500"/>
        <w:rPr>
          <w:rFonts w:hint="default" w:ascii="Times New Roman" w:hAnsi="Times New Roman" w:eastAsia="宋体" w:cs="Times New Roman"/>
          <w:color w:val="auto"/>
          <w:sz w:val="24"/>
          <w:szCs w:val="28"/>
          <w:highlight w:val="none"/>
          <w:lang w:eastAsia="zh-CN"/>
        </w:rPr>
      </w:pPr>
      <w:r>
        <w:rPr>
          <w:rFonts w:hint="default" w:ascii="Times New Roman" w:hAnsi="Times New Roman" w:eastAsia="宋体" w:cs="Times New Roman"/>
          <w:color w:val="auto"/>
          <w:sz w:val="24"/>
          <w:szCs w:val="28"/>
          <w:highlight w:val="none"/>
        </w:rPr>
        <w:t>W</w:t>
      </w:r>
      <w:r>
        <w:rPr>
          <w:rFonts w:hint="default" w:ascii="Times New Roman" w:hAnsi="Times New Roman" w:eastAsia="宋体"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rPr>
        <w:t>物料含水率，%</w:t>
      </w:r>
      <w:r>
        <w:rPr>
          <w:rFonts w:hint="default" w:ascii="Times New Roman" w:hAnsi="Times New Roman" w:eastAsia="宋体" w:cs="Times New Roman"/>
          <w:color w:val="auto"/>
          <w:sz w:val="24"/>
          <w:szCs w:val="28"/>
          <w:highlight w:val="none"/>
          <w:lang w:eastAsia="zh-CN"/>
        </w:rPr>
        <w:t>。</w:t>
      </w:r>
    </w:p>
    <w:p w14:paraId="7A17EE17">
      <w:pPr>
        <w:pStyle w:val="7"/>
        <w:spacing w:line="480" w:lineRule="exact"/>
        <w:ind w:firstLine="480"/>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本次评价通过类比同类尾矿的风洞试验，确定尾砂起</w:t>
      </w:r>
      <w:r>
        <w:rPr>
          <w:rFonts w:hint="default" w:ascii="Times New Roman" w:hAnsi="Times New Roman" w:eastAsia="宋体" w:cs="Times New Roman"/>
          <w:color w:val="auto"/>
          <w:sz w:val="24"/>
          <w:szCs w:val="28"/>
          <w:highlight w:val="none"/>
          <w:lang w:eastAsia="zh-CN"/>
        </w:rPr>
        <w:t>尘</w:t>
      </w:r>
      <w:r>
        <w:rPr>
          <w:rFonts w:hint="default" w:ascii="Times New Roman" w:hAnsi="Times New Roman" w:eastAsia="宋体" w:cs="Times New Roman"/>
          <w:color w:val="auto"/>
          <w:sz w:val="24"/>
          <w:szCs w:val="28"/>
          <w:highlight w:val="none"/>
        </w:rPr>
        <w:t>风速约为6m/s，干滩尾矿含水率按</w:t>
      </w:r>
      <w:r>
        <w:rPr>
          <w:rFonts w:hint="default" w:ascii="Times New Roman" w:hAnsi="Times New Roman" w:eastAsia="宋体" w:cs="Times New Roman"/>
          <w:color w:val="auto"/>
          <w:sz w:val="24"/>
          <w:szCs w:val="28"/>
          <w:highlight w:val="none"/>
          <w:lang w:val="en-US" w:eastAsia="zh-CN"/>
        </w:rPr>
        <w:t>20</w:t>
      </w:r>
      <w:r>
        <w:rPr>
          <w:rFonts w:hint="default" w:ascii="Times New Roman" w:hAnsi="Times New Roman" w:eastAsia="宋体" w:cs="Times New Roman"/>
          <w:color w:val="auto"/>
          <w:sz w:val="24"/>
          <w:szCs w:val="28"/>
          <w:highlight w:val="none"/>
        </w:rPr>
        <w:t>%计，不同风速下的输沙量见表3.</w:t>
      </w:r>
      <w:r>
        <w:rPr>
          <w:rFonts w:hint="default" w:ascii="Times New Roman" w:hAnsi="Times New Roman" w:cs="Times New Roman"/>
          <w:color w:val="auto"/>
          <w:sz w:val="24"/>
          <w:szCs w:val="28"/>
          <w:highlight w:val="none"/>
          <w:lang w:val="en-US" w:eastAsia="zh-CN"/>
        </w:rPr>
        <w:t>3</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9</w:t>
      </w:r>
      <w:r>
        <w:rPr>
          <w:rFonts w:hint="default" w:ascii="Times New Roman" w:hAnsi="Times New Roman" w:eastAsia="宋体" w:cs="Times New Roman"/>
          <w:color w:val="auto"/>
          <w:sz w:val="24"/>
          <w:szCs w:val="28"/>
          <w:highlight w:val="none"/>
        </w:rPr>
        <w:t>。</w:t>
      </w:r>
    </w:p>
    <w:p w14:paraId="2315D14B">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auto"/>
          <w:kern w:val="0"/>
          <w:sz w:val="24"/>
          <w:szCs w:val="28"/>
          <w:highlight w:val="none"/>
          <w:lang w:val="en-US" w:eastAsia="zh-CN" w:bidi="ar-SA"/>
        </w:rPr>
      </w:pPr>
      <w:r>
        <w:rPr>
          <w:rFonts w:hint="default" w:ascii="Times New Roman" w:hAnsi="Times New Roman" w:eastAsia="宋体" w:cs="Times New Roman"/>
          <w:b/>
          <w:bCs/>
          <w:color w:val="auto"/>
          <w:kern w:val="0"/>
          <w:sz w:val="24"/>
          <w:szCs w:val="28"/>
          <w:highlight w:val="none"/>
          <w:lang w:val="en-US" w:eastAsia="zh-CN" w:bidi="ar-SA"/>
        </w:rPr>
        <w:t>表3.</w:t>
      </w:r>
      <w:r>
        <w:rPr>
          <w:rFonts w:hint="default" w:ascii="Times New Roman" w:hAnsi="Times New Roman" w:cs="Times New Roman"/>
          <w:b/>
          <w:bCs/>
          <w:color w:val="auto"/>
          <w:kern w:val="0"/>
          <w:sz w:val="24"/>
          <w:szCs w:val="28"/>
          <w:highlight w:val="none"/>
          <w:lang w:val="en-US" w:eastAsia="zh-CN" w:bidi="ar-SA"/>
        </w:rPr>
        <w:t>3</w:t>
      </w:r>
      <w:r>
        <w:rPr>
          <w:rFonts w:hint="default" w:ascii="Times New Roman" w:hAnsi="Times New Roman" w:eastAsia="宋体" w:cs="Times New Roman"/>
          <w:b/>
          <w:bCs/>
          <w:color w:val="auto"/>
          <w:kern w:val="0"/>
          <w:sz w:val="24"/>
          <w:szCs w:val="28"/>
          <w:highlight w:val="none"/>
          <w:lang w:val="en-US" w:eastAsia="zh-CN" w:bidi="ar-SA"/>
        </w:rPr>
        <w:t>-9    不同风速下的输沙量</w:t>
      </w:r>
    </w:p>
    <w:tbl>
      <w:tblPr>
        <w:tblStyle w:val="33"/>
        <w:tblW w:w="4997" w:type="pct"/>
        <w:jc w:val="center"/>
        <w:tblLayout w:type="autofit"/>
        <w:tblCellMar>
          <w:top w:w="0" w:type="dxa"/>
          <w:left w:w="0" w:type="dxa"/>
          <w:bottom w:w="0" w:type="dxa"/>
          <w:right w:w="0" w:type="dxa"/>
        </w:tblCellMar>
      </w:tblPr>
      <w:tblGrid>
        <w:gridCol w:w="1835"/>
        <w:gridCol w:w="1445"/>
        <w:gridCol w:w="1210"/>
        <w:gridCol w:w="1497"/>
        <w:gridCol w:w="1498"/>
        <w:gridCol w:w="1498"/>
      </w:tblGrid>
      <w:tr w14:paraId="4A141318">
        <w:tblPrEx>
          <w:tblCellMar>
            <w:top w:w="0" w:type="dxa"/>
            <w:left w:w="0" w:type="dxa"/>
            <w:bottom w:w="0" w:type="dxa"/>
            <w:right w:w="0" w:type="dxa"/>
          </w:tblCellMar>
        </w:tblPrEx>
        <w:trPr>
          <w:trHeight w:val="340" w:hRule="atLeast"/>
          <w:jc w:val="center"/>
        </w:trPr>
        <w:tc>
          <w:tcPr>
            <w:tcW w:w="1021" w:type="pct"/>
            <w:tcBorders>
              <w:top w:val="single" w:color="000000" w:sz="12" w:space="0"/>
              <w:left w:val="single" w:color="000000" w:sz="12" w:space="0"/>
              <w:bottom w:val="single" w:color="000000" w:sz="6" w:space="0"/>
              <w:right w:val="single" w:color="000000" w:sz="6" w:space="0"/>
            </w:tcBorders>
            <w:noWrap w:val="0"/>
            <w:vAlign w:val="center"/>
          </w:tcPr>
          <w:p w14:paraId="778836D0">
            <w:pPr>
              <w:pStyle w:val="45"/>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风速（m/s）</w:t>
            </w:r>
          </w:p>
        </w:tc>
        <w:tc>
          <w:tcPr>
            <w:tcW w:w="804" w:type="pct"/>
            <w:tcBorders>
              <w:top w:val="single" w:color="000000" w:sz="12" w:space="0"/>
              <w:left w:val="single" w:color="000000" w:sz="6" w:space="0"/>
              <w:bottom w:val="single" w:color="000000" w:sz="6" w:space="0"/>
              <w:right w:val="single" w:color="000000" w:sz="6" w:space="0"/>
            </w:tcBorders>
            <w:noWrap w:val="0"/>
            <w:vAlign w:val="center"/>
          </w:tcPr>
          <w:p w14:paraId="27E7C835">
            <w:pPr>
              <w:pStyle w:val="45"/>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6</w:t>
            </w:r>
          </w:p>
        </w:tc>
        <w:tc>
          <w:tcPr>
            <w:tcW w:w="673" w:type="pct"/>
            <w:tcBorders>
              <w:top w:val="single" w:color="000000" w:sz="12" w:space="0"/>
              <w:left w:val="single" w:color="000000" w:sz="6" w:space="0"/>
              <w:bottom w:val="single" w:color="000000" w:sz="6" w:space="0"/>
              <w:right w:val="single" w:color="000000" w:sz="6" w:space="0"/>
            </w:tcBorders>
            <w:noWrap w:val="0"/>
            <w:vAlign w:val="center"/>
          </w:tcPr>
          <w:p w14:paraId="609D676E">
            <w:pPr>
              <w:pStyle w:val="45"/>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8</w:t>
            </w:r>
          </w:p>
        </w:tc>
        <w:tc>
          <w:tcPr>
            <w:tcW w:w="833" w:type="pct"/>
            <w:tcBorders>
              <w:top w:val="single" w:color="000000" w:sz="12" w:space="0"/>
              <w:left w:val="single" w:color="000000" w:sz="6" w:space="0"/>
              <w:bottom w:val="single" w:color="000000" w:sz="6" w:space="0"/>
              <w:right w:val="single" w:color="000000" w:sz="6" w:space="0"/>
            </w:tcBorders>
            <w:noWrap w:val="0"/>
            <w:vAlign w:val="center"/>
          </w:tcPr>
          <w:p w14:paraId="1C4746E6">
            <w:pPr>
              <w:pStyle w:val="45"/>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10</w:t>
            </w:r>
          </w:p>
        </w:tc>
        <w:tc>
          <w:tcPr>
            <w:tcW w:w="833" w:type="pct"/>
            <w:tcBorders>
              <w:top w:val="single" w:color="000000" w:sz="12" w:space="0"/>
              <w:left w:val="single" w:color="000000" w:sz="6" w:space="0"/>
              <w:bottom w:val="single" w:color="000000" w:sz="6" w:space="0"/>
              <w:right w:val="single" w:color="000000" w:sz="6" w:space="0"/>
            </w:tcBorders>
            <w:noWrap w:val="0"/>
            <w:vAlign w:val="center"/>
          </w:tcPr>
          <w:p w14:paraId="34E5DB2B">
            <w:pPr>
              <w:pStyle w:val="45"/>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12</w:t>
            </w:r>
          </w:p>
        </w:tc>
        <w:tc>
          <w:tcPr>
            <w:tcW w:w="833" w:type="pct"/>
            <w:tcBorders>
              <w:top w:val="single" w:color="000000" w:sz="12" w:space="0"/>
              <w:left w:val="single" w:color="000000" w:sz="6" w:space="0"/>
              <w:bottom w:val="single" w:color="000000" w:sz="6" w:space="0"/>
              <w:right w:val="single" w:color="000000" w:sz="12" w:space="0"/>
            </w:tcBorders>
            <w:noWrap w:val="0"/>
            <w:vAlign w:val="center"/>
          </w:tcPr>
          <w:p w14:paraId="464BBFEF">
            <w:pPr>
              <w:pStyle w:val="45"/>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15</w:t>
            </w:r>
          </w:p>
        </w:tc>
      </w:tr>
      <w:tr w14:paraId="63D2D6CF">
        <w:tblPrEx>
          <w:tblCellMar>
            <w:top w:w="0" w:type="dxa"/>
            <w:left w:w="0" w:type="dxa"/>
            <w:bottom w:w="0" w:type="dxa"/>
            <w:right w:w="0" w:type="dxa"/>
          </w:tblCellMar>
        </w:tblPrEx>
        <w:trPr>
          <w:trHeight w:val="340" w:hRule="atLeast"/>
          <w:jc w:val="center"/>
        </w:trPr>
        <w:tc>
          <w:tcPr>
            <w:tcW w:w="1021" w:type="pct"/>
            <w:tcBorders>
              <w:top w:val="single" w:color="000000" w:sz="6" w:space="0"/>
              <w:left w:val="single" w:color="000000" w:sz="12" w:space="0"/>
              <w:bottom w:val="single" w:color="000000" w:sz="12" w:space="0"/>
              <w:right w:val="single" w:color="000000" w:sz="6" w:space="0"/>
            </w:tcBorders>
            <w:noWrap w:val="0"/>
            <w:vAlign w:val="center"/>
          </w:tcPr>
          <w:p w14:paraId="407C0787">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输沙量</w:t>
            </w:r>
            <w:r>
              <w:rPr>
                <w:rFonts w:hint="default" w:ascii="Times New Roman" w:hAnsi="Times New Roman" w:eastAsia="宋体" w:cs="Times New Roman"/>
                <w:color w:val="auto"/>
                <w:spacing w:val="-1"/>
                <w:sz w:val="21"/>
                <w:szCs w:val="21"/>
                <w:highlight w:val="none"/>
              </w:rPr>
              <w:t>（kg/m</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spacing w:val="-1"/>
                <w:sz w:val="21"/>
                <w:szCs w:val="21"/>
                <w:highlight w:val="none"/>
              </w:rPr>
              <w:t>h）</w:t>
            </w:r>
          </w:p>
        </w:tc>
        <w:tc>
          <w:tcPr>
            <w:tcW w:w="804" w:type="pct"/>
            <w:tcBorders>
              <w:top w:val="single" w:color="000000" w:sz="6" w:space="0"/>
              <w:left w:val="single" w:color="000000" w:sz="6" w:space="0"/>
              <w:bottom w:val="single" w:color="000000" w:sz="12" w:space="0"/>
              <w:right w:val="single" w:color="000000" w:sz="6" w:space="0"/>
            </w:tcBorders>
            <w:noWrap w:val="0"/>
            <w:vAlign w:val="center"/>
          </w:tcPr>
          <w:p w14:paraId="6B719CAA">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673" w:type="pct"/>
            <w:tcBorders>
              <w:top w:val="single" w:color="000000" w:sz="6" w:space="0"/>
              <w:left w:val="single" w:color="000000" w:sz="6" w:space="0"/>
              <w:bottom w:val="single" w:color="000000" w:sz="12" w:space="0"/>
              <w:right w:val="single" w:color="000000" w:sz="6" w:space="0"/>
            </w:tcBorders>
            <w:noWrap w:val="0"/>
            <w:vAlign w:val="center"/>
          </w:tcPr>
          <w:p w14:paraId="03083D30">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833" w:type="pct"/>
            <w:tcBorders>
              <w:top w:val="single" w:color="000000" w:sz="6" w:space="0"/>
              <w:left w:val="single" w:color="000000" w:sz="6" w:space="0"/>
              <w:bottom w:val="single" w:color="000000" w:sz="12" w:space="0"/>
              <w:right w:val="single" w:color="000000" w:sz="6" w:space="0"/>
            </w:tcBorders>
            <w:noWrap w:val="0"/>
            <w:vAlign w:val="center"/>
          </w:tcPr>
          <w:p w14:paraId="64E777A0">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19.84</w:t>
            </w:r>
          </w:p>
        </w:tc>
        <w:tc>
          <w:tcPr>
            <w:tcW w:w="833" w:type="pct"/>
            <w:tcBorders>
              <w:top w:val="single" w:color="000000" w:sz="6" w:space="0"/>
              <w:left w:val="single" w:color="000000" w:sz="6" w:space="0"/>
              <w:bottom w:val="single" w:color="000000" w:sz="12" w:space="0"/>
              <w:right w:val="single" w:color="000000" w:sz="6" w:space="0"/>
            </w:tcBorders>
            <w:noWrap w:val="0"/>
            <w:vAlign w:val="center"/>
          </w:tcPr>
          <w:p w14:paraId="03BD5F84">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44.0</w:t>
            </w:r>
          </w:p>
        </w:tc>
        <w:tc>
          <w:tcPr>
            <w:tcW w:w="833" w:type="pct"/>
            <w:tcBorders>
              <w:top w:val="single" w:color="000000" w:sz="6" w:space="0"/>
              <w:left w:val="single" w:color="000000" w:sz="6" w:space="0"/>
              <w:bottom w:val="single" w:color="000000" w:sz="12" w:space="0"/>
              <w:right w:val="single" w:color="000000" w:sz="12" w:space="0"/>
            </w:tcBorders>
            <w:noWrap w:val="0"/>
            <w:vAlign w:val="center"/>
          </w:tcPr>
          <w:p w14:paraId="66382DA5">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97.7</w:t>
            </w:r>
          </w:p>
        </w:tc>
      </w:tr>
    </w:tbl>
    <w:p w14:paraId="52F1E8C1">
      <w:pPr>
        <w:pStyle w:val="7"/>
        <w:spacing w:line="480" w:lineRule="exact"/>
        <w:ind w:firstLine="480"/>
        <w:jc w:val="both"/>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根据不同风速下的输沙量和本地区年主导风向发生的小时数以及规范要求尾矿库最小干滩长度及所形成面积，就可计算出尾矿库扬尘量。本项目环评选用风速为6.0m/s时的输</w:t>
      </w:r>
      <w:r>
        <w:rPr>
          <w:rFonts w:hint="default" w:ascii="Times New Roman" w:hAnsi="Times New Roman" w:eastAsia="宋体" w:cs="Times New Roman"/>
          <w:color w:val="auto"/>
          <w:sz w:val="24"/>
          <w:szCs w:val="28"/>
          <w:highlight w:val="none"/>
          <w:lang w:eastAsia="zh-CN"/>
        </w:rPr>
        <w:t>沙</w:t>
      </w:r>
      <w:r>
        <w:rPr>
          <w:rFonts w:hint="default" w:ascii="Times New Roman" w:hAnsi="Times New Roman" w:eastAsia="宋体" w:cs="Times New Roman"/>
          <w:color w:val="auto"/>
          <w:sz w:val="24"/>
          <w:szCs w:val="28"/>
          <w:highlight w:val="none"/>
        </w:rPr>
        <w:t>量，其输沙量为0.01kg/（m·h），尾矿库年</w:t>
      </w:r>
      <w:r>
        <w:rPr>
          <w:rFonts w:hint="default" w:ascii="Times New Roman" w:hAnsi="Times New Roman" w:cs="Times New Roman"/>
          <w:color w:val="auto"/>
          <w:sz w:val="24"/>
          <w:szCs w:val="28"/>
          <w:highlight w:val="none"/>
          <w:lang w:val="en-US" w:eastAsia="zh-CN"/>
        </w:rPr>
        <w:t>产生</w:t>
      </w:r>
      <w:r>
        <w:rPr>
          <w:rFonts w:hint="default" w:ascii="Times New Roman" w:hAnsi="Times New Roman" w:eastAsia="宋体" w:cs="Times New Roman"/>
          <w:color w:val="auto"/>
          <w:sz w:val="24"/>
          <w:szCs w:val="28"/>
          <w:highlight w:val="none"/>
        </w:rPr>
        <w:t>尾砂为</w:t>
      </w:r>
      <w:r>
        <w:rPr>
          <w:rFonts w:hint="default" w:ascii="Times New Roman" w:hAnsi="Times New Roman" w:cs="Times New Roman"/>
          <w:color w:val="auto"/>
          <w:sz w:val="24"/>
          <w:szCs w:val="28"/>
          <w:highlight w:val="none"/>
          <w:lang w:val="en-US" w:eastAsia="zh-CN"/>
        </w:rPr>
        <w:t>14.577</w:t>
      </w:r>
      <w:r>
        <w:rPr>
          <w:rFonts w:hint="default" w:ascii="Times New Roman" w:hAnsi="Times New Roman" w:eastAsia="宋体" w:cs="Times New Roman"/>
          <w:color w:val="auto"/>
          <w:sz w:val="24"/>
          <w:szCs w:val="28"/>
          <w:highlight w:val="none"/>
        </w:rPr>
        <w:t>万t/a，</w:t>
      </w:r>
      <w:r>
        <w:rPr>
          <w:rFonts w:hint="default" w:ascii="Times New Roman" w:hAnsi="Times New Roman" w:cs="Times New Roman"/>
          <w:color w:val="auto"/>
          <w:sz w:val="24"/>
          <w:szCs w:val="28"/>
          <w:highlight w:val="none"/>
          <w:lang w:val="en-US" w:eastAsia="zh-CN"/>
        </w:rPr>
        <w:t>其中</w:t>
      </w:r>
      <w:r>
        <w:rPr>
          <w:rFonts w:hint="default" w:ascii="Times New Roman" w:hAnsi="Times New Roman" w:cs="Times New Roman"/>
          <w:color w:val="auto"/>
          <w:sz w:val="24"/>
          <w:szCs w:val="28"/>
          <w:highlight w:val="none"/>
        </w:rPr>
        <w:t>入库尾砂量</w:t>
      </w:r>
      <w:r>
        <w:rPr>
          <w:rFonts w:hint="default" w:ascii="Times New Roman" w:hAnsi="Times New Roman" w:cs="Times New Roman"/>
          <w:color w:val="auto"/>
          <w:sz w:val="24"/>
          <w:szCs w:val="28"/>
          <w:highlight w:val="none"/>
          <w:lang w:val="en-US" w:eastAsia="zh-CN"/>
        </w:rPr>
        <w:t>5.7</w:t>
      </w:r>
      <w:r>
        <w:rPr>
          <w:rFonts w:hint="default" w:ascii="Times New Roman" w:hAnsi="Times New Roman" w:cs="Times New Roman"/>
          <w:color w:val="auto"/>
          <w:sz w:val="24"/>
          <w:szCs w:val="28"/>
          <w:highlight w:val="none"/>
        </w:rPr>
        <w:t>万t/a</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由此计算出尾矿库起尘量为0.</w:t>
      </w:r>
      <w:r>
        <w:rPr>
          <w:rFonts w:hint="default" w:ascii="Times New Roman" w:hAnsi="Times New Roman" w:eastAsia="宋体" w:cs="Times New Roman"/>
          <w:color w:val="auto"/>
          <w:sz w:val="24"/>
          <w:szCs w:val="28"/>
          <w:highlight w:val="none"/>
          <w:lang w:val="en-US" w:eastAsia="zh-CN"/>
        </w:rPr>
        <w:t>00</w:t>
      </w:r>
      <w:r>
        <w:rPr>
          <w:rFonts w:hint="default" w:ascii="Times New Roman" w:hAnsi="Times New Roman" w:cs="Times New Roman"/>
          <w:color w:val="auto"/>
          <w:sz w:val="24"/>
          <w:szCs w:val="28"/>
          <w:highlight w:val="none"/>
          <w:lang w:val="en-US" w:eastAsia="zh-CN"/>
        </w:rPr>
        <w:t>26</w:t>
      </w:r>
      <w:r>
        <w:rPr>
          <w:rFonts w:hint="default" w:ascii="Times New Roman" w:hAnsi="Times New Roman" w:eastAsia="宋体" w:cs="Times New Roman"/>
          <w:color w:val="auto"/>
          <w:sz w:val="24"/>
          <w:szCs w:val="28"/>
          <w:highlight w:val="none"/>
          <w:lang w:val="en-US" w:eastAsia="zh-CN"/>
        </w:rPr>
        <w:t>kg</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t</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lang w:val="en-US" w:eastAsia="zh-CN"/>
        </w:rPr>
        <w:t>则产生量为</w:t>
      </w:r>
      <w:r>
        <w:rPr>
          <w:rFonts w:hint="default" w:ascii="Times New Roman" w:hAnsi="Times New Roman" w:cs="Times New Roman"/>
          <w:color w:val="auto"/>
          <w:sz w:val="24"/>
          <w:szCs w:val="28"/>
          <w:highlight w:val="none"/>
          <w:lang w:val="en-US" w:eastAsia="zh-CN"/>
        </w:rPr>
        <w:t>0.148</w:t>
      </w:r>
      <w:r>
        <w:rPr>
          <w:rFonts w:hint="default" w:ascii="Times New Roman" w:hAnsi="Times New Roman" w:eastAsia="宋体" w:cs="Times New Roman"/>
          <w:color w:val="auto"/>
          <w:sz w:val="24"/>
          <w:szCs w:val="28"/>
          <w:highlight w:val="none"/>
        </w:rPr>
        <w:t>t/a</w:t>
      </w:r>
      <w:r>
        <w:rPr>
          <w:rFonts w:hint="default" w:ascii="Times New Roman" w:hAnsi="Times New Roman" w:eastAsia="宋体" w:cs="Times New Roman"/>
          <w:color w:val="auto"/>
          <w:sz w:val="24"/>
          <w:szCs w:val="28"/>
          <w:highlight w:val="none"/>
          <w:lang w:eastAsia="zh-CN"/>
        </w:rPr>
        <w:t>，采取洒水措施</w:t>
      </w:r>
      <w:r>
        <w:rPr>
          <w:rFonts w:hint="default" w:ascii="Times New Roman" w:hAnsi="Times New Roman" w:eastAsia="宋体" w:cs="Times New Roman"/>
          <w:color w:val="auto"/>
          <w:sz w:val="24"/>
          <w:szCs w:val="28"/>
          <w:highlight w:val="none"/>
        </w:rPr>
        <w:t>可将粉尘排放减少</w:t>
      </w:r>
      <w:r>
        <w:rPr>
          <w:rFonts w:hint="default" w:ascii="Times New Roman" w:hAnsi="Times New Roman" w:cs="Times New Roman"/>
          <w:color w:val="auto"/>
          <w:sz w:val="24"/>
          <w:szCs w:val="28"/>
          <w:highlight w:val="none"/>
          <w:lang w:val="en-US" w:eastAsia="zh-CN"/>
        </w:rPr>
        <w:t>74</w:t>
      </w:r>
      <w:r>
        <w:rPr>
          <w:rFonts w:hint="default" w:ascii="Times New Roman" w:hAnsi="Times New Roman" w:eastAsia="宋体" w:cs="Times New Roman"/>
          <w:color w:val="auto"/>
          <w:sz w:val="24"/>
          <w:szCs w:val="28"/>
          <w:highlight w:val="none"/>
        </w:rPr>
        <w:t>%，采取措施后尾矿库无组织扬尘排放量为</w:t>
      </w:r>
      <w:r>
        <w:rPr>
          <w:rFonts w:hint="default" w:ascii="Times New Roman" w:hAnsi="Times New Roman" w:cs="Times New Roman"/>
          <w:color w:val="auto"/>
          <w:sz w:val="24"/>
          <w:szCs w:val="28"/>
          <w:highlight w:val="none"/>
          <w:lang w:val="en-US" w:eastAsia="zh-CN"/>
        </w:rPr>
        <w:t>0.038</w:t>
      </w:r>
      <w:r>
        <w:rPr>
          <w:rFonts w:hint="default" w:ascii="Times New Roman" w:hAnsi="Times New Roman" w:eastAsia="宋体" w:cs="Times New Roman"/>
          <w:color w:val="auto"/>
          <w:sz w:val="24"/>
          <w:szCs w:val="28"/>
          <w:highlight w:val="none"/>
          <w:lang w:val="en-US" w:eastAsia="zh-CN"/>
        </w:rPr>
        <w:t>t</w:t>
      </w:r>
      <w:r>
        <w:rPr>
          <w:rFonts w:hint="default" w:ascii="Times New Roman" w:hAnsi="Times New Roman" w:eastAsia="宋体" w:cs="Times New Roman"/>
          <w:color w:val="auto"/>
          <w:sz w:val="24"/>
          <w:szCs w:val="28"/>
          <w:highlight w:val="none"/>
        </w:rPr>
        <w:t>/a。</w:t>
      </w:r>
    </w:p>
    <w:p w14:paraId="0D65ACA2">
      <w:pPr>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（3）小结</w:t>
      </w:r>
    </w:p>
    <w:p w14:paraId="15F7AC0C">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本项目大气污染源、污染物产排情况及污染治理措施见表3.</w:t>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-10</w:t>
      </w:r>
      <w:r>
        <w:rPr>
          <w:rFonts w:hint="default" w:ascii="Times New Roman" w:hAnsi="Times New Roman" w:cs="Times New Roman"/>
          <w:color w:val="auto"/>
          <w:sz w:val="24"/>
          <w:highlight w:val="none"/>
          <w:lang w:val="en-US" w:eastAsia="zh-CN"/>
        </w:rPr>
        <w:t>，本项目主要大气污染物排放总量见表3.3-11</w:t>
      </w:r>
      <w:r>
        <w:rPr>
          <w:rFonts w:hint="default" w:ascii="Times New Roman" w:hAnsi="Times New Roman" w:eastAsia="宋体" w:cs="Times New Roman"/>
          <w:color w:val="auto"/>
          <w:sz w:val="24"/>
          <w:highlight w:val="none"/>
          <w:lang w:val="en-US" w:eastAsia="zh-CN"/>
        </w:rPr>
        <w:t>。</w:t>
      </w:r>
    </w:p>
    <w:p w14:paraId="6F7A83E2">
      <w:pPr>
        <w:keepNext w:val="0"/>
        <w:keepLines w:val="0"/>
        <w:pageBreakBefore w:val="0"/>
        <w:kinsoku/>
        <w:wordWrap/>
        <w:overflowPunct/>
        <w:topLinePunct w:val="0"/>
        <w:autoSpaceDE/>
        <w:autoSpaceDN/>
        <w:bidi w:val="0"/>
        <w:adjustRightInd/>
        <w:snapToGrid/>
        <w:spacing w:line="480" w:lineRule="exact"/>
        <w:ind w:firstLine="0" w:firstLineChars="0"/>
        <w:jc w:val="both"/>
        <w:textAlignment w:val="auto"/>
        <w:rPr>
          <w:rFonts w:hint="default" w:ascii="Times New Roman" w:hAnsi="Times New Roman" w:eastAsia="宋体" w:cs="Times New Roman"/>
          <w:color w:val="auto"/>
          <w:sz w:val="24"/>
          <w:highlight w:val="none"/>
          <w:lang w:val="en-US" w:eastAsia="zh-CN"/>
        </w:rPr>
      </w:pPr>
    </w:p>
    <w:p w14:paraId="517A9F2A">
      <w:pPr>
        <w:keepNext w:val="0"/>
        <w:keepLines w:val="0"/>
        <w:pageBreakBefore w:val="0"/>
        <w:kinsoku/>
        <w:wordWrap/>
        <w:overflowPunct/>
        <w:topLinePunct w:val="0"/>
        <w:autoSpaceDE/>
        <w:autoSpaceDN/>
        <w:bidi w:val="0"/>
        <w:adjustRightInd/>
        <w:snapToGrid/>
        <w:spacing w:line="480" w:lineRule="exact"/>
        <w:ind w:firstLine="0" w:firstLineChars="0"/>
        <w:jc w:val="both"/>
        <w:textAlignment w:val="auto"/>
        <w:rPr>
          <w:rFonts w:hint="default" w:ascii="Times New Roman" w:hAnsi="Times New Roman" w:eastAsia="宋体" w:cs="Times New Roman"/>
          <w:color w:val="auto"/>
          <w:sz w:val="24"/>
          <w:highlight w:val="none"/>
          <w:lang w:val="en-US" w:eastAsia="zh-CN"/>
        </w:rPr>
        <w:sectPr>
          <w:footerReference r:id="rId17" w:type="even"/>
          <w:pgSz w:w="11906" w:h="16838"/>
          <w:pgMar w:top="1814" w:right="1474" w:bottom="1474" w:left="1474" w:header="1304" w:footer="964" w:gutter="0"/>
          <w:pgBorders>
            <w:top w:val="none" w:sz="0" w:space="0"/>
            <w:left w:val="none" w:sz="0" w:space="0"/>
            <w:bottom w:val="none" w:sz="0" w:space="0"/>
            <w:right w:val="none" w:sz="0" w:space="0"/>
          </w:pgBorders>
          <w:pgNumType w:fmt="decimal"/>
          <w:cols w:space="720" w:num="1"/>
          <w:rtlGutter w:val="0"/>
          <w:docGrid w:type="lines" w:linePitch="330" w:charSpace="0"/>
        </w:sectPr>
      </w:pPr>
    </w:p>
    <w:p w14:paraId="190F9E26">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kern w:val="0"/>
          <w:sz w:val="24"/>
          <w:szCs w:val="24"/>
          <w:highlight w:val="none"/>
          <w:lang w:val="en-US" w:eastAsia="zh-CN" w:bidi="ar-SA"/>
        </w:rPr>
        <w:t>表3.</w:t>
      </w:r>
      <w:r>
        <w:rPr>
          <w:rFonts w:hint="default" w:ascii="Times New Roman" w:hAnsi="Times New Roman" w:cs="Times New Roman"/>
          <w:b/>
          <w:bCs/>
          <w:color w:val="auto"/>
          <w:kern w:val="0"/>
          <w:sz w:val="24"/>
          <w:szCs w:val="24"/>
          <w:highlight w:val="none"/>
          <w:lang w:val="en-US" w:eastAsia="zh-CN" w:bidi="ar-SA"/>
        </w:rPr>
        <w:t>3</w:t>
      </w:r>
      <w:r>
        <w:rPr>
          <w:rFonts w:hint="default" w:ascii="Times New Roman" w:hAnsi="Times New Roman" w:eastAsia="宋体" w:cs="Times New Roman"/>
          <w:b/>
          <w:bCs/>
          <w:color w:val="auto"/>
          <w:kern w:val="0"/>
          <w:sz w:val="24"/>
          <w:szCs w:val="24"/>
          <w:highlight w:val="none"/>
          <w:lang w:val="en-US" w:eastAsia="zh-CN" w:bidi="ar-SA"/>
        </w:rPr>
        <w:t>-10    大气污染源、污染物产排情况及污染防治措施一览表</w:t>
      </w:r>
    </w:p>
    <w:tbl>
      <w:tblPr>
        <w:tblStyle w:val="99"/>
        <w:tblW w:w="522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30"/>
        <w:gridCol w:w="1248"/>
        <w:gridCol w:w="2204"/>
        <w:gridCol w:w="936"/>
        <w:gridCol w:w="5855"/>
        <w:gridCol w:w="996"/>
        <w:gridCol w:w="969"/>
      </w:tblGrid>
      <w:tr w14:paraId="6B4FE9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tblHeader/>
          <w:jc w:val="center"/>
        </w:trPr>
        <w:tc>
          <w:tcPr>
            <w:tcW w:w="801" w:type="pct"/>
            <w:tcBorders>
              <w:tl2br w:val="nil"/>
              <w:tr2bl w:val="nil"/>
            </w:tcBorders>
            <w:noWrap w:val="0"/>
            <w:vAlign w:val="center"/>
          </w:tcPr>
          <w:p w14:paraId="0C607E31">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污染源</w:t>
            </w:r>
          </w:p>
        </w:tc>
        <w:tc>
          <w:tcPr>
            <w:tcW w:w="429" w:type="pct"/>
            <w:tcBorders>
              <w:tl2br w:val="nil"/>
              <w:tr2bl w:val="nil"/>
            </w:tcBorders>
            <w:noWrap w:val="0"/>
            <w:vAlign w:val="center"/>
          </w:tcPr>
          <w:p w14:paraId="23624A2F">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污染物</w:t>
            </w:r>
          </w:p>
        </w:tc>
        <w:tc>
          <w:tcPr>
            <w:tcW w:w="757" w:type="pct"/>
            <w:tcBorders>
              <w:tl2br w:val="nil"/>
              <w:tr2bl w:val="nil"/>
            </w:tcBorders>
            <w:noWrap w:val="0"/>
            <w:vAlign w:val="center"/>
          </w:tcPr>
          <w:p w14:paraId="551F2099">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污染源</w:t>
            </w:r>
            <w:r>
              <w:rPr>
                <w:rFonts w:hint="default" w:ascii="Times New Roman" w:hAnsi="Times New Roman" w:cs="Times New Roman"/>
                <w:b/>
                <w:bCs/>
                <w:color w:val="auto"/>
                <w:spacing w:val="0"/>
                <w:sz w:val="21"/>
                <w:szCs w:val="21"/>
                <w:highlight w:val="none"/>
                <w:lang w:val="en-US" w:eastAsia="zh-CN"/>
              </w:rPr>
              <w:t>类型</w:t>
            </w:r>
          </w:p>
        </w:tc>
        <w:tc>
          <w:tcPr>
            <w:tcW w:w="321" w:type="pct"/>
            <w:tcBorders>
              <w:tl2br w:val="nil"/>
              <w:tr2bl w:val="nil"/>
            </w:tcBorders>
            <w:noWrap w:val="0"/>
            <w:vAlign w:val="center"/>
          </w:tcPr>
          <w:p w14:paraId="2E040DB9">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产生</w:t>
            </w:r>
            <w:r>
              <w:rPr>
                <w:rFonts w:hint="default" w:ascii="Times New Roman" w:hAnsi="Times New Roman" w:cs="Times New Roman"/>
                <w:b/>
                <w:bCs/>
                <w:color w:val="auto"/>
                <w:spacing w:val="0"/>
                <w:sz w:val="21"/>
                <w:szCs w:val="21"/>
                <w:highlight w:val="none"/>
                <w:lang w:val="en-US" w:eastAsia="zh-CN"/>
              </w:rPr>
              <w:t>量（t/a）</w:t>
            </w:r>
          </w:p>
        </w:tc>
        <w:tc>
          <w:tcPr>
            <w:tcW w:w="2013" w:type="pct"/>
            <w:tcBorders>
              <w:tl2br w:val="nil"/>
              <w:tr2bl w:val="nil"/>
            </w:tcBorders>
            <w:noWrap w:val="0"/>
            <w:vAlign w:val="center"/>
          </w:tcPr>
          <w:p w14:paraId="47EFE78D">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污染防治措施</w:t>
            </w:r>
          </w:p>
        </w:tc>
        <w:tc>
          <w:tcPr>
            <w:tcW w:w="342" w:type="pct"/>
            <w:tcBorders>
              <w:tl2br w:val="nil"/>
              <w:tr2bl w:val="nil"/>
            </w:tcBorders>
            <w:noWrap w:val="0"/>
            <w:vAlign w:val="center"/>
          </w:tcPr>
          <w:p w14:paraId="47325D0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排放量</w:t>
            </w:r>
            <w:r>
              <w:rPr>
                <w:rFonts w:hint="default" w:ascii="Times New Roman" w:hAnsi="Times New Roman" w:cs="Times New Roman"/>
                <w:b/>
                <w:bCs/>
                <w:color w:val="auto"/>
                <w:spacing w:val="0"/>
                <w:sz w:val="21"/>
                <w:szCs w:val="21"/>
                <w:highlight w:val="none"/>
                <w:lang w:val="en-US" w:eastAsia="zh-CN"/>
              </w:rPr>
              <w:t>（t/a）</w:t>
            </w:r>
          </w:p>
        </w:tc>
        <w:tc>
          <w:tcPr>
            <w:tcW w:w="333" w:type="pct"/>
            <w:tcBorders>
              <w:tl2br w:val="nil"/>
              <w:tr2bl w:val="nil"/>
            </w:tcBorders>
            <w:noWrap w:val="0"/>
            <w:vAlign w:val="center"/>
          </w:tcPr>
          <w:p w14:paraId="6D737C5E">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rPr>
              <w:t>排放</w:t>
            </w:r>
            <w:r>
              <w:rPr>
                <w:rFonts w:hint="default" w:ascii="Times New Roman" w:hAnsi="Times New Roman" w:eastAsia="宋体" w:cs="Times New Roman"/>
                <w:b/>
                <w:bCs/>
                <w:color w:val="auto"/>
                <w:spacing w:val="0"/>
                <w:sz w:val="21"/>
                <w:szCs w:val="21"/>
                <w:highlight w:val="none"/>
                <w:lang w:eastAsia="zh-CN"/>
              </w:rPr>
              <w:t>去</w:t>
            </w:r>
            <w:r>
              <w:rPr>
                <w:rFonts w:hint="default" w:ascii="Times New Roman" w:hAnsi="Times New Roman" w:eastAsia="宋体" w:cs="Times New Roman"/>
                <w:b/>
                <w:bCs/>
                <w:color w:val="auto"/>
                <w:spacing w:val="0"/>
                <w:sz w:val="21"/>
                <w:szCs w:val="21"/>
                <w:highlight w:val="none"/>
              </w:rPr>
              <w:t>向</w:t>
            </w:r>
          </w:p>
        </w:tc>
      </w:tr>
      <w:tr w14:paraId="3097EB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5D336D5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粗碎厂房</w:t>
            </w:r>
          </w:p>
        </w:tc>
        <w:tc>
          <w:tcPr>
            <w:tcW w:w="429" w:type="pct"/>
            <w:tcBorders>
              <w:tl2br w:val="nil"/>
              <w:tr2bl w:val="nil"/>
            </w:tcBorders>
            <w:shd w:val="clear" w:color="auto" w:fill="auto"/>
            <w:noWrap w:val="0"/>
            <w:vAlign w:val="center"/>
          </w:tcPr>
          <w:p w14:paraId="2BDEFDC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757" w:type="pct"/>
            <w:tcBorders>
              <w:tl2br w:val="nil"/>
              <w:tr2bl w:val="nil"/>
            </w:tcBorders>
            <w:shd w:val="clear" w:color="auto" w:fill="auto"/>
            <w:noWrap w:val="0"/>
            <w:vAlign w:val="center"/>
          </w:tcPr>
          <w:p w14:paraId="71C1EDC0">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无组织</w:t>
            </w:r>
          </w:p>
        </w:tc>
        <w:tc>
          <w:tcPr>
            <w:tcW w:w="321" w:type="pct"/>
            <w:tcBorders>
              <w:tl2br w:val="nil"/>
              <w:tr2bl w:val="nil"/>
            </w:tcBorders>
            <w:noWrap w:val="0"/>
            <w:vAlign w:val="center"/>
          </w:tcPr>
          <w:p w14:paraId="5A27CD2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0.6</w:t>
            </w:r>
          </w:p>
        </w:tc>
        <w:tc>
          <w:tcPr>
            <w:tcW w:w="2013" w:type="pct"/>
            <w:tcBorders>
              <w:tl2br w:val="nil"/>
              <w:tr2bl w:val="nil"/>
            </w:tcBorders>
            <w:noWrap w:val="0"/>
            <w:vAlign w:val="center"/>
          </w:tcPr>
          <w:p w14:paraId="452D32DC">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996" w:type="dxa"/>
            <w:tcBorders>
              <w:tl2br w:val="nil"/>
              <w:tr2bl w:val="nil"/>
            </w:tcBorders>
            <w:noWrap w:val="0"/>
            <w:vAlign w:val="center"/>
          </w:tcPr>
          <w:p w14:paraId="5DE29BF6">
            <w:pPr>
              <w:pStyle w:val="127"/>
              <w:widowControl w:val="0"/>
              <w:spacing w:line="36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0.006</w:t>
            </w:r>
          </w:p>
        </w:tc>
        <w:tc>
          <w:tcPr>
            <w:tcW w:w="333" w:type="pct"/>
            <w:vMerge w:val="restart"/>
            <w:tcBorders>
              <w:tl2br w:val="nil"/>
              <w:tr2bl w:val="nil"/>
            </w:tcBorders>
            <w:noWrap w:val="0"/>
            <w:vAlign w:val="center"/>
          </w:tcPr>
          <w:p w14:paraId="43091F3B">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环境空气</w:t>
            </w:r>
          </w:p>
        </w:tc>
      </w:tr>
      <w:tr w14:paraId="01DEF2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6B7F1BD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中细碎厂房</w:t>
            </w:r>
          </w:p>
        </w:tc>
        <w:tc>
          <w:tcPr>
            <w:tcW w:w="429" w:type="pct"/>
            <w:tcBorders>
              <w:tl2br w:val="nil"/>
              <w:tr2bl w:val="nil"/>
            </w:tcBorders>
            <w:shd w:val="clear" w:color="auto" w:fill="auto"/>
            <w:noWrap w:val="0"/>
            <w:vAlign w:val="center"/>
          </w:tcPr>
          <w:p w14:paraId="31932A90">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757" w:type="pct"/>
            <w:tcBorders>
              <w:tl2br w:val="nil"/>
              <w:tr2bl w:val="nil"/>
            </w:tcBorders>
            <w:shd w:val="clear" w:color="auto" w:fill="auto"/>
            <w:noWrap w:val="0"/>
            <w:vAlign w:val="center"/>
          </w:tcPr>
          <w:p w14:paraId="6DA4BC60">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无组织</w:t>
            </w:r>
          </w:p>
        </w:tc>
        <w:tc>
          <w:tcPr>
            <w:tcW w:w="321" w:type="pct"/>
            <w:tcBorders>
              <w:tl2br w:val="nil"/>
              <w:tr2bl w:val="nil"/>
            </w:tcBorders>
            <w:noWrap w:val="0"/>
            <w:vAlign w:val="center"/>
          </w:tcPr>
          <w:p w14:paraId="09F9579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1.3125</w:t>
            </w:r>
          </w:p>
        </w:tc>
        <w:tc>
          <w:tcPr>
            <w:tcW w:w="2013" w:type="pct"/>
            <w:tcBorders>
              <w:tl2br w:val="nil"/>
              <w:tr2bl w:val="nil"/>
            </w:tcBorders>
            <w:noWrap w:val="0"/>
            <w:vAlign w:val="center"/>
          </w:tcPr>
          <w:p w14:paraId="6D954E4B">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996" w:type="dxa"/>
            <w:tcBorders>
              <w:tl2br w:val="nil"/>
              <w:tr2bl w:val="nil"/>
            </w:tcBorders>
            <w:noWrap w:val="0"/>
            <w:vAlign w:val="center"/>
          </w:tcPr>
          <w:p w14:paraId="6DCEC0E7">
            <w:pPr>
              <w:pStyle w:val="127"/>
              <w:widowControl w:val="0"/>
              <w:spacing w:line="36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0.013</w:t>
            </w:r>
          </w:p>
        </w:tc>
        <w:tc>
          <w:tcPr>
            <w:tcW w:w="333" w:type="pct"/>
            <w:vMerge w:val="continue"/>
            <w:tcBorders>
              <w:tl2br w:val="nil"/>
              <w:tr2bl w:val="nil"/>
            </w:tcBorders>
            <w:noWrap w:val="0"/>
            <w:vAlign w:val="center"/>
          </w:tcPr>
          <w:p w14:paraId="46652361">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p>
        </w:tc>
      </w:tr>
      <w:tr w14:paraId="083F4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7821EAD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筛分厂房</w:t>
            </w:r>
          </w:p>
        </w:tc>
        <w:tc>
          <w:tcPr>
            <w:tcW w:w="429" w:type="pct"/>
            <w:tcBorders>
              <w:tl2br w:val="nil"/>
              <w:tr2bl w:val="nil"/>
            </w:tcBorders>
            <w:shd w:val="clear" w:color="auto" w:fill="auto"/>
            <w:noWrap w:val="0"/>
            <w:vAlign w:val="center"/>
          </w:tcPr>
          <w:p w14:paraId="27A5113C">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757" w:type="pct"/>
            <w:tcBorders>
              <w:tl2br w:val="nil"/>
              <w:tr2bl w:val="nil"/>
            </w:tcBorders>
            <w:shd w:val="clear" w:color="auto" w:fill="auto"/>
            <w:noWrap w:val="0"/>
            <w:vAlign w:val="center"/>
          </w:tcPr>
          <w:p w14:paraId="32730628">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无组织</w:t>
            </w:r>
          </w:p>
        </w:tc>
        <w:tc>
          <w:tcPr>
            <w:tcW w:w="321" w:type="pct"/>
            <w:tcBorders>
              <w:tl2br w:val="nil"/>
              <w:tr2bl w:val="nil"/>
            </w:tcBorders>
            <w:noWrap w:val="0"/>
            <w:vAlign w:val="center"/>
          </w:tcPr>
          <w:p w14:paraId="243D398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1.575</w:t>
            </w:r>
          </w:p>
        </w:tc>
        <w:tc>
          <w:tcPr>
            <w:tcW w:w="2013" w:type="pct"/>
            <w:tcBorders>
              <w:tl2br w:val="nil"/>
              <w:tr2bl w:val="nil"/>
            </w:tcBorders>
            <w:noWrap w:val="0"/>
            <w:vAlign w:val="center"/>
          </w:tcPr>
          <w:p w14:paraId="1C07D88C">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996" w:type="dxa"/>
            <w:tcBorders>
              <w:tl2br w:val="nil"/>
              <w:tr2bl w:val="nil"/>
            </w:tcBorders>
            <w:noWrap w:val="0"/>
            <w:vAlign w:val="center"/>
          </w:tcPr>
          <w:p w14:paraId="6DD71908">
            <w:pPr>
              <w:pStyle w:val="127"/>
              <w:widowControl w:val="0"/>
              <w:spacing w:line="36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0.01</w:t>
            </w:r>
            <w:r>
              <w:rPr>
                <w:rFonts w:hint="default" w:ascii="Times New Roman" w:hAnsi="Times New Roman" w:cs="Times New Roman"/>
                <w:i w:val="0"/>
                <w:iCs w:val="0"/>
                <w:color w:val="auto"/>
                <w:spacing w:val="-2"/>
                <w:kern w:val="2"/>
                <w:sz w:val="21"/>
                <w:szCs w:val="21"/>
                <w:highlight w:val="none"/>
                <w:u w:val="none"/>
                <w:lang w:val="en-US" w:eastAsia="zh-CN" w:bidi="ar"/>
              </w:rPr>
              <w:t>6</w:t>
            </w:r>
          </w:p>
        </w:tc>
        <w:tc>
          <w:tcPr>
            <w:tcW w:w="333" w:type="pct"/>
            <w:vMerge w:val="continue"/>
            <w:tcBorders>
              <w:tl2br w:val="nil"/>
              <w:tr2bl w:val="nil"/>
            </w:tcBorders>
            <w:noWrap w:val="0"/>
            <w:vAlign w:val="center"/>
          </w:tcPr>
          <w:p w14:paraId="5C389F69">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p>
        </w:tc>
      </w:tr>
      <w:tr w14:paraId="1DB252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12C0772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w:t>
            </w:r>
          </w:p>
        </w:tc>
        <w:tc>
          <w:tcPr>
            <w:tcW w:w="429" w:type="pct"/>
            <w:tcBorders>
              <w:tl2br w:val="nil"/>
              <w:tr2bl w:val="nil"/>
            </w:tcBorders>
            <w:shd w:val="clear" w:color="auto" w:fill="auto"/>
            <w:noWrap w:val="0"/>
            <w:vAlign w:val="center"/>
          </w:tcPr>
          <w:p w14:paraId="1FC628FF">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cs="Times New Roman"/>
                <w:color w:val="auto"/>
                <w:spacing w:val="0"/>
                <w:sz w:val="21"/>
                <w:szCs w:val="21"/>
                <w:highlight w:val="none"/>
                <w:lang w:val="en-US" w:eastAsia="zh-CN"/>
              </w:rPr>
              <w:t>TSP</w:t>
            </w:r>
          </w:p>
        </w:tc>
        <w:tc>
          <w:tcPr>
            <w:tcW w:w="757" w:type="pct"/>
            <w:tcBorders>
              <w:tl2br w:val="nil"/>
              <w:tr2bl w:val="nil"/>
            </w:tcBorders>
            <w:shd w:val="clear" w:color="auto" w:fill="auto"/>
            <w:noWrap w:val="0"/>
            <w:vAlign w:val="center"/>
          </w:tcPr>
          <w:p w14:paraId="094F770A">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无组织</w:t>
            </w:r>
          </w:p>
        </w:tc>
        <w:tc>
          <w:tcPr>
            <w:tcW w:w="321" w:type="pct"/>
            <w:tcBorders>
              <w:tl2br w:val="nil"/>
              <w:tr2bl w:val="nil"/>
            </w:tcBorders>
            <w:noWrap w:val="0"/>
            <w:vAlign w:val="center"/>
          </w:tcPr>
          <w:p w14:paraId="353A28D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0.2625</w:t>
            </w:r>
          </w:p>
        </w:tc>
        <w:tc>
          <w:tcPr>
            <w:tcW w:w="2013" w:type="pct"/>
            <w:tcBorders>
              <w:tl2br w:val="nil"/>
              <w:tr2bl w:val="nil"/>
            </w:tcBorders>
            <w:noWrap w:val="0"/>
            <w:vAlign w:val="center"/>
          </w:tcPr>
          <w:p w14:paraId="5215D714">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粉矿仓全封闭，设置喷淋降尘设施</w:t>
            </w:r>
          </w:p>
        </w:tc>
        <w:tc>
          <w:tcPr>
            <w:tcW w:w="996" w:type="dxa"/>
            <w:tcBorders>
              <w:tl2br w:val="nil"/>
              <w:tr2bl w:val="nil"/>
            </w:tcBorders>
            <w:noWrap w:val="0"/>
            <w:vAlign w:val="center"/>
          </w:tcPr>
          <w:p w14:paraId="4C915B71">
            <w:pPr>
              <w:pStyle w:val="127"/>
              <w:widowControl w:val="0"/>
              <w:spacing w:line="36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w:t>
            </w:r>
            <w:r>
              <w:rPr>
                <w:rFonts w:hint="default" w:ascii="Times New Roman" w:hAnsi="Times New Roman" w:cs="Times New Roman"/>
                <w:i w:val="0"/>
                <w:iCs w:val="0"/>
                <w:color w:val="auto"/>
                <w:spacing w:val="-2"/>
                <w:kern w:val="2"/>
                <w:sz w:val="21"/>
                <w:szCs w:val="21"/>
                <w:highlight w:val="none"/>
                <w:u w:val="none"/>
                <w:lang w:val="en-US" w:eastAsia="zh-CN" w:bidi="ar"/>
              </w:rPr>
              <w:t>3</w:t>
            </w:r>
          </w:p>
        </w:tc>
        <w:tc>
          <w:tcPr>
            <w:tcW w:w="333" w:type="pct"/>
            <w:vMerge w:val="continue"/>
            <w:tcBorders>
              <w:tl2br w:val="nil"/>
              <w:tr2bl w:val="nil"/>
            </w:tcBorders>
            <w:noWrap w:val="0"/>
            <w:vAlign w:val="center"/>
          </w:tcPr>
          <w:p w14:paraId="2C413D0D">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p>
        </w:tc>
      </w:tr>
      <w:tr w14:paraId="0028B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388D0AF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原料</w:t>
            </w:r>
            <w:r>
              <w:rPr>
                <w:rFonts w:hint="default" w:ascii="Times New Roman" w:hAnsi="Times New Roman" w:eastAsia="宋体" w:cs="Times New Roman"/>
                <w:color w:val="auto"/>
                <w:spacing w:val="0"/>
                <w:sz w:val="21"/>
                <w:szCs w:val="21"/>
                <w:highlight w:val="none"/>
                <w:lang w:val="en-US" w:eastAsia="zh-CN"/>
              </w:rPr>
              <w:t>堆场</w:t>
            </w:r>
            <w:r>
              <w:rPr>
                <w:rFonts w:hint="default" w:ascii="Times New Roman" w:hAnsi="Times New Roman" w:cs="Times New Roman"/>
                <w:color w:val="auto"/>
                <w:spacing w:val="0"/>
                <w:sz w:val="21"/>
                <w:szCs w:val="21"/>
                <w:highlight w:val="none"/>
                <w:lang w:val="en-US" w:eastAsia="zh-CN"/>
              </w:rPr>
              <w:t>扬尘</w:t>
            </w:r>
          </w:p>
        </w:tc>
        <w:tc>
          <w:tcPr>
            <w:tcW w:w="429" w:type="pct"/>
            <w:tcBorders>
              <w:tl2br w:val="nil"/>
              <w:tr2bl w:val="nil"/>
            </w:tcBorders>
            <w:noWrap w:val="0"/>
            <w:vAlign w:val="center"/>
          </w:tcPr>
          <w:p w14:paraId="2698E0A8">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TSP</w:t>
            </w:r>
          </w:p>
        </w:tc>
        <w:tc>
          <w:tcPr>
            <w:tcW w:w="757" w:type="pct"/>
            <w:tcBorders>
              <w:tl2br w:val="nil"/>
              <w:tr2bl w:val="nil"/>
            </w:tcBorders>
            <w:noWrap w:val="0"/>
            <w:vAlign w:val="center"/>
          </w:tcPr>
          <w:p w14:paraId="1B48467A">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无组织</w:t>
            </w:r>
          </w:p>
        </w:tc>
        <w:tc>
          <w:tcPr>
            <w:tcW w:w="321" w:type="pct"/>
            <w:tcBorders>
              <w:tl2br w:val="nil"/>
              <w:tr2bl w:val="nil"/>
            </w:tcBorders>
            <w:noWrap w:val="0"/>
            <w:vAlign w:val="center"/>
          </w:tcPr>
          <w:p w14:paraId="58A3AC3B">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25.78</w:t>
            </w:r>
          </w:p>
        </w:tc>
        <w:tc>
          <w:tcPr>
            <w:tcW w:w="2013" w:type="pct"/>
            <w:tcBorders>
              <w:tl2br w:val="nil"/>
              <w:tr2bl w:val="nil"/>
            </w:tcBorders>
            <w:noWrap w:val="0"/>
            <w:vAlign w:val="center"/>
          </w:tcPr>
          <w:p w14:paraId="5442875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抑尘网覆盖、洒水降尘</w:t>
            </w:r>
          </w:p>
        </w:tc>
        <w:tc>
          <w:tcPr>
            <w:tcW w:w="342" w:type="pct"/>
            <w:tcBorders>
              <w:tl2br w:val="nil"/>
              <w:tr2bl w:val="nil"/>
            </w:tcBorders>
            <w:noWrap w:val="0"/>
            <w:vAlign w:val="center"/>
          </w:tcPr>
          <w:p w14:paraId="4EAC0F18">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2.68</w:t>
            </w:r>
          </w:p>
        </w:tc>
        <w:tc>
          <w:tcPr>
            <w:tcW w:w="333" w:type="pct"/>
            <w:vMerge w:val="continue"/>
            <w:tcBorders>
              <w:tl2br w:val="nil"/>
              <w:tr2bl w:val="nil"/>
            </w:tcBorders>
            <w:noWrap w:val="0"/>
            <w:vAlign w:val="center"/>
          </w:tcPr>
          <w:p w14:paraId="3ADEE884">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p>
        </w:tc>
      </w:tr>
      <w:tr w14:paraId="047E8C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36CD69EB">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运输扬尘</w:t>
            </w:r>
          </w:p>
        </w:tc>
        <w:tc>
          <w:tcPr>
            <w:tcW w:w="429" w:type="pct"/>
            <w:tcBorders>
              <w:tl2br w:val="nil"/>
              <w:tr2bl w:val="nil"/>
            </w:tcBorders>
            <w:noWrap w:val="0"/>
            <w:vAlign w:val="center"/>
          </w:tcPr>
          <w:p w14:paraId="4833258A">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TSP</w:t>
            </w:r>
          </w:p>
        </w:tc>
        <w:tc>
          <w:tcPr>
            <w:tcW w:w="757" w:type="pct"/>
            <w:tcBorders>
              <w:tl2br w:val="nil"/>
              <w:tr2bl w:val="nil"/>
            </w:tcBorders>
            <w:noWrap w:val="0"/>
            <w:vAlign w:val="center"/>
          </w:tcPr>
          <w:p w14:paraId="491F5BA7">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无组织</w:t>
            </w:r>
          </w:p>
        </w:tc>
        <w:tc>
          <w:tcPr>
            <w:tcW w:w="321" w:type="pct"/>
            <w:tcBorders>
              <w:tl2br w:val="nil"/>
              <w:tr2bl w:val="nil"/>
            </w:tcBorders>
            <w:noWrap w:val="0"/>
            <w:vAlign w:val="center"/>
          </w:tcPr>
          <w:p w14:paraId="3DA09D2F">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2.88</w:t>
            </w:r>
          </w:p>
        </w:tc>
        <w:tc>
          <w:tcPr>
            <w:tcW w:w="2013" w:type="pct"/>
            <w:tcBorders>
              <w:tl2br w:val="nil"/>
              <w:tr2bl w:val="nil"/>
            </w:tcBorders>
            <w:noWrap w:val="0"/>
            <w:vAlign w:val="center"/>
          </w:tcPr>
          <w:p w14:paraId="0F2F95FB">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道路洒水、道路路面铺碎石、降低车速及加盖篷布</w:t>
            </w:r>
          </w:p>
        </w:tc>
        <w:tc>
          <w:tcPr>
            <w:tcW w:w="342" w:type="pct"/>
            <w:tcBorders>
              <w:tl2br w:val="nil"/>
              <w:tr2bl w:val="nil"/>
            </w:tcBorders>
            <w:noWrap w:val="0"/>
            <w:vAlign w:val="center"/>
          </w:tcPr>
          <w:p w14:paraId="3A6B632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0.69</w:t>
            </w:r>
          </w:p>
        </w:tc>
        <w:tc>
          <w:tcPr>
            <w:tcW w:w="333" w:type="pct"/>
            <w:vMerge w:val="continue"/>
            <w:tcBorders>
              <w:tl2br w:val="nil"/>
              <w:tr2bl w:val="nil"/>
            </w:tcBorders>
            <w:noWrap w:val="0"/>
            <w:vAlign w:val="center"/>
          </w:tcPr>
          <w:p w14:paraId="3D79A5C7">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p>
        </w:tc>
      </w:tr>
      <w:tr w14:paraId="766415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0321B550">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尾矿库扬尘</w:t>
            </w:r>
          </w:p>
        </w:tc>
        <w:tc>
          <w:tcPr>
            <w:tcW w:w="429" w:type="pct"/>
            <w:tcBorders>
              <w:tl2br w:val="nil"/>
              <w:tr2bl w:val="nil"/>
            </w:tcBorders>
            <w:noWrap w:val="0"/>
            <w:vAlign w:val="center"/>
          </w:tcPr>
          <w:p w14:paraId="61152D5C">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757" w:type="pct"/>
            <w:tcBorders>
              <w:tl2br w:val="nil"/>
              <w:tr2bl w:val="nil"/>
            </w:tcBorders>
            <w:noWrap w:val="0"/>
            <w:vAlign w:val="center"/>
          </w:tcPr>
          <w:p w14:paraId="144CA47C">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无组织</w:t>
            </w:r>
          </w:p>
        </w:tc>
        <w:tc>
          <w:tcPr>
            <w:tcW w:w="321" w:type="pct"/>
            <w:tcBorders>
              <w:tl2br w:val="nil"/>
              <w:tr2bl w:val="nil"/>
            </w:tcBorders>
            <w:noWrap w:val="0"/>
            <w:vAlign w:val="center"/>
          </w:tcPr>
          <w:p w14:paraId="7871F7CC">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cs="Times New Roman"/>
                <w:color w:val="auto"/>
                <w:spacing w:val="0"/>
                <w:kern w:val="2"/>
                <w:sz w:val="21"/>
                <w:szCs w:val="21"/>
                <w:highlight w:val="none"/>
                <w:lang w:val="en-US" w:eastAsia="zh-CN" w:bidi="ar-SA"/>
              </w:rPr>
              <w:t>0.148</w:t>
            </w:r>
          </w:p>
        </w:tc>
        <w:tc>
          <w:tcPr>
            <w:tcW w:w="2013" w:type="pct"/>
            <w:tcBorders>
              <w:tl2br w:val="nil"/>
              <w:tr2bl w:val="nil"/>
            </w:tcBorders>
            <w:noWrap w:val="0"/>
            <w:vAlign w:val="center"/>
          </w:tcPr>
          <w:p w14:paraId="13A301E4">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洒水降尘</w:t>
            </w:r>
          </w:p>
        </w:tc>
        <w:tc>
          <w:tcPr>
            <w:tcW w:w="342" w:type="pct"/>
            <w:tcBorders>
              <w:tl2br w:val="nil"/>
              <w:tr2bl w:val="nil"/>
            </w:tcBorders>
            <w:noWrap w:val="0"/>
            <w:vAlign w:val="center"/>
          </w:tcPr>
          <w:p w14:paraId="763F9348">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0.</w:t>
            </w:r>
            <w:r>
              <w:rPr>
                <w:rFonts w:hint="default" w:cs="Times New Roman"/>
                <w:color w:val="auto"/>
                <w:spacing w:val="0"/>
                <w:sz w:val="21"/>
                <w:szCs w:val="21"/>
                <w:highlight w:val="none"/>
                <w:lang w:val="en-US" w:eastAsia="zh-CN"/>
              </w:rPr>
              <w:t>038</w:t>
            </w:r>
          </w:p>
        </w:tc>
        <w:tc>
          <w:tcPr>
            <w:tcW w:w="333" w:type="pct"/>
            <w:vMerge w:val="continue"/>
            <w:tcBorders>
              <w:tl2br w:val="nil"/>
              <w:tr2bl w:val="nil"/>
            </w:tcBorders>
            <w:noWrap w:val="0"/>
            <w:vAlign w:val="center"/>
          </w:tcPr>
          <w:p w14:paraId="2532A827">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0"/>
                <w:sz w:val="21"/>
                <w:szCs w:val="21"/>
                <w:highlight w:val="none"/>
                <w:lang w:val="en-US" w:eastAsia="zh-CN"/>
              </w:rPr>
            </w:pPr>
          </w:p>
        </w:tc>
      </w:tr>
      <w:tr w14:paraId="59B6B3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1373EAA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粗碎厂房排气筒P1</w:t>
            </w:r>
          </w:p>
        </w:tc>
        <w:tc>
          <w:tcPr>
            <w:tcW w:w="429" w:type="pct"/>
            <w:vMerge w:val="restart"/>
            <w:tcBorders>
              <w:tl2br w:val="nil"/>
              <w:tr2bl w:val="nil"/>
            </w:tcBorders>
            <w:noWrap w:val="0"/>
            <w:vAlign w:val="center"/>
          </w:tcPr>
          <w:p w14:paraId="13DBDA20">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PM</w:t>
            </w:r>
            <w:r>
              <w:rPr>
                <w:rFonts w:hint="default" w:ascii="Times New Roman" w:hAnsi="Times New Roman" w:eastAsia="宋体" w:cs="Times New Roman"/>
                <w:color w:val="auto"/>
                <w:spacing w:val="0"/>
                <w:sz w:val="21"/>
                <w:szCs w:val="21"/>
                <w:highlight w:val="none"/>
                <w:vertAlign w:val="subscript"/>
                <w:lang w:val="en-US" w:eastAsia="zh-CN"/>
              </w:rPr>
              <w:t>10</w:t>
            </w:r>
          </w:p>
        </w:tc>
        <w:tc>
          <w:tcPr>
            <w:tcW w:w="757" w:type="pct"/>
            <w:tcBorders>
              <w:tl2br w:val="nil"/>
              <w:tr2bl w:val="nil"/>
            </w:tcBorders>
            <w:noWrap w:val="0"/>
            <w:vAlign w:val="center"/>
          </w:tcPr>
          <w:p w14:paraId="508553B7">
            <w:pPr>
              <w:pStyle w:val="127"/>
              <w:keepNext w:val="0"/>
              <w:keepLines w:val="0"/>
              <w:pageBreakBefore w:val="0"/>
              <w:widowControl w:val="0"/>
              <w:kinsoku/>
              <w:wordWrap/>
              <w:overflowPunct/>
              <w:topLinePunct w:val="0"/>
              <w:autoSpaceDE/>
              <w:autoSpaceDN/>
              <w:bidi w:val="0"/>
              <w:adjustRightInd/>
              <w:snapToGrid/>
              <w:spacing w:line="35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有组织</w:t>
            </w:r>
          </w:p>
        </w:tc>
        <w:tc>
          <w:tcPr>
            <w:tcW w:w="321" w:type="pct"/>
            <w:tcBorders>
              <w:tl2br w:val="nil"/>
              <w:tr2bl w:val="nil"/>
            </w:tcBorders>
            <w:noWrap w:val="0"/>
            <w:vAlign w:val="center"/>
          </w:tcPr>
          <w:p w14:paraId="1DCA733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6</w:t>
            </w:r>
          </w:p>
        </w:tc>
        <w:tc>
          <w:tcPr>
            <w:tcW w:w="2013" w:type="pct"/>
            <w:tcBorders>
              <w:tl2br w:val="nil"/>
              <w:tr2bl w:val="nil"/>
            </w:tcBorders>
            <w:noWrap w:val="0"/>
            <w:vAlign w:val="center"/>
          </w:tcPr>
          <w:p w14:paraId="0EEF97F5">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经集气罩收集后通过</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除尘器处理，由15m高排气筒排放</w:t>
            </w:r>
          </w:p>
        </w:tc>
        <w:tc>
          <w:tcPr>
            <w:tcW w:w="342" w:type="pct"/>
            <w:tcBorders>
              <w:tl2br w:val="nil"/>
              <w:tr2bl w:val="nil"/>
            </w:tcBorders>
            <w:noWrap w:val="0"/>
            <w:vAlign w:val="center"/>
          </w:tcPr>
          <w:p w14:paraId="5A09B83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0.6</w:t>
            </w:r>
          </w:p>
        </w:tc>
        <w:tc>
          <w:tcPr>
            <w:tcW w:w="333" w:type="pct"/>
            <w:vMerge w:val="continue"/>
            <w:tcBorders>
              <w:tl2br w:val="nil"/>
              <w:tr2bl w:val="nil"/>
            </w:tcBorders>
            <w:noWrap w:val="0"/>
            <w:vAlign w:val="center"/>
          </w:tcPr>
          <w:p w14:paraId="2466A87F">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07EE7D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4A51606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中细碎厂房排气筒P2</w:t>
            </w:r>
          </w:p>
        </w:tc>
        <w:tc>
          <w:tcPr>
            <w:tcW w:w="429" w:type="pct"/>
            <w:vMerge w:val="continue"/>
            <w:tcBorders>
              <w:tl2br w:val="nil"/>
              <w:tr2bl w:val="nil"/>
            </w:tcBorders>
            <w:noWrap w:val="0"/>
            <w:vAlign w:val="center"/>
          </w:tcPr>
          <w:p w14:paraId="508DD51D">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57" w:type="pct"/>
            <w:tcBorders>
              <w:tl2br w:val="nil"/>
              <w:tr2bl w:val="nil"/>
            </w:tcBorders>
            <w:noWrap w:val="0"/>
            <w:vAlign w:val="center"/>
          </w:tcPr>
          <w:p w14:paraId="5DF0C108">
            <w:pPr>
              <w:pStyle w:val="127"/>
              <w:keepNext w:val="0"/>
              <w:keepLines w:val="0"/>
              <w:pageBreakBefore w:val="0"/>
              <w:widowControl w:val="0"/>
              <w:kinsoku/>
              <w:wordWrap/>
              <w:overflowPunct/>
              <w:topLinePunct w:val="0"/>
              <w:autoSpaceDE/>
              <w:autoSpaceDN/>
              <w:bidi w:val="0"/>
              <w:adjustRightInd/>
              <w:snapToGrid/>
              <w:spacing w:line="35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有组织</w:t>
            </w:r>
          </w:p>
        </w:tc>
        <w:tc>
          <w:tcPr>
            <w:tcW w:w="321" w:type="pct"/>
            <w:tcBorders>
              <w:tl2br w:val="nil"/>
              <w:tr2bl w:val="nil"/>
            </w:tcBorders>
            <w:noWrap w:val="0"/>
            <w:vAlign w:val="center"/>
          </w:tcPr>
          <w:p w14:paraId="0BC89CF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13.125</w:t>
            </w:r>
          </w:p>
        </w:tc>
        <w:tc>
          <w:tcPr>
            <w:tcW w:w="2013" w:type="pct"/>
            <w:tcBorders>
              <w:tl2br w:val="nil"/>
              <w:tr2bl w:val="nil"/>
            </w:tcBorders>
            <w:noWrap w:val="0"/>
            <w:vAlign w:val="center"/>
          </w:tcPr>
          <w:p w14:paraId="4DEEC9B6">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经集气罩收集后通过</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除尘器处理，由15m高排气筒排放</w:t>
            </w:r>
          </w:p>
        </w:tc>
        <w:tc>
          <w:tcPr>
            <w:tcW w:w="342" w:type="pct"/>
            <w:tcBorders>
              <w:tl2br w:val="nil"/>
              <w:tr2bl w:val="nil"/>
            </w:tcBorders>
            <w:noWrap w:val="0"/>
            <w:vAlign w:val="center"/>
          </w:tcPr>
          <w:p w14:paraId="04A4DDD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1.313</w:t>
            </w:r>
          </w:p>
        </w:tc>
        <w:tc>
          <w:tcPr>
            <w:tcW w:w="333" w:type="pct"/>
            <w:vMerge w:val="continue"/>
            <w:tcBorders>
              <w:tl2br w:val="nil"/>
              <w:tr2bl w:val="nil"/>
            </w:tcBorders>
            <w:noWrap w:val="0"/>
            <w:vAlign w:val="center"/>
          </w:tcPr>
          <w:p w14:paraId="1D6D2F34">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566D7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7DD2A2BE">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筛分厂房排气筒P3</w:t>
            </w:r>
          </w:p>
        </w:tc>
        <w:tc>
          <w:tcPr>
            <w:tcW w:w="429" w:type="pct"/>
            <w:vMerge w:val="continue"/>
            <w:tcBorders>
              <w:tl2br w:val="nil"/>
              <w:tr2bl w:val="nil"/>
            </w:tcBorders>
            <w:noWrap w:val="0"/>
            <w:vAlign w:val="center"/>
          </w:tcPr>
          <w:p w14:paraId="7965DFD2">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57" w:type="pct"/>
            <w:tcBorders>
              <w:tl2br w:val="nil"/>
              <w:tr2bl w:val="nil"/>
            </w:tcBorders>
            <w:noWrap w:val="0"/>
            <w:vAlign w:val="center"/>
          </w:tcPr>
          <w:p w14:paraId="52D808AE">
            <w:pPr>
              <w:pStyle w:val="127"/>
              <w:keepNext w:val="0"/>
              <w:keepLines w:val="0"/>
              <w:pageBreakBefore w:val="0"/>
              <w:widowControl w:val="0"/>
              <w:kinsoku/>
              <w:wordWrap/>
              <w:overflowPunct/>
              <w:topLinePunct w:val="0"/>
              <w:autoSpaceDE/>
              <w:autoSpaceDN/>
              <w:bidi w:val="0"/>
              <w:adjustRightInd/>
              <w:snapToGrid/>
              <w:spacing w:line="35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有组织</w:t>
            </w:r>
          </w:p>
        </w:tc>
        <w:tc>
          <w:tcPr>
            <w:tcW w:w="321" w:type="pct"/>
            <w:tcBorders>
              <w:tl2br w:val="nil"/>
              <w:tr2bl w:val="nil"/>
            </w:tcBorders>
            <w:noWrap w:val="0"/>
            <w:vAlign w:val="center"/>
          </w:tcPr>
          <w:p w14:paraId="55A1AE8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15.75</w:t>
            </w:r>
          </w:p>
        </w:tc>
        <w:tc>
          <w:tcPr>
            <w:tcW w:w="2013" w:type="pct"/>
            <w:tcBorders>
              <w:tl2br w:val="nil"/>
              <w:tr2bl w:val="nil"/>
            </w:tcBorders>
            <w:noWrap w:val="0"/>
            <w:vAlign w:val="center"/>
          </w:tcPr>
          <w:p w14:paraId="722AFDAE">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经集气罩收集后通过</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除尘器处理，由15m高排气筒排放</w:t>
            </w:r>
          </w:p>
        </w:tc>
        <w:tc>
          <w:tcPr>
            <w:tcW w:w="342" w:type="pct"/>
            <w:tcBorders>
              <w:tl2br w:val="nil"/>
              <w:tr2bl w:val="nil"/>
            </w:tcBorders>
            <w:noWrap w:val="0"/>
            <w:vAlign w:val="center"/>
          </w:tcPr>
          <w:p w14:paraId="459C8F1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1.575</w:t>
            </w:r>
          </w:p>
        </w:tc>
        <w:tc>
          <w:tcPr>
            <w:tcW w:w="333" w:type="pct"/>
            <w:vMerge w:val="continue"/>
            <w:tcBorders>
              <w:tl2br w:val="nil"/>
              <w:tr2bl w:val="nil"/>
            </w:tcBorders>
            <w:noWrap w:val="0"/>
            <w:vAlign w:val="center"/>
          </w:tcPr>
          <w:p w14:paraId="24B96748">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1D296C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 w:hRule="atLeast"/>
          <w:jc w:val="center"/>
        </w:trPr>
        <w:tc>
          <w:tcPr>
            <w:tcW w:w="801" w:type="pct"/>
            <w:tcBorders>
              <w:tl2br w:val="nil"/>
              <w:tr2bl w:val="nil"/>
            </w:tcBorders>
            <w:noWrap w:val="0"/>
            <w:vAlign w:val="center"/>
          </w:tcPr>
          <w:p w14:paraId="088EAEA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粉矿仓排气筒P4</w:t>
            </w:r>
          </w:p>
        </w:tc>
        <w:tc>
          <w:tcPr>
            <w:tcW w:w="429" w:type="pct"/>
            <w:vMerge w:val="continue"/>
            <w:tcBorders>
              <w:tl2br w:val="nil"/>
              <w:tr2bl w:val="nil"/>
            </w:tcBorders>
            <w:noWrap w:val="0"/>
            <w:vAlign w:val="center"/>
          </w:tcPr>
          <w:p w14:paraId="15BDF265">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757" w:type="pct"/>
            <w:tcBorders>
              <w:tl2br w:val="nil"/>
              <w:tr2bl w:val="nil"/>
            </w:tcBorders>
            <w:noWrap w:val="0"/>
            <w:vAlign w:val="center"/>
          </w:tcPr>
          <w:p w14:paraId="22EAA2B6">
            <w:pPr>
              <w:pStyle w:val="127"/>
              <w:keepNext w:val="0"/>
              <w:keepLines w:val="0"/>
              <w:pageBreakBefore w:val="0"/>
              <w:widowControl w:val="0"/>
              <w:kinsoku/>
              <w:wordWrap/>
              <w:overflowPunct/>
              <w:topLinePunct w:val="0"/>
              <w:autoSpaceDE/>
              <w:autoSpaceDN/>
              <w:bidi w:val="0"/>
              <w:adjustRightInd/>
              <w:snapToGrid/>
              <w:spacing w:line="350" w:lineRule="exact"/>
              <w:ind w:left="0" w:leftChars="0" w:firstLine="0" w:firstLineChars="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有组织</w:t>
            </w:r>
          </w:p>
        </w:tc>
        <w:tc>
          <w:tcPr>
            <w:tcW w:w="321" w:type="pct"/>
            <w:tcBorders>
              <w:tl2br w:val="nil"/>
              <w:tr2bl w:val="nil"/>
            </w:tcBorders>
            <w:noWrap w:val="0"/>
            <w:vAlign w:val="center"/>
          </w:tcPr>
          <w:p w14:paraId="62BB5DF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kern w:val="0"/>
                <w:sz w:val="21"/>
                <w:highlight w:val="none"/>
                <w:lang w:val="en-US" w:eastAsia="zh-CN" w:bidi="ar"/>
              </w:rPr>
            </w:pPr>
            <w:r>
              <w:rPr>
                <w:rFonts w:hint="default" w:ascii="Times New Roman" w:hAnsi="Times New Roman" w:eastAsia="宋体" w:cs="Times New Roman"/>
                <w:color w:val="auto"/>
                <w:spacing w:val="-2"/>
                <w:sz w:val="21"/>
                <w:szCs w:val="21"/>
                <w:highlight w:val="none"/>
                <w:lang w:val="en-US" w:eastAsia="zh-CN"/>
              </w:rPr>
              <w:t>2.625</w:t>
            </w:r>
          </w:p>
        </w:tc>
        <w:tc>
          <w:tcPr>
            <w:tcW w:w="2013" w:type="pct"/>
            <w:tcBorders>
              <w:tl2br w:val="nil"/>
              <w:tr2bl w:val="nil"/>
            </w:tcBorders>
            <w:noWrap w:val="0"/>
            <w:vAlign w:val="center"/>
          </w:tcPr>
          <w:p w14:paraId="20ABAE46">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经集气罩收集后通过</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除尘器处理，由仓顶排放（15m）</w:t>
            </w:r>
          </w:p>
        </w:tc>
        <w:tc>
          <w:tcPr>
            <w:tcW w:w="342" w:type="pct"/>
            <w:tcBorders>
              <w:tl2br w:val="nil"/>
              <w:tr2bl w:val="nil"/>
            </w:tcBorders>
            <w:noWrap w:val="0"/>
            <w:vAlign w:val="center"/>
          </w:tcPr>
          <w:p w14:paraId="57F8070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0.263</w:t>
            </w:r>
          </w:p>
        </w:tc>
        <w:tc>
          <w:tcPr>
            <w:tcW w:w="333" w:type="pct"/>
            <w:vMerge w:val="continue"/>
            <w:tcBorders>
              <w:tl2br w:val="nil"/>
              <w:tr2bl w:val="nil"/>
            </w:tcBorders>
            <w:noWrap w:val="0"/>
            <w:vAlign w:val="center"/>
          </w:tcPr>
          <w:p w14:paraId="7179FE15">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r>
    </w:tbl>
    <w:p w14:paraId="06951B42">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cs="Times New Roman"/>
          <w:color w:val="auto"/>
          <w:sz w:val="21"/>
          <w:szCs w:val="21"/>
          <w:highlight w:val="none"/>
        </w:rPr>
      </w:pPr>
    </w:p>
    <w:p w14:paraId="16945B8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21"/>
          <w:szCs w:val="21"/>
          <w:highlight w:val="none"/>
        </w:rPr>
        <w:sectPr>
          <w:footerReference r:id="rId18" w:type="default"/>
          <w:footerReference r:id="rId19" w:type="even"/>
          <w:pgSz w:w="16838" w:h="11906" w:orient="landscape"/>
          <w:pgMar w:top="1814" w:right="1474" w:bottom="1474" w:left="1474" w:header="1304" w:footer="964" w:gutter="0"/>
          <w:pgBorders>
            <w:top w:val="none" w:sz="0" w:space="0"/>
            <w:left w:val="none" w:sz="0" w:space="0"/>
            <w:bottom w:val="none" w:sz="0" w:space="0"/>
            <w:right w:val="none" w:sz="0" w:space="0"/>
          </w:pgBorders>
          <w:pgNumType w:fmt="decimal"/>
          <w:cols w:space="720" w:num="1"/>
          <w:rtlGutter w:val="0"/>
          <w:docGrid w:type="lines" w:linePitch="330" w:charSpace="0"/>
        </w:sectPr>
      </w:pPr>
    </w:p>
    <w:p w14:paraId="2B063C75">
      <w:pPr>
        <w:ind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-1</w:t>
      </w:r>
      <w:r>
        <w:rPr>
          <w:rFonts w:hint="default" w:ascii="Times New Roman" w:hAnsi="Times New Roman" w:cs="Times New Roman"/>
          <w:b/>
          <w:color w:val="auto"/>
          <w:kern w:val="0"/>
          <w:highlight w:val="none"/>
          <w:lang w:val="en-US" w:eastAsia="zh-CN"/>
        </w:rPr>
        <w:t>1</w:t>
      </w:r>
      <w:r>
        <w:rPr>
          <w:rFonts w:hint="default" w:ascii="Times New Roman" w:hAnsi="Times New Roman" w:cs="Times New Roman"/>
          <w:b/>
          <w:color w:val="auto"/>
          <w:kern w:val="0"/>
          <w:highlight w:val="none"/>
        </w:rPr>
        <w:t xml:space="preserve">    </w:t>
      </w:r>
      <w:r>
        <w:rPr>
          <w:rFonts w:hint="default" w:ascii="Times New Roman" w:hAnsi="Times New Roman" w:cs="Times New Roman"/>
          <w:b/>
          <w:color w:val="auto"/>
          <w:kern w:val="0"/>
          <w:highlight w:val="none"/>
          <w:lang w:val="en-US" w:eastAsia="zh-CN"/>
        </w:rPr>
        <w:t>本</w:t>
      </w:r>
      <w:r>
        <w:rPr>
          <w:rFonts w:hint="default" w:ascii="Times New Roman" w:hAnsi="Times New Roman" w:cs="Times New Roman"/>
          <w:b/>
          <w:color w:val="auto"/>
          <w:kern w:val="0"/>
          <w:highlight w:val="none"/>
        </w:rPr>
        <w:t>项目主要大气污染物排放总量</w:t>
      </w:r>
    </w:p>
    <w:tbl>
      <w:tblPr>
        <w:tblStyle w:val="33"/>
        <w:tblW w:w="90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4"/>
        <w:gridCol w:w="1272"/>
        <w:gridCol w:w="3533"/>
        <w:gridCol w:w="3514"/>
      </w:tblGrid>
      <w:tr w14:paraId="63F66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24" w:type="dxa"/>
            <w:tcBorders>
              <w:tl2br w:val="nil"/>
              <w:tr2bl w:val="nil"/>
            </w:tcBorders>
            <w:vAlign w:val="center"/>
          </w:tcPr>
          <w:p w14:paraId="40BE8D1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排放源</w:t>
            </w:r>
          </w:p>
        </w:tc>
        <w:tc>
          <w:tcPr>
            <w:tcW w:w="1272" w:type="dxa"/>
            <w:tcBorders>
              <w:tl2br w:val="nil"/>
              <w:tr2bl w:val="nil"/>
            </w:tcBorders>
            <w:vAlign w:val="center"/>
          </w:tcPr>
          <w:p w14:paraId="6AD1C1D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3533" w:type="dxa"/>
            <w:tcBorders>
              <w:tl2br w:val="nil"/>
              <w:tr2bl w:val="nil"/>
            </w:tcBorders>
            <w:vAlign w:val="center"/>
          </w:tcPr>
          <w:p w14:paraId="1C32AD7B">
            <w:pPr>
              <w:spacing w:line="360" w:lineRule="exact"/>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产生量</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t/a</w:t>
            </w:r>
            <w:r>
              <w:rPr>
                <w:rFonts w:hint="default" w:ascii="Times New Roman" w:hAnsi="Times New Roman" w:cs="Times New Roman"/>
                <w:b/>
                <w:bCs/>
                <w:color w:val="auto"/>
                <w:sz w:val="21"/>
                <w:szCs w:val="21"/>
                <w:highlight w:val="none"/>
                <w:lang w:eastAsia="zh-CN"/>
              </w:rPr>
              <w:t>）</w:t>
            </w:r>
          </w:p>
        </w:tc>
        <w:tc>
          <w:tcPr>
            <w:tcW w:w="3514" w:type="dxa"/>
            <w:tcBorders>
              <w:tl2br w:val="nil"/>
              <w:tr2bl w:val="nil"/>
            </w:tcBorders>
            <w:vAlign w:val="center"/>
          </w:tcPr>
          <w:p w14:paraId="3A2DC20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t/a</w:t>
            </w:r>
            <w:r>
              <w:rPr>
                <w:rFonts w:hint="default" w:ascii="Times New Roman" w:hAnsi="Times New Roman" w:cs="Times New Roman"/>
                <w:b/>
                <w:bCs/>
                <w:color w:val="auto"/>
                <w:sz w:val="21"/>
                <w:szCs w:val="21"/>
                <w:highlight w:val="none"/>
                <w:lang w:eastAsia="zh-CN"/>
              </w:rPr>
              <w:t>）</w:t>
            </w:r>
          </w:p>
        </w:tc>
      </w:tr>
      <w:tr w14:paraId="4B690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dxa"/>
            <w:tcBorders>
              <w:tl2br w:val="nil"/>
              <w:tr2bl w:val="nil"/>
            </w:tcBorders>
            <w:vAlign w:val="center"/>
          </w:tcPr>
          <w:p w14:paraId="00E698A5">
            <w:pPr>
              <w:spacing w:line="360" w:lineRule="exact"/>
              <w:ind w:firstLine="0" w:firstLineChars="0"/>
              <w:jc w:val="center"/>
              <w:rPr>
                <w:rFonts w:hint="default" w:ascii="Times New Roman" w:hAnsi="Times New Roman" w:cs="Times New Roman"/>
                <w:color w:val="auto"/>
                <w:sz w:val="21"/>
                <w:szCs w:val="21"/>
                <w:highlight w:val="none"/>
              </w:rPr>
            </w:pPr>
            <w:bookmarkStart w:id="434" w:name="_Hlk384899458"/>
            <w:r>
              <w:rPr>
                <w:rFonts w:hint="default" w:ascii="Times New Roman" w:hAnsi="Times New Roman" w:cs="Times New Roman"/>
                <w:color w:val="auto"/>
                <w:sz w:val="21"/>
                <w:szCs w:val="21"/>
                <w:highlight w:val="none"/>
              </w:rPr>
              <w:t>有组织</w:t>
            </w:r>
          </w:p>
        </w:tc>
        <w:tc>
          <w:tcPr>
            <w:tcW w:w="1272" w:type="dxa"/>
            <w:tcBorders>
              <w:tl2br w:val="nil"/>
              <w:tr2bl w:val="nil"/>
            </w:tcBorders>
            <w:vAlign w:val="center"/>
          </w:tcPr>
          <w:p w14:paraId="00E5F97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533" w:type="dxa"/>
            <w:tcBorders>
              <w:tl2br w:val="nil"/>
              <w:tr2bl w:val="nil"/>
            </w:tcBorders>
            <w:vAlign w:val="center"/>
          </w:tcPr>
          <w:p w14:paraId="1B51F1CE">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37.5</w:t>
            </w:r>
          </w:p>
        </w:tc>
        <w:tc>
          <w:tcPr>
            <w:tcW w:w="3514" w:type="dxa"/>
            <w:tcBorders>
              <w:tl2br w:val="nil"/>
              <w:tr2bl w:val="nil"/>
            </w:tcBorders>
            <w:vAlign w:val="center"/>
          </w:tcPr>
          <w:p w14:paraId="33554FF4">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3.75</w:t>
            </w:r>
          </w:p>
        </w:tc>
      </w:tr>
      <w:bookmarkEnd w:id="434"/>
      <w:tr w14:paraId="2FF7C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dxa"/>
            <w:tcBorders>
              <w:tl2br w:val="nil"/>
              <w:tr2bl w:val="nil"/>
            </w:tcBorders>
            <w:vAlign w:val="center"/>
          </w:tcPr>
          <w:p w14:paraId="0960007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272" w:type="dxa"/>
            <w:tcBorders>
              <w:tl2br w:val="nil"/>
              <w:tr2bl w:val="nil"/>
            </w:tcBorders>
            <w:vAlign w:val="center"/>
          </w:tcPr>
          <w:p w14:paraId="4DBCF06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533" w:type="dxa"/>
            <w:tcBorders>
              <w:tl2br w:val="nil"/>
              <w:tr2bl w:val="nil"/>
            </w:tcBorders>
            <w:vAlign w:val="center"/>
          </w:tcPr>
          <w:p w14:paraId="5C83C653">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32.558</w:t>
            </w:r>
          </w:p>
        </w:tc>
        <w:tc>
          <w:tcPr>
            <w:tcW w:w="3514" w:type="dxa"/>
            <w:tcBorders>
              <w:tl2br w:val="nil"/>
              <w:tr2bl w:val="nil"/>
            </w:tcBorders>
            <w:vAlign w:val="center"/>
          </w:tcPr>
          <w:p w14:paraId="067AC20E">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3.446</w:t>
            </w:r>
          </w:p>
        </w:tc>
      </w:tr>
    </w:tbl>
    <w:p w14:paraId="6A5A7DB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.2.2水污染源</w:t>
      </w:r>
    </w:p>
    <w:p w14:paraId="57C5B567">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项目运营期废水主要</w:t>
      </w:r>
      <w:r>
        <w:rPr>
          <w:rFonts w:hint="default" w:ascii="Times New Roman" w:hAnsi="Times New Roman" w:cs="Times New Roman"/>
          <w:color w:val="auto"/>
          <w:highlight w:val="none"/>
        </w:rPr>
        <w:t>为选矿工艺产生的选矿废水</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办公生活区产生的生活污水</w:t>
      </w:r>
      <w:r>
        <w:rPr>
          <w:rFonts w:hint="default" w:ascii="Times New Roman" w:hAnsi="Times New Roman" w:cs="Times New Roman"/>
          <w:color w:val="auto"/>
          <w:kern w:val="0"/>
          <w:highlight w:val="none"/>
        </w:rPr>
        <w:t>。</w:t>
      </w:r>
    </w:p>
    <w:p w14:paraId="76087DDB">
      <w:pPr>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kern w:val="0"/>
          <w:highlight w:val="none"/>
        </w:rPr>
        <w:t>（1）选矿废水</w:t>
      </w:r>
    </w:p>
    <w:p w14:paraId="159D83B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本项目运营期选矿废水产生于选矿过程中，选矿废水量约为</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kern w:val="0"/>
          <w:highlight w:val="none"/>
        </w:rPr>
        <w:t>主要污染因子为pH、COD、SS及少量金属等</w:t>
      </w:r>
      <w:r>
        <w:rPr>
          <w:rFonts w:hint="default" w:ascii="Times New Roman" w:hAnsi="Times New Roman" w:cs="Times New Roman"/>
          <w:color w:val="auto"/>
          <w:highlight w:val="none"/>
        </w:rPr>
        <w:t>。选矿废水部分被</w:t>
      </w:r>
      <w:r>
        <w:rPr>
          <w:rFonts w:hint="default" w:cs="Times New Roman"/>
          <w:color w:val="auto"/>
          <w:highlight w:val="none"/>
          <w:lang w:val="en-US" w:eastAsia="zh-CN"/>
        </w:rPr>
        <w:t>金</w:t>
      </w:r>
      <w:r>
        <w:rPr>
          <w:rFonts w:hint="default" w:ascii="Times New Roman" w:hAnsi="Times New Roman" w:cs="Times New Roman"/>
          <w:color w:val="auto"/>
          <w:highlight w:val="none"/>
        </w:rPr>
        <w:t>精粉带走，精矿过滤水、尾矿浓缩压滤溢流水返回生产工序循环利用，尾矿矿浆通过管道输送至尾矿库，尾矿库设有回水系统，使用水泵将库内澄清水通过管道泵送至选矿厂生产回水池，供选矿循环使用，实现生产废水“闭路循环”，不外排。</w:t>
      </w:r>
    </w:p>
    <w:p w14:paraId="3F4715C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kern w:val="0"/>
          <w:highlight w:val="none"/>
        </w:rPr>
        <w:t>生活污水</w:t>
      </w:r>
    </w:p>
    <w:p w14:paraId="6BA550E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生活污水主要为洗浴、食堂、卫生间以及洗衣等产生的，属于一般性生活污水，主要污染物为SS、BOD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、COD、氨氮及动植物油等，</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生活污水产生量为</w:t>
      </w:r>
      <w:r>
        <w:rPr>
          <w:rFonts w:hint="default" w:ascii="Times New Roman" w:hAnsi="Times New Roman" w:cs="Times New Roman"/>
          <w:color w:val="auto"/>
          <w:highlight w:val="none"/>
          <w:lang w:val="en-US" w:eastAsia="zh-CN"/>
        </w:rPr>
        <w:t>8.24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1978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/a）。生活污水污染物浓度及产生量为SS：220mg/L（0.97t/a）、COD：300mg/L（1.32t/a）、BOD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：200mg/L（0.88t/a）、氨氮：30mg/L（0.13t/a）、动植物油100mg/L（0.44t/a）。</w:t>
      </w:r>
    </w:p>
    <w:p w14:paraId="5C8A30A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本项目生活污水排入新建的地埋式一体化污水处理设施处理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达到《农村生活污水处理排放标准》（DB65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highlight w:val="none"/>
          <w:lang w:val="en-US" w:eastAsia="zh-CN"/>
        </w:rPr>
        <w:t>灌溉季用于厂区绿化，非灌溉季</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highlight w:val="none"/>
        </w:rPr>
        <w:t>，不外排。</w:t>
      </w:r>
    </w:p>
    <w:p w14:paraId="132CA36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根据有关资料提供的生活污水中有关污染物浓度的经验值和地埋一体式污水处理设施出水水质参数，可知本项目</w:t>
      </w:r>
      <w:r>
        <w:rPr>
          <w:rFonts w:hint="default" w:ascii="Times New Roman" w:hAnsi="Times New Roman" w:cs="Times New Roman"/>
          <w:color w:val="auto"/>
          <w:highlight w:val="none"/>
          <w:lang w:eastAsia="zh-CN"/>
        </w:rPr>
        <w:t>选矿</w:t>
      </w:r>
      <w:r>
        <w:rPr>
          <w:rFonts w:hint="default" w:ascii="Times New Roman" w:hAnsi="Times New Roman" w:cs="Times New Roman"/>
          <w:color w:val="auto"/>
          <w:highlight w:val="none"/>
        </w:rPr>
        <w:t>生活污水中各污染物</w:t>
      </w:r>
      <w:r>
        <w:rPr>
          <w:rFonts w:hint="default" w:ascii="Times New Roman" w:hAnsi="Times New Roman" w:cs="Times New Roman"/>
          <w:color w:val="auto"/>
          <w:highlight w:val="none"/>
          <w:lang w:eastAsia="zh-CN"/>
        </w:rPr>
        <w:t>的产生量</w:t>
      </w:r>
      <w:r>
        <w:rPr>
          <w:rFonts w:hint="default" w:ascii="Times New Roman" w:hAnsi="Times New Roman" w:cs="Times New Roman"/>
          <w:color w:val="auto"/>
          <w:highlight w:val="none"/>
        </w:rPr>
        <w:t>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w:t>
      </w:r>
    </w:p>
    <w:p w14:paraId="1787C2D2">
      <w:pPr>
        <w:ind w:firstLine="0" w:firstLineChars="0"/>
        <w:jc w:val="center"/>
        <w:rPr>
          <w:rFonts w:hint="default" w:ascii="Times New Roman" w:hAnsi="Times New Roman" w:eastAsia="宋体" w:cs="Times New Roman"/>
          <w:b/>
          <w:bCs/>
          <w:color w:val="auto"/>
          <w:highlight w:val="none"/>
          <w:lang w:eastAsia="zh-CN"/>
        </w:rPr>
      </w:pPr>
      <w:bookmarkStart w:id="435" w:name="_Toc3986_WPSOffice_Level2"/>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12</w:t>
      </w:r>
      <w:r>
        <w:rPr>
          <w:rFonts w:hint="default" w:ascii="Times New Roman" w:hAnsi="Times New Roman" w:cs="Times New Roman"/>
          <w:b/>
          <w:bCs/>
          <w:color w:val="auto"/>
          <w:highlight w:val="none"/>
        </w:rPr>
        <w:t xml:space="preserve">    生活污水</w:t>
      </w:r>
      <w:bookmarkEnd w:id="435"/>
      <w:r>
        <w:rPr>
          <w:rFonts w:hint="default" w:ascii="Times New Roman" w:hAnsi="Times New Roman" w:cs="Times New Roman"/>
          <w:b/>
          <w:bCs/>
          <w:color w:val="auto"/>
          <w:highlight w:val="none"/>
          <w:lang w:eastAsia="zh-CN"/>
        </w:rPr>
        <w:t>污染物排放量一览表</w:t>
      </w:r>
    </w:p>
    <w:tbl>
      <w:tblPr>
        <w:tblStyle w:val="3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88"/>
        <w:gridCol w:w="1647"/>
        <w:gridCol w:w="1992"/>
        <w:gridCol w:w="1591"/>
        <w:gridCol w:w="1766"/>
      </w:tblGrid>
      <w:tr w14:paraId="6DE5A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blHeader/>
          <w:jc w:val="center"/>
        </w:trPr>
        <w:tc>
          <w:tcPr>
            <w:tcW w:w="1106" w:type="pct"/>
            <w:noWrap w:val="0"/>
            <w:vAlign w:val="center"/>
          </w:tcPr>
          <w:p w14:paraId="2F4AC6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916" w:type="pct"/>
            <w:noWrap w:val="0"/>
            <w:vAlign w:val="center"/>
          </w:tcPr>
          <w:p w14:paraId="351FF9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产生量（t/a）</w:t>
            </w:r>
          </w:p>
        </w:tc>
        <w:tc>
          <w:tcPr>
            <w:tcW w:w="1108" w:type="pct"/>
            <w:noWrap w:val="0"/>
            <w:vAlign w:val="center"/>
          </w:tcPr>
          <w:p w14:paraId="4FB554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产生浓度（mg/L）</w:t>
            </w:r>
          </w:p>
        </w:tc>
        <w:tc>
          <w:tcPr>
            <w:tcW w:w="885" w:type="pct"/>
            <w:noWrap w:val="0"/>
            <w:vAlign w:val="center"/>
          </w:tcPr>
          <w:p w14:paraId="5AC949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排放限值</w:t>
            </w:r>
          </w:p>
        </w:tc>
        <w:tc>
          <w:tcPr>
            <w:tcW w:w="982" w:type="pct"/>
            <w:noWrap w:val="0"/>
            <w:vAlign w:val="center"/>
          </w:tcPr>
          <w:p w14:paraId="6FDBD3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14:paraId="3D168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06" w:type="pct"/>
            <w:noWrap w:val="0"/>
            <w:vAlign w:val="center"/>
          </w:tcPr>
          <w:p w14:paraId="46195B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废水量</w:t>
            </w:r>
          </w:p>
        </w:tc>
        <w:tc>
          <w:tcPr>
            <w:tcW w:w="916" w:type="pct"/>
            <w:noWrap w:val="0"/>
            <w:vAlign w:val="center"/>
          </w:tcPr>
          <w:p w14:paraId="0487BA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0.1978万</w:t>
            </w:r>
          </w:p>
        </w:tc>
        <w:tc>
          <w:tcPr>
            <w:tcW w:w="1108" w:type="pct"/>
            <w:noWrap w:val="0"/>
            <w:vAlign w:val="center"/>
          </w:tcPr>
          <w:p w14:paraId="788641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885" w:type="pct"/>
            <w:noWrap w:val="0"/>
            <w:vAlign w:val="center"/>
          </w:tcPr>
          <w:p w14:paraId="1B1837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982" w:type="pct"/>
            <w:noWrap w:val="0"/>
            <w:vAlign w:val="center"/>
          </w:tcPr>
          <w:p w14:paraId="3A7F3D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7772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06" w:type="pct"/>
            <w:noWrap w:val="0"/>
            <w:vAlign w:val="center"/>
          </w:tcPr>
          <w:p w14:paraId="73A7DD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916" w:type="pct"/>
            <w:noWrap w:val="0"/>
            <w:vAlign w:val="center"/>
          </w:tcPr>
          <w:p w14:paraId="02CFCF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0.712</w:t>
            </w:r>
          </w:p>
        </w:tc>
        <w:tc>
          <w:tcPr>
            <w:tcW w:w="1108" w:type="pct"/>
            <w:noWrap w:val="0"/>
            <w:vAlign w:val="center"/>
          </w:tcPr>
          <w:p w14:paraId="3109D7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360</w:t>
            </w:r>
          </w:p>
        </w:tc>
        <w:tc>
          <w:tcPr>
            <w:tcW w:w="885" w:type="pct"/>
            <w:noWrap w:val="0"/>
            <w:vAlign w:val="center"/>
          </w:tcPr>
          <w:p w14:paraId="0EDD31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82" w:type="pct"/>
            <w:noWrap w:val="0"/>
            <w:vAlign w:val="center"/>
          </w:tcPr>
          <w:p w14:paraId="3236C0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08F5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06" w:type="pct"/>
            <w:noWrap w:val="0"/>
            <w:vAlign w:val="center"/>
          </w:tcPr>
          <w:p w14:paraId="4250A5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916" w:type="pct"/>
            <w:noWrap w:val="0"/>
            <w:vAlign w:val="center"/>
          </w:tcPr>
          <w:p w14:paraId="5C9526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0.593</w:t>
            </w:r>
          </w:p>
        </w:tc>
        <w:tc>
          <w:tcPr>
            <w:tcW w:w="1108" w:type="pct"/>
            <w:noWrap w:val="0"/>
            <w:vAlign w:val="center"/>
          </w:tcPr>
          <w:p w14:paraId="44D378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300</w:t>
            </w:r>
          </w:p>
        </w:tc>
        <w:tc>
          <w:tcPr>
            <w:tcW w:w="885" w:type="pct"/>
            <w:noWrap w:val="0"/>
            <w:vAlign w:val="center"/>
          </w:tcPr>
          <w:p w14:paraId="02A8D0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c>
          <w:tcPr>
            <w:tcW w:w="982" w:type="pct"/>
            <w:noWrap w:val="0"/>
            <w:vAlign w:val="center"/>
          </w:tcPr>
          <w:p w14:paraId="4ECFA9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57B3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06" w:type="pct"/>
            <w:noWrap w:val="0"/>
            <w:vAlign w:val="center"/>
          </w:tcPr>
          <w:p w14:paraId="75A53D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lang w:val="en-US" w:eastAsia="zh-CN"/>
              </w:rPr>
              <w:t>5</w:t>
            </w:r>
          </w:p>
        </w:tc>
        <w:tc>
          <w:tcPr>
            <w:tcW w:w="916" w:type="pct"/>
            <w:noWrap w:val="0"/>
            <w:vAlign w:val="center"/>
          </w:tcPr>
          <w:p w14:paraId="153F53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0.435</w:t>
            </w:r>
          </w:p>
        </w:tc>
        <w:tc>
          <w:tcPr>
            <w:tcW w:w="1108" w:type="pct"/>
            <w:noWrap w:val="0"/>
            <w:vAlign w:val="center"/>
          </w:tcPr>
          <w:p w14:paraId="0EA8B7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220</w:t>
            </w:r>
          </w:p>
        </w:tc>
        <w:tc>
          <w:tcPr>
            <w:tcW w:w="885" w:type="pct"/>
            <w:noWrap w:val="0"/>
            <w:vAlign w:val="center"/>
          </w:tcPr>
          <w:p w14:paraId="4FD88C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982" w:type="pct"/>
            <w:noWrap w:val="0"/>
            <w:vAlign w:val="center"/>
          </w:tcPr>
          <w:p w14:paraId="580971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33870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106" w:type="pct"/>
            <w:noWrap w:val="0"/>
            <w:vAlign w:val="center"/>
          </w:tcPr>
          <w:p w14:paraId="1EFCC5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916" w:type="pct"/>
            <w:noWrap w:val="0"/>
            <w:vAlign w:val="center"/>
          </w:tcPr>
          <w:p w14:paraId="069454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0.059</w:t>
            </w:r>
          </w:p>
        </w:tc>
        <w:tc>
          <w:tcPr>
            <w:tcW w:w="1108" w:type="pct"/>
            <w:noWrap w:val="0"/>
            <w:vAlign w:val="center"/>
          </w:tcPr>
          <w:p w14:paraId="59026F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30</w:t>
            </w:r>
          </w:p>
        </w:tc>
        <w:tc>
          <w:tcPr>
            <w:tcW w:w="885" w:type="pct"/>
            <w:noWrap w:val="0"/>
            <w:vAlign w:val="center"/>
          </w:tcPr>
          <w:p w14:paraId="3FE40F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82" w:type="pct"/>
            <w:noWrap w:val="0"/>
            <w:vAlign w:val="center"/>
          </w:tcPr>
          <w:p w14:paraId="1DF421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3577E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06" w:type="pct"/>
            <w:noWrap w:val="0"/>
            <w:vAlign w:val="center"/>
          </w:tcPr>
          <w:p w14:paraId="4134C4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动植物油</w:t>
            </w:r>
          </w:p>
        </w:tc>
        <w:tc>
          <w:tcPr>
            <w:tcW w:w="916" w:type="pct"/>
            <w:noWrap w:val="0"/>
            <w:vAlign w:val="center"/>
          </w:tcPr>
          <w:p w14:paraId="1055FF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078</w:t>
            </w:r>
          </w:p>
        </w:tc>
        <w:tc>
          <w:tcPr>
            <w:tcW w:w="1108" w:type="pct"/>
            <w:noWrap w:val="0"/>
            <w:vAlign w:val="center"/>
          </w:tcPr>
          <w:p w14:paraId="024E87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40</w:t>
            </w:r>
          </w:p>
        </w:tc>
        <w:tc>
          <w:tcPr>
            <w:tcW w:w="885" w:type="pct"/>
            <w:noWrap w:val="0"/>
            <w:vAlign w:val="center"/>
          </w:tcPr>
          <w:p w14:paraId="62CF6F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982" w:type="pct"/>
            <w:noWrap w:val="0"/>
            <w:vAlign w:val="center"/>
          </w:tcPr>
          <w:p w14:paraId="5D71E9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3929955">
      <w:pPr>
        <w:overflowPunct w:val="0"/>
        <w:topLinePunct/>
        <w:ind w:firstLine="480"/>
        <w:rPr>
          <w:rFonts w:hint="default" w:ascii="Times New Roman" w:hAnsi="Times New Roman" w:cs="Times New Roman"/>
          <w:color w:val="auto"/>
          <w:highlight w:val="none"/>
        </w:rPr>
      </w:pPr>
    </w:p>
    <w:p w14:paraId="1D99956E">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.2.3噪声</w:t>
      </w:r>
    </w:p>
    <w:p w14:paraId="55347011">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w:t>
      </w:r>
      <w:r>
        <w:rPr>
          <w:rFonts w:hint="default" w:ascii="Times New Roman" w:hAnsi="Times New Roman" w:eastAsia="宋体" w:cs="Times New Roman"/>
          <w:color w:val="auto"/>
          <w:sz w:val="24"/>
          <w:szCs w:val="28"/>
          <w:highlight w:val="none"/>
          <w:lang w:eastAsia="zh-CN"/>
        </w:rPr>
        <w:t>选矿工序</w:t>
      </w:r>
      <w:r>
        <w:rPr>
          <w:rFonts w:hint="default" w:ascii="Times New Roman" w:hAnsi="Times New Roman" w:eastAsia="宋体" w:cs="Times New Roman"/>
          <w:color w:val="auto"/>
          <w:sz w:val="24"/>
          <w:szCs w:val="28"/>
          <w:highlight w:val="none"/>
        </w:rPr>
        <w:t>产生噪声</w:t>
      </w:r>
      <w:r>
        <w:rPr>
          <w:rFonts w:hint="default" w:ascii="Times New Roman" w:hAnsi="Times New Roman" w:eastAsia="宋体" w:cs="Times New Roman"/>
          <w:color w:val="auto"/>
          <w:sz w:val="24"/>
          <w:szCs w:val="28"/>
          <w:highlight w:val="none"/>
          <w:lang w:eastAsia="zh-CN"/>
        </w:rPr>
        <w:t>的主要设备有破碎机、振动筛、球磨机、</w:t>
      </w:r>
      <w:r>
        <w:rPr>
          <w:rFonts w:hint="default" w:ascii="Times New Roman" w:hAnsi="Times New Roman" w:eastAsia="宋体" w:cs="Times New Roman"/>
          <w:color w:val="auto"/>
          <w:sz w:val="24"/>
          <w:szCs w:val="28"/>
          <w:highlight w:val="none"/>
          <w:lang w:val="en-US" w:eastAsia="zh-CN"/>
        </w:rPr>
        <w:t>浮选设备、</w:t>
      </w:r>
      <w:r>
        <w:rPr>
          <w:rFonts w:hint="default" w:ascii="Times New Roman" w:hAnsi="Times New Roman" w:eastAsia="宋体" w:cs="Times New Roman"/>
          <w:color w:val="auto"/>
          <w:sz w:val="24"/>
          <w:szCs w:val="28"/>
          <w:highlight w:val="none"/>
          <w:lang w:eastAsia="zh-CN"/>
        </w:rPr>
        <w:t>风机及水泵等</w:t>
      </w:r>
      <w:r>
        <w:rPr>
          <w:rFonts w:hint="default" w:ascii="Times New Roman" w:hAnsi="Times New Roman" w:cs="Times New Roman"/>
          <w:color w:val="auto"/>
          <w:kern w:val="0"/>
          <w:highlight w:val="none"/>
        </w:rPr>
        <w:t>，噪声源的声压级及防治措施见表3.</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-1</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p>
    <w:p w14:paraId="5F64DB6C">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-1</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 xml:space="preserve">    主要噪声源噪声级及采取的措施</w:t>
      </w:r>
    </w:p>
    <w:tbl>
      <w:tblPr>
        <w:tblStyle w:val="99"/>
        <w:tblW w:w="503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42"/>
        <w:gridCol w:w="1277"/>
        <w:gridCol w:w="539"/>
        <w:gridCol w:w="1114"/>
        <w:gridCol w:w="959"/>
        <w:gridCol w:w="4133"/>
        <w:gridCol w:w="678"/>
      </w:tblGrid>
      <w:tr w14:paraId="1828BD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tblHeader/>
        </w:trPr>
        <w:tc>
          <w:tcPr>
            <w:tcW w:w="1193" w:type="pct"/>
            <w:gridSpan w:val="3"/>
            <w:tcBorders>
              <w:tl2br w:val="nil"/>
              <w:tr2bl w:val="nil"/>
            </w:tcBorders>
            <w:noWrap w:val="0"/>
            <w:vAlign w:val="center"/>
          </w:tcPr>
          <w:p w14:paraId="2091437C">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污染源</w:t>
            </w:r>
          </w:p>
        </w:tc>
        <w:tc>
          <w:tcPr>
            <w:tcW w:w="616" w:type="pct"/>
            <w:tcBorders>
              <w:tl2br w:val="nil"/>
              <w:tr2bl w:val="nil"/>
            </w:tcBorders>
            <w:noWrap w:val="0"/>
            <w:vAlign w:val="center"/>
          </w:tcPr>
          <w:p w14:paraId="151BEF79">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污染源特征</w:t>
            </w:r>
          </w:p>
        </w:tc>
        <w:tc>
          <w:tcPr>
            <w:tcW w:w="530" w:type="pct"/>
            <w:tcBorders>
              <w:tl2br w:val="nil"/>
              <w:tr2bl w:val="nil"/>
            </w:tcBorders>
            <w:noWrap w:val="0"/>
            <w:vAlign w:val="center"/>
          </w:tcPr>
          <w:p w14:paraId="2AA8E2C3">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产生源强</w:t>
            </w:r>
          </w:p>
        </w:tc>
        <w:tc>
          <w:tcPr>
            <w:tcW w:w="2285" w:type="pct"/>
            <w:tcBorders>
              <w:tl2br w:val="nil"/>
              <w:tr2bl w:val="nil"/>
            </w:tcBorders>
            <w:noWrap w:val="0"/>
            <w:vAlign w:val="center"/>
          </w:tcPr>
          <w:p w14:paraId="00894B69">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污染防治措施</w:t>
            </w:r>
          </w:p>
        </w:tc>
        <w:tc>
          <w:tcPr>
            <w:tcW w:w="375" w:type="pct"/>
            <w:tcBorders>
              <w:tl2br w:val="nil"/>
              <w:tr2bl w:val="nil"/>
            </w:tcBorders>
            <w:noWrap w:val="0"/>
            <w:vAlign w:val="center"/>
          </w:tcPr>
          <w:p w14:paraId="63E62FBB">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源强</w:t>
            </w:r>
          </w:p>
        </w:tc>
      </w:tr>
      <w:tr w14:paraId="3680C3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restart"/>
            <w:tcBorders>
              <w:tl2br w:val="nil"/>
              <w:tr2bl w:val="nil"/>
            </w:tcBorders>
            <w:noWrap w:val="0"/>
            <w:vAlign w:val="center"/>
          </w:tcPr>
          <w:p w14:paraId="7692569C">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选矿工业场地</w:t>
            </w:r>
          </w:p>
        </w:tc>
        <w:tc>
          <w:tcPr>
            <w:tcW w:w="706" w:type="pct"/>
            <w:tcBorders>
              <w:tl2br w:val="nil"/>
              <w:tr2bl w:val="nil"/>
            </w:tcBorders>
            <w:noWrap w:val="0"/>
            <w:vAlign w:val="center"/>
          </w:tcPr>
          <w:p w14:paraId="6C7BCC54">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颚式破碎机</w:t>
            </w:r>
          </w:p>
        </w:tc>
        <w:tc>
          <w:tcPr>
            <w:tcW w:w="297" w:type="pct"/>
            <w:tcBorders>
              <w:tl2br w:val="nil"/>
              <w:tr2bl w:val="nil"/>
            </w:tcBorders>
            <w:noWrap w:val="0"/>
            <w:vAlign w:val="center"/>
          </w:tcPr>
          <w:p w14:paraId="6015F3F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105BEF85">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5EFC1A4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95</w:t>
            </w:r>
          </w:p>
        </w:tc>
        <w:tc>
          <w:tcPr>
            <w:tcW w:w="2285" w:type="pct"/>
            <w:tcBorders>
              <w:tl2br w:val="nil"/>
              <w:tr2bl w:val="nil"/>
            </w:tcBorders>
            <w:noWrap w:val="0"/>
            <w:vAlign w:val="center"/>
          </w:tcPr>
          <w:p w14:paraId="2960D96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2E27F55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75</w:t>
            </w:r>
          </w:p>
        </w:tc>
      </w:tr>
      <w:tr w14:paraId="078534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32ADE758">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09BAA7B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圆锥破碎机</w:t>
            </w:r>
          </w:p>
        </w:tc>
        <w:tc>
          <w:tcPr>
            <w:tcW w:w="297" w:type="pct"/>
            <w:tcBorders>
              <w:tl2br w:val="nil"/>
              <w:tr2bl w:val="nil"/>
            </w:tcBorders>
            <w:noWrap w:val="0"/>
            <w:vAlign w:val="center"/>
          </w:tcPr>
          <w:p w14:paraId="28E0D1D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27A5265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1C42430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90</w:t>
            </w:r>
          </w:p>
        </w:tc>
        <w:tc>
          <w:tcPr>
            <w:tcW w:w="2285" w:type="pct"/>
            <w:tcBorders>
              <w:tl2br w:val="nil"/>
              <w:tr2bl w:val="nil"/>
            </w:tcBorders>
            <w:noWrap w:val="0"/>
            <w:vAlign w:val="center"/>
          </w:tcPr>
          <w:p w14:paraId="3748ACC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1BCD993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70</w:t>
            </w:r>
          </w:p>
        </w:tc>
      </w:tr>
      <w:tr w14:paraId="3C18E2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5938B6EB">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60EE47E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b w:val="0"/>
                <w:color w:val="auto"/>
                <w:sz w:val="21"/>
                <w:highlight w:val="none"/>
                <w:lang w:val="en-US" w:eastAsia="zh-CN"/>
              </w:rPr>
              <w:t>香蕉筛</w:t>
            </w:r>
          </w:p>
        </w:tc>
        <w:tc>
          <w:tcPr>
            <w:tcW w:w="297" w:type="pct"/>
            <w:tcBorders>
              <w:tl2br w:val="nil"/>
              <w:tr2bl w:val="nil"/>
            </w:tcBorders>
            <w:noWrap w:val="0"/>
            <w:vAlign w:val="center"/>
          </w:tcPr>
          <w:p w14:paraId="6C3307D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275C1224">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3B9C985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85</w:t>
            </w:r>
          </w:p>
        </w:tc>
        <w:tc>
          <w:tcPr>
            <w:tcW w:w="2285" w:type="pct"/>
            <w:tcBorders>
              <w:tl2br w:val="nil"/>
              <w:tr2bl w:val="nil"/>
            </w:tcBorders>
            <w:noWrap w:val="0"/>
            <w:vAlign w:val="center"/>
          </w:tcPr>
          <w:p w14:paraId="1A56E95A">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6EDFA93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65</w:t>
            </w:r>
          </w:p>
        </w:tc>
      </w:tr>
      <w:tr w14:paraId="35669B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1DD881E6">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684AC5B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球磨机</w:t>
            </w:r>
          </w:p>
        </w:tc>
        <w:tc>
          <w:tcPr>
            <w:tcW w:w="297" w:type="pct"/>
            <w:tcBorders>
              <w:tl2br w:val="nil"/>
              <w:tr2bl w:val="nil"/>
            </w:tcBorders>
            <w:noWrap w:val="0"/>
            <w:vAlign w:val="center"/>
          </w:tcPr>
          <w:p w14:paraId="144DB83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0604D4B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20DED9B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90</w:t>
            </w:r>
          </w:p>
        </w:tc>
        <w:tc>
          <w:tcPr>
            <w:tcW w:w="2285" w:type="pct"/>
            <w:tcBorders>
              <w:tl2br w:val="nil"/>
              <w:tr2bl w:val="nil"/>
            </w:tcBorders>
            <w:noWrap w:val="0"/>
            <w:vAlign w:val="center"/>
          </w:tcPr>
          <w:p w14:paraId="05823FB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107B72F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70</w:t>
            </w:r>
          </w:p>
        </w:tc>
      </w:tr>
      <w:tr w14:paraId="001CD1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55B2D14C">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7A45602A">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分级机</w:t>
            </w:r>
          </w:p>
        </w:tc>
        <w:tc>
          <w:tcPr>
            <w:tcW w:w="297" w:type="pct"/>
            <w:tcBorders>
              <w:tl2br w:val="nil"/>
              <w:tr2bl w:val="nil"/>
            </w:tcBorders>
            <w:noWrap w:val="0"/>
            <w:vAlign w:val="center"/>
          </w:tcPr>
          <w:p w14:paraId="568C2EB9">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720C9DF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2B0023D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85</w:t>
            </w:r>
          </w:p>
        </w:tc>
        <w:tc>
          <w:tcPr>
            <w:tcW w:w="2285" w:type="pct"/>
            <w:tcBorders>
              <w:tl2br w:val="nil"/>
              <w:tr2bl w:val="nil"/>
            </w:tcBorders>
            <w:noWrap w:val="0"/>
            <w:vAlign w:val="center"/>
          </w:tcPr>
          <w:p w14:paraId="784E8CF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473A42A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65</w:t>
            </w:r>
          </w:p>
        </w:tc>
      </w:tr>
      <w:tr w14:paraId="0D30C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44A27A24">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4D8714E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浮选机</w:t>
            </w:r>
          </w:p>
        </w:tc>
        <w:tc>
          <w:tcPr>
            <w:tcW w:w="297" w:type="pct"/>
            <w:tcBorders>
              <w:tl2br w:val="nil"/>
              <w:tr2bl w:val="nil"/>
            </w:tcBorders>
            <w:noWrap w:val="0"/>
            <w:vAlign w:val="center"/>
          </w:tcPr>
          <w:p w14:paraId="43F7750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122174A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72D86EA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75</w:t>
            </w:r>
          </w:p>
        </w:tc>
        <w:tc>
          <w:tcPr>
            <w:tcW w:w="2285" w:type="pct"/>
            <w:tcBorders>
              <w:tl2br w:val="nil"/>
              <w:tr2bl w:val="nil"/>
            </w:tcBorders>
            <w:noWrap w:val="0"/>
            <w:vAlign w:val="center"/>
          </w:tcPr>
          <w:p w14:paraId="0B706CA4">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4362DEE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55</w:t>
            </w:r>
          </w:p>
        </w:tc>
      </w:tr>
      <w:tr w14:paraId="61D9B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6500786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6B5724A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泵类</w:t>
            </w:r>
          </w:p>
        </w:tc>
        <w:tc>
          <w:tcPr>
            <w:tcW w:w="297" w:type="pct"/>
            <w:tcBorders>
              <w:tl2br w:val="nil"/>
              <w:tr2bl w:val="nil"/>
            </w:tcBorders>
            <w:noWrap w:val="0"/>
            <w:vAlign w:val="center"/>
          </w:tcPr>
          <w:p w14:paraId="5B08B31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1F8E643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030E05F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85</w:t>
            </w:r>
          </w:p>
        </w:tc>
        <w:tc>
          <w:tcPr>
            <w:tcW w:w="2285" w:type="pct"/>
            <w:tcBorders>
              <w:tl2br w:val="nil"/>
              <w:tr2bl w:val="nil"/>
            </w:tcBorders>
            <w:noWrap w:val="0"/>
            <w:vAlign w:val="center"/>
          </w:tcPr>
          <w:p w14:paraId="79342C3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05C6500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65</w:t>
            </w:r>
          </w:p>
        </w:tc>
      </w:tr>
      <w:tr w14:paraId="1D937E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580CCE7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47341D1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皮带输送机</w:t>
            </w:r>
          </w:p>
        </w:tc>
        <w:tc>
          <w:tcPr>
            <w:tcW w:w="297" w:type="pct"/>
            <w:tcBorders>
              <w:tl2br w:val="nil"/>
              <w:tr2bl w:val="nil"/>
            </w:tcBorders>
            <w:noWrap w:val="0"/>
            <w:vAlign w:val="center"/>
          </w:tcPr>
          <w:p w14:paraId="78F2A90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311B978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5CE336D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70</w:t>
            </w:r>
          </w:p>
        </w:tc>
        <w:tc>
          <w:tcPr>
            <w:tcW w:w="2285" w:type="pct"/>
            <w:tcBorders>
              <w:tl2br w:val="nil"/>
              <w:tr2bl w:val="nil"/>
            </w:tcBorders>
            <w:noWrap w:val="0"/>
            <w:vAlign w:val="center"/>
          </w:tcPr>
          <w:p w14:paraId="39944A7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选用低噪声型、封闭隔声、设备基座减振</w:t>
            </w:r>
          </w:p>
        </w:tc>
        <w:tc>
          <w:tcPr>
            <w:tcW w:w="375" w:type="pct"/>
            <w:tcBorders>
              <w:tl2br w:val="nil"/>
              <w:tr2bl w:val="nil"/>
            </w:tcBorders>
            <w:noWrap w:val="0"/>
            <w:vAlign w:val="center"/>
          </w:tcPr>
          <w:p w14:paraId="092E9F29">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52</w:t>
            </w:r>
          </w:p>
        </w:tc>
      </w:tr>
      <w:tr w14:paraId="06E14B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467D6D64">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4AC90B4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浓缩机</w:t>
            </w:r>
          </w:p>
        </w:tc>
        <w:tc>
          <w:tcPr>
            <w:tcW w:w="297" w:type="pct"/>
            <w:tcBorders>
              <w:tl2br w:val="nil"/>
              <w:tr2bl w:val="nil"/>
            </w:tcBorders>
            <w:noWrap w:val="0"/>
            <w:vAlign w:val="center"/>
          </w:tcPr>
          <w:p w14:paraId="3A9966D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0C360B2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53A626B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80</w:t>
            </w:r>
          </w:p>
        </w:tc>
        <w:tc>
          <w:tcPr>
            <w:tcW w:w="2285" w:type="pct"/>
            <w:tcBorders>
              <w:tl2br w:val="nil"/>
              <w:tr2bl w:val="nil"/>
            </w:tcBorders>
            <w:noWrap w:val="0"/>
            <w:vAlign w:val="center"/>
          </w:tcPr>
          <w:p w14:paraId="503CAA6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75" w:type="pct"/>
            <w:tcBorders>
              <w:tl2br w:val="nil"/>
              <w:tr2bl w:val="nil"/>
            </w:tcBorders>
            <w:noWrap w:val="0"/>
            <w:vAlign w:val="center"/>
          </w:tcPr>
          <w:p w14:paraId="71DB4CF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65</w:t>
            </w:r>
          </w:p>
        </w:tc>
      </w:tr>
      <w:tr w14:paraId="3ACC1C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restart"/>
            <w:tcBorders>
              <w:tl2br w:val="nil"/>
              <w:tr2bl w:val="nil"/>
            </w:tcBorders>
            <w:noWrap w:val="0"/>
            <w:vAlign w:val="center"/>
          </w:tcPr>
          <w:p w14:paraId="1CF35E09">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尾矿库</w:t>
            </w:r>
          </w:p>
        </w:tc>
        <w:tc>
          <w:tcPr>
            <w:tcW w:w="706" w:type="pct"/>
            <w:tcBorders>
              <w:tl2br w:val="nil"/>
              <w:tr2bl w:val="nil"/>
            </w:tcBorders>
            <w:noWrap w:val="0"/>
            <w:vAlign w:val="center"/>
          </w:tcPr>
          <w:p w14:paraId="11471E8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尾矿回水泵</w:t>
            </w:r>
          </w:p>
        </w:tc>
        <w:tc>
          <w:tcPr>
            <w:tcW w:w="297" w:type="pct"/>
            <w:tcBorders>
              <w:tl2br w:val="nil"/>
              <w:tr2bl w:val="nil"/>
            </w:tcBorders>
            <w:noWrap w:val="0"/>
            <w:vAlign w:val="center"/>
          </w:tcPr>
          <w:p w14:paraId="4411ABA9">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7C25A3A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4616371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80</w:t>
            </w:r>
          </w:p>
        </w:tc>
        <w:tc>
          <w:tcPr>
            <w:tcW w:w="2285" w:type="pct"/>
            <w:tcBorders>
              <w:tl2br w:val="nil"/>
              <w:tr2bl w:val="nil"/>
            </w:tcBorders>
            <w:noWrap w:val="0"/>
            <w:vAlign w:val="center"/>
          </w:tcPr>
          <w:p w14:paraId="7AB637D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选用低噪声型、设备基座减振</w:t>
            </w:r>
          </w:p>
        </w:tc>
        <w:tc>
          <w:tcPr>
            <w:tcW w:w="375" w:type="pct"/>
            <w:tcBorders>
              <w:tl2br w:val="nil"/>
              <w:tr2bl w:val="nil"/>
            </w:tcBorders>
            <w:noWrap w:val="0"/>
            <w:vAlign w:val="center"/>
          </w:tcPr>
          <w:p w14:paraId="44D51D9A">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72</w:t>
            </w:r>
          </w:p>
        </w:tc>
      </w:tr>
      <w:tr w14:paraId="1D7E75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45759DA1">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0268004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推土机</w:t>
            </w:r>
          </w:p>
        </w:tc>
        <w:tc>
          <w:tcPr>
            <w:tcW w:w="297" w:type="pct"/>
            <w:tcBorders>
              <w:tl2br w:val="nil"/>
              <w:tr2bl w:val="nil"/>
            </w:tcBorders>
            <w:noWrap w:val="0"/>
            <w:vAlign w:val="center"/>
          </w:tcPr>
          <w:p w14:paraId="6CE1498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6F11366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11F101F8">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95</w:t>
            </w:r>
          </w:p>
        </w:tc>
        <w:tc>
          <w:tcPr>
            <w:tcW w:w="2285" w:type="pct"/>
            <w:tcBorders>
              <w:tl2br w:val="nil"/>
              <w:tr2bl w:val="nil"/>
            </w:tcBorders>
            <w:noWrap w:val="0"/>
            <w:vAlign w:val="center"/>
          </w:tcPr>
          <w:p w14:paraId="3C3434E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选用低噪声型、设备基座减振</w:t>
            </w:r>
          </w:p>
        </w:tc>
        <w:tc>
          <w:tcPr>
            <w:tcW w:w="375" w:type="pct"/>
            <w:tcBorders>
              <w:tl2br w:val="nil"/>
              <w:tr2bl w:val="nil"/>
            </w:tcBorders>
            <w:noWrap w:val="0"/>
            <w:vAlign w:val="center"/>
          </w:tcPr>
          <w:p w14:paraId="4BAD554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70</w:t>
            </w:r>
          </w:p>
        </w:tc>
      </w:tr>
      <w:tr w14:paraId="4DCDCD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9" w:type="pct"/>
            <w:vMerge w:val="continue"/>
            <w:tcBorders>
              <w:tl2br w:val="nil"/>
              <w:tr2bl w:val="nil"/>
            </w:tcBorders>
            <w:noWrap w:val="0"/>
            <w:vAlign w:val="center"/>
          </w:tcPr>
          <w:p w14:paraId="44F8A681">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p>
        </w:tc>
        <w:tc>
          <w:tcPr>
            <w:tcW w:w="706" w:type="pct"/>
            <w:tcBorders>
              <w:tl2br w:val="nil"/>
              <w:tr2bl w:val="nil"/>
            </w:tcBorders>
            <w:noWrap w:val="0"/>
            <w:vAlign w:val="center"/>
          </w:tcPr>
          <w:p w14:paraId="3A4052B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压路机</w:t>
            </w:r>
          </w:p>
        </w:tc>
        <w:tc>
          <w:tcPr>
            <w:tcW w:w="297" w:type="pct"/>
            <w:tcBorders>
              <w:tl2br w:val="nil"/>
              <w:tr2bl w:val="nil"/>
            </w:tcBorders>
            <w:noWrap w:val="0"/>
            <w:vAlign w:val="center"/>
          </w:tcPr>
          <w:p w14:paraId="5122FAB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噪声</w:t>
            </w:r>
          </w:p>
        </w:tc>
        <w:tc>
          <w:tcPr>
            <w:tcW w:w="616" w:type="pct"/>
            <w:tcBorders>
              <w:tl2br w:val="nil"/>
              <w:tr2bl w:val="nil"/>
            </w:tcBorders>
            <w:noWrap w:val="0"/>
            <w:vAlign w:val="center"/>
          </w:tcPr>
          <w:p w14:paraId="4C9415DA">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稳态</w:t>
            </w:r>
          </w:p>
        </w:tc>
        <w:tc>
          <w:tcPr>
            <w:tcW w:w="530" w:type="pct"/>
            <w:tcBorders>
              <w:tl2br w:val="nil"/>
              <w:tr2bl w:val="nil"/>
            </w:tcBorders>
            <w:noWrap w:val="0"/>
            <w:vAlign w:val="center"/>
          </w:tcPr>
          <w:p w14:paraId="2A8ED7C8">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85</w:t>
            </w:r>
          </w:p>
        </w:tc>
        <w:tc>
          <w:tcPr>
            <w:tcW w:w="2285" w:type="pct"/>
            <w:tcBorders>
              <w:tl2br w:val="nil"/>
              <w:tr2bl w:val="nil"/>
            </w:tcBorders>
            <w:noWrap w:val="0"/>
            <w:vAlign w:val="center"/>
          </w:tcPr>
          <w:p w14:paraId="22BFEC4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选用低噪声型、设备基座减振</w:t>
            </w:r>
          </w:p>
        </w:tc>
        <w:tc>
          <w:tcPr>
            <w:tcW w:w="375" w:type="pct"/>
            <w:tcBorders>
              <w:tl2br w:val="nil"/>
              <w:tr2bl w:val="nil"/>
            </w:tcBorders>
            <w:noWrap w:val="0"/>
            <w:vAlign w:val="center"/>
          </w:tcPr>
          <w:p w14:paraId="62E928E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70</w:t>
            </w:r>
          </w:p>
        </w:tc>
      </w:tr>
    </w:tbl>
    <w:p w14:paraId="7801CDE9">
      <w:pPr>
        <w:ind w:firstLine="0" w:firstLineChars="0"/>
        <w:jc w:val="center"/>
        <w:rPr>
          <w:rFonts w:hint="default" w:ascii="Times New Roman" w:hAnsi="Times New Roman" w:cs="Times New Roman"/>
          <w:b/>
          <w:color w:val="auto"/>
          <w:kern w:val="0"/>
          <w:highlight w:val="none"/>
        </w:rPr>
      </w:pPr>
    </w:p>
    <w:p w14:paraId="0C0DB5AA">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.2.4固体废物</w:t>
      </w:r>
    </w:p>
    <w:p w14:paraId="5E9F6610">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运营期固体废物主要来源于选矿工序产生的</w:t>
      </w:r>
      <w:r>
        <w:rPr>
          <w:rFonts w:hint="default" w:ascii="Times New Roman" w:hAnsi="Times New Roman" w:cs="Times New Roman"/>
          <w:color w:val="auto"/>
          <w:highlight w:val="none"/>
        </w:rPr>
        <w:t>尾矿、除尘灰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生产回水池底泥、</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矿物油及废油桶、</w:t>
      </w:r>
      <w:r>
        <w:rPr>
          <w:rFonts w:hint="default" w:ascii="Times New Roman" w:hAnsi="Times New Roman" w:cs="Times New Roman"/>
          <w:color w:val="auto"/>
          <w:highlight w:val="none"/>
        </w:rPr>
        <w:t>沾染毒性废弃包装物、生活污水处理设施底泥及生活垃圾</w:t>
      </w:r>
      <w:r>
        <w:rPr>
          <w:rFonts w:hint="default" w:ascii="Times New Roman" w:hAnsi="Times New Roman" w:cs="Times New Roman"/>
          <w:color w:val="auto"/>
          <w:kern w:val="0"/>
          <w:highlight w:val="none"/>
        </w:rPr>
        <w:t>。</w:t>
      </w:r>
    </w:p>
    <w:p w14:paraId="73B89C20">
      <w:pPr>
        <w:autoSpaceDE w:val="0"/>
        <w:autoSpaceDN w:val="0"/>
        <w:ind w:firstLine="480"/>
        <w:rPr>
          <w:rFonts w:hint="default" w:ascii="Times New Roman" w:hAnsi="Times New Roman" w:cs="Times New Roman"/>
          <w:color w:val="auto"/>
          <w:highlight w:val="none"/>
        </w:rPr>
      </w:pPr>
      <w:bookmarkStart w:id="436" w:name="_Toc10742"/>
      <w:bookmarkStart w:id="437" w:name="_Toc16102"/>
      <w:bookmarkStart w:id="438" w:name="_Toc18866"/>
      <w:bookmarkStart w:id="439" w:name="_Toc6298"/>
      <w:bookmarkStart w:id="440" w:name="_Toc10610"/>
      <w:bookmarkStart w:id="441" w:name="_Toc10911"/>
      <w:bookmarkStart w:id="442" w:name="_Toc29311"/>
      <w:bookmarkStart w:id="443" w:name="_Toc30963"/>
      <w:bookmarkStart w:id="444" w:name="_Toc11624"/>
      <w:bookmarkStart w:id="445" w:name="_Toc31750"/>
      <w:bookmarkStart w:id="446" w:name="_Toc5816"/>
      <w:r>
        <w:rPr>
          <w:rFonts w:hint="default" w:ascii="Times New Roman" w:hAnsi="Times New Roman" w:cs="Times New Roman"/>
          <w:color w:val="auto"/>
          <w:highlight w:val="none"/>
        </w:rPr>
        <w:t>（1）尾矿</w:t>
      </w:r>
    </w:p>
    <w:p w14:paraId="29503677">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8"/>
          <w:highlight w:val="none"/>
        </w:rPr>
        <w:t>本项目尾矿主要为磨矿</w:t>
      </w:r>
      <w:r>
        <w:rPr>
          <w:rFonts w:hint="default" w:ascii="Times New Roman" w:hAnsi="Times New Roman" w:eastAsia="宋体" w:cs="Times New Roman"/>
          <w:color w:val="auto"/>
          <w:sz w:val="24"/>
          <w:szCs w:val="28"/>
          <w:highlight w:val="none"/>
          <w:lang w:val="en-US" w:eastAsia="zh-CN"/>
        </w:rPr>
        <w:t>浮选</w:t>
      </w:r>
      <w:r>
        <w:rPr>
          <w:rFonts w:hint="default" w:ascii="Times New Roman" w:hAnsi="Times New Roman" w:eastAsia="宋体" w:cs="Times New Roman"/>
          <w:color w:val="auto"/>
          <w:sz w:val="24"/>
          <w:szCs w:val="28"/>
          <w:highlight w:val="none"/>
        </w:rPr>
        <w:t>过程中产生的尾矿</w:t>
      </w:r>
      <w:r>
        <w:rPr>
          <w:rFonts w:hint="default" w:ascii="Times New Roman" w:hAnsi="Times New Roman" w:eastAsia="宋体" w:cs="Times New Roman"/>
          <w:color w:val="auto"/>
          <w:sz w:val="24"/>
          <w:szCs w:val="28"/>
          <w:highlight w:val="none"/>
          <w:lang w:eastAsia="zh-CN"/>
        </w:rPr>
        <w:t>（代码：</w:t>
      </w:r>
      <w:r>
        <w:rPr>
          <w:rFonts w:hint="default" w:ascii="Times New Roman" w:hAnsi="Times New Roman" w:eastAsia="宋体" w:cs="Times New Roman"/>
          <w:color w:val="auto"/>
          <w:sz w:val="24"/>
          <w:szCs w:val="28"/>
          <w:highlight w:val="none"/>
          <w:lang w:val="zh-CN" w:eastAsia="zh-CN"/>
        </w:rPr>
        <w:t>SW05</w:t>
      </w:r>
      <w:r>
        <w:rPr>
          <w:rFonts w:hint="default" w:ascii="Times New Roman" w:hAnsi="Times New Roman" w:eastAsia="宋体" w:cs="Times New Roman"/>
          <w:color w:val="auto"/>
          <w:sz w:val="24"/>
          <w:szCs w:val="28"/>
          <w:highlight w:val="none"/>
          <w:lang w:val="en-US" w:eastAsia="zh-CN"/>
        </w:rPr>
        <w:t xml:space="preserve"> </w:t>
      </w:r>
      <w:r>
        <w:rPr>
          <w:rFonts w:hint="default" w:ascii="Times New Roman" w:hAnsi="Times New Roman" w:eastAsia="宋体" w:cs="Times New Roman"/>
          <w:color w:val="auto"/>
          <w:sz w:val="24"/>
          <w:szCs w:val="28"/>
          <w:highlight w:val="none"/>
          <w:lang w:eastAsia="zh-CN"/>
        </w:rPr>
        <w:t>09</w:t>
      </w:r>
      <w:r>
        <w:rPr>
          <w:rFonts w:hint="default" w:ascii="Times New Roman" w:hAnsi="Times New Roman" w:eastAsia="宋体" w:cs="Times New Roman"/>
          <w:color w:val="auto"/>
          <w:sz w:val="24"/>
          <w:szCs w:val="28"/>
          <w:highlight w:val="none"/>
          <w:lang w:val="en-US" w:eastAsia="zh-CN"/>
        </w:rPr>
        <w:t>2</w:t>
      </w:r>
      <w:r>
        <w:rPr>
          <w:rFonts w:hint="default" w:ascii="Times New Roman" w:hAnsi="Times New Roman" w:eastAsia="宋体" w:cs="Times New Roman"/>
          <w:color w:val="auto"/>
          <w:sz w:val="24"/>
          <w:szCs w:val="28"/>
          <w:highlight w:val="none"/>
          <w:lang w:eastAsia="zh-CN"/>
        </w:rPr>
        <w:t>-00</w:t>
      </w:r>
      <w:r>
        <w:rPr>
          <w:rFonts w:hint="default" w:ascii="Times New Roman" w:hAnsi="Times New Roman" w:eastAsia="宋体" w:cs="Times New Roman"/>
          <w:color w:val="auto"/>
          <w:sz w:val="24"/>
          <w:szCs w:val="28"/>
          <w:highlight w:val="none"/>
          <w:lang w:val="en-US" w:eastAsia="zh-CN"/>
        </w:rPr>
        <w:t>1</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lang w:val="en-US" w:eastAsia="zh-CN"/>
        </w:rPr>
        <w:t>S05</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w:t>
      </w:r>
      <w:r>
        <w:rPr>
          <w:rFonts w:hint="default" w:ascii="Times New Roman" w:hAnsi="Times New Roman" w:cs="Times New Roman"/>
          <w:color w:val="auto"/>
          <w:highlight w:val="none"/>
        </w:rPr>
        <w:t>选矿厂年产尾砂量14.</w:t>
      </w:r>
      <w:r>
        <w:rPr>
          <w:rFonts w:hint="default" w:cs="Times New Roman"/>
          <w:color w:val="auto"/>
          <w:highlight w:val="none"/>
          <w:lang w:val="en-US" w:eastAsia="zh-CN"/>
        </w:rPr>
        <w:t>58</w:t>
      </w:r>
      <w:r>
        <w:rPr>
          <w:rFonts w:hint="default" w:ascii="Times New Roman" w:hAnsi="Times New Roman" w:cs="Times New Roman"/>
          <w:color w:val="auto"/>
          <w:highlight w:val="none"/>
        </w:rPr>
        <w:t>万t/a；选矿厂排出的尾砂部分用于井下充填，充填量</w:t>
      </w:r>
      <w:r>
        <w:rPr>
          <w:rFonts w:hint="default" w:cs="Times New Roman"/>
          <w:color w:val="auto"/>
          <w:highlight w:val="none"/>
          <w:lang w:val="en-US" w:eastAsia="zh-CN"/>
        </w:rPr>
        <w:t>8.88</w:t>
      </w:r>
      <w:r>
        <w:rPr>
          <w:rFonts w:hint="default" w:ascii="Times New Roman" w:hAnsi="Times New Roman" w:cs="Times New Roman"/>
          <w:color w:val="auto"/>
          <w:highlight w:val="none"/>
        </w:rPr>
        <w:t>万t/a；剩余输送至尾矿库堆存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入库尾砂量</w:t>
      </w:r>
      <w:r>
        <w:rPr>
          <w:rFonts w:hint="default" w:cs="Times New Roman"/>
          <w:color w:val="auto"/>
          <w:highlight w:val="none"/>
          <w:lang w:val="en-US" w:eastAsia="zh-CN"/>
        </w:rPr>
        <w:t>5.7</w:t>
      </w:r>
      <w:r>
        <w:rPr>
          <w:rFonts w:hint="default" w:ascii="Times New Roman" w:hAnsi="Times New Roman" w:cs="Times New Roman"/>
          <w:color w:val="auto"/>
          <w:highlight w:val="none"/>
        </w:rPr>
        <w:t>万t/a，合约</w:t>
      </w:r>
      <w:r>
        <w:rPr>
          <w:rFonts w:hint="default" w:cs="Times New Roman"/>
          <w:color w:val="auto"/>
          <w:highlight w:val="none"/>
          <w:lang w:val="en-US" w:eastAsia="zh-CN"/>
        </w:rPr>
        <w:t>4.1</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cs="Times New Roman"/>
          <w:color w:val="auto"/>
          <w:sz w:val="24"/>
          <w:highlight w:val="none"/>
          <w:lang w:eastAsia="zh-CN"/>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尾矿</w:t>
      </w:r>
      <w:r>
        <w:rPr>
          <w:rFonts w:hint="default" w:ascii="Times New Roman" w:hAnsi="Times New Roman" w:eastAsia="宋体" w:cs="Times New Roman"/>
          <w:color w:val="auto"/>
          <w:sz w:val="24"/>
          <w:highlight w:val="none"/>
        </w:rPr>
        <w:t>检测结果（检测报告详见附件），对照《危险废物鉴别标准 浸出毒性鉴别》（GB5085.3-2007）的鉴别标准进行分析判断</w:t>
      </w:r>
      <w:r>
        <w:rPr>
          <w:rFonts w:hint="default" w:ascii="Times New Roman" w:hAnsi="Times New Roman" w:eastAsia="宋体" w:cs="Times New Roman"/>
          <w:color w:val="auto"/>
          <w:sz w:val="24"/>
          <w:highlight w:val="none"/>
          <w:lang w:val="en-US" w:eastAsia="zh-CN"/>
        </w:rPr>
        <w:t>尾矿</w:t>
      </w:r>
      <w:r>
        <w:rPr>
          <w:rFonts w:hint="default" w:ascii="Times New Roman" w:hAnsi="Times New Roman" w:eastAsia="宋体" w:cs="Times New Roman"/>
          <w:color w:val="auto"/>
          <w:sz w:val="24"/>
          <w:highlight w:val="none"/>
        </w:rPr>
        <w:t>的性质，对照《污水综合排放标准》（GB8978-1996）中最高允许排放浓度来确定固体废物类别</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8"/>
          <w:highlight w:val="none"/>
        </w:rPr>
        <w:t>本项目尾矿</w:t>
      </w:r>
      <w:r>
        <w:rPr>
          <w:rFonts w:hint="default" w:ascii="Times New Roman" w:hAnsi="Times New Roman" w:eastAsia="宋体" w:cs="Times New Roman"/>
          <w:color w:val="auto"/>
          <w:sz w:val="24"/>
          <w:szCs w:val="28"/>
          <w:highlight w:val="none"/>
          <w:lang w:val="zh-CN"/>
        </w:rPr>
        <w:t>为</w:t>
      </w:r>
      <w:r>
        <w:rPr>
          <w:rFonts w:hint="default" w:ascii="Times New Roman" w:hAnsi="Times New Roman" w:cs="Times New Roman"/>
          <w:color w:val="auto"/>
          <w:sz w:val="24"/>
          <w:szCs w:val="28"/>
          <w:highlight w:val="none"/>
          <w:lang w:val="en-US" w:eastAsia="zh-CN"/>
        </w:rPr>
        <w:t>第Ⅱ类</w:t>
      </w:r>
      <w:r>
        <w:rPr>
          <w:rFonts w:hint="default" w:ascii="Times New Roman" w:hAnsi="Times New Roman" w:eastAsia="宋体" w:cs="Times New Roman"/>
          <w:color w:val="auto"/>
          <w:sz w:val="24"/>
          <w:szCs w:val="28"/>
          <w:highlight w:val="none"/>
          <w:lang w:val="zh-CN"/>
        </w:rPr>
        <w:t>一般工业固体废物。</w:t>
      </w:r>
    </w:p>
    <w:p w14:paraId="01E650CC">
      <w:pPr>
        <w:adjustRightInd w:val="0"/>
        <w:snapToGrid w:val="0"/>
        <w:ind w:firstLine="0" w:firstLineChars="0"/>
        <w:jc w:val="center"/>
        <w:rPr>
          <w:rFonts w:hint="default" w:ascii="Times New Roman" w:hAnsi="Times New Roman" w:eastAsia="宋体" w:cs="Times New Roman"/>
          <w:b/>
          <w:color w:val="auto"/>
          <w:szCs w:val="24"/>
          <w:highlight w:val="none"/>
          <w:lang w:val="en-US" w:eastAsia="zh-CN"/>
        </w:rPr>
      </w:pPr>
      <w:r>
        <w:rPr>
          <w:rFonts w:hint="default" w:ascii="Times New Roman" w:hAnsi="Times New Roman" w:cs="Times New Roman"/>
          <w:b/>
          <w:color w:val="auto"/>
          <w:szCs w:val="24"/>
          <w:highlight w:val="none"/>
          <w:lang w:bidi="ar"/>
        </w:rPr>
        <w:t>表</w:t>
      </w:r>
      <w:r>
        <w:rPr>
          <w:rFonts w:hint="default" w:ascii="Times New Roman" w:hAnsi="Times New Roman" w:cs="Times New Roman"/>
          <w:b/>
          <w:color w:val="auto"/>
          <w:szCs w:val="24"/>
          <w:highlight w:val="none"/>
          <w:lang w:val="en-US" w:eastAsia="zh-CN" w:bidi="ar"/>
        </w:rPr>
        <w:t xml:space="preserve">3.3-14 </w:t>
      </w:r>
      <w:r>
        <w:rPr>
          <w:rFonts w:hint="default" w:ascii="Times New Roman" w:hAnsi="Times New Roman" w:cs="Times New Roman"/>
          <w:b/>
          <w:color w:val="auto"/>
          <w:szCs w:val="24"/>
          <w:highlight w:val="none"/>
          <w:lang w:bidi="ar"/>
        </w:rPr>
        <w:t xml:space="preserve">   浸出试验结果</w:t>
      </w:r>
      <w:r>
        <w:rPr>
          <w:rFonts w:hint="default" w:ascii="Times New Roman" w:hAnsi="Times New Roman" w:cs="Times New Roman"/>
          <w:b/>
          <w:color w:val="auto"/>
          <w:szCs w:val="24"/>
          <w:highlight w:val="none"/>
          <w:lang w:val="en-US" w:eastAsia="zh-CN" w:bidi="ar"/>
        </w:rPr>
        <w:t xml:space="preserve">    </w:t>
      </w:r>
      <w:r>
        <w:rPr>
          <w:rFonts w:hint="default" w:ascii="Times New Roman" w:hAnsi="Times New Roman" w:eastAsia="宋体" w:cs="Times New Roman"/>
          <w:b/>
          <w:bCs/>
          <w:color w:val="auto"/>
          <w:sz w:val="24"/>
          <w:szCs w:val="24"/>
          <w:highlight w:val="none"/>
        </w:rPr>
        <w:t>单位：mg/L（pH除外）</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690"/>
        <w:gridCol w:w="1697"/>
        <w:gridCol w:w="1405"/>
        <w:gridCol w:w="3146"/>
        <w:gridCol w:w="2229"/>
      </w:tblGrid>
      <w:tr w14:paraId="42D923A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376" w:type="pct"/>
            <w:noWrap w:val="0"/>
            <w:vAlign w:val="center"/>
          </w:tcPr>
          <w:p w14:paraId="7AC95D9B">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序号</w:t>
            </w:r>
          </w:p>
        </w:tc>
        <w:tc>
          <w:tcPr>
            <w:tcW w:w="925" w:type="pct"/>
            <w:noWrap w:val="0"/>
            <w:vAlign w:val="center"/>
          </w:tcPr>
          <w:p w14:paraId="153A976E">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监测项目</w:t>
            </w:r>
          </w:p>
        </w:tc>
        <w:tc>
          <w:tcPr>
            <w:tcW w:w="766" w:type="pct"/>
            <w:noWrap w:val="0"/>
            <w:vAlign w:val="center"/>
          </w:tcPr>
          <w:p w14:paraId="6F64D83A">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监测值</w:t>
            </w:r>
          </w:p>
        </w:tc>
        <w:tc>
          <w:tcPr>
            <w:tcW w:w="1715" w:type="pct"/>
            <w:noWrap w:val="0"/>
            <w:vAlign w:val="center"/>
          </w:tcPr>
          <w:p w14:paraId="200964CA">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《危险废物鉴别标准</w:t>
            </w:r>
            <w:r>
              <w:rPr>
                <w:rFonts w:hint="default" w:cs="Times New Roman"/>
                <w:b/>
                <w:snapToGrid w:val="0"/>
                <w:color w:val="auto"/>
                <w:kern w:val="0"/>
                <w:sz w:val="21"/>
                <w:highlight w:val="none"/>
                <w:lang w:val="en-US" w:eastAsia="zh-CN" w:bidi="ar"/>
              </w:rPr>
              <w:t xml:space="preserve"> </w:t>
            </w:r>
            <w:r>
              <w:rPr>
                <w:rFonts w:hint="default" w:ascii="Times New Roman" w:hAnsi="Times New Roman" w:cs="Times New Roman"/>
                <w:b/>
                <w:snapToGrid w:val="0"/>
                <w:color w:val="auto"/>
                <w:kern w:val="0"/>
                <w:sz w:val="21"/>
                <w:highlight w:val="none"/>
                <w:lang w:bidi="ar"/>
              </w:rPr>
              <w:t>浸出毒性鉴别》（GB5085.3-2007）</w:t>
            </w:r>
          </w:p>
        </w:tc>
        <w:tc>
          <w:tcPr>
            <w:tcW w:w="1215" w:type="pct"/>
            <w:noWrap w:val="0"/>
            <w:vAlign w:val="center"/>
          </w:tcPr>
          <w:p w14:paraId="0A0F7CCA">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《污水综合排放标准》（GB8978-1996）</w:t>
            </w:r>
          </w:p>
        </w:tc>
      </w:tr>
      <w:tr w14:paraId="027F548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0B245520">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w:t>
            </w:r>
          </w:p>
        </w:tc>
        <w:tc>
          <w:tcPr>
            <w:tcW w:w="925" w:type="pct"/>
            <w:noWrap w:val="0"/>
            <w:vAlign w:val="center"/>
          </w:tcPr>
          <w:p w14:paraId="1DD8D3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p>
        </w:tc>
        <w:tc>
          <w:tcPr>
            <w:tcW w:w="766" w:type="pct"/>
            <w:noWrap w:val="0"/>
            <w:vAlign w:val="center"/>
          </w:tcPr>
          <w:p w14:paraId="745646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7.6</w:t>
            </w:r>
          </w:p>
        </w:tc>
        <w:tc>
          <w:tcPr>
            <w:tcW w:w="1715" w:type="pct"/>
            <w:noWrap w:val="0"/>
            <w:vAlign w:val="center"/>
          </w:tcPr>
          <w:p w14:paraId="7ACE48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15" w:type="pct"/>
            <w:noWrap w:val="0"/>
            <w:vAlign w:val="center"/>
          </w:tcPr>
          <w:p w14:paraId="08FE5F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A2339C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6E521A2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2</w:t>
            </w:r>
          </w:p>
        </w:tc>
        <w:tc>
          <w:tcPr>
            <w:tcW w:w="925" w:type="pct"/>
            <w:noWrap w:val="0"/>
            <w:vAlign w:val="center"/>
          </w:tcPr>
          <w:p w14:paraId="100FB6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汞</w:t>
            </w:r>
          </w:p>
        </w:tc>
        <w:tc>
          <w:tcPr>
            <w:tcW w:w="766" w:type="pct"/>
            <w:noWrap w:val="0"/>
            <w:vAlign w:val="center"/>
          </w:tcPr>
          <w:p w14:paraId="7E76A5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b w:val="0"/>
                <w:bCs w:val="0"/>
                <w:snapToGrid w:val="0"/>
                <w:color w:val="auto"/>
                <w:kern w:val="0"/>
                <w:sz w:val="21"/>
                <w:highlight w:val="none"/>
                <w:lang w:val="en-US" w:eastAsia="zh-CN"/>
              </w:rPr>
              <w:t>0.0</w:t>
            </w:r>
            <w:r>
              <w:rPr>
                <w:rFonts w:hint="eastAsia" w:cs="Times New Roman"/>
                <w:b w:val="0"/>
                <w:bCs w:val="0"/>
                <w:snapToGrid w:val="0"/>
                <w:color w:val="auto"/>
                <w:kern w:val="0"/>
                <w:sz w:val="21"/>
                <w:highlight w:val="none"/>
                <w:lang w:val="en-US" w:eastAsia="zh-CN"/>
              </w:rPr>
              <w:t>0</w:t>
            </w:r>
            <w:r>
              <w:rPr>
                <w:rFonts w:hint="default" w:cs="Times New Roman"/>
                <w:b w:val="0"/>
                <w:bCs w:val="0"/>
                <w:snapToGrid w:val="0"/>
                <w:color w:val="auto"/>
                <w:kern w:val="0"/>
                <w:sz w:val="21"/>
                <w:highlight w:val="none"/>
                <w:lang w:val="en-US" w:eastAsia="zh-CN"/>
              </w:rPr>
              <w:t>039</w:t>
            </w:r>
          </w:p>
        </w:tc>
        <w:tc>
          <w:tcPr>
            <w:tcW w:w="1715" w:type="pct"/>
            <w:noWrap w:val="0"/>
            <w:vAlign w:val="center"/>
          </w:tcPr>
          <w:p w14:paraId="20107D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0.1</w:t>
            </w:r>
          </w:p>
        </w:tc>
        <w:tc>
          <w:tcPr>
            <w:tcW w:w="1215" w:type="pct"/>
            <w:noWrap w:val="0"/>
            <w:vAlign w:val="center"/>
          </w:tcPr>
          <w:p w14:paraId="776EE2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0.05</w:t>
            </w:r>
          </w:p>
        </w:tc>
      </w:tr>
      <w:tr w14:paraId="4AAEFB9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4F5C9FA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3</w:t>
            </w:r>
          </w:p>
        </w:tc>
        <w:tc>
          <w:tcPr>
            <w:tcW w:w="925" w:type="pct"/>
            <w:noWrap w:val="0"/>
            <w:vAlign w:val="center"/>
          </w:tcPr>
          <w:p w14:paraId="31050E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砷</w:t>
            </w:r>
          </w:p>
        </w:tc>
        <w:tc>
          <w:tcPr>
            <w:tcW w:w="766" w:type="pct"/>
            <w:noWrap w:val="0"/>
            <w:vAlign w:val="center"/>
          </w:tcPr>
          <w:p w14:paraId="798DE6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0.0034</w:t>
            </w:r>
          </w:p>
        </w:tc>
        <w:tc>
          <w:tcPr>
            <w:tcW w:w="1715" w:type="pct"/>
            <w:noWrap w:val="0"/>
            <w:vAlign w:val="center"/>
          </w:tcPr>
          <w:p w14:paraId="27A19A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00A64A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r>
      <w:tr w14:paraId="748BB43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02B825B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4</w:t>
            </w:r>
          </w:p>
        </w:tc>
        <w:tc>
          <w:tcPr>
            <w:tcW w:w="925" w:type="pct"/>
            <w:noWrap w:val="0"/>
            <w:vAlign w:val="center"/>
          </w:tcPr>
          <w:p w14:paraId="076861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镍</w:t>
            </w:r>
          </w:p>
        </w:tc>
        <w:tc>
          <w:tcPr>
            <w:tcW w:w="766" w:type="pct"/>
            <w:noWrap w:val="0"/>
            <w:vAlign w:val="center"/>
          </w:tcPr>
          <w:p w14:paraId="20957F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snapToGrid w:val="0"/>
                <w:color w:val="auto"/>
                <w:kern w:val="0"/>
                <w:sz w:val="21"/>
                <w:highlight w:val="none"/>
                <w:lang w:val="en-US" w:eastAsia="zh-CN"/>
              </w:rPr>
            </w:pPr>
            <w:r>
              <w:rPr>
                <w:rFonts w:hint="eastAsia" w:cs="Times New Roman"/>
                <w:b/>
                <w:bCs/>
                <w:snapToGrid w:val="0"/>
                <w:color w:val="auto"/>
                <w:kern w:val="0"/>
                <w:sz w:val="21"/>
                <w:highlight w:val="none"/>
                <w:lang w:val="en-US" w:eastAsia="zh-CN"/>
              </w:rPr>
              <w:t>3.3</w:t>
            </w:r>
          </w:p>
        </w:tc>
        <w:tc>
          <w:tcPr>
            <w:tcW w:w="1715" w:type="pct"/>
            <w:noWrap w:val="0"/>
            <w:vAlign w:val="center"/>
          </w:tcPr>
          <w:p w14:paraId="2ABD25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w:t>
            </w:r>
          </w:p>
        </w:tc>
        <w:tc>
          <w:tcPr>
            <w:tcW w:w="1215" w:type="pct"/>
            <w:noWrap w:val="0"/>
            <w:vAlign w:val="center"/>
          </w:tcPr>
          <w:p w14:paraId="26A5ED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1.0</w:t>
            </w:r>
          </w:p>
        </w:tc>
      </w:tr>
      <w:tr w14:paraId="722E709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6C625E03">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5</w:t>
            </w:r>
          </w:p>
        </w:tc>
        <w:tc>
          <w:tcPr>
            <w:tcW w:w="925" w:type="pct"/>
            <w:noWrap w:val="0"/>
            <w:vAlign w:val="center"/>
          </w:tcPr>
          <w:p w14:paraId="57995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eastAsia="zh-CN"/>
              </w:rPr>
              <w:t>铬</w:t>
            </w:r>
          </w:p>
        </w:tc>
        <w:tc>
          <w:tcPr>
            <w:tcW w:w="766" w:type="pct"/>
            <w:noWrap w:val="0"/>
            <w:vAlign w:val="center"/>
          </w:tcPr>
          <w:p w14:paraId="3716A8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eastAsia" w:cs="Times New Roman"/>
                <w:snapToGrid w:val="0"/>
                <w:color w:val="auto"/>
                <w:kern w:val="0"/>
                <w:sz w:val="21"/>
                <w:highlight w:val="none"/>
                <w:lang w:val="en-US" w:eastAsia="zh-CN"/>
              </w:rPr>
              <w:t>ND</w:t>
            </w:r>
          </w:p>
        </w:tc>
        <w:tc>
          <w:tcPr>
            <w:tcW w:w="1715" w:type="pct"/>
            <w:noWrap w:val="0"/>
            <w:vAlign w:val="center"/>
          </w:tcPr>
          <w:p w14:paraId="7201A4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1215" w:type="pct"/>
            <w:noWrap w:val="0"/>
            <w:vAlign w:val="center"/>
          </w:tcPr>
          <w:p w14:paraId="4C505F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w:t>
            </w:r>
          </w:p>
        </w:tc>
      </w:tr>
      <w:tr w14:paraId="16BBAC2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8A161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6</w:t>
            </w:r>
          </w:p>
        </w:tc>
        <w:tc>
          <w:tcPr>
            <w:tcW w:w="925" w:type="pct"/>
            <w:noWrap w:val="0"/>
            <w:vAlign w:val="center"/>
          </w:tcPr>
          <w:p w14:paraId="2FD8E1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六价铬</w:t>
            </w:r>
          </w:p>
        </w:tc>
        <w:tc>
          <w:tcPr>
            <w:tcW w:w="766" w:type="pct"/>
            <w:noWrap w:val="0"/>
            <w:vAlign w:val="center"/>
          </w:tcPr>
          <w:p w14:paraId="2D2C83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715" w:type="pct"/>
            <w:noWrap w:val="0"/>
            <w:vAlign w:val="center"/>
          </w:tcPr>
          <w:p w14:paraId="3131C3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0DBC1B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r>
      <w:tr w14:paraId="796DA07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1228333">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7</w:t>
            </w:r>
          </w:p>
        </w:tc>
        <w:tc>
          <w:tcPr>
            <w:tcW w:w="925" w:type="pct"/>
            <w:noWrap w:val="0"/>
            <w:vAlign w:val="center"/>
          </w:tcPr>
          <w:p w14:paraId="685318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锌</w:t>
            </w:r>
          </w:p>
        </w:tc>
        <w:tc>
          <w:tcPr>
            <w:tcW w:w="766" w:type="pct"/>
            <w:noWrap w:val="0"/>
            <w:vAlign w:val="center"/>
          </w:tcPr>
          <w:p w14:paraId="2C137B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val="0"/>
                <w:bCs w:val="0"/>
                <w:snapToGrid w:val="0"/>
                <w:color w:val="auto"/>
                <w:kern w:val="0"/>
                <w:sz w:val="21"/>
                <w:highlight w:val="none"/>
                <w:lang w:val="en-US" w:eastAsia="zh-CN"/>
              </w:rPr>
            </w:pPr>
            <w:r>
              <w:rPr>
                <w:rFonts w:hint="eastAsia" w:cs="Times New Roman"/>
                <w:b w:val="0"/>
                <w:bCs w:val="0"/>
                <w:snapToGrid w:val="0"/>
                <w:color w:val="auto"/>
                <w:kern w:val="0"/>
                <w:sz w:val="21"/>
                <w:highlight w:val="none"/>
                <w:lang w:val="en-US" w:eastAsia="zh-CN"/>
              </w:rPr>
              <w:t>1.5</w:t>
            </w:r>
          </w:p>
        </w:tc>
        <w:tc>
          <w:tcPr>
            <w:tcW w:w="1715" w:type="pct"/>
            <w:noWrap w:val="0"/>
            <w:vAlign w:val="center"/>
          </w:tcPr>
          <w:p w14:paraId="7A4F62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100</w:t>
            </w:r>
          </w:p>
        </w:tc>
        <w:tc>
          <w:tcPr>
            <w:tcW w:w="1215" w:type="pct"/>
            <w:noWrap w:val="0"/>
            <w:vAlign w:val="center"/>
          </w:tcPr>
          <w:p w14:paraId="2EAC89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w:t>
            </w:r>
          </w:p>
        </w:tc>
      </w:tr>
      <w:tr w14:paraId="3105DB2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51E0A59C">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8</w:t>
            </w:r>
          </w:p>
        </w:tc>
        <w:tc>
          <w:tcPr>
            <w:tcW w:w="925" w:type="pct"/>
            <w:noWrap w:val="0"/>
            <w:vAlign w:val="center"/>
          </w:tcPr>
          <w:p w14:paraId="2449E0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镉</w:t>
            </w:r>
          </w:p>
        </w:tc>
        <w:tc>
          <w:tcPr>
            <w:tcW w:w="766" w:type="pct"/>
            <w:noWrap w:val="0"/>
            <w:vAlign w:val="center"/>
          </w:tcPr>
          <w:p w14:paraId="18DD24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715" w:type="pct"/>
            <w:noWrap w:val="0"/>
            <w:vAlign w:val="center"/>
          </w:tcPr>
          <w:p w14:paraId="20E2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215" w:type="pct"/>
            <w:noWrap w:val="0"/>
            <w:vAlign w:val="center"/>
          </w:tcPr>
          <w:p w14:paraId="5B19AD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14:paraId="2E76B22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487164FE">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9</w:t>
            </w:r>
          </w:p>
        </w:tc>
        <w:tc>
          <w:tcPr>
            <w:tcW w:w="925" w:type="pct"/>
            <w:noWrap w:val="0"/>
            <w:vAlign w:val="center"/>
          </w:tcPr>
          <w:p w14:paraId="7DA28C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c>
          <w:tcPr>
            <w:tcW w:w="766" w:type="pct"/>
            <w:noWrap w:val="0"/>
            <w:vAlign w:val="top"/>
          </w:tcPr>
          <w:p w14:paraId="3ED688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val="0"/>
                <w:bCs w:val="0"/>
                <w:snapToGrid w:val="0"/>
                <w:color w:val="auto"/>
                <w:kern w:val="0"/>
                <w:sz w:val="21"/>
                <w:highlight w:val="none"/>
                <w:lang w:val="en-US" w:eastAsia="zh-CN"/>
              </w:rPr>
            </w:pPr>
            <w:r>
              <w:rPr>
                <w:rFonts w:hint="eastAsia" w:cs="Times New Roman"/>
                <w:b w:val="0"/>
                <w:bCs w:val="0"/>
                <w:snapToGrid w:val="0"/>
                <w:color w:val="auto"/>
                <w:kern w:val="0"/>
                <w:sz w:val="21"/>
                <w:highlight w:val="none"/>
                <w:lang w:val="en-US" w:eastAsia="zh-CN"/>
              </w:rPr>
              <w:t>0.6</w:t>
            </w:r>
          </w:p>
        </w:tc>
        <w:tc>
          <w:tcPr>
            <w:tcW w:w="1715" w:type="pct"/>
            <w:noWrap w:val="0"/>
            <w:vAlign w:val="center"/>
          </w:tcPr>
          <w:p w14:paraId="0E8087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c>
          <w:tcPr>
            <w:tcW w:w="1215" w:type="pct"/>
            <w:noWrap w:val="0"/>
            <w:vAlign w:val="center"/>
          </w:tcPr>
          <w:p w14:paraId="376BA0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w:t>
            </w:r>
          </w:p>
        </w:tc>
      </w:tr>
      <w:tr w14:paraId="11A74AA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23A3B96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10</w:t>
            </w:r>
          </w:p>
        </w:tc>
        <w:tc>
          <w:tcPr>
            <w:tcW w:w="925" w:type="pct"/>
            <w:noWrap w:val="0"/>
            <w:vAlign w:val="center"/>
          </w:tcPr>
          <w:p w14:paraId="79FBD8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铍</w:t>
            </w:r>
          </w:p>
        </w:tc>
        <w:tc>
          <w:tcPr>
            <w:tcW w:w="766" w:type="pct"/>
            <w:noWrap w:val="0"/>
            <w:vAlign w:val="top"/>
          </w:tcPr>
          <w:p w14:paraId="2DFF1F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ND</w:t>
            </w:r>
          </w:p>
        </w:tc>
        <w:tc>
          <w:tcPr>
            <w:tcW w:w="1715" w:type="pct"/>
            <w:noWrap w:val="0"/>
            <w:vAlign w:val="center"/>
          </w:tcPr>
          <w:p w14:paraId="289BFA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0.02</w:t>
            </w:r>
          </w:p>
        </w:tc>
        <w:tc>
          <w:tcPr>
            <w:tcW w:w="1215" w:type="pct"/>
            <w:noWrap w:val="0"/>
            <w:vAlign w:val="center"/>
          </w:tcPr>
          <w:p w14:paraId="1CC69B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0.005</w:t>
            </w:r>
          </w:p>
        </w:tc>
      </w:tr>
      <w:tr w14:paraId="000DBC9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37FA736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11</w:t>
            </w:r>
          </w:p>
        </w:tc>
        <w:tc>
          <w:tcPr>
            <w:tcW w:w="925" w:type="pct"/>
            <w:noWrap w:val="0"/>
            <w:vAlign w:val="center"/>
          </w:tcPr>
          <w:p w14:paraId="33D15E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银</w:t>
            </w:r>
          </w:p>
        </w:tc>
        <w:tc>
          <w:tcPr>
            <w:tcW w:w="766" w:type="pct"/>
            <w:noWrap w:val="0"/>
            <w:vAlign w:val="top"/>
          </w:tcPr>
          <w:p w14:paraId="0422E4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6DD3E6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119912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p>
        </w:tc>
      </w:tr>
      <w:tr w14:paraId="273117C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29DD78E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12</w:t>
            </w:r>
          </w:p>
        </w:tc>
        <w:tc>
          <w:tcPr>
            <w:tcW w:w="925" w:type="pct"/>
            <w:noWrap w:val="0"/>
            <w:vAlign w:val="center"/>
          </w:tcPr>
          <w:p w14:paraId="22E025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铜</w:t>
            </w:r>
          </w:p>
        </w:tc>
        <w:tc>
          <w:tcPr>
            <w:tcW w:w="766" w:type="pct"/>
            <w:noWrap w:val="0"/>
            <w:vAlign w:val="top"/>
          </w:tcPr>
          <w:p w14:paraId="438A91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b/>
                <w:bCs/>
                <w:snapToGrid w:val="0"/>
                <w:color w:val="auto"/>
                <w:kern w:val="0"/>
                <w:sz w:val="21"/>
                <w:highlight w:val="none"/>
                <w:lang w:val="en-US" w:eastAsia="zh-CN"/>
              </w:rPr>
              <w:t>2.6</w:t>
            </w:r>
          </w:p>
        </w:tc>
        <w:tc>
          <w:tcPr>
            <w:tcW w:w="1715" w:type="pct"/>
            <w:noWrap w:val="0"/>
            <w:vAlign w:val="center"/>
          </w:tcPr>
          <w:p w14:paraId="4576B2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w:t>
            </w:r>
          </w:p>
        </w:tc>
        <w:tc>
          <w:tcPr>
            <w:tcW w:w="1215" w:type="pct"/>
            <w:noWrap w:val="0"/>
            <w:vAlign w:val="center"/>
          </w:tcPr>
          <w:p w14:paraId="5C2E6F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0.5</w:t>
            </w:r>
          </w:p>
        </w:tc>
      </w:tr>
      <w:tr w14:paraId="6B4432A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66198C2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13</w:t>
            </w:r>
          </w:p>
        </w:tc>
        <w:tc>
          <w:tcPr>
            <w:tcW w:w="925" w:type="pct"/>
            <w:noWrap w:val="0"/>
            <w:vAlign w:val="center"/>
          </w:tcPr>
          <w:p w14:paraId="4065A6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钡</w:t>
            </w:r>
          </w:p>
        </w:tc>
        <w:tc>
          <w:tcPr>
            <w:tcW w:w="766" w:type="pct"/>
            <w:noWrap w:val="0"/>
            <w:vAlign w:val="top"/>
          </w:tcPr>
          <w:p w14:paraId="03A6FB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0.0267</w:t>
            </w:r>
          </w:p>
        </w:tc>
        <w:tc>
          <w:tcPr>
            <w:tcW w:w="1715" w:type="pct"/>
            <w:noWrap w:val="0"/>
            <w:vAlign w:val="center"/>
          </w:tcPr>
          <w:p w14:paraId="17A4D6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w:t>
            </w:r>
          </w:p>
        </w:tc>
        <w:tc>
          <w:tcPr>
            <w:tcW w:w="1215" w:type="pct"/>
            <w:noWrap w:val="0"/>
            <w:vAlign w:val="center"/>
          </w:tcPr>
          <w:p w14:paraId="1860E2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r w14:paraId="1053695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0E52AC4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14</w:t>
            </w:r>
          </w:p>
        </w:tc>
        <w:tc>
          <w:tcPr>
            <w:tcW w:w="925" w:type="pct"/>
            <w:noWrap w:val="0"/>
            <w:vAlign w:val="center"/>
          </w:tcPr>
          <w:p w14:paraId="4C69D5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硒</w:t>
            </w:r>
          </w:p>
        </w:tc>
        <w:tc>
          <w:tcPr>
            <w:tcW w:w="766" w:type="pct"/>
            <w:noWrap w:val="0"/>
            <w:vAlign w:val="top"/>
          </w:tcPr>
          <w:p w14:paraId="2FF7F6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0F8FCE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1215" w:type="pct"/>
            <w:noWrap w:val="0"/>
            <w:vAlign w:val="center"/>
          </w:tcPr>
          <w:p w14:paraId="367EF0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w:t>
            </w:r>
          </w:p>
        </w:tc>
      </w:tr>
      <w:tr w14:paraId="7160908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376" w:type="pct"/>
            <w:noWrap w:val="0"/>
            <w:vAlign w:val="top"/>
          </w:tcPr>
          <w:p w14:paraId="24E7BD1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15</w:t>
            </w:r>
          </w:p>
        </w:tc>
        <w:tc>
          <w:tcPr>
            <w:tcW w:w="925" w:type="pct"/>
            <w:noWrap w:val="0"/>
            <w:vAlign w:val="center"/>
          </w:tcPr>
          <w:p w14:paraId="407F50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氰化物</w:t>
            </w:r>
          </w:p>
        </w:tc>
        <w:tc>
          <w:tcPr>
            <w:tcW w:w="766" w:type="pct"/>
            <w:noWrap w:val="0"/>
            <w:vAlign w:val="top"/>
          </w:tcPr>
          <w:p w14:paraId="50C38C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69105F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w:t>
            </w:r>
          </w:p>
        </w:tc>
        <w:tc>
          <w:tcPr>
            <w:tcW w:w="1215" w:type="pct"/>
            <w:noWrap w:val="0"/>
            <w:vAlign w:val="center"/>
          </w:tcPr>
          <w:p w14:paraId="1665A9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w:t>
            </w:r>
          </w:p>
        </w:tc>
      </w:tr>
      <w:tr w14:paraId="742ACCB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412339D3">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16</w:t>
            </w:r>
          </w:p>
        </w:tc>
        <w:tc>
          <w:tcPr>
            <w:tcW w:w="925" w:type="pct"/>
            <w:shd w:val="clear" w:color="auto" w:fill="auto"/>
            <w:noWrap w:val="0"/>
            <w:vAlign w:val="center"/>
          </w:tcPr>
          <w:p w14:paraId="2AB495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氟化物</w:t>
            </w:r>
          </w:p>
        </w:tc>
        <w:tc>
          <w:tcPr>
            <w:tcW w:w="766" w:type="pct"/>
            <w:shd w:val="clear" w:color="auto" w:fill="auto"/>
            <w:noWrap w:val="0"/>
            <w:vAlign w:val="top"/>
          </w:tcPr>
          <w:p w14:paraId="1105E8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0.17</w:t>
            </w:r>
          </w:p>
        </w:tc>
        <w:tc>
          <w:tcPr>
            <w:tcW w:w="1715" w:type="pct"/>
            <w:shd w:val="clear" w:color="auto" w:fill="auto"/>
            <w:noWrap w:val="0"/>
            <w:vAlign w:val="center"/>
          </w:tcPr>
          <w:p w14:paraId="530F11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016BFD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r>
      <w:tr w14:paraId="6F3F81B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60B8C82F">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17</w:t>
            </w:r>
          </w:p>
        </w:tc>
        <w:tc>
          <w:tcPr>
            <w:tcW w:w="925" w:type="pct"/>
            <w:shd w:val="clear" w:color="auto" w:fill="auto"/>
            <w:noWrap w:val="0"/>
            <w:vAlign w:val="center"/>
          </w:tcPr>
          <w:p w14:paraId="507D21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石油类</w:t>
            </w:r>
          </w:p>
        </w:tc>
        <w:tc>
          <w:tcPr>
            <w:tcW w:w="766" w:type="pct"/>
            <w:shd w:val="clear" w:color="auto" w:fill="auto"/>
            <w:noWrap w:val="0"/>
            <w:vAlign w:val="top"/>
          </w:tcPr>
          <w:p w14:paraId="632509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0.53</w:t>
            </w:r>
          </w:p>
        </w:tc>
        <w:tc>
          <w:tcPr>
            <w:tcW w:w="1715" w:type="pct"/>
            <w:shd w:val="clear" w:color="auto" w:fill="auto"/>
            <w:noWrap w:val="0"/>
            <w:vAlign w:val="center"/>
          </w:tcPr>
          <w:p w14:paraId="669879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092069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r>
      <w:tr w14:paraId="6B11162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21A5783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18</w:t>
            </w:r>
          </w:p>
        </w:tc>
        <w:tc>
          <w:tcPr>
            <w:tcW w:w="925" w:type="pct"/>
            <w:shd w:val="clear" w:color="auto" w:fill="auto"/>
            <w:noWrap w:val="0"/>
            <w:vAlign w:val="center"/>
          </w:tcPr>
          <w:p w14:paraId="689C13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挥发酚</w:t>
            </w:r>
          </w:p>
        </w:tc>
        <w:tc>
          <w:tcPr>
            <w:tcW w:w="766" w:type="pct"/>
            <w:shd w:val="clear" w:color="auto" w:fill="auto"/>
            <w:noWrap w:val="0"/>
            <w:vAlign w:val="top"/>
          </w:tcPr>
          <w:p w14:paraId="18B9F4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0.02</w:t>
            </w:r>
          </w:p>
        </w:tc>
        <w:tc>
          <w:tcPr>
            <w:tcW w:w="1715" w:type="pct"/>
            <w:shd w:val="clear" w:color="auto" w:fill="auto"/>
            <w:noWrap w:val="0"/>
            <w:vAlign w:val="center"/>
          </w:tcPr>
          <w:p w14:paraId="6205EF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05EE85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0.5</w:t>
            </w:r>
          </w:p>
        </w:tc>
      </w:tr>
      <w:tr w14:paraId="14D1E21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22200450">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19</w:t>
            </w:r>
          </w:p>
        </w:tc>
        <w:tc>
          <w:tcPr>
            <w:tcW w:w="925" w:type="pct"/>
            <w:shd w:val="clear" w:color="auto" w:fill="auto"/>
            <w:noWrap w:val="0"/>
            <w:vAlign w:val="center"/>
          </w:tcPr>
          <w:p w14:paraId="3B9C4B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硫化物</w:t>
            </w:r>
          </w:p>
        </w:tc>
        <w:tc>
          <w:tcPr>
            <w:tcW w:w="766" w:type="pct"/>
            <w:shd w:val="clear" w:color="auto" w:fill="auto"/>
            <w:noWrap w:val="0"/>
            <w:vAlign w:val="top"/>
          </w:tcPr>
          <w:p w14:paraId="50E9A3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715" w:type="pct"/>
            <w:shd w:val="clear" w:color="auto" w:fill="auto"/>
            <w:noWrap w:val="0"/>
            <w:vAlign w:val="center"/>
          </w:tcPr>
          <w:p w14:paraId="1E1181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727A9A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r>
      <w:tr w14:paraId="290787C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7BEE1AA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20</w:t>
            </w:r>
          </w:p>
        </w:tc>
        <w:tc>
          <w:tcPr>
            <w:tcW w:w="925" w:type="pct"/>
            <w:shd w:val="clear" w:color="auto" w:fill="auto"/>
            <w:noWrap w:val="0"/>
            <w:vAlign w:val="center"/>
          </w:tcPr>
          <w:p w14:paraId="6AA541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氨氮</w:t>
            </w:r>
          </w:p>
        </w:tc>
        <w:tc>
          <w:tcPr>
            <w:tcW w:w="766" w:type="pct"/>
            <w:shd w:val="clear" w:color="auto" w:fill="auto"/>
            <w:noWrap w:val="0"/>
            <w:vAlign w:val="top"/>
          </w:tcPr>
          <w:p w14:paraId="0D80BF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0.396</w:t>
            </w:r>
          </w:p>
        </w:tc>
        <w:tc>
          <w:tcPr>
            <w:tcW w:w="1715" w:type="pct"/>
            <w:shd w:val="clear" w:color="auto" w:fill="auto"/>
            <w:noWrap w:val="0"/>
            <w:vAlign w:val="center"/>
          </w:tcPr>
          <w:p w14:paraId="2CC8E9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6B571F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15</w:t>
            </w:r>
          </w:p>
        </w:tc>
      </w:tr>
      <w:tr w14:paraId="34A76D7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79DBB15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21</w:t>
            </w:r>
          </w:p>
        </w:tc>
        <w:tc>
          <w:tcPr>
            <w:tcW w:w="925" w:type="pct"/>
            <w:shd w:val="clear" w:color="auto" w:fill="auto"/>
            <w:noWrap w:val="0"/>
            <w:vAlign w:val="center"/>
          </w:tcPr>
          <w:p w14:paraId="54DA9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锰</w:t>
            </w:r>
          </w:p>
        </w:tc>
        <w:tc>
          <w:tcPr>
            <w:tcW w:w="766" w:type="pct"/>
            <w:shd w:val="clear" w:color="auto" w:fill="auto"/>
            <w:noWrap w:val="0"/>
            <w:vAlign w:val="top"/>
          </w:tcPr>
          <w:p w14:paraId="6B81F9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715" w:type="pct"/>
            <w:shd w:val="clear" w:color="auto" w:fill="auto"/>
            <w:noWrap w:val="0"/>
            <w:vAlign w:val="center"/>
          </w:tcPr>
          <w:p w14:paraId="09C820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79CD73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2.0</w:t>
            </w:r>
          </w:p>
        </w:tc>
      </w:tr>
    </w:tbl>
    <w:p w14:paraId="6886523C">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（2）除尘灰</w:t>
      </w:r>
    </w:p>
    <w:p w14:paraId="10BF9408">
      <w:pPr>
        <w:autoSpaceDE w:val="0"/>
        <w:autoSpaceDN w:val="0"/>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8"/>
          <w:highlight w:val="none"/>
        </w:rPr>
        <w:t>本项目</w:t>
      </w:r>
      <w:r>
        <w:rPr>
          <w:rFonts w:hint="default" w:ascii="Times New Roman" w:hAnsi="Times New Roman" w:eastAsia="宋体" w:cs="Times New Roman"/>
          <w:color w:val="auto"/>
          <w:sz w:val="24"/>
          <w:highlight w:val="none"/>
          <w:lang w:val="en-US" w:eastAsia="zh-CN"/>
        </w:rPr>
        <w:t>破碎、</w:t>
      </w:r>
      <w:r>
        <w:rPr>
          <w:rFonts w:hint="default" w:ascii="Times New Roman" w:hAnsi="Times New Roman" w:cs="Times New Roman"/>
          <w:color w:val="auto"/>
          <w:sz w:val="24"/>
          <w:highlight w:val="none"/>
          <w:lang w:val="en-US" w:eastAsia="zh-CN"/>
        </w:rPr>
        <w:t>筛分工段</w:t>
      </w:r>
      <w:r>
        <w:rPr>
          <w:rFonts w:hint="default" w:ascii="Times New Roman" w:hAnsi="Times New Roman" w:eastAsia="宋体" w:cs="Times New Roman"/>
          <w:color w:val="auto"/>
          <w:sz w:val="24"/>
          <w:szCs w:val="28"/>
          <w:highlight w:val="none"/>
        </w:rPr>
        <w:t>配套除尘器</w:t>
      </w:r>
      <w:r>
        <w:rPr>
          <w:rFonts w:hint="default" w:ascii="Times New Roman" w:hAnsi="Times New Roman" w:eastAsia="宋体" w:cs="Times New Roman"/>
          <w:color w:val="auto"/>
          <w:sz w:val="24"/>
          <w:szCs w:val="28"/>
          <w:highlight w:val="none"/>
          <w:lang w:eastAsia="zh-CN"/>
        </w:rPr>
        <w:t>组</w:t>
      </w:r>
      <w:r>
        <w:rPr>
          <w:rFonts w:hint="default" w:ascii="Times New Roman" w:hAnsi="Times New Roman" w:eastAsia="宋体" w:cs="Times New Roman"/>
          <w:color w:val="auto"/>
          <w:sz w:val="24"/>
          <w:szCs w:val="28"/>
          <w:highlight w:val="none"/>
        </w:rPr>
        <w:t>收集的粉尘</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cs="Times New Roman"/>
          <w:color w:val="auto"/>
          <w:szCs w:val="22"/>
          <w:highlight w:val="none"/>
        </w:rPr>
        <w:t>该部分固废属于</w:t>
      </w:r>
      <w:r>
        <w:rPr>
          <w:rFonts w:hint="default" w:ascii="Times New Roman" w:hAnsi="Times New Roman" w:eastAsia="宋体" w:cs="Times New Roman"/>
          <w:color w:val="auto"/>
          <w:sz w:val="24"/>
          <w:szCs w:val="28"/>
          <w:highlight w:val="none"/>
          <w:lang w:eastAsia="zh-CN"/>
        </w:rPr>
        <w:t>一般工业固体废物</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代码：SW59</w:t>
      </w:r>
      <w:r>
        <w:rPr>
          <w:rFonts w:hint="default" w:ascii="Times New Roman" w:hAnsi="Times New Roman" w:eastAsia="宋体" w:cs="Times New Roman"/>
          <w:color w:val="auto"/>
          <w:sz w:val="24"/>
          <w:szCs w:val="28"/>
          <w:highlight w:val="none"/>
          <w:lang w:val="en-US" w:eastAsia="zh-CN"/>
        </w:rPr>
        <w:t xml:space="preserve"> 900-099-S59</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产生量为</w:t>
      </w:r>
      <w:r>
        <w:rPr>
          <w:rFonts w:hint="default" w:cs="Times New Roman"/>
          <w:color w:val="auto"/>
          <w:sz w:val="24"/>
          <w:szCs w:val="28"/>
          <w:highlight w:val="none"/>
          <w:lang w:val="en-US" w:eastAsia="zh-CN"/>
        </w:rPr>
        <w:t>33.41</w:t>
      </w:r>
      <w:r>
        <w:rPr>
          <w:rFonts w:hint="default" w:ascii="Times New Roman" w:hAnsi="Times New Roman" w:eastAsia="宋体" w:cs="Times New Roman"/>
          <w:color w:val="auto"/>
          <w:sz w:val="24"/>
          <w:szCs w:val="28"/>
          <w:highlight w:val="none"/>
        </w:rPr>
        <w:t>t/a</w:t>
      </w:r>
      <w:r>
        <w:rPr>
          <w:rFonts w:hint="default" w:ascii="Times New Roman" w:hAnsi="Times New Roman" w:cs="Times New Roman"/>
          <w:color w:val="auto"/>
          <w:highlight w:val="none"/>
        </w:rPr>
        <w:t>，通过除尘器灰斗收集后回用于选矿生产，不外排。</w:t>
      </w:r>
    </w:p>
    <w:p w14:paraId="0A309463">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生产回水池底泥</w:t>
      </w:r>
    </w:p>
    <w:p w14:paraId="5A2478F4">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根据2024年12月30日克孜勒苏柯尔克孜自治州生态环境局出具的《关于新疆乌恰县萨瓦亚尔顿金矿选矿及尾矿库工程变更项目环境影响报告书的批复》（克环评函〔2024〕115号），</w:t>
      </w:r>
      <w:r>
        <w:rPr>
          <w:rFonts w:hint="default" w:cs="Times New Roman"/>
          <w:color w:val="auto"/>
          <w:highlight w:val="none"/>
          <w:lang w:val="en-US" w:eastAsia="zh-CN"/>
        </w:rPr>
        <w:t>项目已于2025年6月已通过竣工环保验收工作，该</w:t>
      </w:r>
      <w:r>
        <w:rPr>
          <w:rFonts w:hint="default" w:ascii="Times New Roman" w:hAnsi="Times New Roman" w:cs="Times New Roman"/>
          <w:color w:val="auto"/>
          <w:highlight w:val="none"/>
          <w:lang w:val="en-US" w:eastAsia="zh-CN"/>
        </w:rPr>
        <w:t>项目年选金矿</w:t>
      </w:r>
      <w:r>
        <w:rPr>
          <w:rFonts w:hint="default" w:cs="Times New Roman"/>
          <w:color w:val="auto"/>
          <w:highlight w:val="none"/>
          <w:lang w:val="en-US" w:eastAsia="zh-CN"/>
        </w:rPr>
        <w:t>240</w:t>
      </w:r>
      <w:r>
        <w:rPr>
          <w:rFonts w:hint="default" w:ascii="Times New Roman" w:hAnsi="Times New Roman" w:cs="Times New Roman"/>
          <w:color w:val="auto"/>
          <w:highlight w:val="none"/>
          <w:lang w:val="en-US" w:eastAsia="zh-CN"/>
        </w:rPr>
        <w:t>万吨/年，</w:t>
      </w:r>
      <w:r>
        <w:rPr>
          <w:rFonts w:hint="default" w:ascii="Times New Roman" w:hAnsi="Times New Roman" w:cs="Times New Roman"/>
          <w:color w:val="auto"/>
          <w:highlight w:val="none"/>
        </w:rPr>
        <w:t>循环水池底泥产生量为</w:t>
      </w:r>
      <w:r>
        <w:rPr>
          <w:rFonts w:hint="default" w:cs="Times New Roman"/>
          <w:color w:val="auto"/>
          <w:highlight w:val="none"/>
          <w:lang w:val="en-US" w:eastAsia="zh-CN"/>
        </w:rPr>
        <w:t>1000</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lang w:val="en-US" w:eastAsia="zh-CN"/>
        </w:rPr>
        <w:t>采用类比法进行源强核算，本项目</w:t>
      </w:r>
      <w:r>
        <w:rPr>
          <w:rFonts w:hint="default" w:ascii="Times New Roman" w:hAnsi="Times New Roman" w:cs="Times New Roman"/>
          <w:color w:val="auto"/>
          <w:highlight w:val="none"/>
          <w:lang w:val="en-US" w:eastAsia="zh-CN"/>
        </w:rPr>
        <w:t>年选金矿15万吨/年</w:t>
      </w:r>
      <w:r>
        <w:rPr>
          <w:rFonts w:hint="default" w:ascii="Times New Roman" w:hAnsi="Times New Roman" w:cs="Times New Roman"/>
          <w:color w:val="auto"/>
          <w:sz w:val="24"/>
          <w:szCs w:val="24"/>
          <w:highlight w:val="none"/>
          <w:lang w:val="en-US" w:eastAsia="zh-CN"/>
        </w:rPr>
        <w:t>，因此本项目生产回水池底泥</w:t>
      </w:r>
      <w:r>
        <w:rPr>
          <w:rFonts w:hint="default" w:ascii="Times New Roman" w:hAnsi="Times New Roman" w:eastAsia="宋体" w:cs="Times New Roman"/>
          <w:color w:val="auto"/>
          <w:sz w:val="24"/>
          <w:szCs w:val="28"/>
          <w:highlight w:val="none"/>
          <w:lang w:eastAsia="zh-CN"/>
        </w:rPr>
        <w:t>（代码：SW</w:t>
      </w:r>
      <w:r>
        <w:rPr>
          <w:rFonts w:hint="default" w:ascii="Times New Roman" w:hAnsi="Times New Roman" w:eastAsia="宋体" w:cs="Times New Roman"/>
          <w:color w:val="auto"/>
          <w:sz w:val="24"/>
          <w:szCs w:val="28"/>
          <w:highlight w:val="none"/>
          <w:lang w:val="en-US" w:eastAsia="zh-CN"/>
        </w:rPr>
        <w:t>07 900-099-S07</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cs="Times New Roman"/>
          <w:color w:val="auto"/>
          <w:sz w:val="24"/>
          <w:szCs w:val="24"/>
          <w:highlight w:val="none"/>
          <w:lang w:val="en-US" w:eastAsia="zh-CN"/>
        </w:rPr>
        <w:t>约</w:t>
      </w:r>
      <w:r>
        <w:rPr>
          <w:rFonts w:hint="default" w:cs="Times New Roman"/>
          <w:color w:val="auto"/>
          <w:sz w:val="24"/>
          <w:szCs w:val="24"/>
          <w:highlight w:val="none"/>
          <w:lang w:val="en-US" w:eastAsia="zh-CN"/>
        </w:rPr>
        <w:t>62.5</w:t>
      </w:r>
      <w:r>
        <w:rPr>
          <w:rFonts w:hint="default" w:ascii="Times New Roman" w:hAnsi="Times New Roman" w:cs="Times New Roman"/>
          <w:color w:val="auto"/>
          <w:sz w:val="24"/>
          <w:szCs w:val="24"/>
          <w:highlight w:val="none"/>
          <w:lang w:val="en-US" w:eastAsia="zh-CN"/>
        </w:rPr>
        <w:t>t/a，生产回水池底泥</w:t>
      </w:r>
      <w:r>
        <w:rPr>
          <w:rFonts w:hint="default" w:ascii="Times New Roman" w:hAnsi="Times New Roman" w:cs="Times New Roman"/>
          <w:color w:val="auto"/>
          <w:highlight w:val="none"/>
        </w:rPr>
        <w:t>定期清理，返回生产工序</w:t>
      </w:r>
      <w:r>
        <w:rPr>
          <w:rFonts w:hint="default" w:ascii="Times New Roman" w:hAnsi="Times New Roman" w:eastAsia="宋体" w:cs="Times New Roman"/>
          <w:color w:val="auto"/>
          <w:sz w:val="24"/>
          <w:szCs w:val="28"/>
          <w:highlight w:val="none"/>
          <w:lang w:eastAsia="zh-CN"/>
        </w:rPr>
        <w:t>，后期用于土地复垦</w:t>
      </w:r>
      <w:r>
        <w:rPr>
          <w:rFonts w:hint="default" w:ascii="Times New Roman" w:hAnsi="Times New Roman" w:cs="Times New Roman"/>
          <w:color w:val="auto"/>
          <w:highlight w:val="none"/>
        </w:rPr>
        <w:t>。</w:t>
      </w:r>
    </w:p>
    <w:p w14:paraId="0298F8D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）生活污水处理设施底泥</w:t>
      </w:r>
    </w:p>
    <w:p w14:paraId="7A79C03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地埋式一体化污水处理设施沉淀时间为1.5h，含水率为90%，产生污泥量为70g/d·人，</w:t>
      </w:r>
      <w:r>
        <w:rPr>
          <w:rFonts w:hint="default" w:cs="Times New Roman"/>
          <w:color w:val="auto"/>
          <w:highlight w:val="none"/>
          <w:lang w:val="en-US" w:eastAsia="zh-CN"/>
        </w:rPr>
        <w:t>本项目污水处理设施处理采矿及选矿产生的生活污水，采选工程</w:t>
      </w:r>
      <w:r>
        <w:rPr>
          <w:rFonts w:hint="default" w:ascii="Times New Roman" w:hAnsi="Times New Roman" w:cs="Times New Roman"/>
          <w:color w:val="auto"/>
          <w:highlight w:val="none"/>
          <w:lang w:eastAsia="zh-CN"/>
        </w:rPr>
        <w:t>共计</w:t>
      </w:r>
      <w:r>
        <w:rPr>
          <w:rFonts w:hint="default" w:cs="Times New Roman"/>
          <w:color w:val="auto"/>
          <w:highlight w:val="none"/>
          <w:lang w:val="en-US" w:eastAsia="zh-CN"/>
        </w:rPr>
        <w:t>325</w:t>
      </w:r>
      <w:r>
        <w:rPr>
          <w:rFonts w:hint="default" w:ascii="Times New Roman" w:hAnsi="Times New Roman" w:cs="Times New Roman"/>
          <w:color w:val="auto"/>
          <w:highlight w:val="none"/>
          <w:lang w:val="en-US" w:eastAsia="zh-CN"/>
        </w:rPr>
        <w:t>人，</w:t>
      </w:r>
      <w:r>
        <w:rPr>
          <w:rFonts w:hint="default" w:ascii="Times New Roman" w:hAnsi="Times New Roman" w:cs="Times New Roman"/>
          <w:color w:val="auto"/>
          <w:highlight w:val="none"/>
          <w:lang w:eastAsia="zh-Hans"/>
        </w:rPr>
        <w:t>则</w:t>
      </w:r>
      <w:r>
        <w:rPr>
          <w:rFonts w:hint="default" w:ascii="Times New Roman" w:hAnsi="Times New Roman" w:cs="Times New Roman"/>
          <w:color w:val="auto"/>
          <w:highlight w:val="none"/>
        </w:rPr>
        <w:t>运营期生活污水处理设施底泥产生量为</w:t>
      </w:r>
      <w:r>
        <w:rPr>
          <w:rFonts w:hint="default" w:cs="Times New Roman"/>
          <w:color w:val="auto"/>
          <w:highlight w:val="none"/>
          <w:lang w:val="en-US" w:eastAsia="zh-CN"/>
        </w:rPr>
        <w:t>5.46</w:t>
      </w:r>
      <w:r>
        <w:rPr>
          <w:rFonts w:hint="default" w:ascii="Times New Roman" w:hAnsi="Times New Roman" w:cs="Times New Roman"/>
          <w:color w:val="auto"/>
          <w:highlight w:val="none"/>
        </w:rPr>
        <w:t>t/a，</w:t>
      </w:r>
      <w:r>
        <w:rPr>
          <w:rFonts w:hint="default" w:ascii="Times New Roman" w:hAnsi="Times New Roman" w:eastAsia="宋体" w:cs="Times New Roman"/>
          <w:color w:val="auto"/>
          <w:sz w:val="24"/>
          <w:szCs w:val="28"/>
          <w:highlight w:val="none"/>
          <w:lang w:val="en-US" w:eastAsia="zh-CN"/>
        </w:rPr>
        <w:t>生活污水处理设施底泥</w:t>
      </w:r>
      <w:r>
        <w:rPr>
          <w:rFonts w:hint="default" w:ascii="Times New Roman" w:hAnsi="Times New Roman" w:eastAsia="宋体" w:cs="Times New Roman"/>
          <w:color w:val="auto"/>
          <w:sz w:val="24"/>
          <w:szCs w:val="28"/>
          <w:highlight w:val="none"/>
          <w:lang w:eastAsia="zh-CN"/>
        </w:rPr>
        <w:t>（代码：SW</w:t>
      </w:r>
      <w:r>
        <w:rPr>
          <w:rFonts w:hint="default" w:ascii="Times New Roman" w:hAnsi="Times New Roman" w:eastAsia="宋体" w:cs="Times New Roman"/>
          <w:color w:val="auto"/>
          <w:sz w:val="24"/>
          <w:szCs w:val="28"/>
          <w:highlight w:val="none"/>
          <w:lang w:val="en-US" w:eastAsia="zh-CN"/>
        </w:rPr>
        <w:t>07 900-099-S07</w:t>
      </w:r>
      <w:r>
        <w:rPr>
          <w:rFonts w:hint="default" w:ascii="Times New Roman" w:hAnsi="Times New Roman" w:eastAsia="宋体" w:cs="Times New Roman"/>
          <w:color w:val="auto"/>
          <w:sz w:val="24"/>
          <w:szCs w:val="28"/>
          <w:highlight w:val="none"/>
          <w:lang w:eastAsia="zh-CN"/>
        </w:rPr>
        <w:t>）</w:t>
      </w:r>
      <w:r>
        <w:rPr>
          <w:rFonts w:hint="default" w:cs="Times New Roman"/>
          <w:color w:val="auto"/>
          <w:sz w:val="24"/>
          <w:szCs w:val="28"/>
          <w:highlight w:val="none"/>
          <w:lang w:val="en-US" w:eastAsia="zh-CN"/>
        </w:rPr>
        <w:t>经干化后</w:t>
      </w:r>
      <w:r>
        <w:rPr>
          <w:rFonts w:hint="default" w:ascii="Times New Roman" w:hAnsi="Times New Roman" w:cs="Times New Roman"/>
          <w:color w:val="auto"/>
          <w:highlight w:val="none"/>
        </w:rPr>
        <w:t>定期拉运至</w:t>
      </w:r>
      <w:r>
        <w:rPr>
          <w:rFonts w:hint="default" w:cs="Times New Roman"/>
          <w:color w:val="auto"/>
          <w:highlight w:val="none"/>
          <w:lang w:val="en-US" w:eastAsia="zh-CN"/>
        </w:rPr>
        <w:t>富蕴县杜热镇生活垃圾填埋场</w:t>
      </w:r>
      <w:r>
        <w:rPr>
          <w:rFonts w:hint="default" w:ascii="Times New Roman" w:hAnsi="Times New Roman" w:cs="Times New Roman"/>
          <w:color w:val="auto"/>
          <w:highlight w:val="none"/>
          <w:lang w:val="en-US" w:eastAsia="zh-CN"/>
        </w:rPr>
        <w:t>处置</w:t>
      </w:r>
      <w:r>
        <w:rPr>
          <w:rFonts w:hint="default" w:ascii="Times New Roman" w:hAnsi="Times New Roman" w:cs="Times New Roman"/>
          <w:color w:val="auto"/>
          <w:highlight w:val="none"/>
          <w:lang w:eastAsia="zh-CN"/>
        </w:rPr>
        <w:t>。</w:t>
      </w:r>
    </w:p>
    <w:p w14:paraId="45382DD0">
      <w:pPr>
        <w:keepNext w:val="0"/>
        <w:keepLines w:val="0"/>
        <w:pageBreakBefore w:val="0"/>
        <w:widowControl w:val="0"/>
        <w:numPr>
          <w:ilvl w:val="0"/>
          <w:numId w:val="0"/>
        </w:numPr>
        <w:kinsoku/>
        <w:wordWrap/>
        <w:overflowPunct/>
        <w:topLinePunct w:val="0"/>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w:t>
      </w:r>
    </w:p>
    <w:p w14:paraId="2ADFB861">
      <w:pPr>
        <w:keepNext w:val="0"/>
        <w:keepLines w:val="0"/>
        <w:pageBreakBefore w:val="0"/>
        <w:widowControl w:val="0"/>
        <w:kinsoku/>
        <w:wordWrap/>
        <w:overflowPunct/>
        <w:topLinePunct w:val="0"/>
        <w:autoSpaceDE w:val="0"/>
        <w:autoSpaceDN w:val="0"/>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①废矿物油</w:t>
      </w:r>
      <w:r>
        <w:rPr>
          <w:rFonts w:hint="default" w:ascii="Times New Roman" w:hAnsi="Times New Roman" w:cs="Times New Roman"/>
          <w:color w:val="auto"/>
          <w:highlight w:val="none"/>
          <w:lang w:val="en-US" w:eastAsia="zh-CN"/>
        </w:rPr>
        <w:t>及废油桶</w:t>
      </w:r>
    </w:p>
    <w:p w14:paraId="3158907C">
      <w:pPr>
        <w:keepNext w:val="0"/>
        <w:keepLines w:val="0"/>
        <w:pageBreakBefore w:val="0"/>
        <w:widowControl w:val="0"/>
        <w:kinsoku/>
        <w:wordWrap/>
        <w:overflowPunct/>
        <w:topLinePunct w:val="0"/>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本项目运营期间选矿设备将会使用</w:t>
      </w:r>
      <w:r>
        <w:rPr>
          <w:rFonts w:hint="default" w:ascii="Times New Roman" w:hAnsi="Times New Roman" w:cs="Times New Roman"/>
          <w:color w:val="auto"/>
          <w:highlight w:val="none"/>
          <w:lang w:val="en-US" w:eastAsia="zh-CN"/>
        </w:rPr>
        <w:t>2#油</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因此会产生</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eastAsia="zh-CN"/>
        </w:rPr>
        <w:t>矿物油、废油桶，</w:t>
      </w:r>
      <w:r>
        <w:rPr>
          <w:rFonts w:hint="default" w:ascii="Times New Roman" w:hAnsi="Times New Roman" w:cs="Times New Roman"/>
          <w:color w:val="auto"/>
          <w:highlight w:val="none"/>
          <w:lang w:val="en-US" w:eastAsia="zh-CN"/>
        </w:rPr>
        <w:t>均</w:t>
      </w:r>
      <w:r>
        <w:rPr>
          <w:rFonts w:hint="default" w:ascii="Times New Roman" w:hAnsi="Times New Roman" w:cs="Times New Roman"/>
          <w:color w:val="auto"/>
          <w:highlight w:val="none"/>
        </w:rPr>
        <w:t>属于危险废物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val="en-US" w:eastAsia="zh-CN"/>
        </w:rPr>
        <w:t>危险废物代码均为</w:t>
      </w:r>
      <w:r>
        <w:rPr>
          <w:rFonts w:hint="default" w:ascii="Times New Roman" w:hAnsi="Times New Roman" w:eastAsia="宋体" w:cs="Times New Roman"/>
          <w:color w:val="auto"/>
          <w:sz w:val="24"/>
          <w:szCs w:val="28"/>
          <w:highlight w:val="none"/>
        </w:rPr>
        <w:t>HW08</w:t>
      </w:r>
      <w:r>
        <w:rPr>
          <w:rFonts w:hint="default" w:ascii="Times New Roman" w:hAnsi="Times New Roman" w:eastAsia="宋体" w:cs="Times New Roman"/>
          <w:color w:val="auto"/>
          <w:sz w:val="24"/>
          <w:szCs w:val="28"/>
          <w:highlight w:val="none"/>
          <w:lang w:val="en-US" w:eastAsia="zh-CN"/>
        </w:rPr>
        <w:t xml:space="preserve"> </w:t>
      </w:r>
      <w:r>
        <w:rPr>
          <w:rFonts w:hint="default" w:ascii="Times New Roman" w:hAnsi="Times New Roman" w:eastAsia="宋体" w:cs="Times New Roman"/>
          <w:color w:val="auto"/>
          <w:sz w:val="24"/>
          <w:szCs w:val="28"/>
          <w:highlight w:val="none"/>
        </w:rPr>
        <w:t>900-2</w:t>
      </w:r>
      <w:r>
        <w:rPr>
          <w:rFonts w:hint="default" w:ascii="Times New Roman" w:hAnsi="Times New Roman" w:eastAsia="宋体" w:cs="Times New Roman"/>
          <w:color w:val="auto"/>
          <w:sz w:val="24"/>
          <w:szCs w:val="28"/>
          <w:highlight w:val="none"/>
          <w:lang w:val="en-US" w:eastAsia="zh-CN"/>
        </w:rPr>
        <w:t>49</w:t>
      </w:r>
      <w:r>
        <w:rPr>
          <w:rFonts w:hint="default" w:ascii="Times New Roman" w:hAnsi="Times New Roman" w:eastAsia="宋体" w:cs="Times New Roman"/>
          <w:color w:val="auto"/>
          <w:sz w:val="24"/>
          <w:szCs w:val="28"/>
          <w:highlight w:val="none"/>
        </w:rPr>
        <w:t>-08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。根据设计单位提供资料，废</w:t>
      </w:r>
      <w:r>
        <w:rPr>
          <w:rFonts w:hint="default" w:ascii="Times New Roman" w:hAnsi="Times New Roman" w:cs="Times New Roman"/>
          <w:color w:val="auto"/>
          <w:highlight w:val="none"/>
          <w:lang w:eastAsia="zh-CN"/>
        </w:rPr>
        <w:t>矿物油</w:t>
      </w:r>
      <w:r>
        <w:rPr>
          <w:rFonts w:hint="default" w:ascii="Times New Roman" w:hAnsi="Times New Roman" w:cs="Times New Roman"/>
          <w:color w:val="auto"/>
          <w:highlight w:val="none"/>
        </w:rPr>
        <w:t>的产生量</w:t>
      </w:r>
      <w:r>
        <w:rPr>
          <w:rFonts w:hint="default" w:ascii="Times New Roman" w:hAnsi="Times New Roman" w:cs="Times New Roman"/>
          <w:color w:val="auto"/>
          <w:highlight w:val="none"/>
          <w:lang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0.5</w:t>
      </w:r>
      <w:r>
        <w:rPr>
          <w:rFonts w:hint="default" w:ascii="Times New Roman" w:hAnsi="Times New Roman" w:cs="Times New Roman"/>
          <w:color w:val="auto"/>
          <w:highlight w:val="none"/>
        </w:rPr>
        <w:t>t/a，废油桶产生量</w:t>
      </w:r>
      <w:r>
        <w:rPr>
          <w:rFonts w:hint="default" w:ascii="Times New Roman" w:hAnsi="Times New Roman" w:cs="Times New Roman"/>
          <w:color w:val="auto"/>
          <w:highlight w:val="none"/>
          <w:lang w:val="en-US" w:eastAsia="zh-CN"/>
        </w:rPr>
        <w:t>约2</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eastAsia="zh-CN"/>
        </w:rPr>
        <w:t>个</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a</w:t>
      </w:r>
      <w:r>
        <w:rPr>
          <w:rFonts w:hint="default" w:ascii="Times New Roman" w:hAnsi="Times New Roman" w:eastAsia="宋体" w:cs="Times New Roman"/>
          <w:color w:val="auto"/>
          <w:sz w:val="24"/>
          <w:szCs w:val="28"/>
          <w:highlight w:val="none"/>
        </w:rPr>
        <w:t>（约</w:t>
      </w:r>
      <w:r>
        <w:rPr>
          <w:rFonts w:hint="default" w:ascii="Times New Roman" w:hAnsi="Times New Roman" w:cs="Times New Roman"/>
          <w:color w:val="auto"/>
          <w:sz w:val="24"/>
          <w:szCs w:val="28"/>
          <w:highlight w:val="none"/>
          <w:lang w:val="en-US" w:eastAsia="zh-CN"/>
        </w:rPr>
        <w:t>0.6</w:t>
      </w:r>
      <w:r>
        <w:rPr>
          <w:rFonts w:hint="default" w:ascii="Times New Roman" w:hAnsi="Times New Roman" w:eastAsia="宋体" w:cs="Times New Roman"/>
          <w:color w:val="auto"/>
          <w:sz w:val="24"/>
          <w:szCs w:val="28"/>
          <w:highlight w:val="none"/>
        </w:rPr>
        <w:t>t/a）</w:t>
      </w:r>
      <w:r>
        <w:rPr>
          <w:rFonts w:hint="default" w:ascii="Times New Roman" w:hAnsi="Times New Roman" w:cs="Times New Roman"/>
          <w:color w:val="auto"/>
          <w:highlight w:val="none"/>
        </w:rPr>
        <w:t>，环评要求按照</w:t>
      </w:r>
      <w:r>
        <w:rPr>
          <w:rFonts w:hint="default" w:ascii="Times New Roman" w:hAnsi="Times New Roman" w:cs="Times New Roman"/>
          <w:color w:val="auto"/>
          <w:highlight w:val="none"/>
          <w:lang w:eastAsia="zh-CN"/>
        </w:rPr>
        <w:t>《危险废物贮存污染控制标准》（GB18597-2023），统一收集至防渗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2781C07E">
      <w:pPr>
        <w:keepNext w:val="0"/>
        <w:keepLines w:val="0"/>
        <w:pageBreakBefore w:val="0"/>
        <w:widowControl w:val="0"/>
        <w:kinsoku/>
        <w:wordWrap/>
        <w:overflowPunct/>
        <w:topLinePunct w:val="0"/>
        <w:bidi w:val="0"/>
        <w:adjustRightInd/>
        <w:snapToGrid/>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②沾染毒性废弃包装物</w:t>
      </w:r>
      <w:r>
        <w:rPr>
          <w:rFonts w:hint="default" w:ascii="Times New Roman" w:hAnsi="Times New Roman" w:cs="Times New Roman"/>
          <w:color w:val="auto"/>
          <w:highlight w:val="none"/>
          <w:lang w:val="en-US" w:eastAsia="zh-CN"/>
        </w:rPr>
        <w:t>及废药剂</w:t>
      </w:r>
    </w:p>
    <w:p w14:paraId="26B7DEF4">
      <w:pP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本项目原辅料包装形式包括桶</w:t>
      </w:r>
      <w:r>
        <w:rPr>
          <w:rFonts w:hint="default" w:ascii="Times New Roman" w:hAnsi="Times New Roman" w:cs="Times New Roman"/>
          <w:color w:val="auto"/>
          <w:highlight w:val="none"/>
          <w:lang w:val="en-US" w:eastAsia="zh-CN"/>
        </w:rPr>
        <w:t>/瓶</w:t>
      </w:r>
      <w:r>
        <w:rPr>
          <w:rFonts w:hint="default" w:ascii="Times New Roman" w:hAnsi="Times New Roman" w:cs="Times New Roman"/>
          <w:color w:val="auto"/>
          <w:highlight w:val="none"/>
          <w:lang w:eastAsia="zh-CN"/>
        </w:rPr>
        <w:t>装和袋装，废包装物产生情况见表3.</w:t>
      </w:r>
      <w:r>
        <w:rPr>
          <w:rFonts w:hint="default" w:ascii="Times New Roman" w:hAnsi="Times New Roman" w:cs="Times New Roman"/>
          <w:color w:val="auto"/>
          <w:highlight w:val="none"/>
          <w:lang w:val="en-US" w:eastAsia="zh-CN"/>
        </w:rPr>
        <w:t>3-15</w:t>
      </w:r>
      <w:r>
        <w:rPr>
          <w:rFonts w:hint="default" w:ascii="Times New Roman" w:hAnsi="Times New Roman" w:cs="Times New Roman"/>
          <w:color w:val="auto"/>
          <w:highlight w:val="none"/>
          <w:lang w:eastAsia="zh-CN"/>
        </w:rPr>
        <w:t>。</w:t>
      </w:r>
    </w:p>
    <w:p w14:paraId="7E589A53">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表3.</w:t>
      </w:r>
      <w:r>
        <w:rPr>
          <w:rFonts w:hint="default" w:ascii="Times New Roman" w:hAnsi="Times New Roman" w:cs="Times New Roman"/>
          <w:b/>
          <w:color w:val="auto"/>
          <w:kern w:val="0"/>
          <w:sz w:val="24"/>
          <w:szCs w:val="24"/>
          <w:highlight w:val="none"/>
          <w:lang w:val="en-US" w:eastAsia="zh-CN"/>
        </w:rPr>
        <w:t>3-15</w:t>
      </w:r>
      <w:r>
        <w:rPr>
          <w:rFonts w:hint="default" w:ascii="Times New Roman" w:hAnsi="Times New Roman" w:eastAsia="宋体" w:cs="Times New Roman"/>
          <w:b/>
          <w:color w:val="auto"/>
          <w:kern w:val="0"/>
          <w:sz w:val="24"/>
          <w:szCs w:val="24"/>
          <w:highlight w:val="none"/>
        </w:rPr>
        <w:t xml:space="preserve">    废包装袋情况统计一览表</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709"/>
        <w:gridCol w:w="1211"/>
        <w:gridCol w:w="2078"/>
        <w:gridCol w:w="2179"/>
      </w:tblGrid>
      <w:tr w14:paraId="6A5AA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085" w:type="pct"/>
            <w:tcBorders>
              <w:tl2br w:val="nil"/>
              <w:tr2bl w:val="nil"/>
            </w:tcBorders>
            <w:noWrap w:val="0"/>
            <w:vAlign w:val="center"/>
          </w:tcPr>
          <w:p w14:paraId="5E8EE94B">
            <w:pPr>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药剂名称</w:t>
            </w:r>
          </w:p>
        </w:tc>
        <w:tc>
          <w:tcPr>
            <w:tcW w:w="932" w:type="pct"/>
            <w:tcBorders>
              <w:tl2br w:val="nil"/>
              <w:tr2bl w:val="nil"/>
            </w:tcBorders>
            <w:noWrap w:val="0"/>
            <w:vAlign w:val="center"/>
          </w:tcPr>
          <w:p w14:paraId="14BC9C3E">
            <w:pPr>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年消耗量（t/a）</w:t>
            </w:r>
          </w:p>
        </w:tc>
        <w:tc>
          <w:tcPr>
            <w:tcW w:w="660" w:type="pct"/>
            <w:tcBorders>
              <w:tl2br w:val="nil"/>
              <w:tr2bl w:val="nil"/>
            </w:tcBorders>
            <w:noWrap w:val="0"/>
            <w:vAlign w:val="center"/>
          </w:tcPr>
          <w:p w14:paraId="11A4CE4B">
            <w:pPr>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包装规格</w:t>
            </w:r>
          </w:p>
        </w:tc>
        <w:tc>
          <w:tcPr>
            <w:tcW w:w="1133" w:type="pct"/>
            <w:tcBorders>
              <w:tl2br w:val="nil"/>
              <w:tr2bl w:val="nil"/>
            </w:tcBorders>
            <w:noWrap w:val="0"/>
            <w:vAlign w:val="center"/>
          </w:tcPr>
          <w:p w14:paraId="1E1BB15F">
            <w:pPr>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废包装袋或桶（个）</w:t>
            </w:r>
          </w:p>
        </w:tc>
        <w:tc>
          <w:tcPr>
            <w:tcW w:w="1188" w:type="pct"/>
            <w:tcBorders>
              <w:tl2br w:val="nil"/>
              <w:tr2bl w:val="nil"/>
            </w:tcBorders>
            <w:noWrap w:val="0"/>
            <w:vAlign w:val="center"/>
          </w:tcPr>
          <w:p w14:paraId="1C1FBE08">
            <w:pPr>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position w:val="-2"/>
                <w:sz w:val="21"/>
                <w:highlight w:val="none"/>
              </w:rPr>
              <w:t>废包装产生量（t/a）</w:t>
            </w:r>
          </w:p>
        </w:tc>
      </w:tr>
      <w:tr w14:paraId="6D6DA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14:paraId="72E6E737">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highlight w:val="none"/>
              </w:rPr>
              <w:t>碳酸钠</w:t>
            </w:r>
          </w:p>
        </w:tc>
        <w:tc>
          <w:tcPr>
            <w:tcW w:w="1709" w:type="dxa"/>
            <w:tcBorders>
              <w:tl2br w:val="nil"/>
              <w:tr2bl w:val="nil"/>
            </w:tcBorders>
            <w:noWrap w:val="0"/>
            <w:vAlign w:val="center"/>
          </w:tcPr>
          <w:p w14:paraId="4DD54910">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150</w:t>
            </w:r>
          </w:p>
        </w:tc>
        <w:tc>
          <w:tcPr>
            <w:tcW w:w="660" w:type="pct"/>
            <w:tcBorders>
              <w:tl2br w:val="nil"/>
              <w:tr2bl w:val="nil"/>
            </w:tcBorders>
            <w:noWrap w:val="0"/>
            <w:vAlign w:val="center"/>
          </w:tcPr>
          <w:p w14:paraId="0DDD71D3">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25kg/袋</w:t>
            </w:r>
          </w:p>
        </w:tc>
        <w:tc>
          <w:tcPr>
            <w:tcW w:w="1133" w:type="pct"/>
            <w:tcBorders>
              <w:tl2br w:val="nil"/>
              <w:tr2bl w:val="nil"/>
            </w:tcBorders>
            <w:noWrap w:val="0"/>
            <w:vAlign w:val="center"/>
          </w:tcPr>
          <w:p w14:paraId="07BCE415">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6000</w:t>
            </w:r>
          </w:p>
        </w:tc>
        <w:tc>
          <w:tcPr>
            <w:tcW w:w="1188" w:type="pct"/>
            <w:tcBorders>
              <w:tl2br w:val="nil"/>
              <w:tr2bl w:val="nil"/>
            </w:tcBorders>
            <w:noWrap w:val="0"/>
            <w:vAlign w:val="center"/>
          </w:tcPr>
          <w:p w14:paraId="7211C516">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0.6</w:t>
            </w:r>
          </w:p>
        </w:tc>
      </w:tr>
      <w:tr w14:paraId="6CD0A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14:paraId="1447DD36">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丁基黄药</w:t>
            </w:r>
          </w:p>
        </w:tc>
        <w:tc>
          <w:tcPr>
            <w:tcW w:w="1709" w:type="dxa"/>
            <w:tcBorders>
              <w:tl2br w:val="nil"/>
              <w:tr2bl w:val="nil"/>
            </w:tcBorders>
            <w:noWrap w:val="0"/>
            <w:vAlign w:val="center"/>
          </w:tcPr>
          <w:p w14:paraId="60FD1579">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7.8</w:t>
            </w:r>
            <w:r>
              <w:rPr>
                <w:rFonts w:hint="default" w:ascii="Times New Roman" w:hAnsi="Times New Roman" w:cs="Times New Roman"/>
                <w:color w:val="auto"/>
                <w:kern w:val="0"/>
                <w:sz w:val="21"/>
                <w:szCs w:val="21"/>
                <w:highlight w:val="none"/>
                <w:lang w:val="en-US" w:eastAsia="zh-CN"/>
              </w:rPr>
              <w:t>75</w:t>
            </w:r>
          </w:p>
        </w:tc>
        <w:tc>
          <w:tcPr>
            <w:tcW w:w="660" w:type="pct"/>
            <w:tcBorders>
              <w:tl2br w:val="nil"/>
              <w:tr2bl w:val="nil"/>
            </w:tcBorders>
            <w:noWrap w:val="0"/>
            <w:vAlign w:val="center"/>
          </w:tcPr>
          <w:p w14:paraId="7C44B8E0">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0kg/袋</w:t>
            </w:r>
          </w:p>
        </w:tc>
        <w:tc>
          <w:tcPr>
            <w:tcW w:w="1133" w:type="pct"/>
            <w:tcBorders>
              <w:tl2br w:val="nil"/>
              <w:tr2bl w:val="nil"/>
            </w:tcBorders>
            <w:noWrap w:val="0"/>
            <w:vAlign w:val="center"/>
          </w:tcPr>
          <w:p w14:paraId="4A815CB2">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157.5</w:t>
            </w:r>
          </w:p>
        </w:tc>
        <w:tc>
          <w:tcPr>
            <w:tcW w:w="1188" w:type="pct"/>
            <w:tcBorders>
              <w:tl2br w:val="nil"/>
              <w:tr2bl w:val="nil"/>
            </w:tcBorders>
            <w:noWrap w:val="0"/>
            <w:vAlign w:val="center"/>
          </w:tcPr>
          <w:p w14:paraId="2B130F98">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0.016</w:t>
            </w:r>
          </w:p>
        </w:tc>
      </w:tr>
      <w:tr w14:paraId="24720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14:paraId="4A4D03B9">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丁铵黄药</w:t>
            </w:r>
          </w:p>
        </w:tc>
        <w:tc>
          <w:tcPr>
            <w:tcW w:w="1709" w:type="dxa"/>
            <w:tcBorders>
              <w:tl2br w:val="nil"/>
              <w:tr2bl w:val="nil"/>
            </w:tcBorders>
            <w:noWrap w:val="0"/>
            <w:vAlign w:val="center"/>
          </w:tcPr>
          <w:p w14:paraId="7DD84AD1">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3.94</w:t>
            </w:r>
          </w:p>
        </w:tc>
        <w:tc>
          <w:tcPr>
            <w:tcW w:w="660" w:type="pct"/>
            <w:tcBorders>
              <w:tl2br w:val="nil"/>
              <w:tr2bl w:val="nil"/>
            </w:tcBorders>
            <w:noWrap w:val="0"/>
            <w:vAlign w:val="center"/>
          </w:tcPr>
          <w:p w14:paraId="4B5E2955">
            <w:pPr>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20</w:t>
            </w:r>
            <w:r>
              <w:rPr>
                <w:rFonts w:hint="default" w:ascii="Times New Roman" w:hAnsi="Times New Roman" w:eastAsia="宋体" w:cs="Times New Roman"/>
                <w:color w:val="auto"/>
                <w:kern w:val="0"/>
                <w:sz w:val="21"/>
                <w:szCs w:val="21"/>
                <w:highlight w:val="none"/>
              </w:rPr>
              <w:t>kg/袋</w:t>
            </w:r>
          </w:p>
        </w:tc>
        <w:tc>
          <w:tcPr>
            <w:tcW w:w="1133" w:type="pct"/>
            <w:tcBorders>
              <w:tl2br w:val="nil"/>
              <w:tr2bl w:val="nil"/>
            </w:tcBorders>
            <w:noWrap w:val="0"/>
            <w:vAlign w:val="center"/>
          </w:tcPr>
          <w:p w14:paraId="21A2B46E">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197</w:t>
            </w:r>
          </w:p>
        </w:tc>
        <w:tc>
          <w:tcPr>
            <w:tcW w:w="1188" w:type="pct"/>
            <w:tcBorders>
              <w:tl2br w:val="nil"/>
              <w:tr2bl w:val="nil"/>
            </w:tcBorders>
            <w:noWrap w:val="0"/>
            <w:vAlign w:val="center"/>
          </w:tcPr>
          <w:p w14:paraId="0BE134BD">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0.02</w:t>
            </w:r>
          </w:p>
        </w:tc>
      </w:tr>
      <w:tr w14:paraId="0664D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14:paraId="0501A75E">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highlight w:val="none"/>
              </w:rPr>
              <w:t>2#油</w:t>
            </w:r>
          </w:p>
        </w:tc>
        <w:tc>
          <w:tcPr>
            <w:tcW w:w="1709" w:type="dxa"/>
            <w:tcBorders>
              <w:tl2br w:val="nil"/>
              <w:tr2bl w:val="nil"/>
            </w:tcBorders>
            <w:noWrap w:val="0"/>
            <w:vAlign w:val="center"/>
          </w:tcPr>
          <w:p w14:paraId="05057B39">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2.25</w:t>
            </w:r>
          </w:p>
        </w:tc>
        <w:tc>
          <w:tcPr>
            <w:tcW w:w="660" w:type="pct"/>
            <w:tcBorders>
              <w:tl2br w:val="nil"/>
              <w:tr2bl w:val="nil"/>
            </w:tcBorders>
            <w:noWrap w:val="0"/>
            <w:vAlign w:val="center"/>
          </w:tcPr>
          <w:p w14:paraId="0C207A6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r>
              <w:rPr>
                <w:rFonts w:hint="default" w:ascii="Times New Roman" w:hAnsi="Times New Roman" w:eastAsia="宋体" w:cs="Times New Roman"/>
                <w:color w:val="auto"/>
                <w:kern w:val="0"/>
                <w:sz w:val="21"/>
                <w:szCs w:val="21"/>
                <w:highlight w:val="none"/>
              </w:rPr>
              <w:t>kg/</w:t>
            </w:r>
            <w:r>
              <w:rPr>
                <w:rFonts w:hint="default" w:ascii="Times New Roman" w:hAnsi="Times New Roman" w:eastAsia="宋体" w:cs="Times New Roman"/>
                <w:color w:val="auto"/>
                <w:kern w:val="0"/>
                <w:sz w:val="21"/>
                <w:szCs w:val="21"/>
                <w:highlight w:val="none"/>
                <w:lang w:eastAsia="zh-CN"/>
              </w:rPr>
              <w:t>桶</w:t>
            </w:r>
          </w:p>
        </w:tc>
        <w:tc>
          <w:tcPr>
            <w:tcW w:w="1133" w:type="pct"/>
            <w:tcBorders>
              <w:tl2br w:val="nil"/>
              <w:tr2bl w:val="nil"/>
            </w:tcBorders>
            <w:noWrap w:val="0"/>
            <w:vAlign w:val="center"/>
          </w:tcPr>
          <w:p w14:paraId="1508411A">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45</w:t>
            </w:r>
          </w:p>
        </w:tc>
        <w:tc>
          <w:tcPr>
            <w:tcW w:w="1188" w:type="pct"/>
            <w:tcBorders>
              <w:tl2br w:val="nil"/>
              <w:tr2bl w:val="nil"/>
            </w:tcBorders>
            <w:noWrap w:val="0"/>
            <w:vAlign w:val="center"/>
          </w:tcPr>
          <w:p w14:paraId="032115F1">
            <w:pPr>
              <w:pStyle w:val="51"/>
              <w:spacing w:after="0" w:line="360" w:lineRule="exact"/>
              <w:ind w:left="0"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0.05</w:t>
            </w:r>
          </w:p>
        </w:tc>
      </w:tr>
    </w:tbl>
    <w:p w14:paraId="585CE95A">
      <w:pPr>
        <w:widowControl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eastAsia="宋体" w:cs="Times New Roman"/>
          <w:color w:val="auto"/>
          <w:sz w:val="24"/>
          <w:szCs w:val="28"/>
          <w:highlight w:val="none"/>
          <w:lang w:eastAsia="zh-CN"/>
        </w:rPr>
        <w:t>产生废包装袋</w:t>
      </w:r>
      <w:r>
        <w:rPr>
          <w:rFonts w:hint="default" w:ascii="Times New Roman" w:hAnsi="Times New Roman" w:eastAsia="宋体" w:cs="Times New Roman"/>
          <w:color w:val="auto"/>
          <w:sz w:val="24"/>
          <w:szCs w:val="28"/>
          <w:highlight w:val="none"/>
          <w:lang w:val="en-US" w:eastAsia="zh-CN"/>
        </w:rPr>
        <w:t>约</w:t>
      </w:r>
      <w:r>
        <w:rPr>
          <w:rFonts w:hint="default" w:ascii="Times New Roman" w:hAnsi="Times New Roman" w:cs="Times New Roman"/>
          <w:color w:val="auto"/>
          <w:sz w:val="24"/>
          <w:szCs w:val="28"/>
          <w:highlight w:val="none"/>
          <w:lang w:val="en-US" w:eastAsia="zh-CN"/>
        </w:rPr>
        <w:t>0.636</w:t>
      </w:r>
      <w:r>
        <w:rPr>
          <w:rFonts w:hint="default" w:ascii="Times New Roman" w:hAnsi="Times New Roman" w:eastAsia="宋体" w:cs="Times New Roman"/>
          <w:color w:val="auto"/>
          <w:sz w:val="24"/>
          <w:szCs w:val="28"/>
          <w:highlight w:val="none"/>
          <w:lang w:eastAsia="zh-CN"/>
        </w:rPr>
        <w:t>t/a，废包装桶</w:t>
      </w:r>
      <w:r>
        <w:rPr>
          <w:rFonts w:hint="default" w:ascii="Times New Roman" w:hAnsi="Times New Roman" w:eastAsia="宋体" w:cs="Times New Roman"/>
          <w:color w:val="auto"/>
          <w:sz w:val="24"/>
          <w:szCs w:val="28"/>
          <w:highlight w:val="none"/>
          <w:lang w:val="en-US" w:eastAsia="zh-CN"/>
        </w:rPr>
        <w:t>/瓶约</w:t>
      </w:r>
      <w:r>
        <w:rPr>
          <w:rFonts w:hint="default" w:ascii="Times New Roman" w:hAnsi="Times New Roman" w:cs="Times New Roman"/>
          <w:color w:val="auto"/>
          <w:sz w:val="24"/>
          <w:szCs w:val="28"/>
          <w:highlight w:val="none"/>
          <w:lang w:val="en-US" w:eastAsia="zh-CN"/>
        </w:rPr>
        <w:t>0.05</w:t>
      </w:r>
      <w:r>
        <w:rPr>
          <w:rFonts w:hint="default" w:ascii="Times New Roman" w:hAnsi="Times New Roman" w:eastAsia="宋体" w:cs="Times New Roman"/>
          <w:color w:val="auto"/>
          <w:sz w:val="24"/>
          <w:szCs w:val="28"/>
          <w:highlight w:val="none"/>
          <w:lang w:eastAsia="zh-CN"/>
        </w:rPr>
        <w:t>t/a，共计</w:t>
      </w:r>
      <w:r>
        <w:rPr>
          <w:rFonts w:hint="default" w:ascii="Times New Roman" w:hAnsi="Times New Roman" w:cs="Times New Roman"/>
          <w:color w:val="auto"/>
          <w:highlight w:val="none"/>
        </w:rPr>
        <w:t>产生沾染毒性</w:t>
      </w:r>
      <w:r>
        <w:rPr>
          <w:rFonts w:hint="default" w:ascii="Times New Roman" w:hAnsi="Times New Roman" w:cs="Times New Roman"/>
          <w:color w:val="auto"/>
          <w:highlight w:val="none"/>
          <w:lang w:val="en-US" w:eastAsia="zh-CN"/>
        </w:rPr>
        <w:t>废弃</w:t>
      </w:r>
      <w:r>
        <w:rPr>
          <w:rFonts w:hint="default" w:ascii="Times New Roman" w:hAnsi="Times New Roman" w:cs="Times New Roman"/>
          <w:color w:val="auto"/>
          <w:highlight w:val="none"/>
        </w:rPr>
        <w:t>包装</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sz w:val="24"/>
          <w:szCs w:val="28"/>
          <w:highlight w:val="none"/>
          <w:lang w:val="en-US" w:eastAsia="zh-CN"/>
        </w:rPr>
        <w:t>0.686</w:t>
      </w:r>
      <w:r>
        <w:rPr>
          <w:rFonts w:hint="default" w:ascii="Times New Roman" w:hAnsi="Times New Roman" w:eastAsia="宋体" w:cs="Times New Roman"/>
          <w:color w:val="auto"/>
          <w:sz w:val="24"/>
          <w:szCs w:val="28"/>
          <w:highlight w:val="none"/>
          <w:lang w:eastAsia="zh-CN"/>
        </w:rPr>
        <w:t>t/a</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废药剂</w:t>
      </w:r>
      <w:r>
        <w:rPr>
          <w:rFonts w:hint="default" w:ascii="Times New Roman" w:hAnsi="Times New Roman" w:cs="Times New Roman"/>
          <w:color w:val="auto"/>
          <w:highlight w:val="none"/>
          <w:lang w:val="en-US" w:eastAsia="zh-CN"/>
        </w:rPr>
        <w:t>约0.05</w:t>
      </w:r>
      <w:r>
        <w:rPr>
          <w:rFonts w:hint="default" w:ascii="Times New Roman" w:hAnsi="Times New Roman" w:cs="Times New Roman"/>
          <w:color w:val="auto"/>
          <w:highlight w:val="none"/>
        </w:rPr>
        <w:t>t/a，共</w:t>
      </w:r>
      <w:r>
        <w:rPr>
          <w:rFonts w:hint="default" w:ascii="Times New Roman" w:hAnsi="Times New Roman" w:cs="Times New Roman"/>
          <w:color w:val="auto"/>
          <w:highlight w:val="none"/>
          <w:lang w:val="en-US" w:eastAsia="zh-CN"/>
        </w:rPr>
        <w:t>0.736</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eastAsia="zh-CN"/>
        </w:rPr>
        <w:t>沾染毒性废弃包装物</w:t>
      </w:r>
      <w:r>
        <w:rPr>
          <w:rFonts w:hint="default" w:ascii="Times New Roman" w:hAnsi="Times New Roman" w:eastAsia="宋体" w:cs="Times New Roman"/>
          <w:color w:val="auto"/>
          <w:sz w:val="24"/>
          <w:szCs w:val="28"/>
          <w:highlight w:val="none"/>
          <w:lang w:val="en-US" w:eastAsia="zh-CN"/>
        </w:rPr>
        <w:t>及废药剂</w:t>
      </w:r>
      <w:r>
        <w:rPr>
          <w:rFonts w:hint="default" w:ascii="Times New Roman" w:hAnsi="Times New Roman" w:cs="Times New Roman"/>
          <w:color w:val="auto"/>
          <w:highlight w:val="none"/>
        </w:rPr>
        <w:t>属于危险废物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val="en-US" w:eastAsia="zh-CN"/>
        </w:rPr>
        <w:t>危险废物代码为</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49 </w:t>
      </w:r>
      <w:r>
        <w:rPr>
          <w:rFonts w:hint="default" w:ascii="Times New Roman" w:hAnsi="Times New Roman" w:eastAsia="宋体" w:cs="Times New Roman"/>
          <w:color w:val="auto"/>
          <w:sz w:val="24"/>
          <w:szCs w:val="28"/>
          <w:highlight w:val="none"/>
        </w:rPr>
        <w:t>900-</w:t>
      </w:r>
      <w:r>
        <w:rPr>
          <w:rFonts w:hint="default" w:ascii="Times New Roman" w:hAnsi="Times New Roman" w:eastAsia="宋体" w:cs="Times New Roman"/>
          <w:color w:val="auto"/>
          <w:sz w:val="24"/>
          <w:szCs w:val="28"/>
          <w:highlight w:val="none"/>
          <w:lang w:val="en-US" w:eastAsia="zh-CN"/>
        </w:rPr>
        <w:t>041</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49和</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03 </w:t>
      </w:r>
      <w:r>
        <w:rPr>
          <w:rFonts w:hint="default" w:ascii="Times New Roman" w:hAnsi="Times New Roman" w:eastAsia="宋体" w:cs="Times New Roman"/>
          <w:color w:val="auto"/>
          <w:sz w:val="24"/>
          <w:szCs w:val="28"/>
          <w:highlight w:val="none"/>
        </w:rPr>
        <w:t>900-</w:t>
      </w:r>
      <w:r>
        <w:rPr>
          <w:rFonts w:hint="default" w:ascii="Times New Roman" w:hAnsi="Times New Roman" w:eastAsia="宋体" w:cs="Times New Roman"/>
          <w:color w:val="auto"/>
          <w:sz w:val="24"/>
          <w:szCs w:val="28"/>
          <w:highlight w:val="none"/>
          <w:lang w:val="en-US" w:eastAsia="zh-CN"/>
        </w:rPr>
        <w:t>002</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03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1353B002">
      <w:pPr>
        <w:widowControl w:val="0"/>
        <w:ind w:firstLine="480"/>
        <w:rPr>
          <w:rFonts w:hint="default" w:cs="Times New Roman"/>
          <w:color w:val="auto"/>
          <w:highlight w:val="none"/>
          <w:lang w:val="en-US" w:eastAsia="zh-CN"/>
        </w:rPr>
      </w:pPr>
      <w:r>
        <w:rPr>
          <w:rFonts w:hint="default" w:cs="Times New Roman"/>
          <w:color w:val="auto"/>
          <w:highlight w:val="none"/>
          <w:lang w:val="en-US" w:eastAsia="zh-CN"/>
        </w:rPr>
        <w:t>③试验废液</w:t>
      </w:r>
    </w:p>
    <w:p w14:paraId="57395AD2">
      <w:pPr>
        <w:widowControl w:val="0"/>
        <w:ind w:firstLine="480"/>
        <w:rPr>
          <w:rFonts w:hint="default" w:cs="Times New Roman"/>
          <w:color w:val="auto"/>
          <w:highlight w:val="none"/>
          <w:lang w:val="en-US" w:eastAsia="zh-CN"/>
        </w:rPr>
      </w:pPr>
      <w:r>
        <w:rPr>
          <w:rFonts w:hint="default" w:cs="Times New Roman"/>
          <w:color w:val="auto"/>
          <w:highlight w:val="none"/>
          <w:lang w:val="en-US" w:eastAsia="zh-CN"/>
        </w:rPr>
        <w:t>本项目设置实验室会产生试验废液，根据同类型项目类比，本项目试验废液产生量约为0.24t/a，试验废液属于危险废物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val="en-US" w:eastAsia="zh-CN"/>
        </w:rPr>
        <w:t>危险废物代码为</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49 </w:t>
      </w:r>
      <w:r>
        <w:rPr>
          <w:rFonts w:hint="default"/>
          <w:color w:val="auto"/>
          <w:szCs w:val="28"/>
          <w:highlight w:val="none"/>
        </w:rPr>
        <w:t>900-047-49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078D8AE1">
      <w:pPr>
        <w:pStyle w:val="7"/>
        <w:spacing w:line="480" w:lineRule="exact"/>
        <w:ind w:left="0" w:leftChars="0" w:firstLine="0" w:firstLineChars="0"/>
        <w:jc w:val="center"/>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b/>
          <w:bCs/>
          <w:color w:val="auto"/>
          <w:sz w:val="24"/>
          <w:szCs w:val="28"/>
          <w:highlight w:val="none"/>
        </w:rPr>
        <w:t>表3.</w:t>
      </w:r>
      <w:r>
        <w:rPr>
          <w:rFonts w:hint="default" w:ascii="Times New Roman" w:hAnsi="Times New Roman" w:cs="Times New Roman"/>
          <w:b/>
          <w:bCs/>
          <w:color w:val="auto"/>
          <w:sz w:val="24"/>
          <w:szCs w:val="28"/>
          <w:highlight w:val="none"/>
          <w:lang w:val="en-US" w:eastAsia="zh-CN"/>
        </w:rPr>
        <w:t>3</w:t>
      </w:r>
      <w:r>
        <w:rPr>
          <w:rFonts w:hint="default" w:ascii="Times New Roman" w:hAnsi="Times New Roman" w:eastAsia="宋体" w:cs="Times New Roman"/>
          <w:b/>
          <w:bCs/>
          <w:color w:val="auto"/>
          <w:sz w:val="24"/>
          <w:szCs w:val="28"/>
          <w:highlight w:val="none"/>
        </w:rPr>
        <w:t>-</w:t>
      </w:r>
      <w:r>
        <w:rPr>
          <w:rFonts w:hint="default" w:ascii="Times New Roman" w:hAnsi="Times New Roman" w:eastAsia="宋体" w:cs="Times New Roman"/>
          <w:b/>
          <w:bCs/>
          <w:color w:val="auto"/>
          <w:sz w:val="24"/>
          <w:szCs w:val="28"/>
          <w:highlight w:val="none"/>
          <w:lang w:val="en-US" w:eastAsia="zh-CN"/>
        </w:rPr>
        <w:t>1</w:t>
      </w:r>
      <w:r>
        <w:rPr>
          <w:rFonts w:hint="default" w:ascii="Times New Roman" w:hAnsi="Times New Roman" w:cs="Times New Roman"/>
          <w:b/>
          <w:bCs/>
          <w:color w:val="auto"/>
          <w:sz w:val="24"/>
          <w:szCs w:val="28"/>
          <w:highlight w:val="none"/>
          <w:lang w:val="en-US" w:eastAsia="zh-CN"/>
        </w:rPr>
        <w:t>6</w:t>
      </w:r>
      <w:r>
        <w:rPr>
          <w:rFonts w:hint="default" w:ascii="Times New Roman" w:hAnsi="Times New Roman" w:eastAsia="宋体" w:cs="Times New Roman"/>
          <w:b/>
          <w:bCs/>
          <w:color w:val="auto"/>
          <w:sz w:val="24"/>
          <w:szCs w:val="28"/>
          <w:highlight w:val="none"/>
        </w:rPr>
        <w:t xml:space="preserve">    本项目危险废物产生量与处置措施一览表</w:t>
      </w:r>
    </w:p>
    <w:tbl>
      <w:tblPr>
        <w:tblStyle w:val="99"/>
        <w:tblW w:w="502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05"/>
        <w:gridCol w:w="1112"/>
        <w:gridCol w:w="806"/>
        <w:gridCol w:w="992"/>
        <w:gridCol w:w="775"/>
        <w:gridCol w:w="947"/>
        <w:gridCol w:w="411"/>
        <w:gridCol w:w="672"/>
        <w:gridCol w:w="907"/>
        <w:gridCol w:w="545"/>
        <w:gridCol w:w="583"/>
        <w:gridCol w:w="885"/>
      </w:tblGrid>
      <w:tr w14:paraId="216DF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224" w:type="pct"/>
            <w:tcBorders>
              <w:tl2br w:val="nil"/>
              <w:tr2bl w:val="nil"/>
            </w:tcBorders>
            <w:noWrap w:val="0"/>
            <w:vAlign w:val="center"/>
          </w:tcPr>
          <w:p w14:paraId="4DE9F8C0">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序号</w:t>
            </w:r>
          </w:p>
        </w:tc>
        <w:tc>
          <w:tcPr>
            <w:tcW w:w="614" w:type="pct"/>
            <w:tcBorders>
              <w:tl2br w:val="nil"/>
              <w:tr2bl w:val="nil"/>
            </w:tcBorders>
            <w:noWrap w:val="0"/>
            <w:vAlign w:val="center"/>
          </w:tcPr>
          <w:p w14:paraId="3321AC87">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危险废物</w:t>
            </w:r>
          </w:p>
          <w:p w14:paraId="39BC8A50">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名称</w:t>
            </w:r>
          </w:p>
        </w:tc>
        <w:tc>
          <w:tcPr>
            <w:tcW w:w="445" w:type="pct"/>
            <w:tcBorders>
              <w:tl2br w:val="nil"/>
              <w:tr2bl w:val="nil"/>
            </w:tcBorders>
            <w:noWrap w:val="0"/>
            <w:vAlign w:val="center"/>
          </w:tcPr>
          <w:p w14:paraId="618D465D">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危险废物类别</w:t>
            </w:r>
          </w:p>
        </w:tc>
        <w:tc>
          <w:tcPr>
            <w:tcW w:w="548" w:type="pct"/>
            <w:tcBorders>
              <w:tl2br w:val="nil"/>
              <w:tr2bl w:val="nil"/>
            </w:tcBorders>
            <w:noWrap w:val="0"/>
            <w:vAlign w:val="center"/>
          </w:tcPr>
          <w:p w14:paraId="5ADA2472">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危险废物</w:t>
            </w:r>
          </w:p>
          <w:p w14:paraId="14A29CD6">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代码</w:t>
            </w:r>
          </w:p>
        </w:tc>
        <w:tc>
          <w:tcPr>
            <w:tcW w:w="428" w:type="pct"/>
            <w:tcBorders>
              <w:tl2br w:val="nil"/>
              <w:tr2bl w:val="nil"/>
            </w:tcBorders>
            <w:noWrap w:val="0"/>
            <w:vAlign w:val="center"/>
          </w:tcPr>
          <w:p w14:paraId="79E4DB1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lang w:eastAsia="zh-CN"/>
              </w:rPr>
            </w:pPr>
            <w:r>
              <w:rPr>
                <w:rFonts w:hint="default" w:ascii="Times New Roman" w:hAnsi="Times New Roman" w:eastAsia="宋体" w:cs="Times New Roman"/>
                <w:b/>
                <w:bCs/>
                <w:snapToGrid w:val="0"/>
                <w:color w:val="auto"/>
                <w:spacing w:val="0"/>
                <w:position w:val="0"/>
                <w:sz w:val="21"/>
                <w:szCs w:val="21"/>
                <w:highlight w:val="none"/>
              </w:rPr>
              <w:t>产生量</w:t>
            </w:r>
            <w:r>
              <w:rPr>
                <w:rFonts w:hint="default" w:ascii="Times New Roman" w:hAnsi="Times New Roman" w:cs="Times New Roman"/>
                <w:b/>
                <w:bCs/>
                <w:snapToGrid w:val="0"/>
                <w:color w:val="auto"/>
                <w:spacing w:val="0"/>
                <w:position w:val="0"/>
                <w:sz w:val="21"/>
                <w:szCs w:val="21"/>
                <w:highlight w:val="none"/>
                <w:lang w:eastAsia="zh-CN"/>
              </w:rPr>
              <w:t>（</w:t>
            </w:r>
            <w:r>
              <w:rPr>
                <w:rFonts w:hint="default" w:ascii="Times New Roman" w:hAnsi="Times New Roman" w:eastAsia="宋体" w:cs="Times New Roman"/>
                <w:b/>
                <w:bCs/>
                <w:snapToGrid w:val="0"/>
                <w:color w:val="auto"/>
                <w:spacing w:val="0"/>
                <w:position w:val="0"/>
                <w:sz w:val="21"/>
                <w:szCs w:val="21"/>
                <w:highlight w:val="none"/>
              </w:rPr>
              <w:t>t/a</w:t>
            </w:r>
            <w:r>
              <w:rPr>
                <w:rFonts w:hint="default" w:ascii="Times New Roman" w:hAnsi="Times New Roman" w:cs="Times New Roman"/>
                <w:b/>
                <w:bCs/>
                <w:snapToGrid w:val="0"/>
                <w:color w:val="auto"/>
                <w:spacing w:val="0"/>
                <w:position w:val="0"/>
                <w:sz w:val="21"/>
                <w:szCs w:val="21"/>
                <w:highlight w:val="none"/>
                <w:lang w:eastAsia="zh-CN"/>
              </w:rPr>
              <w:t>）</w:t>
            </w:r>
          </w:p>
        </w:tc>
        <w:tc>
          <w:tcPr>
            <w:tcW w:w="523" w:type="pct"/>
            <w:tcBorders>
              <w:tl2br w:val="nil"/>
              <w:tr2bl w:val="nil"/>
            </w:tcBorders>
            <w:noWrap w:val="0"/>
            <w:vAlign w:val="center"/>
          </w:tcPr>
          <w:p w14:paraId="419B8C63">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产生工序及装置</w:t>
            </w:r>
          </w:p>
        </w:tc>
        <w:tc>
          <w:tcPr>
            <w:tcW w:w="227" w:type="pct"/>
            <w:tcBorders>
              <w:tl2br w:val="nil"/>
              <w:tr2bl w:val="nil"/>
            </w:tcBorders>
            <w:noWrap w:val="0"/>
            <w:vAlign w:val="center"/>
          </w:tcPr>
          <w:p w14:paraId="5C96246D">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形态</w:t>
            </w:r>
          </w:p>
        </w:tc>
        <w:tc>
          <w:tcPr>
            <w:tcW w:w="371" w:type="pct"/>
            <w:tcBorders>
              <w:tl2br w:val="nil"/>
              <w:tr2bl w:val="nil"/>
            </w:tcBorders>
            <w:noWrap w:val="0"/>
            <w:vAlign w:val="center"/>
          </w:tcPr>
          <w:p w14:paraId="69536313">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主要</w:t>
            </w:r>
          </w:p>
          <w:p w14:paraId="587A0DA7">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成分</w:t>
            </w:r>
          </w:p>
        </w:tc>
        <w:tc>
          <w:tcPr>
            <w:tcW w:w="501" w:type="pct"/>
            <w:tcBorders>
              <w:tl2br w:val="nil"/>
              <w:tr2bl w:val="nil"/>
            </w:tcBorders>
            <w:noWrap w:val="0"/>
            <w:vAlign w:val="center"/>
          </w:tcPr>
          <w:p w14:paraId="18DFCB37">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有害</w:t>
            </w:r>
          </w:p>
          <w:p w14:paraId="08EC5BDE">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成分</w:t>
            </w:r>
          </w:p>
        </w:tc>
        <w:tc>
          <w:tcPr>
            <w:tcW w:w="301" w:type="pct"/>
            <w:tcBorders>
              <w:tl2br w:val="nil"/>
              <w:tr2bl w:val="nil"/>
            </w:tcBorders>
            <w:noWrap w:val="0"/>
            <w:vAlign w:val="center"/>
          </w:tcPr>
          <w:p w14:paraId="75D63F26">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产废周期</w:t>
            </w:r>
          </w:p>
        </w:tc>
        <w:tc>
          <w:tcPr>
            <w:tcW w:w="322" w:type="pct"/>
            <w:tcBorders>
              <w:tl2br w:val="nil"/>
              <w:tr2bl w:val="nil"/>
            </w:tcBorders>
            <w:noWrap w:val="0"/>
            <w:vAlign w:val="center"/>
          </w:tcPr>
          <w:p w14:paraId="7312E48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危险特性</w:t>
            </w:r>
          </w:p>
        </w:tc>
        <w:tc>
          <w:tcPr>
            <w:tcW w:w="489" w:type="pct"/>
            <w:tcBorders>
              <w:tl2br w:val="nil"/>
              <w:tr2bl w:val="nil"/>
            </w:tcBorders>
            <w:noWrap w:val="0"/>
            <w:vAlign w:val="center"/>
          </w:tcPr>
          <w:p w14:paraId="0F350B00">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b/>
                <w:bCs/>
                <w:snapToGrid w:val="0"/>
                <w:color w:val="auto"/>
                <w:spacing w:val="0"/>
                <w:position w:val="0"/>
                <w:sz w:val="21"/>
                <w:szCs w:val="21"/>
                <w:highlight w:val="none"/>
              </w:rPr>
            </w:pPr>
            <w:r>
              <w:rPr>
                <w:rFonts w:hint="default" w:ascii="Times New Roman" w:hAnsi="Times New Roman" w:eastAsia="宋体" w:cs="Times New Roman"/>
                <w:b/>
                <w:bCs/>
                <w:snapToGrid w:val="0"/>
                <w:color w:val="auto"/>
                <w:spacing w:val="0"/>
                <w:position w:val="0"/>
                <w:sz w:val="21"/>
                <w:szCs w:val="21"/>
                <w:highlight w:val="none"/>
              </w:rPr>
              <w:t>污染防治措施</w:t>
            </w:r>
          </w:p>
        </w:tc>
      </w:tr>
      <w:tr w14:paraId="13178D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224" w:type="pct"/>
            <w:tcBorders>
              <w:tl2br w:val="nil"/>
              <w:tr2bl w:val="nil"/>
            </w:tcBorders>
            <w:noWrap w:val="0"/>
            <w:vAlign w:val="center"/>
          </w:tcPr>
          <w:p w14:paraId="4426747D">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14" w:type="pct"/>
            <w:tcBorders>
              <w:tl2br w:val="nil"/>
              <w:tr2bl w:val="nil"/>
            </w:tcBorders>
            <w:noWrap w:val="0"/>
            <w:vAlign w:val="center"/>
          </w:tcPr>
          <w:p w14:paraId="53E78D28">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rPr>
              <w:t>废</w:t>
            </w:r>
            <w:r>
              <w:rPr>
                <w:rFonts w:hint="default" w:ascii="Times New Roman" w:hAnsi="Times New Roman" w:cs="Times New Roman"/>
                <w:color w:val="auto"/>
                <w:spacing w:val="6"/>
                <w:sz w:val="21"/>
                <w:szCs w:val="21"/>
                <w:highlight w:val="none"/>
                <w:lang w:val="en-US" w:eastAsia="zh-CN"/>
              </w:rPr>
              <w:t>矿物油</w:t>
            </w:r>
          </w:p>
        </w:tc>
        <w:tc>
          <w:tcPr>
            <w:tcW w:w="445" w:type="pct"/>
            <w:tcBorders>
              <w:tl2br w:val="nil"/>
              <w:tr2bl w:val="nil"/>
            </w:tcBorders>
            <w:noWrap w:val="0"/>
            <w:vAlign w:val="center"/>
          </w:tcPr>
          <w:p w14:paraId="1DC6E746">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HW08</w:t>
            </w:r>
          </w:p>
        </w:tc>
        <w:tc>
          <w:tcPr>
            <w:tcW w:w="548" w:type="pct"/>
            <w:tcBorders>
              <w:tl2br w:val="nil"/>
              <w:tr2bl w:val="nil"/>
            </w:tcBorders>
            <w:noWrap w:val="0"/>
            <w:vAlign w:val="center"/>
          </w:tcPr>
          <w:p w14:paraId="2855A00E">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900-2</w:t>
            </w:r>
            <w:r>
              <w:rPr>
                <w:rFonts w:hint="default" w:ascii="Times New Roman" w:hAnsi="Times New Roman" w:cs="Times New Roman"/>
                <w:color w:val="auto"/>
                <w:spacing w:val="-1"/>
                <w:sz w:val="21"/>
                <w:szCs w:val="21"/>
                <w:highlight w:val="none"/>
                <w:lang w:val="en-US" w:eastAsia="zh-CN"/>
              </w:rPr>
              <w:t>49</w:t>
            </w:r>
            <w:r>
              <w:rPr>
                <w:rFonts w:hint="default" w:ascii="Times New Roman" w:hAnsi="Times New Roman" w:eastAsia="宋体" w:cs="Times New Roman"/>
                <w:color w:val="auto"/>
                <w:spacing w:val="-1"/>
                <w:sz w:val="21"/>
                <w:szCs w:val="21"/>
                <w:highlight w:val="none"/>
              </w:rPr>
              <w:t>-08</w:t>
            </w:r>
          </w:p>
        </w:tc>
        <w:tc>
          <w:tcPr>
            <w:tcW w:w="428" w:type="pct"/>
            <w:tcBorders>
              <w:tl2br w:val="nil"/>
              <w:tr2bl w:val="nil"/>
            </w:tcBorders>
            <w:noWrap w:val="0"/>
            <w:vAlign w:val="center"/>
          </w:tcPr>
          <w:p w14:paraId="28E9BAEA">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pacing w:val="-5"/>
                <w:sz w:val="21"/>
                <w:szCs w:val="21"/>
                <w:highlight w:val="none"/>
                <w:lang w:val="en-US" w:eastAsia="zh-CN"/>
              </w:rPr>
              <w:t>0.5</w:t>
            </w:r>
          </w:p>
        </w:tc>
        <w:tc>
          <w:tcPr>
            <w:tcW w:w="523" w:type="pct"/>
            <w:tcBorders>
              <w:tl2br w:val="nil"/>
              <w:tr2bl w:val="nil"/>
            </w:tcBorders>
            <w:noWrap w:val="0"/>
            <w:vAlign w:val="center"/>
          </w:tcPr>
          <w:p w14:paraId="3E21C8B0">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药剂库</w:t>
            </w:r>
          </w:p>
        </w:tc>
        <w:tc>
          <w:tcPr>
            <w:tcW w:w="227" w:type="pct"/>
            <w:tcBorders>
              <w:tl2br w:val="nil"/>
              <w:tr2bl w:val="nil"/>
            </w:tcBorders>
            <w:noWrap w:val="0"/>
            <w:vAlign w:val="center"/>
          </w:tcPr>
          <w:p w14:paraId="3374BD7C">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371" w:type="pct"/>
            <w:tcBorders>
              <w:tl2br w:val="nil"/>
              <w:tr2bl w:val="nil"/>
            </w:tcBorders>
            <w:noWrap w:val="0"/>
            <w:vAlign w:val="center"/>
          </w:tcPr>
          <w:p w14:paraId="6AAF5EBD">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石油基</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3"/>
                <w:sz w:val="21"/>
                <w:szCs w:val="21"/>
                <w:highlight w:val="none"/>
              </w:rPr>
              <w:t>添加剂</w:t>
            </w:r>
          </w:p>
        </w:tc>
        <w:tc>
          <w:tcPr>
            <w:tcW w:w="501" w:type="pct"/>
            <w:vMerge w:val="restart"/>
            <w:tcBorders>
              <w:tl2br w:val="nil"/>
              <w:tr2bl w:val="nil"/>
            </w:tcBorders>
            <w:noWrap w:val="0"/>
            <w:vAlign w:val="center"/>
          </w:tcPr>
          <w:p w14:paraId="444B058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石油基</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烃类及非烃</w:t>
            </w:r>
            <w:r>
              <w:rPr>
                <w:rFonts w:hint="default" w:ascii="Times New Roman" w:hAnsi="Times New Roman" w:eastAsia="宋体" w:cs="Times New Roman"/>
                <w:color w:val="auto"/>
                <w:spacing w:val="6"/>
                <w:sz w:val="21"/>
                <w:szCs w:val="21"/>
                <w:highlight w:val="none"/>
              </w:rPr>
              <w:t>类混合物</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2"/>
                <w:sz w:val="21"/>
                <w:szCs w:val="21"/>
                <w:highlight w:val="none"/>
              </w:rPr>
              <w:t>添加剂</w:t>
            </w:r>
          </w:p>
        </w:tc>
        <w:tc>
          <w:tcPr>
            <w:tcW w:w="301" w:type="pct"/>
            <w:tcBorders>
              <w:tl2br w:val="nil"/>
              <w:tr2bl w:val="nil"/>
            </w:tcBorders>
            <w:noWrap w:val="0"/>
            <w:vAlign w:val="center"/>
          </w:tcPr>
          <w:p w14:paraId="6A8F31AB">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间歇</w:t>
            </w:r>
          </w:p>
        </w:tc>
        <w:tc>
          <w:tcPr>
            <w:tcW w:w="322" w:type="pct"/>
            <w:tcBorders>
              <w:tl2br w:val="nil"/>
              <w:tr2bl w:val="nil"/>
            </w:tcBorders>
            <w:noWrap w:val="0"/>
            <w:vAlign w:val="center"/>
          </w:tcPr>
          <w:p w14:paraId="5C856A56">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T</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I</w:t>
            </w:r>
          </w:p>
        </w:tc>
        <w:tc>
          <w:tcPr>
            <w:tcW w:w="489" w:type="pct"/>
            <w:vMerge w:val="restart"/>
            <w:tcBorders>
              <w:tl2br w:val="nil"/>
              <w:tr2bl w:val="nil"/>
            </w:tcBorders>
            <w:noWrap w:val="0"/>
            <w:vAlign w:val="center"/>
          </w:tcPr>
          <w:p w14:paraId="734185D0">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2"/>
                <w:sz w:val="21"/>
                <w:szCs w:val="21"/>
                <w:highlight w:val="none"/>
                <w:lang w:eastAsia="zh-CN"/>
              </w:rPr>
              <w:t>危废贮存点</w:t>
            </w:r>
            <w:r>
              <w:rPr>
                <w:rFonts w:hint="default" w:ascii="Times New Roman" w:hAnsi="Times New Roman" w:eastAsia="宋体" w:cs="Times New Roman"/>
                <w:color w:val="auto"/>
                <w:spacing w:val="2"/>
                <w:sz w:val="21"/>
                <w:szCs w:val="21"/>
                <w:highlight w:val="none"/>
              </w:rPr>
              <w:t>分类暂</w:t>
            </w:r>
            <w:r>
              <w:rPr>
                <w:rFonts w:hint="default" w:ascii="Times New Roman" w:hAnsi="Times New Roman" w:eastAsia="宋体" w:cs="Times New Roman"/>
                <w:color w:val="auto"/>
                <w:spacing w:val="-2"/>
                <w:sz w:val="21"/>
                <w:szCs w:val="21"/>
                <w:highlight w:val="none"/>
              </w:rPr>
              <w:t>存，委托</w:t>
            </w:r>
            <w:r>
              <w:rPr>
                <w:rFonts w:hint="default" w:ascii="Times New Roman" w:hAnsi="Times New Roman" w:eastAsia="宋体" w:cs="Times New Roman"/>
                <w:color w:val="auto"/>
                <w:spacing w:val="3"/>
                <w:sz w:val="21"/>
                <w:szCs w:val="21"/>
                <w:highlight w:val="none"/>
              </w:rPr>
              <w:t>有资质的</w:t>
            </w:r>
            <w:r>
              <w:rPr>
                <w:rFonts w:hint="default" w:ascii="Times New Roman" w:hAnsi="Times New Roman" w:eastAsia="宋体" w:cs="Times New Roman"/>
                <w:color w:val="auto"/>
                <w:spacing w:val="-2"/>
                <w:sz w:val="21"/>
                <w:szCs w:val="21"/>
                <w:highlight w:val="none"/>
              </w:rPr>
              <w:t>单位处置</w:t>
            </w:r>
          </w:p>
        </w:tc>
      </w:tr>
      <w:tr w14:paraId="5EE289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24" w:type="pct"/>
            <w:tcBorders>
              <w:tl2br w:val="nil"/>
              <w:tr2bl w:val="nil"/>
            </w:tcBorders>
            <w:noWrap w:val="0"/>
            <w:vAlign w:val="center"/>
          </w:tcPr>
          <w:p w14:paraId="490897DB">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14" w:type="pct"/>
            <w:tcBorders>
              <w:tl2br w:val="nil"/>
              <w:tr2bl w:val="nil"/>
            </w:tcBorders>
            <w:noWrap w:val="0"/>
            <w:vAlign w:val="center"/>
          </w:tcPr>
          <w:p w14:paraId="6F246B38">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废油桶</w:t>
            </w:r>
          </w:p>
        </w:tc>
        <w:tc>
          <w:tcPr>
            <w:tcW w:w="445" w:type="pct"/>
            <w:tcBorders>
              <w:tl2br w:val="nil"/>
              <w:tr2bl w:val="nil"/>
            </w:tcBorders>
            <w:noWrap w:val="0"/>
            <w:vAlign w:val="center"/>
          </w:tcPr>
          <w:p w14:paraId="31E38E5E">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HW08</w:t>
            </w:r>
          </w:p>
        </w:tc>
        <w:tc>
          <w:tcPr>
            <w:tcW w:w="548" w:type="pct"/>
            <w:tcBorders>
              <w:tl2br w:val="nil"/>
              <w:tr2bl w:val="nil"/>
            </w:tcBorders>
            <w:noWrap w:val="0"/>
            <w:vAlign w:val="center"/>
          </w:tcPr>
          <w:p w14:paraId="5DB235E8">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900-249-08</w:t>
            </w:r>
          </w:p>
        </w:tc>
        <w:tc>
          <w:tcPr>
            <w:tcW w:w="428" w:type="pct"/>
            <w:tcBorders>
              <w:tl2br w:val="nil"/>
              <w:tr2bl w:val="nil"/>
            </w:tcBorders>
            <w:noWrap w:val="0"/>
            <w:vAlign w:val="center"/>
          </w:tcPr>
          <w:p w14:paraId="5DE892CD">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0.6</w:t>
            </w:r>
          </w:p>
        </w:tc>
        <w:tc>
          <w:tcPr>
            <w:tcW w:w="523" w:type="pct"/>
            <w:tcBorders>
              <w:tl2br w:val="nil"/>
              <w:tr2bl w:val="nil"/>
            </w:tcBorders>
            <w:noWrap w:val="0"/>
            <w:vAlign w:val="center"/>
          </w:tcPr>
          <w:p w14:paraId="1155A73E">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eastAsia="zh-CN"/>
              </w:rPr>
              <w:t>油品</w:t>
            </w:r>
            <w:r>
              <w:rPr>
                <w:rFonts w:hint="default" w:ascii="Times New Roman" w:hAnsi="Times New Roman" w:eastAsia="宋体" w:cs="Times New Roman"/>
                <w:color w:val="auto"/>
                <w:spacing w:val="-2"/>
                <w:sz w:val="21"/>
                <w:szCs w:val="21"/>
                <w:highlight w:val="none"/>
              </w:rPr>
              <w:t>使用过</w:t>
            </w:r>
            <w:r>
              <w:rPr>
                <w:rFonts w:hint="default" w:ascii="Times New Roman" w:hAnsi="Times New Roman" w:eastAsia="宋体" w:cs="Times New Roman"/>
                <w:color w:val="auto"/>
                <w:sz w:val="21"/>
                <w:szCs w:val="21"/>
                <w:highlight w:val="none"/>
              </w:rPr>
              <w:t>程</w:t>
            </w:r>
          </w:p>
        </w:tc>
        <w:tc>
          <w:tcPr>
            <w:tcW w:w="227" w:type="pct"/>
            <w:tcBorders>
              <w:tl2br w:val="nil"/>
              <w:tr2bl w:val="nil"/>
            </w:tcBorders>
            <w:noWrap w:val="0"/>
            <w:vAlign w:val="center"/>
          </w:tcPr>
          <w:p w14:paraId="67476281">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371" w:type="pct"/>
            <w:tcBorders>
              <w:tl2br w:val="nil"/>
              <w:tr2bl w:val="nil"/>
            </w:tcBorders>
            <w:noWrap w:val="0"/>
            <w:vAlign w:val="center"/>
          </w:tcPr>
          <w:p w14:paraId="73E72B44">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石油基</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3"/>
                <w:sz w:val="21"/>
                <w:szCs w:val="21"/>
                <w:highlight w:val="none"/>
              </w:rPr>
              <w:t>添加剂</w:t>
            </w:r>
          </w:p>
        </w:tc>
        <w:tc>
          <w:tcPr>
            <w:tcW w:w="501" w:type="pct"/>
            <w:vMerge w:val="continue"/>
            <w:tcBorders>
              <w:tl2br w:val="nil"/>
              <w:tr2bl w:val="nil"/>
            </w:tcBorders>
            <w:noWrap w:val="0"/>
            <w:vAlign w:val="center"/>
          </w:tcPr>
          <w:p w14:paraId="2BBCED6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1" w:type="pct"/>
            <w:tcBorders>
              <w:tl2br w:val="nil"/>
              <w:tr2bl w:val="nil"/>
            </w:tcBorders>
            <w:noWrap w:val="0"/>
            <w:vAlign w:val="center"/>
          </w:tcPr>
          <w:p w14:paraId="277AE7DB">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间歇</w:t>
            </w:r>
          </w:p>
        </w:tc>
        <w:tc>
          <w:tcPr>
            <w:tcW w:w="322" w:type="pct"/>
            <w:tcBorders>
              <w:tl2br w:val="nil"/>
              <w:tr2bl w:val="nil"/>
            </w:tcBorders>
            <w:noWrap w:val="0"/>
            <w:vAlign w:val="center"/>
          </w:tcPr>
          <w:p w14:paraId="29059EF7">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T</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I</w:t>
            </w:r>
          </w:p>
        </w:tc>
        <w:tc>
          <w:tcPr>
            <w:tcW w:w="489" w:type="pct"/>
            <w:vMerge w:val="continue"/>
            <w:tcBorders>
              <w:tl2br w:val="nil"/>
              <w:tr2bl w:val="nil"/>
            </w:tcBorders>
            <w:noWrap w:val="0"/>
            <w:vAlign w:val="center"/>
          </w:tcPr>
          <w:p w14:paraId="1C0C102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1CFDD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24" w:type="pct"/>
            <w:tcBorders>
              <w:tl2br w:val="nil"/>
              <w:tr2bl w:val="nil"/>
            </w:tcBorders>
            <w:noWrap w:val="0"/>
            <w:vAlign w:val="center"/>
          </w:tcPr>
          <w:p w14:paraId="10D3C3E4">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14" w:type="pct"/>
            <w:tcBorders>
              <w:tl2br w:val="nil"/>
              <w:tr2bl w:val="nil"/>
            </w:tcBorders>
            <w:noWrap w:val="0"/>
            <w:vAlign w:val="center"/>
          </w:tcPr>
          <w:p w14:paraId="2A67083E">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沾染毒性废弃包装物</w:t>
            </w:r>
          </w:p>
        </w:tc>
        <w:tc>
          <w:tcPr>
            <w:tcW w:w="445" w:type="pct"/>
            <w:tcBorders>
              <w:tl2br w:val="nil"/>
              <w:tr2bl w:val="nil"/>
            </w:tcBorders>
            <w:noWrap w:val="0"/>
            <w:vAlign w:val="center"/>
          </w:tcPr>
          <w:p w14:paraId="4D7C0316">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HW49</w:t>
            </w:r>
          </w:p>
        </w:tc>
        <w:tc>
          <w:tcPr>
            <w:tcW w:w="548" w:type="pct"/>
            <w:tcBorders>
              <w:tl2br w:val="nil"/>
              <w:tr2bl w:val="nil"/>
            </w:tcBorders>
            <w:noWrap w:val="0"/>
            <w:vAlign w:val="center"/>
          </w:tcPr>
          <w:p w14:paraId="76779CC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900-041-49</w:t>
            </w:r>
          </w:p>
        </w:tc>
        <w:tc>
          <w:tcPr>
            <w:tcW w:w="428" w:type="pct"/>
            <w:tcBorders>
              <w:tl2br w:val="nil"/>
              <w:tr2bl w:val="nil"/>
            </w:tcBorders>
            <w:noWrap w:val="0"/>
            <w:vAlign w:val="center"/>
          </w:tcPr>
          <w:p w14:paraId="04BEECDC">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0.686</w:t>
            </w:r>
          </w:p>
        </w:tc>
        <w:tc>
          <w:tcPr>
            <w:tcW w:w="523" w:type="pct"/>
            <w:tcBorders>
              <w:tl2br w:val="nil"/>
              <w:tr2bl w:val="nil"/>
            </w:tcBorders>
            <w:noWrap w:val="0"/>
            <w:vAlign w:val="center"/>
          </w:tcPr>
          <w:p w14:paraId="196E256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药剂过程使用</w:t>
            </w:r>
          </w:p>
        </w:tc>
        <w:tc>
          <w:tcPr>
            <w:tcW w:w="227" w:type="pct"/>
            <w:tcBorders>
              <w:tl2br w:val="nil"/>
              <w:tr2bl w:val="nil"/>
            </w:tcBorders>
            <w:noWrap w:val="0"/>
            <w:vAlign w:val="center"/>
          </w:tcPr>
          <w:p w14:paraId="37E19488">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pacing w:val="-3"/>
                <w:sz w:val="21"/>
                <w:szCs w:val="21"/>
                <w:highlight w:val="none"/>
                <w:lang w:eastAsia="zh-CN"/>
              </w:rPr>
              <w:t>固态</w:t>
            </w:r>
          </w:p>
        </w:tc>
        <w:tc>
          <w:tcPr>
            <w:tcW w:w="371" w:type="pct"/>
            <w:tcBorders>
              <w:tl2br w:val="nil"/>
              <w:tr2bl w:val="nil"/>
            </w:tcBorders>
            <w:noWrap w:val="0"/>
            <w:vAlign w:val="center"/>
          </w:tcPr>
          <w:p w14:paraId="34CD5FFC">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lang w:eastAsia="zh-CN"/>
              </w:rPr>
              <w:t>沾染药剂毒性</w:t>
            </w:r>
          </w:p>
        </w:tc>
        <w:tc>
          <w:tcPr>
            <w:tcW w:w="501" w:type="pct"/>
            <w:tcBorders>
              <w:tl2br w:val="nil"/>
              <w:tr2bl w:val="nil"/>
            </w:tcBorders>
            <w:noWrap w:val="0"/>
            <w:vAlign w:val="center"/>
          </w:tcPr>
          <w:p w14:paraId="495F11B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eastAsia="zh-CN"/>
              </w:rPr>
              <w:t>药剂毒性</w:t>
            </w:r>
          </w:p>
        </w:tc>
        <w:tc>
          <w:tcPr>
            <w:tcW w:w="301" w:type="pct"/>
            <w:tcBorders>
              <w:tl2br w:val="nil"/>
              <w:tr2bl w:val="nil"/>
            </w:tcBorders>
            <w:noWrap w:val="0"/>
            <w:vAlign w:val="center"/>
          </w:tcPr>
          <w:p w14:paraId="47E27738">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间歇</w:t>
            </w:r>
          </w:p>
        </w:tc>
        <w:tc>
          <w:tcPr>
            <w:tcW w:w="322" w:type="pct"/>
            <w:tcBorders>
              <w:tl2br w:val="nil"/>
              <w:tr2bl w:val="nil"/>
            </w:tcBorders>
            <w:noWrap w:val="0"/>
            <w:vAlign w:val="center"/>
          </w:tcPr>
          <w:p w14:paraId="244751A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T</w:t>
            </w:r>
          </w:p>
        </w:tc>
        <w:tc>
          <w:tcPr>
            <w:tcW w:w="489" w:type="pct"/>
            <w:vMerge w:val="continue"/>
            <w:tcBorders>
              <w:tl2br w:val="nil"/>
              <w:tr2bl w:val="nil"/>
            </w:tcBorders>
            <w:noWrap w:val="0"/>
            <w:vAlign w:val="center"/>
          </w:tcPr>
          <w:p w14:paraId="1C7047A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8C53F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24" w:type="pct"/>
            <w:tcBorders>
              <w:tl2br w:val="nil"/>
              <w:tr2bl w:val="nil"/>
            </w:tcBorders>
            <w:noWrap w:val="0"/>
            <w:vAlign w:val="center"/>
          </w:tcPr>
          <w:p w14:paraId="144FB81D">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14" w:type="pct"/>
            <w:tcBorders>
              <w:tl2br w:val="nil"/>
              <w:tr2bl w:val="nil"/>
            </w:tcBorders>
            <w:noWrap w:val="0"/>
            <w:vAlign w:val="center"/>
          </w:tcPr>
          <w:p w14:paraId="2C995E5A">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废药剂</w:t>
            </w:r>
          </w:p>
        </w:tc>
        <w:tc>
          <w:tcPr>
            <w:tcW w:w="445" w:type="pct"/>
            <w:tcBorders>
              <w:tl2br w:val="nil"/>
              <w:tr2bl w:val="nil"/>
            </w:tcBorders>
            <w:noWrap w:val="0"/>
            <w:vAlign w:val="center"/>
          </w:tcPr>
          <w:p w14:paraId="59D35EA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HW</w:t>
            </w:r>
            <w:r>
              <w:rPr>
                <w:rFonts w:hint="default" w:ascii="Times New Roman" w:hAnsi="Times New Roman" w:eastAsia="宋体" w:cs="Times New Roman"/>
                <w:color w:val="auto"/>
                <w:spacing w:val="-1"/>
                <w:sz w:val="21"/>
                <w:szCs w:val="21"/>
                <w:highlight w:val="none"/>
                <w:lang w:val="en-US" w:eastAsia="zh-CN"/>
              </w:rPr>
              <w:t>03</w:t>
            </w:r>
          </w:p>
        </w:tc>
        <w:tc>
          <w:tcPr>
            <w:tcW w:w="548" w:type="pct"/>
            <w:tcBorders>
              <w:tl2br w:val="nil"/>
              <w:tr2bl w:val="nil"/>
            </w:tcBorders>
            <w:noWrap w:val="0"/>
            <w:vAlign w:val="center"/>
          </w:tcPr>
          <w:p w14:paraId="02523C9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900-0</w:t>
            </w:r>
            <w:r>
              <w:rPr>
                <w:rFonts w:hint="default" w:ascii="Times New Roman" w:hAnsi="Times New Roman" w:eastAsia="宋体" w:cs="Times New Roman"/>
                <w:color w:val="auto"/>
                <w:spacing w:val="-1"/>
                <w:sz w:val="21"/>
                <w:szCs w:val="21"/>
                <w:highlight w:val="none"/>
                <w:lang w:val="en-US" w:eastAsia="zh-CN"/>
              </w:rPr>
              <w:t>02</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03</w:t>
            </w:r>
          </w:p>
        </w:tc>
        <w:tc>
          <w:tcPr>
            <w:tcW w:w="428" w:type="pct"/>
            <w:tcBorders>
              <w:tl2br w:val="nil"/>
              <w:tr2bl w:val="nil"/>
            </w:tcBorders>
            <w:noWrap w:val="0"/>
            <w:vAlign w:val="center"/>
          </w:tcPr>
          <w:p w14:paraId="20898B12">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w:t>
            </w:r>
            <w:r>
              <w:rPr>
                <w:rFonts w:hint="default" w:ascii="Times New Roman" w:hAnsi="Times New Roman" w:cs="Times New Roman"/>
                <w:color w:val="auto"/>
                <w:spacing w:val="-2"/>
                <w:sz w:val="21"/>
                <w:szCs w:val="21"/>
                <w:highlight w:val="none"/>
                <w:lang w:val="en-US" w:eastAsia="zh-CN"/>
              </w:rPr>
              <w:t>05</w:t>
            </w:r>
          </w:p>
        </w:tc>
        <w:tc>
          <w:tcPr>
            <w:tcW w:w="523" w:type="pct"/>
            <w:tcBorders>
              <w:tl2br w:val="nil"/>
              <w:tr2bl w:val="nil"/>
            </w:tcBorders>
            <w:noWrap w:val="0"/>
            <w:vAlign w:val="center"/>
          </w:tcPr>
          <w:p w14:paraId="7F1773A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药剂过程使用</w:t>
            </w:r>
          </w:p>
        </w:tc>
        <w:tc>
          <w:tcPr>
            <w:tcW w:w="227" w:type="pct"/>
            <w:tcBorders>
              <w:tl2br w:val="nil"/>
              <w:tr2bl w:val="nil"/>
            </w:tcBorders>
            <w:noWrap w:val="0"/>
            <w:vAlign w:val="center"/>
          </w:tcPr>
          <w:p w14:paraId="3AC114A5">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eastAsia="zh-CN"/>
              </w:rPr>
              <w:t>固态</w:t>
            </w:r>
          </w:p>
        </w:tc>
        <w:tc>
          <w:tcPr>
            <w:tcW w:w="371" w:type="pct"/>
            <w:tcBorders>
              <w:tl2br w:val="nil"/>
              <w:tr2bl w:val="nil"/>
            </w:tcBorders>
            <w:noWrap w:val="0"/>
            <w:vAlign w:val="center"/>
          </w:tcPr>
          <w:p w14:paraId="3D969A0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eastAsia="zh-CN"/>
              </w:rPr>
              <w:t>沾染药剂毒性</w:t>
            </w:r>
          </w:p>
        </w:tc>
        <w:tc>
          <w:tcPr>
            <w:tcW w:w="501" w:type="pct"/>
            <w:tcBorders>
              <w:tl2br w:val="nil"/>
              <w:tr2bl w:val="nil"/>
            </w:tcBorders>
            <w:noWrap w:val="0"/>
            <w:vAlign w:val="center"/>
          </w:tcPr>
          <w:p w14:paraId="215826A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eastAsia="zh-CN"/>
              </w:rPr>
              <w:t>药剂毒性</w:t>
            </w:r>
          </w:p>
        </w:tc>
        <w:tc>
          <w:tcPr>
            <w:tcW w:w="301" w:type="pct"/>
            <w:tcBorders>
              <w:tl2br w:val="nil"/>
              <w:tr2bl w:val="nil"/>
            </w:tcBorders>
            <w:noWrap w:val="0"/>
            <w:vAlign w:val="center"/>
          </w:tcPr>
          <w:p w14:paraId="6F611DC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间歇</w:t>
            </w:r>
          </w:p>
        </w:tc>
        <w:tc>
          <w:tcPr>
            <w:tcW w:w="322" w:type="pct"/>
            <w:tcBorders>
              <w:tl2br w:val="nil"/>
              <w:tr2bl w:val="nil"/>
            </w:tcBorders>
            <w:noWrap w:val="0"/>
            <w:vAlign w:val="center"/>
          </w:tcPr>
          <w:p w14:paraId="3ACDFDE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T</w:t>
            </w:r>
          </w:p>
        </w:tc>
        <w:tc>
          <w:tcPr>
            <w:tcW w:w="489" w:type="pct"/>
            <w:vMerge w:val="continue"/>
            <w:tcBorders>
              <w:tl2br w:val="nil"/>
              <w:tr2bl w:val="nil"/>
            </w:tcBorders>
            <w:noWrap w:val="0"/>
            <w:vAlign w:val="center"/>
          </w:tcPr>
          <w:p w14:paraId="07B12B2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28351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24" w:type="pct"/>
            <w:tcBorders>
              <w:tl2br w:val="nil"/>
              <w:tr2bl w:val="nil"/>
            </w:tcBorders>
            <w:noWrap w:val="0"/>
            <w:vAlign w:val="center"/>
          </w:tcPr>
          <w:p w14:paraId="3AEE6551">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614" w:type="pct"/>
            <w:tcBorders>
              <w:tl2br w:val="nil"/>
              <w:tr2bl w:val="nil"/>
            </w:tcBorders>
            <w:noWrap w:val="0"/>
            <w:vAlign w:val="center"/>
          </w:tcPr>
          <w:p w14:paraId="36ADC175">
            <w:pPr>
              <w:pStyle w:val="127"/>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试验废液</w:t>
            </w:r>
          </w:p>
        </w:tc>
        <w:tc>
          <w:tcPr>
            <w:tcW w:w="445" w:type="pct"/>
            <w:tcBorders>
              <w:tl2br w:val="nil"/>
              <w:tr2bl w:val="nil"/>
            </w:tcBorders>
            <w:noWrap w:val="0"/>
            <w:vAlign w:val="center"/>
          </w:tcPr>
          <w:p w14:paraId="3213CFB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HW49</w:t>
            </w:r>
          </w:p>
        </w:tc>
        <w:tc>
          <w:tcPr>
            <w:tcW w:w="548" w:type="pct"/>
            <w:tcBorders>
              <w:tl2br w:val="nil"/>
              <w:tr2bl w:val="nil"/>
            </w:tcBorders>
            <w:noWrap w:val="0"/>
            <w:vAlign w:val="center"/>
          </w:tcPr>
          <w:p w14:paraId="666E09A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cs="Times New Roman"/>
                <w:color w:val="auto"/>
                <w:spacing w:val="-1"/>
                <w:sz w:val="21"/>
                <w:szCs w:val="21"/>
                <w:highlight w:val="none"/>
              </w:rPr>
              <w:t>900-047-49</w:t>
            </w:r>
          </w:p>
        </w:tc>
        <w:tc>
          <w:tcPr>
            <w:tcW w:w="428" w:type="pct"/>
            <w:tcBorders>
              <w:tl2br w:val="nil"/>
              <w:tr2bl w:val="nil"/>
            </w:tcBorders>
            <w:noWrap w:val="0"/>
            <w:vAlign w:val="center"/>
          </w:tcPr>
          <w:p w14:paraId="31A3B98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0.24</w:t>
            </w:r>
          </w:p>
        </w:tc>
        <w:tc>
          <w:tcPr>
            <w:tcW w:w="523" w:type="pct"/>
            <w:tcBorders>
              <w:tl2br w:val="nil"/>
              <w:tr2bl w:val="nil"/>
            </w:tcBorders>
            <w:noWrap w:val="0"/>
            <w:vAlign w:val="center"/>
          </w:tcPr>
          <w:p w14:paraId="649BEC7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产品化验</w:t>
            </w:r>
          </w:p>
        </w:tc>
        <w:tc>
          <w:tcPr>
            <w:tcW w:w="227" w:type="pct"/>
            <w:tcBorders>
              <w:tl2br w:val="nil"/>
              <w:tr2bl w:val="nil"/>
            </w:tcBorders>
            <w:noWrap w:val="0"/>
            <w:vAlign w:val="center"/>
          </w:tcPr>
          <w:p w14:paraId="503A22F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液态</w:t>
            </w:r>
          </w:p>
        </w:tc>
        <w:tc>
          <w:tcPr>
            <w:tcW w:w="371" w:type="pct"/>
            <w:tcBorders>
              <w:tl2br w:val="nil"/>
              <w:tr2bl w:val="nil"/>
            </w:tcBorders>
            <w:noWrap w:val="0"/>
            <w:vAlign w:val="center"/>
          </w:tcPr>
          <w:p w14:paraId="30C45AF9">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pacing w:val="-3"/>
                <w:sz w:val="21"/>
                <w:szCs w:val="21"/>
                <w:highlight w:val="none"/>
                <w:lang w:eastAsia="zh-CN"/>
              </w:rPr>
              <w:t>沾染药剂毒性</w:t>
            </w:r>
          </w:p>
        </w:tc>
        <w:tc>
          <w:tcPr>
            <w:tcW w:w="501" w:type="pct"/>
            <w:tcBorders>
              <w:tl2br w:val="nil"/>
              <w:tr2bl w:val="nil"/>
            </w:tcBorders>
            <w:shd w:val="clear" w:color="auto" w:fill="auto"/>
            <w:noWrap w:val="0"/>
            <w:vAlign w:val="center"/>
          </w:tcPr>
          <w:p w14:paraId="706D010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eastAsia="zh-CN"/>
              </w:rPr>
              <w:t>药剂毒性</w:t>
            </w:r>
          </w:p>
        </w:tc>
        <w:tc>
          <w:tcPr>
            <w:tcW w:w="301" w:type="pct"/>
            <w:tcBorders>
              <w:tl2br w:val="nil"/>
              <w:tr2bl w:val="nil"/>
            </w:tcBorders>
            <w:shd w:val="clear" w:color="auto" w:fill="auto"/>
            <w:noWrap w:val="0"/>
            <w:vAlign w:val="center"/>
          </w:tcPr>
          <w:p w14:paraId="5A79B4E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间歇</w:t>
            </w:r>
          </w:p>
        </w:tc>
        <w:tc>
          <w:tcPr>
            <w:tcW w:w="322" w:type="pct"/>
            <w:tcBorders>
              <w:tl2br w:val="nil"/>
              <w:tr2bl w:val="nil"/>
            </w:tcBorders>
            <w:shd w:val="clear" w:color="auto" w:fill="auto"/>
            <w:noWrap w:val="0"/>
            <w:vAlign w:val="center"/>
          </w:tcPr>
          <w:p w14:paraId="6E863F8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T</w:t>
            </w:r>
          </w:p>
        </w:tc>
        <w:tc>
          <w:tcPr>
            <w:tcW w:w="489" w:type="pct"/>
            <w:vMerge w:val="continue"/>
            <w:tcBorders>
              <w:tl2br w:val="nil"/>
              <w:tr2bl w:val="nil"/>
            </w:tcBorders>
            <w:noWrap w:val="0"/>
            <w:vAlign w:val="center"/>
          </w:tcPr>
          <w:p w14:paraId="7CC717A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7390996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）生活垃圾</w:t>
      </w:r>
    </w:p>
    <w:p w14:paraId="786C0EFF">
      <w:pPr>
        <w:autoSpaceDE w:val="0"/>
        <w:autoSpaceDN w:val="0"/>
        <w:ind w:firstLine="480"/>
        <w:rPr>
          <w:rFonts w:hint="default" w:ascii="Times New Roman" w:hAnsi="Times New Roman" w:eastAsia="宋体" w:cs="Times New Roman"/>
          <w:color w:val="auto"/>
          <w:sz w:val="24"/>
          <w:szCs w:val="28"/>
          <w:highlight w:val="none"/>
        </w:rPr>
      </w:pPr>
      <w:r>
        <w:rPr>
          <w:rFonts w:hint="default" w:ascii="Times New Roman" w:hAnsi="Times New Roman" w:cs="Times New Roman"/>
          <w:color w:val="auto"/>
          <w:highlight w:val="none"/>
        </w:rPr>
        <w:t>生活垃圾</w:t>
      </w:r>
      <w:r>
        <w:rPr>
          <w:rFonts w:hint="default" w:ascii="Times New Roman" w:hAnsi="Times New Roman" w:eastAsia="宋体" w:cs="Times New Roman"/>
          <w:color w:val="auto"/>
          <w:sz w:val="24"/>
          <w:szCs w:val="28"/>
          <w:highlight w:val="none"/>
          <w:lang w:eastAsia="zh-CN"/>
        </w:rPr>
        <w:t>（代码：SW</w:t>
      </w:r>
      <w:r>
        <w:rPr>
          <w:rFonts w:hint="default" w:ascii="Times New Roman" w:hAnsi="Times New Roman" w:eastAsia="宋体" w:cs="Times New Roman"/>
          <w:color w:val="auto"/>
          <w:sz w:val="24"/>
          <w:szCs w:val="28"/>
          <w:highlight w:val="none"/>
          <w:lang w:val="en-US" w:eastAsia="zh-CN"/>
        </w:rPr>
        <w:t>07 900-099-S07</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cs="Times New Roman"/>
          <w:color w:val="auto"/>
          <w:highlight w:val="none"/>
        </w:rPr>
        <w:t>的产生量按</w:t>
      </w:r>
      <w:r>
        <w:rPr>
          <w:rFonts w:hint="default" w:ascii="Times New Roman" w:hAnsi="Times New Roman" w:cs="Times New Roman"/>
          <w:color w:val="auto"/>
          <w:highlight w:val="none"/>
          <w:lang w:val="en-US" w:eastAsia="zh-CN"/>
        </w:rPr>
        <w:t>0.5</w:t>
      </w:r>
      <w:r>
        <w:rPr>
          <w:rFonts w:hint="default" w:ascii="Times New Roman" w:hAnsi="Times New Roman" w:cs="Times New Roman"/>
          <w:color w:val="auto"/>
          <w:highlight w:val="none"/>
        </w:rPr>
        <w:t>kg/d·人计，</w:t>
      </w:r>
      <w:r>
        <w:rPr>
          <w:rFonts w:hint="default" w:ascii="Times New Roman" w:hAnsi="Times New Roman" w:cs="Times New Roman"/>
          <w:color w:val="auto"/>
          <w:highlight w:val="none"/>
          <w:lang w:eastAsia="zh-CN"/>
        </w:rPr>
        <w:t>选矿</w:t>
      </w:r>
      <w:r>
        <w:rPr>
          <w:rFonts w:hint="default" w:ascii="Times New Roman" w:hAnsi="Times New Roman" w:cs="Times New Roman"/>
          <w:color w:val="auto"/>
          <w:highlight w:val="none"/>
        </w:rPr>
        <w:t>劳动定员</w:t>
      </w:r>
      <w:r>
        <w:rPr>
          <w:rFonts w:hint="default" w:ascii="Times New Roman" w:hAnsi="Times New Roman" w:cs="Times New Roman"/>
          <w:color w:val="auto"/>
          <w:highlight w:val="none"/>
          <w:lang w:val="en-US" w:eastAsia="zh-CN"/>
        </w:rPr>
        <w:t>103</w:t>
      </w:r>
      <w:r>
        <w:rPr>
          <w:rFonts w:hint="default" w:ascii="Times New Roman" w:hAnsi="Times New Roman" w:cs="Times New Roman"/>
          <w:color w:val="auto"/>
          <w:highlight w:val="none"/>
        </w:rPr>
        <w:t>人，则生活垃圾产生量为</w:t>
      </w:r>
      <w:r>
        <w:rPr>
          <w:rFonts w:hint="default" w:ascii="Times New Roman" w:hAnsi="Times New Roman" w:cs="Times New Roman"/>
          <w:color w:val="auto"/>
          <w:highlight w:val="none"/>
          <w:lang w:val="en-US" w:eastAsia="zh-CN"/>
        </w:rPr>
        <w:t>51.5</w:t>
      </w:r>
      <w:r>
        <w:rPr>
          <w:rFonts w:hint="default" w:ascii="Times New Roman" w:hAnsi="Times New Roman" w:cs="Times New Roman"/>
          <w:color w:val="auto"/>
          <w:highlight w:val="none"/>
        </w:rPr>
        <w:t>kg/d（</w:t>
      </w:r>
      <w:r>
        <w:rPr>
          <w:rFonts w:hint="default" w:ascii="Times New Roman" w:hAnsi="Times New Roman" w:cs="Times New Roman"/>
          <w:color w:val="auto"/>
          <w:highlight w:val="none"/>
          <w:lang w:val="en-US" w:eastAsia="zh-CN"/>
        </w:rPr>
        <w:t>12.36</w:t>
      </w:r>
      <w:r>
        <w:rPr>
          <w:rFonts w:hint="default" w:ascii="Times New Roman" w:hAnsi="Times New Roman" w:cs="Times New Roman"/>
          <w:color w:val="auto"/>
          <w:highlight w:val="none"/>
        </w:rPr>
        <w:t>t/a），</w:t>
      </w:r>
      <w:r>
        <w:rPr>
          <w:rFonts w:hint="default" w:ascii="Times New Roman" w:hAnsi="Times New Roman" w:eastAsia="宋体" w:cs="Times New Roman"/>
          <w:color w:val="auto"/>
          <w:sz w:val="24"/>
          <w:szCs w:val="28"/>
          <w:highlight w:val="none"/>
        </w:rPr>
        <w:t>生活垃圾集中收集，定期拉运至</w:t>
      </w:r>
      <w:r>
        <w:rPr>
          <w:rFonts w:hint="default" w:cs="Times New Roman"/>
          <w:color w:val="auto"/>
          <w:highlight w:val="none"/>
          <w:lang w:val="en-US" w:eastAsia="zh-CN"/>
        </w:rPr>
        <w:t>富蕴县杜热镇生活垃圾填埋场</w:t>
      </w:r>
      <w:r>
        <w:rPr>
          <w:rFonts w:hint="default" w:ascii="Times New Roman" w:hAnsi="Times New Roman" w:eastAsia="宋体" w:cs="Times New Roman"/>
          <w:color w:val="auto"/>
          <w:sz w:val="24"/>
          <w:szCs w:val="24"/>
          <w:highlight w:val="none"/>
          <w:lang w:val="en-US" w:eastAsia="zh-CN"/>
        </w:rPr>
        <w:t>处置</w:t>
      </w:r>
      <w:r>
        <w:rPr>
          <w:rFonts w:hint="default" w:ascii="Times New Roman" w:hAnsi="Times New Roman" w:eastAsia="宋体" w:cs="Times New Roman"/>
          <w:color w:val="auto"/>
          <w:sz w:val="24"/>
          <w:szCs w:val="28"/>
          <w:highlight w:val="none"/>
        </w:rPr>
        <w:t>。</w:t>
      </w:r>
    </w:p>
    <w:p w14:paraId="32D2F8A7">
      <w:pPr>
        <w:ind w:firstLine="480"/>
        <w:rPr>
          <w:rFonts w:hint="eastAsia" w:cs="Times New Roman"/>
          <w:color w:val="auto"/>
          <w:sz w:val="24"/>
          <w:szCs w:val="28"/>
          <w:highlight w:val="none"/>
          <w:lang w:val="en-US" w:eastAsia="zh-CN"/>
        </w:rPr>
      </w:pPr>
      <w:r>
        <w:rPr>
          <w:rFonts w:hint="eastAsia" w:cs="Times New Roman"/>
          <w:color w:val="auto"/>
          <w:sz w:val="24"/>
          <w:szCs w:val="28"/>
          <w:highlight w:val="none"/>
          <w:lang w:eastAsia="zh-CN"/>
        </w:rPr>
        <w:t>（</w:t>
      </w:r>
      <w:r>
        <w:rPr>
          <w:rFonts w:hint="eastAsia" w:cs="Times New Roman"/>
          <w:color w:val="auto"/>
          <w:sz w:val="24"/>
          <w:szCs w:val="28"/>
          <w:highlight w:val="none"/>
          <w:lang w:val="en-US" w:eastAsia="zh-CN"/>
        </w:rPr>
        <w:t>7）废布袋</w:t>
      </w:r>
    </w:p>
    <w:p w14:paraId="31D245D9">
      <w:pPr>
        <w:autoSpaceDE w:val="0"/>
        <w:autoSpaceDN w:val="0"/>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本项目布袋除尘器会产生废布袋（代码：</w:t>
      </w:r>
      <w:r>
        <w:rPr>
          <w:rFonts w:hint="eastAsia" w:ascii="Times New Roman" w:hAnsi="Times New Roman" w:eastAsia="宋体" w:cs="Times New Roman"/>
          <w:color w:val="auto"/>
          <w:highlight w:val="none"/>
        </w:rPr>
        <w:t>900-099-S59</w:t>
      </w:r>
      <w:r>
        <w:rPr>
          <w:rFonts w:hint="eastAsia" w:ascii="Times New Roman" w:hAnsi="Times New Roman" w:eastAsia="宋体" w:cs="Times New Roman"/>
          <w:color w:val="auto"/>
          <w:highlight w:val="none"/>
          <w:lang w:val="en-US" w:eastAsia="zh-CN"/>
        </w:rPr>
        <w:t>），产生量约为0.5t/a，</w:t>
      </w:r>
      <w:r>
        <w:rPr>
          <w:rFonts w:hint="default" w:ascii="Times New Roman" w:hAnsi="Times New Roman" w:eastAsia="宋体" w:cs="Times New Roman"/>
          <w:color w:val="auto"/>
          <w:highlight w:val="none"/>
          <w:lang w:val="en-US" w:eastAsia="zh-CN"/>
        </w:rPr>
        <w:t>统一收集</w:t>
      </w:r>
      <w:r>
        <w:rPr>
          <w:rFonts w:hint="eastAsia" w:ascii="Times New Roman" w:hAnsi="Times New Roman" w:eastAsia="宋体" w:cs="Times New Roman"/>
          <w:color w:val="auto"/>
          <w:highlight w:val="none"/>
          <w:lang w:val="en-US" w:eastAsia="zh-CN"/>
        </w:rPr>
        <w:t>后外售综合利用。</w:t>
      </w:r>
    </w:p>
    <w:p w14:paraId="2592F3A2">
      <w:pPr>
        <w:keepNext w:val="0"/>
        <w:keepLines w:val="0"/>
        <w:pageBreakBefore w:val="0"/>
        <w:widowControl w:val="0"/>
        <w:kinsoku/>
        <w:wordWrap/>
        <w:overflowPunct/>
        <w:topLinePunct w:val="0"/>
        <w:autoSpaceDE w:val="0"/>
        <w:autoSpaceDN w:val="0"/>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本项目固体废物产生量及处置方式见表3.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17</w:t>
      </w:r>
      <w:r>
        <w:rPr>
          <w:rFonts w:hint="default" w:ascii="Times New Roman" w:hAnsi="Times New Roman" w:cs="Times New Roman"/>
          <w:color w:val="auto"/>
          <w:highlight w:val="none"/>
        </w:rPr>
        <w:t>。</w:t>
      </w:r>
    </w:p>
    <w:p w14:paraId="25A5039C">
      <w:pPr>
        <w:pStyle w:val="7"/>
        <w:spacing w:line="480" w:lineRule="exact"/>
        <w:ind w:firstLine="0" w:firstLineChars="0"/>
        <w:jc w:val="center"/>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表3.</w:t>
      </w:r>
      <w:r>
        <w:rPr>
          <w:rFonts w:hint="default" w:ascii="Times New Roman" w:hAnsi="Times New Roman" w:cs="Times New Roman"/>
          <w:b/>
          <w:bCs/>
          <w:color w:val="auto"/>
          <w:sz w:val="24"/>
          <w:szCs w:val="28"/>
          <w:highlight w:val="none"/>
          <w:lang w:val="en-US" w:eastAsia="zh-CN"/>
        </w:rPr>
        <w:t>3-17</w:t>
      </w:r>
      <w:r>
        <w:rPr>
          <w:rFonts w:hint="default" w:ascii="Times New Roman" w:hAnsi="Times New Roman" w:eastAsia="宋体" w:cs="Times New Roman"/>
          <w:b/>
          <w:bCs/>
          <w:color w:val="auto"/>
          <w:sz w:val="24"/>
          <w:szCs w:val="28"/>
          <w:highlight w:val="none"/>
        </w:rPr>
        <w:t xml:space="preserve">    本项目运营期固体废物产生情况汇总表</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2795"/>
        <w:gridCol w:w="1462"/>
        <w:gridCol w:w="3082"/>
      </w:tblGrid>
      <w:tr w14:paraId="681EC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97" w:type="pct"/>
            <w:noWrap w:val="0"/>
            <w:vAlign w:val="center"/>
          </w:tcPr>
          <w:p w14:paraId="22EDC0D1">
            <w:pPr>
              <w:autoSpaceDE w:val="0"/>
              <w:autoSpaceDN w:val="0"/>
              <w:spacing w:line="360" w:lineRule="exact"/>
              <w:ind w:firstLine="0" w:firstLineChars="0"/>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名称</w:t>
            </w:r>
          </w:p>
        </w:tc>
        <w:tc>
          <w:tcPr>
            <w:tcW w:w="1524" w:type="pct"/>
            <w:noWrap w:val="0"/>
            <w:vAlign w:val="center"/>
          </w:tcPr>
          <w:p w14:paraId="535DD875">
            <w:pPr>
              <w:autoSpaceDE w:val="0"/>
              <w:autoSpaceDN w:val="0"/>
              <w:spacing w:line="360" w:lineRule="exact"/>
              <w:ind w:firstLine="0" w:firstLineChars="0"/>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固废种类</w:t>
            </w:r>
          </w:p>
        </w:tc>
        <w:tc>
          <w:tcPr>
            <w:tcW w:w="797" w:type="pct"/>
            <w:noWrap w:val="0"/>
            <w:vAlign w:val="center"/>
          </w:tcPr>
          <w:p w14:paraId="138C1EC4">
            <w:pPr>
              <w:autoSpaceDE w:val="0"/>
              <w:autoSpaceDN w:val="0"/>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eastAsia="宋体" w:cs="Times New Roman"/>
                <w:b/>
                <w:bCs/>
                <w:color w:val="auto"/>
                <w:sz w:val="21"/>
                <w:highlight w:val="none"/>
              </w:rPr>
              <w:t>产生量</w:t>
            </w: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lang w:val="en-US" w:eastAsia="zh-CN"/>
              </w:rPr>
              <w:t>t/a</w:t>
            </w:r>
            <w:r>
              <w:rPr>
                <w:rFonts w:hint="default" w:ascii="Times New Roman" w:hAnsi="Times New Roman" w:cs="Times New Roman"/>
                <w:b/>
                <w:bCs/>
                <w:color w:val="auto"/>
                <w:sz w:val="21"/>
                <w:highlight w:val="none"/>
                <w:lang w:eastAsia="zh-CN"/>
              </w:rPr>
              <w:t>）</w:t>
            </w:r>
          </w:p>
        </w:tc>
        <w:tc>
          <w:tcPr>
            <w:tcW w:w="1681" w:type="pct"/>
            <w:noWrap w:val="0"/>
            <w:vAlign w:val="center"/>
          </w:tcPr>
          <w:p w14:paraId="632372A5">
            <w:pPr>
              <w:autoSpaceDE w:val="0"/>
              <w:autoSpaceDN w:val="0"/>
              <w:spacing w:line="360" w:lineRule="exact"/>
              <w:ind w:firstLine="0" w:firstLineChars="0"/>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处置措施</w:t>
            </w:r>
          </w:p>
        </w:tc>
      </w:tr>
      <w:tr w14:paraId="41141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5DA1F803">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eastAsia="zh-CN"/>
              </w:rPr>
              <w:t>尾矿</w:t>
            </w:r>
          </w:p>
        </w:tc>
        <w:tc>
          <w:tcPr>
            <w:tcW w:w="1524" w:type="pct"/>
            <w:noWrap w:val="0"/>
            <w:vAlign w:val="center"/>
          </w:tcPr>
          <w:p w14:paraId="13723E21">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一般工业固体废物</w:t>
            </w:r>
          </w:p>
          <w:p w14:paraId="002E3408">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（SW05</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eastAsia="zh-CN"/>
              </w:rPr>
              <w:t>09</w:t>
            </w:r>
            <w:r>
              <w:rPr>
                <w:rFonts w:hint="default" w:ascii="Times New Roman" w:hAnsi="Times New Roman" w:eastAsia="宋体" w:cs="Times New Roman"/>
                <w:color w:val="auto"/>
                <w:sz w:val="21"/>
                <w:highlight w:val="none"/>
                <w:lang w:val="en-US" w:eastAsia="zh-CN"/>
              </w:rPr>
              <w:t>2</w:t>
            </w:r>
            <w:r>
              <w:rPr>
                <w:rFonts w:hint="default" w:ascii="Times New Roman" w:hAnsi="Times New Roman" w:eastAsia="宋体" w:cs="Times New Roman"/>
                <w:color w:val="auto"/>
                <w:sz w:val="21"/>
                <w:highlight w:val="none"/>
                <w:lang w:eastAsia="zh-CN"/>
              </w:rPr>
              <w:t>-00</w:t>
            </w:r>
            <w:r>
              <w:rPr>
                <w:rFonts w:hint="default" w:ascii="Times New Roman" w:hAnsi="Times New Roman" w:eastAsia="宋体" w:cs="Times New Roman"/>
                <w:color w:val="auto"/>
                <w:sz w:val="21"/>
                <w:highlight w:val="none"/>
                <w:lang w:val="en-US" w:eastAsia="zh-CN"/>
              </w:rPr>
              <w:t>1</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lang w:val="en-US" w:eastAsia="zh-CN"/>
              </w:rPr>
              <w:t>S05</w:t>
            </w:r>
            <w:r>
              <w:rPr>
                <w:rFonts w:hint="default" w:ascii="Times New Roman" w:hAnsi="Times New Roman" w:eastAsia="宋体" w:cs="Times New Roman"/>
                <w:color w:val="auto"/>
                <w:sz w:val="21"/>
                <w:highlight w:val="none"/>
                <w:lang w:val="zh-CN"/>
              </w:rPr>
              <w:t>）</w:t>
            </w:r>
          </w:p>
        </w:tc>
        <w:tc>
          <w:tcPr>
            <w:tcW w:w="797" w:type="pct"/>
            <w:noWrap w:val="0"/>
            <w:vAlign w:val="center"/>
          </w:tcPr>
          <w:p w14:paraId="09CBE8C0">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14.5</w:t>
            </w:r>
            <w:r>
              <w:rPr>
                <w:rFonts w:hint="default" w:cs="Times New Roman"/>
                <w:color w:val="auto"/>
                <w:sz w:val="21"/>
                <w:highlight w:val="none"/>
                <w:lang w:val="en-US" w:eastAsia="zh-CN"/>
              </w:rPr>
              <w:t>8</w:t>
            </w:r>
            <w:r>
              <w:rPr>
                <w:rFonts w:hint="default" w:ascii="Times New Roman" w:hAnsi="Times New Roman" w:eastAsia="宋体" w:cs="Times New Roman"/>
                <w:color w:val="auto"/>
                <w:sz w:val="21"/>
                <w:highlight w:val="none"/>
                <w:lang w:val="en-US" w:eastAsia="zh-CN"/>
              </w:rPr>
              <w:t>万</w:t>
            </w:r>
          </w:p>
        </w:tc>
        <w:tc>
          <w:tcPr>
            <w:tcW w:w="1681" w:type="pct"/>
            <w:noWrap w:val="0"/>
            <w:vAlign w:val="center"/>
          </w:tcPr>
          <w:p w14:paraId="32BE15FD">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尾矿脱水后经管道</w:t>
            </w:r>
            <w:r>
              <w:rPr>
                <w:rFonts w:hint="default" w:ascii="Times New Roman" w:hAnsi="Times New Roman" w:eastAsia="宋体" w:cs="Times New Roman"/>
                <w:color w:val="auto"/>
                <w:sz w:val="21"/>
                <w:highlight w:val="none"/>
                <w:lang w:val="en-US" w:eastAsia="zh-CN"/>
              </w:rPr>
              <w:t>泵送</w:t>
            </w:r>
            <w:r>
              <w:rPr>
                <w:rFonts w:hint="default" w:ascii="Times New Roman" w:hAnsi="Times New Roman" w:eastAsia="宋体" w:cs="Times New Roman"/>
                <w:color w:val="auto"/>
                <w:sz w:val="21"/>
                <w:highlight w:val="none"/>
                <w:lang w:eastAsia="zh-CN"/>
              </w:rPr>
              <w:t>至尾矿库堆存，部分用于</w:t>
            </w:r>
            <w:r>
              <w:rPr>
                <w:rFonts w:hint="default" w:ascii="Times New Roman" w:hAnsi="Times New Roman" w:eastAsia="宋体" w:cs="Times New Roman"/>
                <w:color w:val="auto"/>
                <w:sz w:val="21"/>
                <w:highlight w:val="none"/>
                <w:lang w:val="en-US" w:eastAsia="zh-CN"/>
              </w:rPr>
              <w:t>回填采坑</w:t>
            </w:r>
            <w:r>
              <w:rPr>
                <w:rFonts w:hint="default" w:ascii="Times New Roman" w:hAnsi="Times New Roman" w:eastAsia="宋体" w:cs="Times New Roman"/>
                <w:color w:val="auto"/>
                <w:sz w:val="21"/>
                <w:highlight w:val="none"/>
                <w:lang w:eastAsia="zh-CN"/>
              </w:rPr>
              <w:t>。</w:t>
            </w:r>
          </w:p>
        </w:tc>
      </w:tr>
      <w:tr w14:paraId="7211E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pct"/>
            <w:noWrap w:val="0"/>
            <w:vAlign w:val="center"/>
          </w:tcPr>
          <w:p w14:paraId="56C19FAC">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除尘灰</w:t>
            </w:r>
          </w:p>
        </w:tc>
        <w:tc>
          <w:tcPr>
            <w:tcW w:w="1524" w:type="pct"/>
            <w:noWrap w:val="0"/>
            <w:vAlign w:val="center"/>
          </w:tcPr>
          <w:p w14:paraId="2E0A781C">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一般工业固体废物</w:t>
            </w:r>
          </w:p>
          <w:p w14:paraId="00B1265D">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w:t>
            </w:r>
            <w:r>
              <w:rPr>
                <w:rFonts w:hint="default" w:ascii="Times New Roman" w:hAnsi="Times New Roman" w:eastAsia="宋体" w:cs="Times New Roman"/>
                <w:color w:val="auto"/>
                <w:sz w:val="21"/>
                <w:highlight w:val="none"/>
                <w:lang w:val="zh-CN" w:eastAsia="zh-CN"/>
              </w:rPr>
              <w:t>SW59 900-099-S59</w:t>
            </w:r>
            <w:r>
              <w:rPr>
                <w:rFonts w:hint="default" w:ascii="Times New Roman" w:hAnsi="Times New Roman" w:eastAsia="宋体" w:cs="Times New Roman"/>
                <w:color w:val="auto"/>
                <w:sz w:val="21"/>
                <w:highlight w:val="none"/>
                <w:lang w:val="zh-CN"/>
              </w:rPr>
              <w:t>）</w:t>
            </w:r>
          </w:p>
        </w:tc>
        <w:tc>
          <w:tcPr>
            <w:tcW w:w="797" w:type="pct"/>
            <w:noWrap w:val="0"/>
            <w:vAlign w:val="center"/>
          </w:tcPr>
          <w:p w14:paraId="7611C3C7">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33.41</w:t>
            </w:r>
          </w:p>
        </w:tc>
        <w:tc>
          <w:tcPr>
            <w:tcW w:w="1681" w:type="pct"/>
            <w:noWrap w:val="0"/>
            <w:vAlign w:val="center"/>
          </w:tcPr>
          <w:p w14:paraId="1A9BB490">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通过除尘器灰斗收集后回用于选矿生产，不外排。</w:t>
            </w:r>
          </w:p>
        </w:tc>
      </w:tr>
      <w:tr w14:paraId="5BCDC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43FAC9E5">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val="en-US" w:eastAsia="zh-CN"/>
              </w:rPr>
              <w:t>生产</w:t>
            </w:r>
            <w:r>
              <w:rPr>
                <w:rFonts w:hint="default" w:ascii="Times New Roman" w:hAnsi="Times New Roman" w:eastAsia="宋体" w:cs="Times New Roman"/>
                <w:color w:val="auto"/>
                <w:sz w:val="21"/>
                <w:highlight w:val="none"/>
                <w:lang w:eastAsia="zh-CN"/>
              </w:rPr>
              <w:t>回水池底泥</w:t>
            </w:r>
          </w:p>
        </w:tc>
        <w:tc>
          <w:tcPr>
            <w:tcW w:w="1524" w:type="pct"/>
            <w:noWrap w:val="0"/>
            <w:vAlign w:val="center"/>
          </w:tcPr>
          <w:p w14:paraId="3F8929F7">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一般工业固体废物</w:t>
            </w:r>
          </w:p>
          <w:p w14:paraId="2FBA1C9F">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bCs/>
                <w:color w:val="auto"/>
                <w:sz w:val="21"/>
                <w:szCs w:val="21"/>
                <w:highlight w:val="none"/>
              </w:rPr>
              <w:t>（SW07 900-099-S07）</w:t>
            </w:r>
          </w:p>
        </w:tc>
        <w:tc>
          <w:tcPr>
            <w:tcW w:w="797" w:type="pct"/>
            <w:noWrap w:val="0"/>
            <w:vAlign w:val="center"/>
          </w:tcPr>
          <w:p w14:paraId="6536EC7D">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62.5</w:t>
            </w:r>
          </w:p>
        </w:tc>
        <w:tc>
          <w:tcPr>
            <w:tcW w:w="1681" w:type="pct"/>
            <w:noWrap w:val="0"/>
            <w:vAlign w:val="center"/>
          </w:tcPr>
          <w:p w14:paraId="689FC839">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szCs w:val="21"/>
                <w:highlight w:val="none"/>
                <w:lang w:val="en-US" w:eastAsia="zh-CN"/>
              </w:rPr>
              <w:t>生产回水池底泥</w:t>
            </w:r>
            <w:r>
              <w:rPr>
                <w:rFonts w:hint="default" w:ascii="Times New Roman" w:hAnsi="Times New Roman" w:cs="Times New Roman"/>
                <w:color w:val="auto"/>
                <w:sz w:val="21"/>
                <w:highlight w:val="none"/>
              </w:rPr>
              <w:t>定期清理，返回生产工序</w:t>
            </w:r>
            <w:r>
              <w:rPr>
                <w:rFonts w:hint="default" w:ascii="Times New Roman" w:hAnsi="Times New Roman" w:eastAsia="宋体" w:cs="Times New Roman"/>
                <w:color w:val="auto"/>
                <w:sz w:val="21"/>
                <w:szCs w:val="21"/>
                <w:highlight w:val="none"/>
                <w:lang w:eastAsia="zh-CN"/>
              </w:rPr>
              <w:t>，后期用于土地复垦</w:t>
            </w:r>
            <w:r>
              <w:rPr>
                <w:rFonts w:hint="default" w:ascii="Times New Roman" w:hAnsi="Times New Roman" w:cs="Times New Roman"/>
                <w:color w:val="auto"/>
                <w:sz w:val="21"/>
                <w:highlight w:val="none"/>
              </w:rPr>
              <w:t>。</w:t>
            </w:r>
          </w:p>
        </w:tc>
      </w:tr>
      <w:tr w14:paraId="209AA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55304B2E">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生活污水处理设施底泥</w:t>
            </w:r>
          </w:p>
        </w:tc>
        <w:tc>
          <w:tcPr>
            <w:tcW w:w="1524" w:type="pct"/>
            <w:noWrap w:val="0"/>
            <w:vAlign w:val="center"/>
          </w:tcPr>
          <w:p w14:paraId="2E0DD736">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一般工业固体废物</w:t>
            </w:r>
          </w:p>
          <w:p w14:paraId="74BCE660">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w:t>
            </w:r>
            <w:r>
              <w:rPr>
                <w:rFonts w:hint="default" w:ascii="Times New Roman" w:hAnsi="Times New Roman" w:eastAsia="宋体" w:cs="Times New Roman"/>
                <w:color w:val="auto"/>
                <w:sz w:val="21"/>
                <w:highlight w:val="none"/>
                <w:lang w:val="zh-CN" w:eastAsia="zh-CN"/>
              </w:rPr>
              <w:t>SW07 900-099-S07</w:t>
            </w:r>
            <w:r>
              <w:rPr>
                <w:rFonts w:hint="default" w:ascii="Times New Roman" w:hAnsi="Times New Roman" w:eastAsia="宋体" w:cs="Times New Roman"/>
                <w:color w:val="auto"/>
                <w:sz w:val="21"/>
                <w:highlight w:val="none"/>
                <w:lang w:val="zh-CN"/>
              </w:rPr>
              <w:t>）</w:t>
            </w:r>
          </w:p>
        </w:tc>
        <w:tc>
          <w:tcPr>
            <w:tcW w:w="797" w:type="pct"/>
            <w:noWrap w:val="0"/>
            <w:vAlign w:val="center"/>
          </w:tcPr>
          <w:p w14:paraId="2303900E">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s="Times New Roman"/>
                <w:color w:val="auto"/>
                <w:sz w:val="21"/>
                <w:highlight w:val="none"/>
                <w:lang w:val="en-US" w:eastAsia="zh-CN"/>
              </w:rPr>
              <w:t>5.46</w:t>
            </w:r>
          </w:p>
        </w:tc>
        <w:tc>
          <w:tcPr>
            <w:tcW w:w="1681" w:type="pct"/>
            <w:noWrap w:val="0"/>
            <w:vAlign w:val="center"/>
          </w:tcPr>
          <w:p w14:paraId="668BFE19">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cs="Times New Roman"/>
                <w:color w:val="auto"/>
                <w:sz w:val="21"/>
                <w:highlight w:val="none"/>
                <w:lang w:val="en-US" w:eastAsia="zh-CN"/>
              </w:rPr>
              <w:t>干化后</w:t>
            </w:r>
            <w:r>
              <w:rPr>
                <w:rFonts w:hint="default" w:ascii="Times New Roman" w:hAnsi="Times New Roman" w:cs="Times New Roman"/>
                <w:color w:val="auto"/>
                <w:sz w:val="21"/>
                <w:highlight w:val="none"/>
              </w:rPr>
              <w:t>定期拉运至</w:t>
            </w:r>
            <w:r>
              <w:rPr>
                <w:rFonts w:hint="default" w:cs="Times New Roman"/>
                <w:color w:val="auto"/>
                <w:sz w:val="21"/>
                <w:highlight w:val="none"/>
                <w:lang w:val="en-US" w:eastAsia="zh-CN"/>
              </w:rPr>
              <w:t>富蕴县杜热镇生活垃圾填埋场</w:t>
            </w:r>
            <w:r>
              <w:rPr>
                <w:rFonts w:hint="default" w:ascii="Times New Roman" w:hAnsi="Times New Roman" w:cs="Times New Roman"/>
                <w:color w:val="auto"/>
                <w:sz w:val="21"/>
                <w:highlight w:val="none"/>
                <w:lang w:val="en-US" w:eastAsia="zh-CN"/>
              </w:rPr>
              <w:t>处置</w:t>
            </w:r>
            <w:r>
              <w:rPr>
                <w:rFonts w:hint="default" w:ascii="Times New Roman" w:hAnsi="Times New Roman" w:cs="Times New Roman"/>
                <w:color w:val="auto"/>
                <w:sz w:val="21"/>
                <w:highlight w:val="none"/>
                <w:lang w:eastAsia="zh-CN"/>
              </w:rPr>
              <w:t>。</w:t>
            </w:r>
          </w:p>
        </w:tc>
      </w:tr>
      <w:tr w14:paraId="46824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192CEF80">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废布袋</w:t>
            </w:r>
          </w:p>
        </w:tc>
        <w:tc>
          <w:tcPr>
            <w:tcW w:w="1524" w:type="pct"/>
            <w:noWrap w:val="0"/>
            <w:vAlign w:val="center"/>
          </w:tcPr>
          <w:p w14:paraId="301D2A39">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一般工业固体废物</w:t>
            </w:r>
          </w:p>
          <w:p w14:paraId="7642F6D1">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w:t>
            </w:r>
            <w:r>
              <w:rPr>
                <w:rFonts w:hint="default" w:ascii="Times New Roman" w:hAnsi="Times New Roman" w:eastAsia="宋体" w:cs="Times New Roman"/>
                <w:color w:val="auto"/>
                <w:sz w:val="21"/>
                <w:highlight w:val="none"/>
                <w:lang w:val="zh-CN" w:eastAsia="zh-CN"/>
              </w:rPr>
              <w:t>SW</w:t>
            </w:r>
            <w:r>
              <w:rPr>
                <w:rFonts w:hint="eastAsia" w:ascii="Times New Roman" w:hAnsi="Times New Roman" w:eastAsia="宋体" w:cs="Times New Roman"/>
                <w:color w:val="auto"/>
                <w:sz w:val="21"/>
                <w:highlight w:val="none"/>
                <w:lang w:val="en-US" w:eastAsia="zh-CN"/>
              </w:rPr>
              <w:t>59</w:t>
            </w:r>
            <w:r>
              <w:rPr>
                <w:rFonts w:hint="default" w:ascii="Times New Roman" w:hAnsi="Times New Roman" w:eastAsia="宋体" w:cs="Times New Roman"/>
                <w:color w:val="auto"/>
                <w:sz w:val="21"/>
                <w:highlight w:val="none"/>
                <w:lang w:val="zh-CN" w:eastAsia="zh-CN"/>
              </w:rPr>
              <w:t xml:space="preserve"> </w:t>
            </w:r>
            <w:r>
              <w:rPr>
                <w:rFonts w:hint="default" w:ascii="Times New Roman" w:hAnsi="Times New Roman" w:eastAsia="宋体" w:cs="Times New Roman"/>
                <w:color w:val="auto"/>
                <w:sz w:val="21"/>
                <w:szCs w:val="21"/>
                <w:highlight w:val="none"/>
                <w:lang w:val="zh-CN"/>
              </w:rPr>
              <w:t>900-099-S59</w:t>
            </w:r>
            <w:r>
              <w:rPr>
                <w:rFonts w:hint="default" w:ascii="Times New Roman" w:hAnsi="Times New Roman" w:eastAsia="宋体" w:cs="Times New Roman"/>
                <w:color w:val="auto"/>
                <w:sz w:val="21"/>
                <w:highlight w:val="none"/>
                <w:lang w:val="zh-CN"/>
              </w:rPr>
              <w:t>）</w:t>
            </w:r>
          </w:p>
        </w:tc>
        <w:tc>
          <w:tcPr>
            <w:tcW w:w="797" w:type="pct"/>
            <w:noWrap w:val="0"/>
            <w:vAlign w:val="center"/>
          </w:tcPr>
          <w:p w14:paraId="1549E80F">
            <w:pPr>
              <w:autoSpaceDE w:val="0"/>
              <w:autoSpaceDN w:val="0"/>
              <w:spacing w:line="360" w:lineRule="exact"/>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0.5</w:t>
            </w:r>
          </w:p>
        </w:tc>
        <w:tc>
          <w:tcPr>
            <w:tcW w:w="1681" w:type="pct"/>
            <w:noWrap w:val="0"/>
            <w:vAlign w:val="center"/>
          </w:tcPr>
          <w:p w14:paraId="6FBA7695">
            <w:pPr>
              <w:autoSpaceDE w:val="0"/>
              <w:autoSpaceDN w:val="0"/>
              <w:spacing w:line="360" w:lineRule="exact"/>
              <w:ind w:firstLine="0" w:firstLineChars="0"/>
              <w:jc w:val="center"/>
              <w:rPr>
                <w:rFonts w:hint="default" w:cs="Times New Roman"/>
                <w:color w:val="auto"/>
                <w:sz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统一收集后外售综合利用。</w:t>
            </w:r>
          </w:p>
        </w:tc>
      </w:tr>
      <w:tr w14:paraId="56A22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7BC0ADA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6"/>
                <w:sz w:val="21"/>
                <w:szCs w:val="21"/>
                <w:highlight w:val="none"/>
              </w:rPr>
              <w:t>废</w:t>
            </w:r>
            <w:r>
              <w:rPr>
                <w:rFonts w:hint="default" w:ascii="Times New Roman" w:hAnsi="Times New Roman" w:cs="Times New Roman"/>
                <w:color w:val="auto"/>
                <w:spacing w:val="6"/>
                <w:sz w:val="21"/>
                <w:szCs w:val="21"/>
                <w:highlight w:val="none"/>
                <w:lang w:val="en-US" w:eastAsia="zh-CN"/>
              </w:rPr>
              <w:t>矿物油</w:t>
            </w:r>
          </w:p>
        </w:tc>
        <w:tc>
          <w:tcPr>
            <w:tcW w:w="1524" w:type="pct"/>
            <w:noWrap w:val="0"/>
            <w:vAlign w:val="center"/>
          </w:tcPr>
          <w:p w14:paraId="707C4CC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危险废物</w:t>
            </w:r>
          </w:p>
          <w:p w14:paraId="278FD18A">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en-US" w:bidi="ar-SA"/>
              </w:rPr>
            </w:pP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HW08</w:t>
            </w:r>
            <w:r>
              <w:rPr>
                <w:rFonts w:hint="default" w:ascii="Times New Roman" w:hAnsi="Times New Roman" w:eastAsia="宋体" w:cs="Times New Roman"/>
                <w:color w:val="auto"/>
                <w:spacing w:val="-1"/>
                <w:sz w:val="21"/>
                <w:szCs w:val="21"/>
                <w:highlight w:val="none"/>
                <w:lang w:val="en-US" w:eastAsia="zh-CN"/>
              </w:rPr>
              <w:t xml:space="preserve"> </w:t>
            </w:r>
            <w:r>
              <w:rPr>
                <w:rFonts w:hint="default" w:ascii="Times New Roman" w:hAnsi="Times New Roman" w:eastAsia="宋体" w:cs="Times New Roman"/>
                <w:color w:val="auto"/>
                <w:spacing w:val="-1"/>
                <w:sz w:val="21"/>
                <w:szCs w:val="21"/>
                <w:highlight w:val="none"/>
              </w:rPr>
              <w:t>900-2</w:t>
            </w:r>
            <w:r>
              <w:rPr>
                <w:rFonts w:hint="default" w:ascii="Times New Roman" w:hAnsi="Times New Roman" w:cs="Times New Roman"/>
                <w:color w:val="auto"/>
                <w:spacing w:val="-1"/>
                <w:sz w:val="21"/>
                <w:szCs w:val="21"/>
                <w:highlight w:val="none"/>
                <w:lang w:val="en-US" w:eastAsia="zh-CN"/>
              </w:rPr>
              <w:t>49</w:t>
            </w:r>
            <w:r>
              <w:rPr>
                <w:rFonts w:hint="default" w:ascii="Times New Roman" w:hAnsi="Times New Roman" w:eastAsia="宋体" w:cs="Times New Roman"/>
                <w:color w:val="auto"/>
                <w:spacing w:val="-1"/>
                <w:sz w:val="21"/>
                <w:szCs w:val="21"/>
                <w:highlight w:val="none"/>
              </w:rPr>
              <w:t>-08</w:t>
            </w:r>
            <w:r>
              <w:rPr>
                <w:rFonts w:hint="default" w:ascii="Times New Roman" w:hAnsi="Times New Roman" w:eastAsia="宋体" w:cs="Times New Roman"/>
                <w:color w:val="auto"/>
                <w:spacing w:val="-1"/>
                <w:sz w:val="21"/>
                <w:szCs w:val="21"/>
                <w:highlight w:val="none"/>
                <w:lang w:eastAsia="zh-CN"/>
              </w:rPr>
              <w:t>）</w:t>
            </w:r>
          </w:p>
        </w:tc>
        <w:tc>
          <w:tcPr>
            <w:tcW w:w="797" w:type="pct"/>
            <w:noWrap w:val="0"/>
            <w:vAlign w:val="center"/>
          </w:tcPr>
          <w:p w14:paraId="29283D8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1681" w:type="pct"/>
            <w:vMerge w:val="restart"/>
            <w:noWrap w:val="0"/>
            <w:vAlign w:val="center"/>
          </w:tcPr>
          <w:p w14:paraId="74942DFB">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收集至防渗</w:t>
            </w:r>
            <w:r>
              <w:rPr>
                <w:rFonts w:hint="default" w:cs="Times New Roman"/>
                <w:color w:val="auto"/>
                <w:sz w:val="21"/>
                <w:highlight w:val="none"/>
                <w:lang w:eastAsia="zh-CN"/>
              </w:rPr>
              <w:t>危废贮存点</w:t>
            </w:r>
            <w:r>
              <w:rPr>
                <w:rFonts w:hint="default" w:ascii="Times New Roman" w:hAnsi="Times New Roman" w:eastAsia="宋体" w:cs="Times New Roman"/>
                <w:color w:val="auto"/>
                <w:sz w:val="21"/>
                <w:highlight w:val="none"/>
              </w:rPr>
              <w:t>，委托具有相应危险废物处置资质的单位进行处置。</w:t>
            </w:r>
          </w:p>
        </w:tc>
      </w:tr>
      <w:tr w14:paraId="6568C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564D801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2"/>
                <w:sz w:val="21"/>
                <w:szCs w:val="21"/>
                <w:highlight w:val="none"/>
                <w:lang w:eastAsia="zh-CN"/>
              </w:rPr>
              <w:t>废油桶</w:t>
            </w:r>
          </w:p>
        </w:tc>
        <w:tc>
          <w:tcPr>
            <w:tcW w:w="1524" w:type="pct"/>
            <w:noWrap w:val="0"/>
            <w:vAlign w:val="center"/>
          </w:tcPr>
          <w:p w14:paraId="5AD8AD6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危险废物</w:t>
            </w:r>
          </w:p>
          <w:p w14:paraId="374CD7C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HW08</w:t>
            </w:r>
            <w:r>
              <w:rPr>
                <w:rFonts w:hint="default" w:ascii="Times New Roman" w:hAnsi="Times New Roman" w:eastAsia="宋体" w:cs="Times New Roman"/>
                <w:color w:val="auto"/>
                <w:spacing w:val="-1"/>
                <w:sz w:val="21"/>
                <w:szCs w:val="21"/>
                <w:highlight w:val="none"/>
                <w:lang w:val="en-US" w:eastAsia="zh-CN"/>
              </w:rPr>
              <w:t xml:space="preserve"> </w:t>
            </w:r>
            <w:r>
              <w:rPr>
                <w:rFonts w:hint="default" w:ascii="Times New Roman" w:hAnsi="Times New Roman" w:eastAsia="宋体" w:cs="Times New Roman"/>
                <w:color w:val="auto"/>
                <w:spacing w:val="-1"/>
                <w:sz w:val="21"/>
                <w:szCs w:val="21"/>
                <w:highlight w:val="none"/>
              </w:rPr>
              <w:t>900-249-08</w:t>
            </w:r>
            <w:r>
              <w:rPr>
                <w:rFonts w:hint="default" w:ascii="Times New Roman" w:hAnsi="Times New Roman" w:eastAsia="宋体" w:cs="Times New Roman"/>
                <w:color w:val="auto"/>
                <w:spacing w:val="-1"/>
                <w:sz w:val="21"/>
                <w:szCs w:val="21"/>
                <w:highlight w:val="none"/>
                <w:lang w:eastAsia="zh-CN"/>
              </w:rPr>
              <w:t>）</w:t>
            </w:r>
          </w:p>
        </w:tc>
        <w:tc>
          <w:tcPr>
            <w:tcW w:w="797" w:type="pct"/>
            <w:noWrap w:val="0"/>
            <w:vAlign w:val="center"/>
          </w:tcPr>
          <w:p w14:paraId="74226F9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w:t>
            </w:r>
          </w:p>
        </w:tc>
        <w:tc>
          <w:tcPr>
            <w:tcW w:w="1681" w:type="pct"/>
            <w:vMerge w:val="continue"/>
            <w:noWrap w:val="0"/>
            <w:vAlign w:val="center"/>
          </w:tcPr>
          <w:p w14:paraId="3DC6ED5C">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p>
        </w:tc>
      </w:tr>
      <w:tr w14:paraId="08347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793AFE6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沾染毒性</w:t>
            </w:r>
          </w:p>
          <w:p w14:paraId="22E222E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废弃包装物</w:t>
            </w:r>
          </w:p>
        </w:tc>
        <w:tc>
          <w:tcPr>
            <w:tcW w:w="1524" w:type="pct"/>
            <w:noWrap w:val="0"/>
            <w:vAlign w:val="center"/>
          </w:tcPr>
          <w:p w14:paraId="3CC5DDF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危险废物</w:t>
            </w:r>
          </w:p>
          <w:p w14:paraId="3610315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HW49</w:t>
            </w:r>
            <w:r>
              <w:rPr>
                <w:rFonts w:hint="default" w:ascii="Times New Roman" w:hAnsi="Times New Roman" w:eastAsia="宋体" w:cs="Times New Roman"/>
                <w:color w:val="auto"/>
                <w:spacing w:val="-1"/>
                <w:sz w:val="21"/>
                <w:szCs w:val="21"/>
                <w:highlight w:val="none"/>
                <w:lang w:val="en-US" w:eastAsia="zh-CN"/>
              </w:rPr>
              <w:t xml:space="preserve"> </w:t>
            </w:r>
            <w:r>
              <w:rPr>
                <w:rFonts w:hint="default" w:ascii="Times New Roman" w:hAnsi="Times New Roman" w:eastAsia="宋体" w:cs="Times New Roman"/>
                <w:color w:val="auto"/>
                <w:spacing w:val="-1"/>
                <w:sz w:val="21"/>
                <w:szCs w:val="21"/>
                <w:highlight w:val="none"/>
              </w:rPr>
              <w:t>900-041-49</w:t>
            </w:r>
            <w:r>
              <w:rPr>
                <w:rFonts w:hint="default" w:ascii="Times New Roman" w:hAnsi="Times New Roman" w:eastAsia="宋体" w:cs="Times New Roman"/>
                <w:color w:val="auto"/>
                <w:spacing w:val="-1"/>
                <w:sz w:val="21"/>
                <w:szCs w:val="21"/>
                <w:highlight w:val="none"/>
                <w:lang w:eastAsia="zh-CN"/>
              </w:rPr>
              <w:t>）</w:t>
            </w:r>
          </w:p>
        </w:tc>
        <w:tc>
          <w:tcPr>
            <w:tcW w:w="797" w:type="pct"/>
            <w:noWrap w:val="0"/>
            <w:vAlign w:val="center"/>
          </w:tcPr>
          <w:p w14:paraId="731CBBF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0.686</w:t>
            </w:r>
          </w:p>
        </w:tc>
        <w:tc>
          <w:tcPr>
            <w:tcW w:w="1681" w:type="pct"/>
            <w:vMerge w:val="continue"/>
            <w:noWrap w:val="0"/>
            <w:vAlign w:val="center"/>
          </w:tcPr>
          <w:p w14:paraId="1EB2DF72">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p>
        </w:tc>
      </w:tr>
      <w:tr w14:paraId="4E052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549C97F9">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废药剂</w:t>
            </w:r>
          </w:p>
        </w:tc>
        <w:tc>
          <w:tcPr>
            <w:tcW w:w="1524" w:type="pct"/>
            <w:noWrap w:val="0"/>
            <w:vAlign w:val="center"/>
          </w:tcPr>
          <w:p w14:paraId="4DC2B514">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危险废物</w:t>
            </w:r>
          </w:p>
          <w:p w14:paraId="6F034D5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HW</w:t>
            </w:r>
            <w:r>
              <w:rPr>
                <w:rFonts w:hint="default" w:ascii="Times New Roman" w:hAnsi="Times New Roman" w:eastAsia="宋体" w:cs="Times New Roman"/>
                <w:color w:val="auto"/>
                <w:spacing w:val="-1"/>
                <w:sz w:val="21"/>
                <w:szCs w:val="21"/>
                <w:highlight w:val="none"/>
                <w:lang w:val="en-US" w:eastAsia="zh-CN"/>
              </w:rPr>
              <w:t xml:space="preserve">03 </w:t>
            </w:r>
            <w:r>
              <w:rPr>
                <w:rFonts w:hint="default" w:ascii="Times New Roman" w:hAnsi="Times New Roman" w:eastAsia="宋体" w:cs="Times New Roman"/>
                <w:color w:val="auto"/>
                <w:spacing w:val="-1"/>
                <w:sz w:val="21"/>
                <w:szCs w:val="21"/>
                <w:highlight w:val="none"/>
              </w:rPr>
              <w:t>900-0</w:t>
            </w:r>
            <w:r>
              <w:rPr>
                <w:rFonts w:hint="default" w:ascii="Times New Roman" w:hAnsi="Times New Roman" w:eastAsia="宋体" w:cs="Times New Roman"/>
                <w:color w:val="auto"/>
                <w:spacing w:val="-1"/>
                <w:sz w:val="21"/>
                <w:szCs w:val="21"/>
                <w:highlight w:val="none"/>
                <w:lang w:val="en-US" w:eastAsia="zh-CN"/>
              </w:rPr>
              <w:t>02</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03</w:t>
            </w:r>
            <w:r>
              <w:rPr>
                <w:rFonts w:hint="default" w:ascii="Times New Roman" w:hAnsi="Times New Roman" w:eastAsia="宋体" w:cs="Times New Roman"/>
                <w:color w:val="auto"/>
                <w:spacing w:val="-1"/>
                <w:sz w:val="21"/>
                <w:szCs w:val="21"/>
                <w:highlight w:val="none"/>
                <w:lang w:eastAsia="zh-CN"/>
              </w:rPr>
              <w:t>）</w:t>
            </w:r>
          </w:p>
        </w:tc>
        <w:tc>
          <w:tcPr>
            <w:tcW w:w="797" w:type="pct"/>
            <w:noWrap w:val="0"/>
            <w:vAlign w:val="center"/>
          </w:tcPr>
          <w:p w14:paraId="400AE04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1681" w:type="pct"/>
            <w:vMerge w:val="continue"/>
            <w:noWrap w:val="0"/>
            <w:vAlign w:val="center"/>
          </w:tcPr>
          <w:p w14:paraId="02AD9E3F">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p>
        </w:tc>
      </w:tr>
      <w:tr w14:paraId="1AAFD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647C0DC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试验废液</w:t>
            </w:r>
          </w:p>
        </w:tc>
        <w:tc>
          <w:tcPr>
            <w:tcW w:w="1524" w:type="pct"/>
            <w:noWrap w:val="0"/>
            <w:vAlign w:val="center"/>
          </w:tcPr>
          <w:p w14:paraId="7FD51DB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危险废物</w:t>
            </w:r>
          </w:p>
          <w:p w14:paraId="200EEC0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 xml:space="preserve">（HW49 </w:t>
            </w:r>
            <w:r>
              <w:rPr>
                <w:rFonts w:hint="default" w:ascii="Times New Roman" w:hAnsi="Times New Roman" w:cs="Times New Roman"/>
                <w:color w:val="auto"/>
                <w:spacing w:val="-1"/>
                <w:sz w:val="21"/>
                <w:szCs w:val="21"/>
                <w:highlight w:val="none"/>
              </w:rPr>
              <w:t>900-047-49</w:t>
            </w:r>
            <w:r>
              <w:rPr>
                <w:rFonts w:hint="default" w:ascii="Times New Roman" w:hAnsi="Times New Roman" w:cs="Times New Roman"/>
                <w:color w:val="auto"/>
                <w:spacing w:val="-1"/>
                <w:sz w:val="21"/>
                <w:szCs w:val="21"/>
                <w:highlight w:val="none"/>
                <w:lang w:val="en-US" w:eastAsia="zh-CN"/>
              </w:rPr>
              <w:t>）</w:t>
            </w:r>
          </w:p>
        </w:tc>
        <w:tc>
          <w:tcPr>
            <w:tcW w:w="797" w:type="pct"/>
            <w:noWrap w:val="0"/>
            <w:vAlign w:val="center"/>
          </w:tcPr>
          <w:p w14:paraId="63569B1A">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w:t>
            </w:r>
          </w:p>
        </w:tc>
        <w:tc>
          <w:tcPr>
            <w:tcW w:w="1681" w:type="pct"/>
            <w:vMerge w:val="continue"/>
            <w:noWrap w:val="0"/>
            <w:vAlign w:val="center"/>
          </w:tcPr>
          <w:p w14:paraId="3F1F03FC">
            <w:pPr>
              <w:autoSpaceDE w:val="0"/>
              <w:autoSpaceDN w:val="0"/>
              <w:spacing w:line="360" w:lineRule="exact"/>
              <w:ind w:firstLine="0" w:firstLineChars="0"/>
              <w:jc w:val="center"/>
              <w:rPr>
                <w:rFonts w:hint="default" w:ascii="Times New Roman" w:hAnsi="Times New Roman" w:eastAsia="宋体" w:cs="Times New Roman"/>
                <w:color w:val="auto"/>
                <w:sz w:val="21"/>
                <w:highlight w:val="none"/>
              </w:rPr>
            </w:pPr>
          </w:p>
        </w:tc>
      </w:tr>
      <w:tr w14:paraId="7F8A1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noWrap w:val="0"/>
            <w:vAlign w:val="center"/>
          </w:tcPr>
          <w:p w14:paraId="3C9CFAE1">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lang w:val="zh-CN"/>
              </w:rPr>
              <w:t>生活垃圾</w:t>
            </w:r>
          </w:p>
        </w:tc>
        <w:tc>
          <w:tcPr>
            <w:tcW w:w="1524" w:type="pct"/>
            <w:noWrap w:val="0"/>
            <w:vAlign w:val="center"/>
          </w:tcPr>
          <w:p w14:paraId="5C466C29">
            <w:pPr>
              <w:autoSpaceDE/>
              <w:autoSpaceDN/>
              <w:spacing w:line="240" w:lineRule="auto"/>
              <w:ind w:firstLine="0" w:firstLineChars="0"/>
              <w:jc w:val="center"/>
              <w:rPr>
                <w:rFonts w:hint="default" w:ascii="Times New Roman" w:hAnsi="Times New Roman" w:eastAsia="宋体" w:cs="Times New Roman"/>
                <w:color w:val="auto"/>
                <w:sz w:val="21"/>
                <w:highlight w:val="none"/>
                <w:lang w:val="zh-CN"/>
              </w:rPr>
            </w:pPr>
            <w:r>
              <w:rPr>
                <w:rFonts w:hint="default" w:ascii="Times New Roman" w:hAnsi="Times New Roman" w:eastAsia="宋体" w:cs="Times New Roman"/>
                <w:color w:val="auto"/>
                <w:sz w:val="21"/>
                <w:highlight w:val="none"/>
                <w:lang w:val="zh-CN"/>
              </w:rPr>
              <w:t>生活垃圾</w:t>
            </w:r>
          </w:p>
          <w:p w14:paraId="733C6255">
            <w:pPr>
              <w:autoSpaceDE/>
              <w:autoSpaceDN/>
              <w:spacing w:line="240" w:lineRule="auto"/>
              <w:ind w:firstLine="0" w:firstLineChars="0"/>
              <w:jc w:val="center"/>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rPr>
              <w:t>（</w:t>
            </w:r>
            <w:r>
              <w:rPr>
                <w:rFonts w:hint="default" w:ascii="Times New Roman" w:hAnsi="Times New Roman" w:eastAsia="宋体" w:cs="Times New Roman"/>
                <w:color w:val="auto"/>
                <w:sz w:val="21"/>
                <w:highlight w:val="none"/>
                <w:lang w:val="zh-CN" w:eastAsia="zh-CN"/>
              </w:rPr>
              <w:t>S61</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zh-CN" w:eastAsia="zh-CN"/>
              </w:rPr>
              <w:t>900-002-S61、</w:t>
            </w:r>
          </w:p>
          <w:p w14:paraId="66A17DCD">
            <w:pPr>
              <w:autoSpaceDE/>
              <w:autoSpaceDN/>
              <w:spacing w:line="240" w:lineRule="auto"/>
              <w:ind w:firstLine="0" w:firstLineChars="0"/>
              <w:jc w:val="center"/>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S62</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zh-CN" w:eastAsia="zh-CN"/>
              </w:rPr>
              <w:t>900-001-S62、</w:t>
            </w:r>
          </w:p>
          <w:p w14:paraId="45B24F95">
            <w:pPr>
              <w:autoSpaceDE/>
              <w:autoSpaceDN/>
              <w:spacing w:line="240" w:lineRule="auto"/>
              <w:ind w:firstLine="0" w:firstLineChars="0"/>
              <w:jc w:val="center"/>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S62</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zh-CN" w:eastAsia="zh-CN"/>
              </w:rPr>
              <w:t>900-002-S62、</w:t>
            </w:r>
          </w:p>
          <w:p w14:paraId="69998D9E">
            <w:pPr>
              <w:autoSpaceDE/>
              <w:autoSpaceDN/>
              <w:spacing w:line="240" w:lineRule="auto"/>
              <w:ind w:firstLine="0" w:firstLineChars="0"/>
              <w:jc w:val="center"/>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S62</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zh-CN" w:eastAsia="zh-CN"/>
              </w:rPr>
              <w:t>900-003-S62、</w:t>
            </w:r>
          </w:p>
          <w:p w14:paraId="5C942199">
            <w:pPr>
              <w:autoSpaceDE/>
              <w:autoSpaceDN/>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lang w:val="zh-CN" w:eastAsia="zh-CN"/>
              </w:rPr>
              <w:t>S62</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zh-CN" w:eastAsia="zh-CN"/>
              </w:rPr>
              <w:t>900-004-S62</w:t>
            </w:r>
            <w:r>
              <w:rPr>
                <w:rFonts w:hint="default" w:ascii="Times New Roman" w:hAnsi="Times New Roman" w:eastAsia="宋体" w:cs="Times New Roman"/>
                <w:color w:val="auto"/>
                <w:sz w:val="21"/>
                <w:highlight w:val="none"/>
                <w:lang w:val="zh-CN"/>
              </w:rPr>
              <w:t>）</w:t>
            </w:r>
          </w:p>
        </w:tc>
        <w:tc>
          <w:tcPr>
            <w:tcW w:w="797" w:type="pct"/>
            <w:noWrap w:val="0"/>
            <w:vAlign w:val="center"/>
          </w:tcPr>
          <w:p w14:paraId="0D01B449">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12.36</w:t>
            </w:r>
          </w:p>
        </w:tc>
        <w:tc>
          <w:tcPr>
            <w:tcW w:w="1681" w:type="pct"/>
            <w:noWrap w:val="0"/>
            <w:vAlign w:val="center"/>
          </w:tcPr>
          <w:p w14:paraId="08789C6D">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rPr>
              <w:t>集中收集，定期拉运至</w:t>
            </w:r>
            <w:r>
              <w:rPr>
                <w:rFonts w:hint="default" w:cs="Times New Roman"/>
                <w:color w:val="auto"/>
                <w:sz w:val="21"/>
                <w:highlight w:val="none"/>
                <w:lang w:val="en-US" w:eastAsia="zh-CN"/>
              </w:rPr>
              <w:t>富蕴县杜热镇生活垃圾填埋场</w:t>
            </w:r>
            <w:r>
              <w:rPr>
                <w:rFonts w:hint="default" w:ascii="Times New Roman" w:hAnsi="Times New Roman" w:eastAsia="宋体" w:cs="Times New Roman"/>
                <w:color w:val="auto"/>
                <w:sz w:val="21"/>
                <w:highlight w:val="none"/>
                <w:lang w:val="en-US" w:eastAsia="zh-CN"/>
              </w:rPr>
              <w:t>处置</w:t>
            </w:r>
            <w:r>
              <w:rPr>
                <w:rFonts w:hint="default" w:ascii="Times New Roman" w:hAnsi="Times New Roman" w:eastAsia="宋体" w:cs="Times New Roman"/>
                <w:color w:val="auto"/>
                <w:sz w:val="21"/>
                <w:highlight w:val="none"/>
              </w:rPr>
              <w:t>。</w:t>
            </w:r>
          </w:p>
        </w:tc>
      </w:tr>
    </w:tbl>
    <w:p w14:paraId="1CD9091E">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.2.5生态影响</w:t>
      </w:r>
    </w:p>
    <w:p w14:paraId="4DC36511">
      <w:pPr>
        <w:pStyle w:val="7"/>
        <w:ind w:firstLine="48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8"/>
          <w:highlight w:val="none"/>
          <w:lang w:val="en-US" w:eastAsia="zh-CN"/>
        </w:rPr>
        <w:t>项目</w:t>
      </w:r>
      <w:r>
        <w:rPr>
          <w:rFonts w:hint="default" w:ascii="Times New Roman" w:hAnsi="Times New Roman" w:eastAsia="宋体" w:cs="Times New Roman"/>
          <w:color w:val="auto"/>
          <w:sz w:val="24"/>
          <w:szCs w:val="28"/>
          <w:highlight w:val="none"/>
          <w:lang w:eastAsia="zh-CN"/>
        </w:rPr>
        <w:t>建成后</w:t>
      </w:r>
      <w:r>
        <w:rPr>
          <w:rFonts w:hint="default" w:ascii="Times New Roman" w:hAnsi="Times New Roman" w:eastAsia="宋体" w:cs="Times New Roman"/>
          <w:color w:val="auto"/>
          <w:sz w:val="24"/>
          <w:szCs w:val="28"/>
          <w:highlight w:val="none"/>
        </w:rPr>
        <w:t>造成的生态环境破坏和生态影响，有以下几个方面：</w:t>
      </w:r>
    </w:p>
    <w:p w14:paraId="2B6ACDA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（1）选矿工业场地、尾矿库、生活区等，工程占地对区域土地利用结构产生影响；</w:t>
      </w:r>
    </w:p>
    <w:p w14:paraId="679927D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（2）选矿生产活动、尾矿库建设将改变土壤结构、破坏区域地表植被，加剧项目区水土流失；</w:t>
      </w:r>
    </w:p>
    <w:p w14:paraId="41A5459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（3）尾矿库大面积开挖，山体内岩矿裸露，对区域地形地貌、景观等产生影响；</w:t>
      </w:r>
    </w:p>
    <w:p w14:paraId="38BB197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（4）选矿工业场地破碎筛分等过程扬尘会使区域内及周边地表植被生长受到一定影响；</w:t>
      </w:r>
    </w:p>
    <w:p w14:paraId="59244EBE">
      <w:pPr>
        <w:bidi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（5）工作人员扰动和设备噪声也会对区域野生动物的栖息、觅食及繁殖等产生一定影响。</w:t>
      </w:r>
    </w:p>
    <w:p w14:paraId="600B579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非正常工况排放</w:t>
      </w:r>
    </w:p>
    <w:p w14:paraId="7674A5EE">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本项目的非正常工况可能发生以下两种情况：</w:t>
      </w:r>
    </w:p>
    <w:p w14:paraId="2EA3FE18">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①集尘除尘系统不能正常工作的情况下，此时粉尘未经处理无组织扩散；</w:t>
      </w:r>
    </w:p>
    <w:p w14:paraId="588AEA00">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②选矿废水处置设施发生故障。</w:t>
      </w:r>
    </w:p>
    <w:p w14:paraId="32E21842">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选矿废水主要污染物为pH、COD、SS等，并且</w:t>
      </w:r>
      <w:r>
        <w:rPr>
          <w:rFonts w:hint="default" w:ascii="Times New Roman" w:hAnsi="Times New Roman" w:cs="Times New Roman"/>
          <w:color w:val="auto"/>
          <w:kern w:val="0"/>
          <w:sz w:val="24"/>
          <w:highlight w:val="none"/>
        </w:rPr>
        <w:t>非正常工况下选矿水溢出时立即停止生产，溢出水排入车间排水沟，最终由车间回水泵排入选矿车间外的回水池，保证不外排</w:t>
      </w:r>
      <w:r>
        <w:rPr>
          <w:rFonts w:hint="default" w:ascii="Times New Roman" w:hAnsi="Times New Roman" w:cs="Times New Roman"/>
          <w:color w:val="auto"/>
          <w:sz w:val="24"/>
          <w:highlight w:val="none"/>
        </w:rPr>
        <w:t>。因此，</w:t>
      </w:r>
      <w:r>
        <w:rPr>
          <w:rFonts w:hint="default" w:ascii="Times New Roman" w:hAnsi="Times New Roman" w:cs="Times New Roman"/>
          <w:color w:val="auto"/>
          <w:kern w:val="0"/>
          <w:sz w:val="24"/>
          <w:highlight w:val="none"/>
        </w:rPr>
        <w:t>非正常工况下选矿废水溢出概率较小。</w:t>
      </w:r>
    </w:p>
    <w:p w14:paraId="0540ABD9">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本项目假定非正常工况下为排放量较大的除尘系统发生故障，且发生故障时未及时停车检修。非正常工段粉尘排放统计见表3.</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-14。</w:t>
      </w:r>
    </w:p>
    <w:p w14:paraId="45171405">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-14    非正常工况大气污染物排放情况</w:t>
      </w:r>
    </w:p>
    <w:tbl>
      <w:tblPr>
        <w:tblStyle w:val="33"/>
        <w:tblW w:w="50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72"/>
        <w:gridCol w:w="1977"/>
        <w:gridCol w:w="1001"/>
        <w:gridCol w:w="1387"/>
        <w:gridCol w:w="1023"/>
        <w:gridCol w:w="673"/>
        <w:gridCol w:w="1798"/>
        <w:gridCol w:w="680"/>
      </w:tblGrid>
      <w:tr w14:paraId="380A7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5" w:hRule="atLeast"/>
          <w:tblHeader/>
          <w:jc w:val="center"/>
        </w:trPr>
        <w:tc>
          <w:tcPr>
            <w:tcW w:w="1358" w:type="pct"/>
            <w:gridSpan w:val="2"/>
            <w:vAlign w:val="center"/>
          </w:tcPr>
          <w:p w14:paraId="5E99AFE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排放源</w:t>
            </w:r>
          </w:p>
        </w:tc>
        <w:tc>
          <w:tcPr>
            <w:tcW w:w="555" w:type="pct"/>
            <w:vAlign w:val="center"/>
          </w:tcPr>
          <w:p w14:paraId="5AFC395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769" w:type="pct"/>
            <w:vAlign w:val="center"/>
          </w:tcPr>
          <w:p w14:paraId="274E044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除尘器处理效率</w:t>
            </w:r>
          </w:p>
        </w:tc>
        <w:tc>
          <w:tcPr>
            <w:tcW w:w="567" w:type="pct"/>
            <w:vAlign w:val="center"/>
          </w:tcPr>
          <w:p w14:paraId="4517DF2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产生浓度</w:t>
            </w:r>
          </w:p>
          <w:p w14:paraId="0FF6DCB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cs="Times New Roman"/>
                <w:b/>
                <w:bCs/>
                <w:color w:val="auto"/>
                <w:sz w:val="21"/>
                <w:szCs w:val="21"/>
                <w:highlight w:val="none"/>
                <w:lang w:eastAsia="zh-CN"/>
              </w:rPr>
              <w:t>（</w:t>
            </w:r>
            <w:r>
              <w:rPr>
                <w:rFonts w:hint="default" w:cs="Times New Roman"/>
                <w:b/>
                <w:bCs/>
                <w:color w:val="auto"/>
                <w:sz w:val="21"/>
                <w:szCs w:val="21"/>
                <w:highlight w:val="none"/>
                <w:lang w:val="en-US" w:eastAsia="zh-CN"/>
              </w:rPr>
              <w:t>mg/m</w:t>
            </w:r>
            <w:r>
              <w:rPr>
                <w:rFonts w:hint="default" w:cs="Times New Roman"/>
                <w:b/>
                <w:bCs/>
                <w:color w:val="auto"/>
                <w:sz w:val="21"/>
                <w:szCs w:val="21"/>
                <w:highlight w:val="none"/>
                <w:vertAlign w:val="superscript"/>
                <w:lang w:val="en-US" w:eastAsia="zh-CN"/>
              </w:rPr>
              <w:t>3</w:t>
            </w:r>
            <w:r>
              <w:rPr>
                <w:rFonts w:hint="default" w:cs="Times New Roman"/>
                <w:b/>
                <w:bCs/>
                <w:color w:val="auto"/>
                <w:sz w:val="21"/>
                <w:szCs w:val="21"/>
                <w:highlight w:val="none"/>
                <w:lang w:eastAsia="zh-CN"/>
              </w:rPr>
              <w:t>）</w:t>
            </w:r>
          </w:p>
        </w:tc>
        <w:tc>
          <w:tcPr>
            <w:tcW w:w="373" w:type="pct"/>
            <w:vAlign w:val="center"/>
          </w:tcPr>
          <w:p w14:paraId="4E5FC41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p w14:paraId="2A83552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cs="Times New Roman"/>
                <w:b/>
                <w:bCs/>
                <w:color w:val="auto"/>
                <w:sz w:val="21"/>
                <w:szCs w:val="21"/>
                <w:highlight w:val="none"/>
                <w:lang w:eastAsia="zh-CN"/>
              </w:rPr>
              <w:t>（</w:t>
            </w:r>
            <w:r>
              <w:rPr>
                <w:rFonts w:hint="default" w:cs="Times New Roman"/>
                <w:b/>
                <w:bCs/>
                <w:color w:val="auto"/>
                <w:sz w:val="21"/>
                <w:szCs w:val="21"/>
                <w:highlight w:val="none"/>
                <w:lang w:val="en-US" w:eastAsia="zh-CN"/>
              </w:rPr>
              <w:t>t/a</w:t>
            </w:r>
            <w:r>
              <w:rPr>
                <w:rFonts w:hint="default" w:cs="Times New Roman"/>
                <w:b/>
                <w:bCs/>
                <w:color w:val="auto"/>
                <w:sz w:val="21"/>
                <w:szCs w:val="21"/>
                <w:highlight w:val="none"/>
                <w:lang w:eastAsia="zh-CN"/>
              </w:rPr>
              <w:t>）</w:t>
            </w:r>
          </w:p>
        </w:tc>
        <w:tc>
          <w:tcPr>
            <w:tcW w:w="997" w:type="pct"/>
            <w:vAlign w:val="center"/>
          </w:tcPr>
          <w:p w14:paraId="33D1427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w:t>
            </w:r>
            <w:r>
              <w:rPr>
                <w:rFonts w:hint="default" w:cs="Times New Roman"/>
                <w:b/>
                <w:bCs/>
                <w:color w:val="auto"/>
                <w:sz w:val="21"/>
                <w:szCs w:val="21"/>
                <w:highlight w:val="none"/>
                <w:lang w:eastAsia="zh-CN"/>
              </w:rPr>
              <w:t>（</w:t>
            </w:r>
            <w:r>
              <w:rPr>
                <w:rFonts w:hint="default" w:cs="Times New Roman"/>
                <w:b/>
                <w:bCs/>
                <w:color w:val="auto"/>
                <w:sz w:val="21"/>
                <w:szCs w:val="21"/>
                <w:highlight w:val="none"/>
                <w:lang w:val="en-US" w:eastAsia="zh-CN"/>
              </w:rPr>
              <w:t>mg/m</w:t>
            </w:r>
            <w:r>
              <w:rPr>
                <w:rFonts w:hint="default" w:cs="Times New Roman"/>
                <w:b/>
                <w:bCs/>
                <w:color w:val="auto"/>
                <w:sz w:val="21"/>
                <w:szCs w:val="21"/>
                <w:highlight w:val="none"/>
                <w:vertAlign w:val="superscript"/>
                <w:lang w:val="en-US" w:eastAsia="zh-CN"/>
              </w:rPr>
              <w:t>3</w:t>
            </w:r>
            <w:r>
              <w:rPr>
                <w:rFonts w:hint="default" w:cs="Times New Roman"/>
                <w:b/>
                <w:bCs/>
                <w:color w:val="auto"/>
                <w:sz w:val="21"/>
                <w:szCs w:val="21"/>
                <w:highlight w:val="none"/>
                <w:lang w:eastAsia="zh-CN"/>
              </w:rPr>
              <w:t>）</w:t>
            </w:r>
          </w:p>
        </w:tc>
        <w:tc>
          <w:tcPr>
            <w:tcW w:w="377" w:type="pct"/>
            <w:vAlign w:val="center"/>
          </w:tcPr>
          <w:p w14:paraId="05BB37B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p>
          <w:p w14:paraId="6BCCE32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cs="Times New Roman"/>
                <w:b/>
                <w:bCs/>
                <w:color w:val="auto"/>
                <w:sz w:val="21"/>
                <w:szCs w:val="21"/>
                <w:highlight w:val="none"/>
                <w:lang w:eastAsia="zh-CN"/>
              </w:rPr>
              <w:t>（</w:t>
            </w:r>
            <w:r>
              <w:rPr>
                <w:rFonts w:hint="default" w:cs="Times New Roman"/>
                <w:b/>
                <w:bCs/>
                <w:color w:val="auto"/>
                <w:sz w:val="21"/>
                <w:szCs w:val="21"/>
                <w:highlight w:val="none"/>
                <w:lang w:val="en-US" w:eastAsia="zh-CN"/>
              </w:rPr>
              <w:t>t/a</w:t>
            </w:r>
            <w:r>
              <w:rPr>
                <w:rFonts w:hint="default" w:cs="Times New Roman"/>
                <w:b/>
                <w:bCs/>
                <w:color w:val="auto"/>
                <w:sz w:val="21"/>
                <w:szCs w:val="21"/>
                <w:highlight w:val="none"/>
                <w:lang w:eastAsia="zh-CN"/>
              </w:rPr>
              <w:t>）</w:t>
            </w:r>
          </w:p>
        </w:tc>
      </w:tr>
      <w:tr w14:paraId="1E5BC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262" w:type="pct"/>
            <w:vMerge w:val="restart"/>
            <w:vAlign w:val="center"/>
          </w:tcPr>
          <w:p w14:paraId="4B02C75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096" w:type="pct"/>
            <w:vAlign w:val="center"/>
          </w:tcPr>
          <w:p w14:paraId="32A70766">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粗碎厂房排气筒P1</w:t>
            </w:r>
          </w:p>
        </w:tc>
        <w:tc>
          <w:tcPr>
            <w:tcW w:w="555" w:type="pct"/>
            <w:vAlign w:val="center"/>
          </w:tcPr>
          <w:p w14:paraId="404F9F6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69" w:type="pct"/>
            <w:vAlign w:val="center"/>
          </w:tcPr>
          <w:p w14:paraId="203F0EE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567" w:type="pct"/>
            <w:vAlign w:val="center"/>
          </w:tcPr>
          <w:p w14:paraId="2DDD6379">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 xml:space="preserve">104.75 </w:t>
            </w:r>
          </w:p>
        </w:tc>
        <w:tc>
          <w:tcPr>
            <w:tcW w:w="373" w:type="pct"/>
            <w:vAlign w:val="center"/>
          </w:tcPr>
          <w:p w14:paraId="36FF9C38">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6</w:t>
            </w:r>
          </w:p>
        </w:tc>
        <w:tc>
          <w:tcPr>
            <w:tcW w:w="997" w:type="pct"/>
            <w:vAlign w:val="center"/>
          </w:tcPr>
          <w:p w14:paraId="6B0A788F">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52.375</w:t>
            </w:r>
          </w:p>
        </w:tc>
        <w:tc>
          <w:tcPr>
            <w:tcW w:w="377" w:type="pct"/>
            <w:vAlign w:val="center"/>
          </w:tcPr>
          <w:p w14:paraId="1A8AEB4A">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u w:val="none"/>
                <w:lang w:bidi="ar"/>
              </w:rPr>
            </w:pPr>
            <w:r>
              <w:rPr>
                <w:rFonts w:hint="default" w:ascii="Times New Roman" w:hAnsi="Times New Roman" w:eastAsia="宋体" w:cs="Times New Roman"/>
                <w:i w:val="0"/>
                <w:iCs w:val="0"/>
                <w:color w:val="auto"/>
                <w:kern w:val="2"/>
                <w:sz w:val="21"/>
                <w:szCs w:val="21"/>
                <w:highlight w:val="none"/>
                <w:u w:val="none"/>
                <w:lang w:val="en-US" w:eastAsia="zh-CN" w:bidi="ar"/>
              </w:rPr>
              <w:t>3</w:t>
            </w:r>
          </w:p>
        </w:tc>
      </w:tr>
      <w:tr w14:paraId="5CC97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262" w:type="pct"/>
            <w:vMerge w:val="continue"/>
            <w:vAlign w:val="center"/>
          </w:tcPr>
          <w:p w14:paraId="6B67DE92">
            <w:pPr>
              <w:spacing w:line="360" w:lineRule="exact"/>
              <w:ind w:firstLine="0" w:firstLineChars="0"/>
              <w:jc w:val="center"/>
              <w:rPr>
                <w:rFonts w:hint="default" w:ascii="Times New Roman" w:hAnsi="Times New Roman" w:cs="Times New Roman"/>
                <w:color w:val="auto"/>
                <w:sz w:val="21"/>
                <w:szCs w:val="21"/>
                <w:highlight w:val="none"/>
              </w:rPr>
            </w:pPr>
          </w:p>
        </w:tc>
        <w:tc>
          <w:tcPr>
            <w:tcW w:w="1096" w:type="pct"/>
            <w:vAlign w:val="center"/>
          </w:tcPr>
          <w:p w14:paraId="147DDEC5">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中细碎厂房排气筒P2</w:t>
            </w:r>
          </w:p>
        </w:tc>
        <w:tc>
          <w:tcPr>
            <w:tcW w:w="555" w:type="pct"/>
            <w:vAlign w:val="center"/>
          </w:tcPr>
          <w:p w14:paraId="1F4E1D6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69" w:type="pct"/>
            <w:vAlign w:val="center"/>
          </w:tcPr>
          <w:p w14:paraId="1E35F8FC">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567" w:type="pct"/>
            <w:vAlign w:val="center"/>
          </w:tcPr>
          <w:p w14:paraId="28C7B0DE">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 xml:space="preserve">102.24 </w:t>
            </w:r>
          </w:p>
        </w:tc>
        <w:tc>
          <w:tcPr>
            <w:tcW w:w="373" w:type="pct"/>
            <w:vAlign w:val="center"/>
          </w:tcPr>
          <w:p w14:paraId="315A4EC0">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13.125</w:t>
            </w:r>
          </w:p>
        </w:tc>
        <w:tc>
          <w:tcPr>
            <w:tcW w:w="997" w:type="pct"/>
            <w:vAlign w:val="center"/>
          </w:tcPr>
          <w:p w14:paraId="0B3B9CD1">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51.12</w:t>
            </w:r>
          </w:p>
        </w:tc>
        <w:tc>
          <w:tcPr>
            <w:tcW w:w="377" w:type="pct"/>
            <w:vAlign w:val="center"/>
          </w:tcPr>
          <w:p w14:paraId="3F6AA911">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u w:val="none"/>
                <w:lang w:bidi="ar"/>
              </w:rPr>
            </w:pPr>
            <w:r>
              <w:rPr>
                <w:rFonts w:hint="default" w:ascii="Times New Roman" w:hAnsi="Times New Roman" w:eastAsia="宋体" w:cs="Times New Roman"/>
                <w:i w:val="0"/>
                <w:iCs w:val="0"/>
                <w:color w:val="auto"/>
                <w:kern w:val="2"/>
                <w:sz w:val="21"/>
                <w:szCs w:val="21"/>
                <w:highlight w:val="none"/>
                <w:u w:val="none"/>
                <w:lang w:val="en-US" w:eastAsia="zh-CN" w:bidi="ar"/>
              </w:rPr>
              <w:t>6.5625</w:t>
            </w:r>
          </w:p>
        </w:tc>
      </w:tr>
      <w:tr w14:paraId="28CA6D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262" w:type="pct"/>
            <w:vMerge w:val="continue"/>
            <w:vAlign w:val="center"/>
          </w:tcPr>
          <w:p w14:paraId="7E99BB81">
            <w:pPr>
              <w:spacing w:line="360" w:lineRule="exact"/>
              <w:ind w:firstLine="0" w:firstLineChars="0"/>
              <w:jc w:val="center"/>
              <w:rPr>
                <w:rFonts w:hint="default" w:ascii="Times New Roman" w:hAnsi="Times New Roman" w:cs="Times New Roman"/>
                <w:color w:val="auto"/>
                <w:sz w:val="21"/>
                <w:szCs w:val="21"/>
                <w:highlight w:val="none"/>
              </w:rPr>
            </w:pPr>
            <w:bookmarkStart w:id="447" w:name="_Toc21356"/>
          </w:p>
        </w:tc>
        <w:tc>
          <w:tcPr>
            <w:tcW w:w="1096" w:type="pct"/>
            <w:vAlign w:val="center"/>
          </w:tcPr>
          <w:p w14:paraId="72968016">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筛分厂房排气筒P3</w:t>
            </w:r>
          </w:p>
        </w:tc>
        <w:tc>
          <w:tcPr>
            <w:tcW w:w="555" w:type="pct"/>
            <w:vAlign w:val="center"/>
          </w:tcPr>
          <w:p w14:paraId="3D0182A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69" w:type="pct"/>
            <w:vAlign w:val="center"/>
          </w:tcPr>
          <w:p w14:paraId="4C0D3885">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567" w:type="pct"/>
            <w:vAlign w:val="center"/>
          </w:tcPr>
          <w:p w14:paraId="77B98F79">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 xml:space="preserve">102.25 </w:t>
            </w:r>
          </w:p>
        </w:tc>
        <w:tc>
          <w:tcPr>
            <w:tcW w:w="373" w:type="pct"/>
            <w:vAlign w:val="center"/>
          </w:tcPr>
          <w:p w14:paraId="5D0C5C71">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15.75</w:t>
            </w:r>
          </w:p>
        </w:tc>
        <w:tc>
          <w:tcPr>
            <w:tcW w:w="997" w:type="pct"/>
            <w:vAlign w:val="center"/>
          </w:tcPr>
          <w:p w14:paraId="0EDDA0C6">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51.125</w:t>
            </w:r>
          </w:p>
        </w:tc>
        <w:tc>
          <w:tcPr>
            <w:tcW w:w="377" w:type="pct"/>
            <w:vAlign w:val="center"/>
          </w:tcPr>
          <w:p w14:paraId="2C56002A">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u w:val="none"/>
                <w:lang w:bidi="ar"/>
              </w:rPr>
            </w:pPr>
            <w:r>
              <w:rPr>
                <w:rFonts w:hint="default" w:ascii="Times New Roman" w:hAnsi="Times New Roman" w:eastAsia="宋体" w:cs="Times New Roman"/>
                <w:i w:val="0"/>
                <w:iCs w:val="0"/>
                <w:color w:val="auto"/>
                <w:kern w:val="2"/>
                <w:sz w:val="21"/>
                <w:szCs w:val="21"/>
                <w:highlight w:val="none"/>
                <w:u w:val="none"/>
                <w:lang w:val="en-US" w:eastAsia="zh-CN" w:bidi="ar"/>
              </w:rPr>
              <w:t>7.875</w:t>
            </w:r>
          </w:p>
        </w:tc>
      </w:tr>
      <w:tr w14:paraId="50A22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262" w:type="pct"/>
            <w:vMerge w:val="continue"/>
            <w:vAlign w:val="center"/>
          </w:tcPr>
          <w:p w14:paraId="2385A907">
            <w:pPr>
              <w:spacing w:line="360" w:lineRule="exact"/>
              <w:ind w:firstLine="0" w:firstLineChars="0"/>
              <w:jc w:val="center"/>
              <w:rPr>
                <w:rFonts w:hint="default" w:ascii="Times New Roman" w:hAnsi="Times New Roman" w:cs="Times New Roman"/>
                <w:color w:val="auto"/>
                <w:sz w:val="21"/>
                <w:szCs w:val="21"/>
                <w:highlight w:val="none"/>
              </w:rPr>
            </w:pPr>
            <w:bookmarkStart w:id="448" w:name="_Toc31890_WPSOffice_Level2"/>
            <w:bookmarkStart w:id="449" w:name="_Toc2390"/>
            <w:bookmarkStart w:id="450" w:name="_Toc28291731"/>
            <w:bookmarkStart w:id="451" w:name="_Toc29359"/>
            <w:bookmarkStart w:id="452" w:name="_Toc107414657"/>
            <w:bookmarkStart w:id="453" w:name="_Toc6277"/>
            <w:bookmarkStart w:id="454" w:name="_Toc107413890"/>
            <w:bookmarkStart w:id="455" w:name="_Toc24211"/>
            <w:bookmarkStart w:id="456" w:name="_Toc28605"/>
          </w:p>
        </w:tc>
        <w:tc>
          <w:tcPr>
            <w:tcW w:w="1096" w:type="pct"/>
            <w:vAlign w:val="center"/>
          </w:tcPr>
          <w:p w14:paraId="1F382A3A">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粉矿仓排气筒P4</w:t>
            </w:r>
          </w:p>
        </w:tc>
        <w:tc>
          <w:tcPr>
            <w:tcW w:w="555" w:type="pct"/>
            <w:vAlign w:val="center"/>
          </w:tcPr>
          <w:p w14:paraId="33CA951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69" w:type="pct"/>
            <w:vAlign w:val="center"/>
          </w:tcPr>
          <w:p w14:paraId="3ADEDFD8">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567" w:type="pct"/>
            <w:vAlign w:val="center"/>
          </w:tcPr>
          <w:p w14:paraId="128B45EA">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 xml:space="preserve">106.98 </w:t>
            </w:r>
          </w:p>
        </w:tc>
        <w:tc>
          <w:tcPr>
            <w:tcW w:w="373" w:type="pct"/>
            <w:vAlign w:val="center"/>
          </w:tcPr>
          <w:p w14:paraId="60F4DEDD">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2.625</w:t>
            </w:r>
          </w:p>
        </w:tc>
        <w:tc>
          <w:tcPr>
            <w:tcW w:w="997" w:type="pct"/>
            <w:vAlign w:val="center"/>
          </w:tcPr>
          <w:p w14:paraId="2FF66371">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53.49</w:t>
            </w:r>
          </w:p>
        </w:tc>
        <w:tc>
          <w:tcPr>
            <w:tcW w:w="377" w:type="pct"/>
            <w:vAlign w:val="center"/>
          </w:tcPr>
          <w:p w14:paraId="12787AFE">
            <w:pPr>
              <w:keepNext w:val="0"/>
              <w:keepLines w:val="0"/>
              <w:widowControl/>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1.3125</w:t>
            </w:r>
          </w:p>
        </w:tc>
      </w:tr>
    </w:tbl>
    <w:p w14:paraId="04875D01">
      <w:pPr>
        <w:pStyle w:val="4"/>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.3项目排放情况汇总</w:t>
      </w:r>
      <w:bookmarkEnd w:id="448"/>
    </w:p>
    <w:p w14:paraId="1AE8C35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本项目污染物排放情况汇总见表3.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14:paraId="6550A4B9">
      <w:pPr>
        <w:ind w:firstLine="0" w:firstLineChars="0"/>
        <w:jc w:val="center"/>
        <w:rPr>
          <w:rFonts w:hint="default" w:ascii="Times New Roman" w:hAnsi="Times New Roman" w:cs="Times New Roman"/>
          <w:b/>
          <w:bCs/>
          <w:color w:val="auto"/>
          <w:highlight w:val="none"/>
        </w:rPr>
      </w:pPr>
      <w:bookmarkStart w:id="457" w:name="_Toc23159_WPSOffice_Level2"/>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 xml:space="preserve">      本项目污染物排放情况汇总</w:t>
      </w:r>
    </w:p>
    <w:tbl>
      <w:tblPr>
        <w:tblStyle w:val="33"/>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800"/>
        <w:gridCol w:w="2395"/>
        <w:gridCol w:w="1732"/>
        <w:gridCol w:w="1664"/>
        <w:gridCol w:w="2392"/>
      </w:tblGrid>
      <w:tr w14:paraId="66C52F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blHeader/>
        </w:trPr>
        <w:tc>
          <w:tcPr>
            <w:tcW w:w="445" w:type="pct"/>
            <w:noWrap w:val="0"/>
            <w:vAlign w:val="center"/>
          </w:tcPr>
          <w:p w14:paraId="69C6A6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333" w:type="pct"/>
            <w:noWrap w:val="0"/>
            <w:vAlign w:val="center"/>
          </w:tcPr>
          <w:p w14:paraId="66A74D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964" w:type="pct"/>
            <w:noWrap w:val="0"/>
            <w:vAlign w:val="center"/>
          </w:tcPr>
          <w:p w14:paraId="765B13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产生量</w:t>
            </w:r>
            <w:r>
              <w:rPr>
                <w:rFonts w:hint="default" w:cs="Times New Roman"/>
                <w:b/>
                <w:bCs/>
                <w:color w:val="auto"/>
                <w:sz w:val="21"/>
                <w:szCs w:val="21"/>
                <w:highlight w:val="none"/>
                <w:lang w:eastAsia="zh-CN"/>
              </w:rPr>
              <w:t>（</w:t>
            </w:r>
            <w:r>
              <w:rPr>
                <w:rFonts w:hint="default" w:cs="Times New Roman"/>
                <w:b/>
                <w:bCs/>
                <w:color w:val="auto"/>
                <w:sz w:val="21"/>
                <w:szCs w:val="21"/>
                <w:highlight w:val="none"/>
                <w:lang w:val="en-US" w:eastAsia="zh-CN"/>
              </w:rPr>
              <w:t>t/a</w:t>
            </w:r>
            <w:r>
              <w:rPr>
                <w:rFonts w:hint="default" w:cs="Times New Roman"/>
                <w:b/>
                <w:bCs/>
                <w:color w:val="auto"/>
                <w:sz w:val="21"/>
                <w:szCs w:val="21"/>
                <w:highlight w:val="none"/>
                <w:lang w:eastAsia="zh-CN"/>
              </w:rPr>
              <w:t>）</w:t>
            </w:r>
          </w:p>
        </w:tc>
        <w:tc>
          <w:tcPr>
            <w:tcW w:w="926" w:type="pct"/>
            <w:noWrap w:val="0"/>
            <w:vAlign w:val="center"/>
          </w:tcPr>
          <w:p w14:paraId="341402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削减量</w:t>
            </w:r>
            <w:r>
              <w:rPr>
                <w:rFonts w:hint="default" w:cs="Times New Roman"/>
                <w:b/>
                <w:bCs/>
                <w:color w:val="auto"/>
                <w:sz w:val="21"/>
                <w:szCs w:val="21"/>
                <w:highlight w:val="none"/>
                <w:lang w:eastAsia="zh-CN"/>
              </w:rPr>
              <w:t>（</w:t>
            </w:r>
            <w:r>
              <w:rPr>
                <w:rFonts w:hint="default" w:cs="Times New Roman"/>
                <w:b/>
                <w:bCs/>
                <w:color w:val="auto"/>
                <w:sz w:val="21"/>
                <w:szCs w:val="21"/>
                <w:highlight w:val="none"/>
                <w:lang w:val="en-US" w:eastAsia="zh-CN"/>
              </w:rPr>
              <w:t>t/a</w:t>
            </w:r>
            <w:r>
              <w:rPr>
                <w:rFonts w:hint="default" w:cs="Times New Roman"/>
                <w:b/>
                <w:bCs/>
                <w:color w:val="auto"/>
                <w:sz w:val="21"/>
                <w:szCs w:val="21"/>
                <w:highlight w:val="none"/>
                <w:lang w:eastAsia="zh-CN"/>
              </w:rPr>
              <w:t>）</w:t>
            </w:r>
          </w:p>
        </w:tc>
        <w:tc>
          <w:tcPr>
            <w:tcW w:w="1331" w:type="pct"/>
            <w:noWrap w:val="0"/>
            <w:vAlign w:val="center"/>
          </w:tcPr>
          <w:p w14:paraId="6CBD80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r>
              <w:rPr>
                <w:rFonts w:hint="default" w:cs="Times New Roman"/>
                <w:b/>
                <w:bCs/>
                <w:color w:val="auto"/>
                <w:sz w:val="21"/>
                <w:szCs w:val="21"/>
                <w:highlight w:val="none"/>
                <w:lang w:eastAsia="zh-CN"/>
              </w:rPr>
              <w:t>（</w:t>
            </w:r>
            <w:r>
              <w:rPr>
                <w:rFonts w:hint="default" w:cs="Times New Roman"/>
                <w:b/>
                <w:bCs/>
                <w:color w:val="auto"/>
                <w:sz w:val="21"/>
                <w:szCs w:val="21"/>
                <w:highlight w:val="none"/>
                <w:lang w:val="en-US" w:eastAsia="zh-CN"/>
              </w:rPr>
              <w:t>t/a</w:t>
            </w:r>
            <w:r>
              <w:rPr>
                <w:rFonts w:hint="default" w:cs="Times New Roman"/>
                <w:b/>
                <w:bCs/>
                <w:color w:val="auto"/>
                <w:sz w:val="21"/>
                <w:szCs w:val="21"/>
                <w:highlight w:val="none"/>
                <w:lang w:eastAsia="zh-CN"/>
              </w:rPr>
              <w:t>）</w:t>
            </w:r>
          </w:p>
        </w:tc>
      </w:tr>
      <w:tr w14:paraId="442E90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183" w:hRule="atLeast"/>
        </w:trPr>
        <w:tc>
          <w:tcPr>
            <w:tcW w:w="445" w:type="pct"/>
            <w:vMerge w:val="restart"/>
            <w:noWrap w:val="0"/>
            <w:vAlign w:val="center"/>
          </w:tcPr>
          <w:p w14:paraId="53F89E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有组织废气</w:t>
            </w:r>
          </w:p>
        </w:tc>
        <w:tc>
          <w:tcPr>
            <w:tcW w:w="1333" w:type="pct"/>
            <w:noWrap w:val="0"/>
            <w:vAlign w:val="center"/>
          </w:tcPr>
          <w:p w14:paraId="6C5517EF">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pacing w:val="-2"/>
                <w:sz w:val="21"/>
                <w:szCs w:val="21"/>
                <w:highlight w:val="none"/>
                <w:lang w:val="en-US" w:eastAsia="zh-CN"/>
              </w:rPr>
              <w:t>粗碎厂房排气筒P1</w:t>
            </w:r>
          </w:p>
        </w:tc>
        <w:tc>
          <w:tcPr>
            <w:tcW w:w="964" w:type="pct"/>
            <w:noWrap w:val="0"/>
            <w:vAlign w:val="center"/>
          </w:tcPr>
          <w:p w14:paraId="409ABADF">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6</w:t>
            </w:r>
          </w:p>
        </w:tc>
        <w:tc>
          <w:tcPr>
            <w:tcW w:w="926" w:type="pct"/>
            <w:noWrap w:val="0"/>
            <w:vAlign w:val="center"/>
          </w:tcPr>
          <w:p w14:paraId="4F269669">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5.4</w:t>
            </w:r>
          </w:p>
        </w:tc>
        <w:tc>
          <w:tcPr>
            <w:tcW w:w="1331" w:type="pct"/>
            <w:noWrap w:val="0"/>
            <w:vAlign w:val="center"/>
          </w:tcPr>
          <w:p w14:paraId="41454233">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0.6</w:t>
            </w:r>
          </w:p>
        </w:tc>
      </w:tr>
      <w:tr w14:paraId="3A8DF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63" w:hRule="atLeast"/>
        </w:trPr>
        <w:tc>
          <w:tcPr>
            <w:tcW w:w="445" w:type="pct"/>
            <w:vMerge w:val="continue"/>
            <w:noWrap w:val="0"/>
            <w:vAlign w:val="center"/>
          </w:tcPr>
          <w:p w14:paraId="7C2728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333" w:type="pct"/>
            <w:noWrap w:val="0"/>
            <w:vAlign w:val="center"/>
          </w:tcPr>
          <w:p w14:paraId="4993E26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中细碎厂房排气筒P2</w:t>
            </w:r>
          </w:p>
        </w:tc>
        <w:tc>
          <w:tcPr>
            <w:tcW w:w="964" w:type="pct"/>
            <w:noWrap w:val="0"/>
            <w:vAlign w:val="center"/>
          </w:tcPr>
          <w:p w14:paraId="0BC58293">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13.125</w:t>
            </w:r>
          </w:p>
        </w:tc>
        <w:tc>
          <w:tcPr>
            <w:tcW w:w="926" w:type="pct"/>
            <w:noWrap w:val="0"/>
            <w:vAlign w:val="center"/>
          </w:tcPr>
          <w:p w14:paraId="04724EE6">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11.812</w:t>
            </w:r>
          </w:p>
        </w:tc>
        <w:tc>
          <w:tcPr>
            <w:tcW w:w="1331" w:type="pct"/>
            <w:noWrap w:val="0"/>
            <w:vAlign w:val="center"/>
          </w:tcPr>
          <w:p w14:paraId="7BBE1C5A">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1.313</w:t>
            </w:r>
          </w:p>
        </w:tc>
      </w:tr>
      <w:tr w14:paraId="6C2D8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7" w:hRule="atLeast"/>
        </w:trPr>
        <w:tc>
          <w:tcPr>
            <w:tcW w:w="445" w:type="pct"/>
            <w:vMerge w:val="continue"/>
            <w:noWrap w:val="0"/>
            <w:vAlign w:val="center"/>
          </w:tcPr>
          <w:p w14:paraId="73FC24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333" w:type="pct"/>
            <w:noWrap w:val="0"/>
            <w:vAlign w:val="center"/>
          </w:tcPr>
          <w:p w14:paraId="331F80C2">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筛分厂房排气筒P3</w:t>
            </w:r>
          </w:p>
        </w:tc>
        <w:tc>
          <w:tcPr>
            <w:tcW w:w="964" w:type="pct"/>
            <w:noWrap w:val="0"/>
            <w:vAlign w:val="center"/>
          </w:tcPr>
          <w:p w14:paraId="17F437D3">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15.75</w:t>
            </w:r>
          </w:p>
        </w:tc>
        <w:tc>
          <w:tcPr>
            <w:tcW w:w="926" w:type="pct"/>
            <w:noWrap w:val="0"/>
            <w:vAlign w:val="center"/>
          </w:tcPr>
          <w:p w14:paraId="4AEBACCA">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14.175</w:t>
            </w:r>
          </w:p>
        </w:tc>
        <w:tc>
          <w:tcPr>
            <w:tcW w:w="1331" w:type="pct"/>
            <w:noWrap w:val="0"/>
            <w:vAlign w:val="center"/>
          </w:tcPr>
          <w:p w14:paraId="09953938">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1.575</w:t>
            </w:r>
          </w:p>
        </w:tc>
      </w:tr>
      <w:tr w14:paraId="7979E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7" w:hRule="atLeast"/>
        </w:trPr>
        <w:tc>
          <w:tcPr>
            <w:tcW w:w="445" w:type="pct"/>
            <w:vMerge w:val="continue"/>
            <w:noWrap w:val="0"/>
            <w:vAlign w:val="center"/>
          </w:tcPr>
          <w:p w14:paraId="7DF2B9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333" w:type="pct"/>
            <w:shd w:val="clear" w:color="auto" w:fill="auto"/>
            <w:noWrap w:val="0"/>
            <w:vAlign w:val="center"/>
          </w:tcPr>
          <w:p w14:paraId="28DF3A98">
            <w:pPr>
              <w:pStyle w:val="127"/>
              <w:widowControl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粉矿仓排气筒P4</w:t>
            </w:r>
          </w:p>
        </w:tc>
        <w:tc>
          <w:tcPr>
            <w:tcW w:w="964" w:type="pct"/>
            <w:noWrap w:val="0"/>
            <w:vAlign w:val="center"/>
          </w:tcPr>
          <w:p w14:paraId="3DFAD63C">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2.625</w:t>
            </w:r>
          </w:p>
        </w:tc>
        <w:tc>
          <w:tcPr>
            <w:tcW w:w="926" w:type="pct"/>
            <w:noWrap w:val="0"/>
            <w:vAlign w:val="center"/>
          </w:tcPr>
          <w:p w14:paraId="52EC8BE4">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2.3625</w:t>
            </w:r>
          </w:p>
        </w:tc>
        <w:tc>
          <w:tcPr>
            <w:tcW w:w="1331" w:type="pct"/>
            <w:noWrap w:val="0"/>
            <w:vAlign w:val="center"/>
          </w:tcPr>
          <w:p w14:paraId="1DC42430">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0.2625</w:t>
            </w:r>
          </w:p>
        </w:tc>
      </w:tr>
      <w:tr w14:paraId="614EB7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restart"/>
            <w:noWrap w:val="0"/>
            <w:vAlign w:val="center"/>
          </w:tcPr>
          <w:p w14:paraId="07EBFC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r>
              <w:rPr>
                <w:rFonts w:hint="default" w:ascii="Times New Roman" w:hAnsi="Times New Roman" w:cs="Times New Roman"/>
                <w:color w:val="auto"/>
                <w:sz w:val="21"/>
                <w:szCs w:val="21"/>
                <w:highlight w:val="none"/>
                <w:lang w:val="en-US" w:eastAsia="zh-CN"/>
              </w:rPr>
              <w:t>废气</w:t>
            </w:r>
          </w:p>
        </w:tc>
        <w:tc>
          <w:tcPr>
            <w:tcW w:w="1333" w:type="pct"/>
            <w:noWrap w:val="0"/>
            <w:vAlign w:val="center"/>
          </w:tcPr>
          <w:p w14:paraId="276FF79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pacing w:val="-2"/>
                <w:sz w:val="21"/>
                <w:szCs w:val="21"/>
                <w:highlight w:val="none"/>
                <w:lang w:val="en-US" w:eastAsia="zh-CN"/>
              </w:rPr>
              <w:t>粗碎厂房</w:t>
            </w:r>
          </w:p>
        </w:tc>
        <w:tc>
          <w:tcPr>
            <w:tcW w:w="964" w:type="pct"/>
            <w:shd w:val="clear" w:color="auto" w:fill="auto"/>
            <w:noWrap w:val="0"/>
            <w:vAlign w:val="center"/>
          </w:tcPr>
          <w:p w14:paraId="451C29AF">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0.6</w:t>
            </w:r>
          </w:p>
        </w:tc>
        <w:tc>
          <w:tcPr>
            <w:tcW w:w="1664" w:type="dxa"/>
            <w:noWrap w:val="0"/>
            <w:vAlign w:val="center"/>
          </w:tcPr>
          <w:p w14:paraId="5E3EC761">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0.594</w:t>
            </w:r>
          </w:p>
        </w:tc>
        <w:tc>
          <w:tcPr>
            <w:tcW w:w="1331" w:type="pct"/>
            <w:shd w:val="clear" w:color="auto" w:fill="auto"/>
            <w:noWrap w:val="0"/>
            <w:vAlign w:val="center"/>
          </w:tcPr>
          <w:p w14:paraId="79B6E9DE">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0.006</w:t>
            </w:r>
          </w:p>
        </w:tc>
      </w:tr>
      <w:tr w14:paraId="5CFBE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6EAC5B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42E25AF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中细碎厂房</w:t>
            </w:r>
          </w:p>
        </w:tc>
        <w:tc>
          <w:tcPr>
            <w:tcW w:w="964" w:type="pct"/>
            <w:shd w:val="clear" w:color="auto" w:fill="auto"/>
            <w:noWrap w:val="0"/>
            <w:vAlign w:val="center"/>
          </w:tcPr>
          <w:p w14:paraId="3A2305B6">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1.3125</w:t>
            </w:r>
          </w:p>
        </w:tc>
        <w:tc>
          <w:tcPr>
            <w:tcW w:w="1664" w:type="dxa"/>
            <w:noWrap w:val="0"/>
            <w:vAlign w:val="center"/>
          </w:tcPr>
          <w:p w14:paraId="7F27203F">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1.2995</w:t>
            </w:r>
          </w:p>
        </w:tc>
        <w:tc>
          <w:tcPr>
            <w:tcW w:w="1331" w:type="pct"/>
            <w:shd w:val="clear" w:color="auto" w:fill="auto"/>
            <w:noWrap w:val="0"/>
            <w:vAlign w:val="center"/>
          </w:tcPr>
          <w:p w14:paraId="7FFFED72">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0.013</w:t>
            </w:r>
          </w:p>
        </w:tc>
      </w:tr>
      <w:tr w14:paraId="7674A3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4D3998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5E54DD6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筛分厂房</w:t>
            </w:r>
          </w:p>
        </w:tc>
        <w:tc>
          <w:tcPr>
            <w:tcW w:w="964" w:type="pct"/>
            <w:shd w:val="clear" w:color="auto" w:fill="auto"/>
            <w:noWrap w:val="0"/>
            <w:vAlign w:val="center"/>
          </w:tcPr>
          <w:p w14:paraId="002913B0">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1.575</w:t>
            </w:r>
          </w:p>
        </w:tc>
        <w:tc>
          <w:tcPr>
            <w:tcW w:w="1664" w:type="dxa"/>
            <w:noWrap w:val="0"/>
            <w:vAlign w:val="center"/>
          </w:tcPr>
          <w:p w14:paraId="4BE342C4">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1.559</w:t>
            </w:r>
          </w:p>
        </w:tc>
        <w:tc>
          <w:tcPr>
            <w:tcW w:w="1331" w:type="pct"/>
            <w:shd w:val="clear" w:color="auto" w:fill="auto"/>
            <w:noWrap w:val="0"/>
            <w:vAlign w:val="center"/>
          </w:tcPr>
          <w:p w14:paraId="1BFA9086">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0.016</w:t>
            </w:r>
          </w:p>
        </w:tc>
      </w:tr>
      <w:tr w14:paraId="7A8548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503A0D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221DF1F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w:t>
            </w:r>
          </w:p>
        </w:tc>
        <w:tc>
          <w:tcPr>
            <w:tcW w:w="964" w:type="pct"/>
            <w:shd w:val="clear" w:color="auto" w:fill="auto"/>
            <w:noWrap w:val="0"/>
            <w:vAlign w:val="center"/>
          </w:tcPr>
          <w:p w14:paraId="5C2D7CB4">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2"/>
                <w:sz w:val="21"/>
                <w:szCs w:val="21"/>
                <w:highlight w:val="none"/>
                <w:u w:val="none"/>
                <w:lang w:val="en-US" w:eastAsia="zh-CN" w:bidi="ar"/>
              </w:rPr>
              <w:t>2625</w:t>
            </w:r>
          </w:p>
        </w:tc>
        <w:tc>
          <w:tcPr>
            <w:tcW w:w="1664" w:type="dxa"/>
            <w:noWrap w:val="0"/>
            <w:vAlign w:val="center"/>
          </w:tcPr>
          <w:p w14:paraId="4838529A">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0.2595</w:t>
            </w:r>
          </w:p>
        </w:tc>
        <w:tc>
          <w:tcPr>
            <w:tcW w:w="1331" w:type="pct"/>
            <w:shd w:val="clear" w:color="auto" w:fill="auto"/>
            <w:noWrap w:val="0"/>
            <w:vAlign w:val="center"/>
          </w:tcPr>
          <w:p w14:paraId="4344A149">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
              </w:rPr>
            </w:pPr>
            <w:r>
              <w:rPr>
                <w:rFonts w:hint="default" w:ascii="Times New Roman" w:hAnsi="Times New Roman" w:eastAsia="宋体" w:cs="Times New Roman"/>
                <w:i w:val="0"/>
                <w:iCs w:val="0"/>
                <w:color w:val="auto"/>
                <w:kern w:val="2"/>
                <w:sz w:val="21"/>
                <w:szCs w:val="21"/>
                <w:highlight w:val="none"/>
                <w:u w:val="none"/>
                <w:lang w:val="en-US" w:eastAsia="zh-CN" w:bidi="ar"/>
              </w:rPr>
              <w:t>0.003</w:t>
            </w:r>
          </w:p>
        </w:tc>
      </w:tr>
      <w:tr w14:paraId="54032E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13167E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shd w:val="clear" w:color="auto" w:fill="auto"/>
            <w:noWrap w:val="0"/>
            <w:vAlign w:val="center"/>
          </w:tcPr>
          <w:p w14:paraId="17958EF8">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原料</w:t>
            </w:r>
            <w:r>
              <w:rPr>
                <w:rFonts w:hint="default" w:ascii="Times New Roman" w:hAnsi="Times New Roman" w:eastAsia="宋体" w:cs="Times New Roman"/>
                <w:color w:val="auto"/>
                <w:spacing w:val="0"/>
                <w:sz w:val="21"/>
                <w:szCs w:val="21"/>
                <w:highlight w:val="none"/>
                <w:lang w:val="en-US" w:eastAsia="zh-CN"/>
              </w:rPr>
              <w:t>堆场</w:t>
            </w:r>
            <w:r>
              <w:rPr>
                <w:rFonts w:hint="default" w:ascii="Times New Roman" w:hAnsi="Times New Roman" w:cs="Times New Roman"/>
                <w:color w:val="auto"/>
                <w:spacing w:val="0"/>
                <w:sz w:val="21"/>
                <w:szCs w:val="21"/>
                <w:highlight w:val="none"/>
                <w:lang w:val="en-US" w:eastAsia="zh-CN"/>
              </w:rPr>
              <w:t>扬尘</w:t>
            </w:r>
          </w:p>
        </w:tc>
        <w:tc>
          <w:tcPr>
            <w:tcW w:w="964" w:type="pct"/>
            <w:shd w:val="clear" w:color="auto" w:fill="auto"/>
            <w:noWrap w:val="0"/>
            <w:vAlign w:val="center"/>
          </w:tcPr>
          <w:p w14:paraId="511CE47F">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0.2625</w:t>
            </w:r>
          </w:p>
        </w:tc>
        <w:tc>
          <w:tcPr>
            <w:tcW w:w="926" w:type="pct"/>
            <w:noWrap w:val="0"/>
            <w:vAlign w:val="center"/>
          </w:tcPr>
          <w:p w14:paraId="6447FF7A">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0.2365</w:t>
            </w:r>
          </w:p>
        </w:tc>
        <w:tc>
          <w:tcPr>
            <w:tcW w:w="1331" w:type="pct"/>
            <w:shd w:val="clear" w:color="auto" w:fill="auto"/>
            <w:noWrap w:val="0"/>
            <w:vAlign w:val="center"/>
          </w:tcPr>
          <w:p w14:paraId="5AAED773">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0.026</w:t>
            </w:r>
          </w:p>
        </w:tc>
      </w:tr>
      <w:tr w14:paraId="224A66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531A50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shd w:val="clear" w:color="auto" w:fill="auto"/>
            <w:noWrap w:val="0"/>
            <w:vAlign w:val="center"/>
          </w:tcPr>
          <w:p w14:paraId="600C8BE2">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运输扬尘</w:t>
            </w:r>
          </w:p>
        </w:tc>
        <w:tc>
          <w:tcPr>
            <w:tcW w:w="964" w:type="pct"/>
            <w:shd w:val="clear" w:color="auto" w:fill="auto"/>
            <w:noWrap w:val="0"/>
            <w:vAlign w:val="center"/>
          </w:tcPr>
          <w:p w14:paraId="55120BAA">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25.78</w:t>
            </w:r>
          </w:p>
        </w:tc>
        <w:tc>
          <w:tcPr>
            <w:tcW w:w="926" w:type="pct"/>
            <w:noWrap w:val="0"/>
            <w:vAlign w:val="center"/>
          </w:tcPr>
          <w:p w14:paraId="42C0DD83">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23.1</w:t>
            </w:r>
          </w:p>
        </w:tc>
        <w:tc>
          <w:tcPr>
            <w:tcW w:w="1331" w:type="pct"/>
            <w:shd w:val="clear" w:color="auto" w:fill="auto"/>
            <w:noWrap w:val="0"/>
            <w:vAlign w:val="center"/>
          </w:tcPr>
          <w:p w14:paraId="7E204186">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2.68</w:t>
            </w:r>
          </w:p>
        </w:tc>
      </w:tr>
      <w:tr w14:paraId="059E20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79799E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shd w:val="clear" w:color="auto" w:fill="auto"/>
            <w:noWrap w:val="0"/>
            <w:vAlign w:val="center"/>
          </w:tcPr>
          <w:p w14:paraId="254C66BA">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尾矿库扬尘</w:t>
            </w:r>
          </w:p>
        </w:tc>
        <w:tc>
          <w:tcPr>
            <w:tcW w:w="964" w:type="pct"/>
            <w:shd w:val="clear" w:color="auto" w:fill="auto"/>
            <w:noWrap w:val="0"/>
            <w:vAlign w:val="center"/>
          </w:tcPr>
          <w:p w14:paraId="650E3C4F">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0.148</w:t>
            </w:r>
          </w:p>
        </w:tc>
        <w:tc>
          <w:tcPr>
            <w:tcW w:w="926" w:type="pct"/>
            <w:noWrap w:val="0"/>
            <w:vAlign w:val="center"/>
          </w:tcPr>
          <w:p w14:paraId="4DD17A71">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0.11</w:t>
            </w:r>
          </w:p>
        </w:tc>
        <w:tc>
          <w:tcPr>
            <w:tcW w:w="1331" w:type="pct"/>
            <w:shd w:val="clear" w:color="auto" w:fill="auto"/>
            <w:noWrap w:val="0"/>
            <w:vAlign w:val="center"/>
          </w:tcPr>
          <w:p w14:paraId="66543347">
            <w:pPr>
              <w:keepNext w:val="0"/>
              <w:keepLines w:val="0"/>
              <w:widowControl w:val="0"/>
              <w:suppressLineNumbers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0.038</w:t>
            </w:r>
          </w:p>
        </w:tc>
      </w:tr>
      <w:tr w14:paraId="6CF88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restart"/>
            <w:noWrap w:val="0"/>
            <w:vAlign w:val="center"/>
          </w:tcPr>
          <w:p w14:paraId="776EFF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333" w:type="pct"/>
            <w:noWrap w:val="0"/>
            <w:vAlign w:val="center"/>
          </w:tcPr>
          <w:p w14:paraId="0924C9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964" w:type="pct"/>
            <w:noWrap w:val="0"/>
            <w:vAlign w:val="center"/>
          </w:tcPr>
          <w:p w14:paraId="1E8FCA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1978</w:t>
            </w:r>
            <w:r>
              <w:rPr>
                <w:rFonts w:hint="default" w:ascii="Times New Roman" w:hAnsi="Times New Roman" w:cs="Times New Roman"/>
                <w:color w:val="auto"/>
                <w:sz w:val="21"/>
                <w:szCs w:val="21"/>
                <w:highlight w:val="none"/>
              </w:rPr>
              <w:t>万</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/a（</w:t>
            </w:r>
            <w:r>
              <w:rPr>
                <w:rFonts w:hint="default" w:ascii="Times New Roman" w:hAnsi="Times New Roman" w:cs="Times New Roman"/>
                <w:color w:val="auto"/>
                <w:sz w:val="21"/>
                <w:szCs w:val="21"/>
                <w:highlight w:val="none"/>
                <w:lang w:val="en-US" w:eastAsia="zh-CN"/>
              </w:rPr>
              <w:t>8.24</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/d）</w:t>
            </w:r>
          </w:p>
        </w:tc>
        <w:tc>
          <w:tcPr>
            <w:tcW w:w="926" w:type="pct"/>
            <w:noWrap w:val="0"/>
            <w:vAlign w:val="center"/>
          </w:tcPr>
          <w:p w14:paraId="44D70C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1978</w:t>
            </w:r>
            <w:r>
              <w:rPr>
                <w:rFonts w:hint="default" w:ascii="Times New Roman" w:hAnsi="Times New Roman" w:cs="Times New Roman"/>
                <w:color w:val="auto"/>
                <w:sz w:val="21"/>
                <w:szCs w:val="21"/>
                <w:highlight w:val="none"/>
              </w:rPr>
              <w:t>万</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/a（</w:t>
            </w:r>
            <w:r>
              <w:rPr>
                <w:rFonts w:hint="default" w:ascii="Times New Roman" w:hAnsi="Times New Roman" w:cs="Times New Roman"/>
                <w:color w:val="auto"/>
                <w:sz w:val="21"/>
                <w:szCs w:val="21"/>
                <w:highlight w:val="none"/>
                <w:lang w:val="en-US" w:eastAsia="zh-CN"/>
              </w:rPr>
              <w:t>8.24</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/d）</w:t>
            </w:r>
          </w:p>
        </w:tc>
        <w:tc>
          <w:tcPr>
            <w:tcW w:w="1331" w:type="pct"/>
            <w:noWrap w:val="0"/>
            <w:vAlign w:val="center"/>
          </w:tcPr>
          <w:p w14:paraId="3DC22C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r>
      <w:tr w14:paraId="0D5DE7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6FA832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7E4B9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选矿</w:t>
            </w:r>
            <w:r>
              <w:rPr>
                <w:rFonts w:hint="default" w:cs="Times New Roman"/>
                <w:color w:val="auto"/>
                <w:sz w:val="21"/>
                <w:szCs w:val="21"/>
                <w:highlight w:val="none"/>
                <w:lang w:val="en-US" w:eastAsia="zh-CN"/>
              </w:rPr>
              <w:t>废水</w:t>
            </w:r>
          </w:p>
        </w:tc>
        <w:tc>
          <w:tcPr>
            <w:tcW w:w="964" w:type="pct"/>
            <w:noWrap w:val="0"/>
            <w:vAlign w:val="center"/>
          </w:tcPr>
          <w:p w14:paraId="050B3F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14.1444</w:t>
            </w:r>
            <w:r>
              <w:rPr>
                <w:rFonts w:hint="default" w:ascii="Times New Roman" w:hAnsi="Times New Roman" w:cs="Times New Roman"/>
                <w:color w:val="auto"/>
                <w:sz w:val="21"/>
                <w:szCs w:val="21"/>
                <w:highlight w:val="none"/>
              </w:rPr>
              <w:t>万</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/a（</w:t>
            </w:r>
            <w:r>
              <w:rPr>
                <w:rFonts w:hint="default" w:ascii="Times New Roman" w:hAnsi="Times New Roman" w:cs="Times New Roman"/>
                <w:color w:val="auto"/>
                <w:sz w:val="21"/>
                <w:szCs w:val="21"/>
                <w:highlight w:val="none"/>
                <w:lang w:val="en-US" w:eastAsia="zh-CN"/>
              </w:rPr>
              <w:t>589.352</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/d）</w:t>
            </w:r>
          </w:p>
        </w:tc>
        <w:tc>
          <w:tcPr>
            <w:tcW w:w="926" w:type="pct"/>
            <w:noWrap w:val="0"/>
            <w:vAlign w:val="center"/>
          </w:tcPr>
          <w:p w14:paraId="42A786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14.1444</w:t>
            </w:r>
            <w:r>
              <w:rPr>
                <w:rFonts w:hint="default" w:ascii="Times New Roman" w:hAnsi="Times New Roman" w:cs="Times New Roman"/>
                <w:color w:val="auto"/>
                <w:sz w:val="21"/>
                <w:szCs w:val="21"/>
                <w:highlight w:val="none"/>
              </w:rPr>
              <w:t>万</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/a（</w:t>
            </w:r>
            <w:r>
              <w:rPr>
                <w:rFonts w:hint="default" w:ascii="Times New Roman" w:hAnsi="Times New Roman" w:cs="Times New Roman"/>
                <w:color w:val="auto"/>
                <w:sz w:val="21"/>
                <w:szCs w:val="21"/>
                <w:highlight w:val="none"/>
                <w:lang w:val="en-US" w:eastAsia="zh-CN"/>
              </w:rPr>
              <w:t>589.352</w:t>
            </w:r>
            <w:r>
              <w:rPr>
                <w:rFonts w:hint="default" w:ascii="Times New Roman" w:hAnsi="Times New Roman" w:cs="Times New Roman"/>
                <w:color w:val="auto"/>
                <w:sz w:val="21"/>
                <w:szCs w:val="21"/>
                <w:highlight w:val="none"/>
                <w:lang w:eastAsia="zh-CN" w:bidi="ar"/>
              </w:rPr>
              <w:t>m</w:t>
            </w:r>
            <w:r>
              <w:rPr>
                <w:rFonts w:hint="default" w:ascii="Times New Roman" w:hAnsi="Times New Roman" w:cs="Times New Roman"/>
                <w:color w:val="auto"/>
                <w:sz w:val="21"/>
                <w:szCs w:val="21"/>
                <w:highlight w:val="none"/>
                <w:vertAlign w:val="superscript"/>
                <w:lang w:eastAsia="zh-CN" w:bidi="ar"/>
              </w:rPr>
              <w:t>3</w:t>
            </w:r>
            <w:r>
              <w:rPr>
                <w:rFonts w:hint="default" w:ascii="Times New Roman" w:hAnsi="Times New Roman" w:cs="Times New Roman"/>
                <w:color w:val="auto"/>
                <w:sz w:val="21"/>
                <w:szCs w:val="21"/>
                <w:highlight w:val="none"/>
                <w:lang w:eastAsia="zh-CN" w:bidi="ar"/>
              </w:rPr>
              <w:t>/d）</w:t>
            </w:r>
          </w:p>
        </w:tc>
        <w:tc>
          <w:tcPr>
            <w:tcW w:w="1331" w:type="pct"/>
            <w:noWrap w:val="0"/>
            <w:vAlign w:val="center"/>
          </w:tcPr>
          <w:p w14:paraId="468975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70D54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tcBorders>
              <w:top w:val="single" w:color="auto" w:sz="4" w:space="0"/>
              <w:bottom w:val="single" w:color="auto" w:sz="4" w:space="0"/>
            </w:tcBorders>
            <w:noWrap w:val="0"/>
            <w:vAlign w:val="center"/>
          </w:tcPr>
          <w:p w14:paraId="7F0B55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4554" w:type="pct"/>
            <w:gridSpan w:val="4"/>
            <w:noWrap w:val="0"/>
            <w:vAlign w:val="center"/>
          </w:tcPr>
          <w:p w14:paraId="3590AD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破碎机、球磨机、分级机、浮选机、浓缩机等设备，本项目运营期主要噪声源强在7</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-100dB（A）之间</w:t>
            </w:r>
          </w:p>
        </w:tc>
      </w:tr>
      <w:tr w14:paraId="19C9AD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restart"/>
            <w:tcBorders>
              <w:top w:val="single" w:color="auto" w:sz="4" w:space="0"/>
            </w:tcBorders>
            <w:noWrap w:val="0"/>
            <w:vAlign w:val="center"/>
          </w:tcPr>
          <w:p w14:paraId="24EDFB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333" w:type="pct"/>
            <w:noWrap w:val="0"/>
            <w:vAlign w:val="center"/>
          </w:tcPr>
          <w:p w14:paraId="527F84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w:t>
            </w:r>
          </w:p>
        </w:tc>
        <w:tc>
          <w:tcPr>
            <w:tcW w:w="964" w:type="pct"/>
            <w:noWrap w:val="0"/>
            <w:vAlign w:val="center"/>
          </w:tcPr>
          <w:p w14:paraId="4C36E0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14.58</w:t>
            </w:r>
            <w:r>
              <w:rPr>
                <w:rFonts w:hint="default" w:ascii="Times New Roman" w:hAnsi="Times New Roman" w:cs="Times New Roman"/>
                <w:color w:val="auto"/>
                <w:sz w:val="21"/>
                <w:szCs w:val="21"/>
                <w:highlight w:val="none"/>
                <w:lang w:val="en-US" w:eastAsia="zh-CN"/>
              </w:rPr>
              <w:t>万</w:t>
            </w:r>
          </w:p>
        </w:tc>
        <w:tc>
          <w:tcPr>
            <w:tcW w:w="926" w:type="pct"/>
            <w:noWrap w:val="0"/>
            <w:vAlign w:val="center"/>
          </w:tcPr>
          <w:p w14:paraId="540C96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rPr>
            </w:pPr>
            <w:r>
              <w:rPr>
                <w:rFonts w:hint="default" w:cs="Times New Roman"/>
                <w:color w:val="auto"/>
                <w:sz w:val="21"/>
                <w:szCs w:val="21"/>
                <w:highlight w:val="none"/>
                <w:lang w:val="en-US" w:eastAsia="zh-CN"/>
              </w:rPr>
              <w:t>8.88</w:t>
            </w:r>
            <w:r>
              <w:rPr>
                <w:rFonts w:hint="default" w:ascii="Times New Roman" w:hAnsi="Times New Roman" w:cs="Times New Roman"/>
                <w:color w:val="auto"/>
                <w:sz w:val="21"/>
                <w:szCs w:val="21"/>
                <w:highlight w:val="none"/>
                <w:lang w:val="en-US" w:eastAsia="zh-CN"/>
              </w:rPr>
              <w:t>万</w:t>
            </w:r>
          </w:p>
        </w:tc>
        <w:tc>
          <w:tcPr>
            <w:tcW w:w="1331" w:type="pct"/>
            <w:noWrap w:val="0"/>
            <w:vAlign w:val="center"/>
          </w:tcPr>
          <w:p w14:paraId="1782C4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5.7万</w:t>
            </w:r>
          </w:p>
        </w:tc>
      </w:tr>
      <w:tr w14:paraId="574C71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01C957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55490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除尘灰</w:t>
            </w:r>
          </w:p>
        </w:tc>
        <w:tc>
          <w:tcPr>
            <w:tcW w:w="964" w:type="pct"/>
            <w:noWrap w:val="0"/>
            <w:vAlign w:val="center"/>
          </w:tcPr>
          <w:p w14:paraId="0089CB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33.41</w:t>
            </w:r>
          </w:p>
        </w:tc>
        <w:tc>
          <w:tcPr>
            <w:tcW w:w="926" w:type="pct"/>
            <w:noWrap w:val="0"/>
            <w:vAlign w:val="center"/>
          </w:tcPr>
          <w:p w14:paraId="44E3AD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rPr>
            </w:pPr>
            <w:r>
              <w:rPr>
                <w:rFonts w:hint="default" w:cs="Times New Roman"/>
                <w:color w:val="auto"/>
                <w:sz w:val="21"/>
                <w:szCs w:val="21"/>
                <w:highlight w:val="none"/>
                <w:lang w:val="en-US" w:eastAsia="zh-CN"/>
              </w:rPr>
              <w:t>33.41</w:t>
            </w:r>
          </w:p>
        </w:tc>
        <w:tc>
          <w:tcPr>
            <w:tcW w:w="1331" w:type="pct"/>
            <w:noWrap w:val="0"/>
            <w:vAlign w:val="center"/>
          </w:tcPr>
          <w:p w14:paraId="4F7E64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46B1EF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77A8A8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234BA7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生产回</w:t>
            </w:r>
            <w:r>
              <w:rPr>
                <w:rFonts w:hint="default" w:ascii="Times New Roman" w:hAnsi="Times New Roman" w:cs="Times New Roman"/>
                <w:color w:val="auto"/>
                <w:sz w:val="21"/>
                <w:szCs w:val="21"/>
                <w:highlight w:val="none"/>
              </w:rPr>
              <w:t>水池底泥</w:t>
            </w:r>
          </w:p>
        </w:tc>
        <w:tc>
          <w:tcPr>
            <w:tcW w:w="964" w:type="pct"/>
            <w:noWrap w:val="0"/>
            <w:vAlign w:val="center"/>
          </w:tcPr>
          <w:p w14:paraId="1FA8D1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62.5</w:t>
            </w:r>
          </w:p>
        </w:tc>
        <w:tc>
          <w:tcPr>
            <w:tcW w:w="926" w:type="pct"/>
            <w:noWrap w:val="0"/>
            <w:vAlign w:val="center"/>
          </w:tcPr>
          <w:p w14:paraId="5B7E49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62.5</w:t>
            </w:r>
          </w:p>
        </w:tc>
        <w:tc>
          <w:tcPr>
            <w:tcW w:w="1331" w:type="pct"/>
            <w:noWrap w:val="0"/>
            <w:vAlign w:val="center"/>
          </w:tcPr>
          <w:p w14:paraId="4AABFA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14:paraId="7078DE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7F3DA5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5A396F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生活污水处理设施底泥</w:t>
            </w:r>
          </w:p>
        </w:tc>
        <w:tc>
          <w:tcPr>
            <w:tcW w:w="964" w:type="pct"/>
            <w:noWrap w:val="0"/>
            <w:vAlign w:val="center"/>
          </w:tcPr>
          <w:p w14:paraId="76DA75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5.46</w:t>
            </w:r>
          </w:p>
        </w:tc>
        <w:tc>
          <w:tcPr>
            <w:tcW w:w="926" w:type="pct"/>
            <w:noWrap w:val="0"/>
            <w:vAlign w:val="center"/>
          </w:tcPr>
          <w:p w14:paraId="2F7A97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5.46</w:t>
            </w:r>
          </w:p>
        </w:tc>
        <w:tc>
          <w:tcPr>
            <w:tcW w:w="1331" w:type="pct"/>
            <w:noWrap w:val="0"/>
            <w:vAlign w:val="center"/>
          </w:tcPr>
          <w:p w14:paraId="098D23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w:t>
            </w:r>
          </w:p>
        </w:tc>
      </w:tr>
      <w:tr w14:paraId="48D380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3BCE97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5062F7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964" w:type="pct"/>
            <w:noWrap w:val="0"/>
            <w:vAlign w:val="center"/>
          </w:tcPr>
          <w:p w14:paraId="0BC217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926" w:type="pct"/>
            <w:noWrap w:val="0"/>
            <w:vAlign w:val="center"/>
          </w:tcPr>
          <w:p w14:paraId="037FCA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331" w:type="pct"/>
            <w:noWrap w:val="0"/>
            <w:vAlign w:val="center"/>
          </w:tcPr>
          <w:p w14:paraId="50F8E4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7A173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787982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05E7DB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废矿物油</w:t>
            </w:r>
          </w:p>
        </w:tc>
        <w:tc>
          <w:tcPr>
            <w:tcW w:w="964" w:type="pct"/>
            <w:noWrap w:val="0"/>
            <w:vAlign w:val="center"/>
          </w:tcPr>
          <w:p w14:paraId="0F66CA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0.5</w:t>
            </w:r>
          </w:p>
        </w:tc>
        <w:tc>
          <w:tcPr>
            <w:tcW w:w="926" w:type="pct"/>
            <w:noWrap w:val="0"/>
            <w:vAlign w:val="center"/>
          </w:tcPr>
          <w:p w14:paraId="3D8F64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0.5</w:t>
            </w:r>
          </w:p>
        </w:tc>
        <w:tc>
          <w:tcPr>
            <w:tcW w:w="1331" w:type="pct"/>
            <w:noWrap w:val="0"/>
            <w:vAlign w:val="center"/>
          </w:tcPr>
          <w:p w14:paraId="2EE884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w:t>
            </w:r>
          </w:p>
        </w:tc>
      </w:tr>
      <w:tr w14:paraId="580D6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2E69D8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32B072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废油桶</w:t>
            </w:r>
          </w:p>
        </w:tc>
        <w:tc>
          <w:tcPr>
            <w:tcW w:w="964" w:type="pct"/>
            <w:noWrap w:val="0"/>
            <w:vAlign w:val="center"/>
          </w:tcPr>
          <w:p w14:paraId="1F7919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0.6</w:t>
            </w:r>
          </w:p>
        </w:tc>
        <w:tc>
          <w:tcPr>
            <w:tcW w:w="926" w:type="pct"/>
            <w:noWrap w:val="0"/>
            <w:vAlign w:val="center"/>
          </w:tcPr>
          <w:p w14:paraId="4A627D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0.6</w:t>
            </w:r>
          </w:p>
        </w:tc>
        <w:tc>
          <w:tcPr>
            <w:tcW w:w="1331" w:type="pct"/>
            <w:noWrap w:val="0"/>
            <w:vAlign w:val="center"/>
          </w:tcPr>
          <w:p w14:paraId="214940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w:t>
            </w:r>
          </w:p>
        </w:tc>
      </w:tr>
      <w:tr w14:paraId="4CC7AD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5768E9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5E630C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eastAsia="zh-CN"/>
              </w:rPr>
              <w:t>沾染毒性废弃包装物</w:t>
            </w:r>
          </w:p>
        </w:tc>
        <w:tc>
          <w:tcPr>
            <w:tcW w:w="964" w:type="pct"/>
            <w:noWrap w:val="0"/>
            <w:vAlign w:val="center"/>
          </w:tcPr>
          <w:p w14:paraId="27C80C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0.686</w:t>
            </w:r>
          </w:p>
        </w:tc>
        <w:tc>
          <w:tcPr>
            <w:tcW w:w="926" w:type="pct"/>
            <w:shd w:val="clear" w:color="auto" w:fill="auto"/>
            <w:noWrap w:val="0"/>
            <w:vAlign w:val="center"/>
          </w:tcPr>
          <w:p w14:paraId="2A5F54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0.686</w:t>
            </w:r>
          </w:p>
        </w:tc>
        <w:tc>
          <w:tcPr>
            <w:tcW w:w="1331" w:type="pct"/>
            <w:noWrap w:val="0"/>
            <w:vAlign w:val="center"/>
          </w:tcPr>
          <w:p w14:paraId="7D7B39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w:t>
            </w:r>
          </w:p>
        </w:tc>
      </w:tr>
      <w:tr w14:paraId="2BC8DE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29F594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7EDB57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废药剂</w:t>
            </w:r>
          </w:p>
        </w:tc>
        <w:tc>
          <w:tcPr>
            <w:tcW w:w="964" w:type="pct"/>
            <w:noWrap w:val="0"/>
            <w:vAlign w:val="center"/>
          </w:tcPr>
          <w:p w14:paraId="6A4C75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0.05</w:t>
            </w:r>
          </w:p>
        </w:tc>
        <w:tc>
          <w:tcPr>
            <w:tcW w:w="926" w:type="pct"/>
            <w:shd w:val="clear" w:color="auto" w:fill="auto"/>
            <w:noWrap w:val="0"/>
            <w:vAlign w:val="center"/>
          </w:tcPr>
          <w:p w14:paraId="56A4E9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0.05</w:t>
            </w:r>
          </w:p>
        </w:tc>
        <w:tc>
          <w:tcPr>
            <w:tcW w:w="1331" w:type="pct"/>
            <w:noWrap w:val="0"/>
            <w:vAlign w:val="center"/>
          </w:tcPr>
          <w:p w14:paraId="1D2A33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w:t>
            </w:r>
          </w:p>
        </w:tc>
      </w:tr>
      <w:tr w14:paraId="7C7CE9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272055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2E697B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cs="Times New Roman"/>
                <w:color w:val="auto"/>
                <w:spacing w:val="-2"/>
                <w:sz w:val="21"/>
                <w:szCs w:val="21"/>
                <w:highlight w:val="none"/>
                <w:lang w:val="en-US" w:eastAsia="zh-CN"/>
              </w:rPr>
              <w:t>试验废液</w:t>
            </w:r>
          </w:p>
        </w:tc>
        <w:tc>
          <w:tcPr>
            <w:tcW w:w="964" w:type="pct"/>
            <w:noWrap w:val="0"/>
            <w:vAlign w:val="center"/>
          </w:tcPr>
          <w:p w14:paraId="633F59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0.24</w:t>
            </w:r>
          </w:p>
        </w:tc>
        <w:tc>
          <w:tcPr>
            <w:tcW w:w="926" w:type="pct"/>
            <w:shd w:val="clear" w:color="auto" w:fill="auto"/>
            <w:noWrap w:val="0"/>
            <w:vAlign w:val="center"/>
          </w:tcPr>
          <w:p w14:paraId="0F6F6B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0.24</w:t>
            </w:r>
          </w:p>
        </w:tc>
        <w:tc>
          <w:tcPr>
            <w:tcW w:w="1331" w:type="pct"/>
            <w:noWrap w:val="0"/>
            <w:vAlign w:val="center"/>
          </w:tcPr>
          <w:p w14:paraId="3077A3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r>
      <w:tr w14:paraId="3115E7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34" w:hRule="atLeast"/>
        </w:trPr>
        <w:tc>
          <w:tcPr>
            <w:tcW w:w="445" w:type="pct"/>
            <w:vMerge w:val="continue"/>
            <w:noWrap w:val="0"/>
            <w:vAlign w:val="center"/>
          </w:tcPr>
          <w:p w14:paraId="7AB21B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333" w:type="pct"/>
            <w:noWrap w:val="0"/>
            <w:vAlign w:val="center"/>
          </w:tcPr>
          <w:p w14:paraId="190A48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964" w:type="pct"/>
            <w:noWrap w:val="0"/>
            <w:vAlign w:val="center"/>
          </w:tcPr>
          <w:p w14:paraId="3942EF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12.36</w:t>
            </w:r>
          </w:p>
        </w:tc>
        <w:tc>
          <w:tcPr>
            <w:tcW w:w="926" w:type="pct"/>
            <w:shd w:val="clear" w:color="auto" w:fill="auto"/>
            <w:noWrap w:val="0"/>
            <w:vAlign w:val="center"/>
          </w:tcPr>
          <w:p w14:paraId="40BDCD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12.36</w:t>
            </w:r>
          </w:p>
        </w:tc>
        <w:tc>
          <w:tcPr>
            <w:tcW w:w="1331" w:type="pct"/>
            <w:noWrap w:val="0"/>
            <w:vAlign w:val="center"/>
          </w:tcPr>
          <w:p w14:paraId="5D8540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0</w:t>
            </w:r>
          </w:p>
        </w:tc>
      </w:tr>
      <w:bookmarkEnd w:id="449"/>
      <w:bookmarkEnd w:id="450"/>
      <w:bookmarkEnd w:id="451"/>
      <w:bookmarkEnd w:id="457"/>
    </w:tbl>
    <w:p w14:paraId="74F7C9C8">
      <w:pPr>
        <w:bidi w:val="0"/>
        <w:rPr>
          <w:rFonts w:hint="default" w:ascii="Times New Roman" w:hAnsi="Times New Roman" w:cs="Times New Roman"/>
          <w:color w:val="auto"/>
          <w:highlight w:val="none"/>
        </w:rPr>
      </w:pPr>
    </w:p>
    <w:p w14:paraId="59DC5792">
      <w:pPr>
        <w:pStyle w:val="3"/>
        <w:rPr>
          <w:rFonts w:hint="default" w:ascii="Times New Roman" w:hAnsi="Times New Roman" w:cs="Times New Roman"/>
          <w:color w:val="auto"/>
          <w:highlight w:val="none"/>
        </w:rPr>
      </w:pPr>
      <w:bookmarkStart w:id="458" w:name="_Toc660"/>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清洁生产分析</w:t>
      </w:r>
      <w:bookmarkEnd w:id="436"/>
      <w:bookmarkEnd w:id="437"/>
      <w:bookmarkEnd w:id="438"/>
      <w:bookmarkEnd w:id="439"/>
      <w:bookmarkEnd w:id="440"/>
      <w:bookmarkEnd w:id="441"/>
      <w:bookmarkEnd w:id="442"/>
      <w:bookmarkEnd w:id="443"/>
      <w:bookmarkEnd w:id="444"/>
      <w:bookmarkEnd w:id="445"/>
      <w:bookmarkEnd w:id="446"/>
      <w:bookmarkEnd w:id="447"/>
      <w:bookmarkEnd w:id="452"/>
      <w:bookmarkEnd w:id="453"/>
      <w:bookmarkEnd w:id="454"/>
      <w:bookmarkEnd w:id="455"/>
      <w:bookmarkEnd w:id="456"/>
      <w:bookmarkEnd w:id="458"/>
    </w:p>
    <w:p w14:paraId="03AB8B93">
      <w:pPr>
        <w:pStyle w:val="32"/>
        <w:overflowPunct w:val="0"/>
        <w:topLinePunct/>
        <w:spacing w:after="0"/>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目前我国已颁布《黄金行业清洁生产评价指标体系》，项目属于资源开发项目，根据清洁生产的内容以及项目特点，本次评价重点从生产工艺装备指标、资源能源消耗指标、资源综合利用指标、污染物产生指标、清洁环境管理指标分析项目清洁生产具体情况。</w:t>
      </w:r>
    </w:p>
    <w:p w14:paraId="3ADD5FD3">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.1清洁生产水平控制指标</w:t>
      </w:r>
    </w:p>
    <w:p w14:paraId="3FE9ED4B">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eastAsia="宋体" w:cs="Times New Roman"/>
          <w:color w:val="auto"/>
          <w:sz w:val="24"/>
          <w:highlight w:val="none"/>
        </w:rPr>
        <w:t>《黄金行业清洁生产评价指标体系》</w:t>
      </w:r>
      <w:r>
        <w:rPr>
          <w:rFonts w:hint="default" w:ascii="Times New Roman" w:hAnsi="Times New Roman" w:cs="Times New Roman"/>
          <w:color w:val="auto"/>
          <w:sz w:val="24"/>
          <w:highlight w:val="none"/>
        </w:rPr>
        <w:t>，按照清洁生产的一般要求，同时考虑到</w:t>
      </w:r>
      <w:r>
        <w:rPr>
          <w:rFonts w:hint="default" w:ascii="Times New Roman" w:hAnsi="Times New Roman" w:cs="Times New Roman"/>
          <w:color w:val="auto"/>
          <w:sz w:val="24"/>
          <w:highlight w:val="none"/>
          <w:lang w:val="en-US" w:eastAsia="zh-CN"/>
        </w:rPr>
        <w:t>金矿</w:t>
      </w:r>
      <w:r>
        <w:rPr>
          <w:rFonts w:hint="default" w:ascii="Times New Roman" w:hAnsi="Times New Roman" w:cs="Times New Roman"/>
          <w:color w:val="auto"/>
          <w:sz w:val="24"/>
          <w:highlight w:val="none"/>
        </w:rPr>
        <w:t>采选行业的特点，从装备要求、资源能源利用指标、污染物产量指标、废物回收利用指标和环境管理要求5个指标分析论证项目清洁生产水平。</w:t>
      </w:r>
    </w:p>
    <w:p w14:paraId="5240A797">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.2与行业标准对比分析</w:t>
      </w:r>
    </w:p>
    <w:p w14:paraId="4D10A49F">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项目与</w:t>
      </w:r>
      <w:r>
        <w:rPr>
          <w:rFonts w:hint="default" w:ascii="Times New Roman" w:hAnsi="Times New Roman" w:eastAsia="宋体" w:cs="Times New Roman"/>
          <w:color w:val="auto"/>
          <w:sz w:val="24"/>
          <w:highlight w:val="none"/>
        </w:rPr>
        <w:t>《黄金行业清洁生产评价指标体系》</w:t>
      </w:r>
      <w:r>
        <w:rPr>
          <w:rFonts w:hint="default" w:ascii="Times New Roman" w:hAnsi="Times New Roman" w:cs="Times New Roman"/>
          <w:color w:val="auto"/>
          <w:sz w:val="24"/>
          <w:highlight w:val="none"/>
        </w:rPr>
        <w:t>进行对比分析，分析结果见表3.</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-1。根据对比，项目</w:t>
      </w:r>
      <w:r>
        <w:rPr>
          <w:rFonts w:hint="default" w:cs="Times New Roman"/>
          <w:color w:val="auto"/>
          <w:sz w:val="24"/>
          <w:highlight w:val="none"/>
          <w:lang w:eastAsia="zh-CN"/>
        </w:rPr>
        <w:t>采用</w:t>
      </w:r>
      <w:r>
        <w:rPr>
          <w:rFonts w:hint="default" w:ascii="Times New Roman" w:hAnsi="Times New Roman" w:cs="Times New Roman"/>
          <w:color w:val="auto"/>
          <w:sz w:val="24"/>
          <w:highlight w:val="none"/>
        </w:rPr>
        <w:t>国内传统工艺，技术较为成熟，清洁生产水平较高，属于国内先进水平。</w:t>
      </w:r>
    </w:p>
    <w:p w14:paraId="209C7E3E">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.3清洁生产水平分析</w:t>
      </w:r>
    </w:p>
    <w:p w14:paraId="397154C8">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本次评价的清洁生产指标选用</w:t>
      </w:r>
      <w:r>
        <w:rPr>
          <w:rFonts w:hint="default" w:ascii="Times New Roman" w:hAnsi="Times New Roman" w:eastAsia="宋体" w:cs="Times New Roman"/>
          <w:color w:val="auto"/>
          <w:sz w:val="24"/>
          <w:highlight w:val="none"/>
        </w:rPr>
        <w:t>《黄金行业清洁生产评价指标体系》</w:t>
      </w:r>
      <w:r>
        <w:rPr>
          <w:rFonts w:hint="default" w:ascii="Times New Roman" w:hAnsi="Times New Roman" w:cs="Times New Roman"/>
          <w:color w:val="auto"/>
          <w:sz w:val="24"/>
          <w:highlight w:val="none"/>
        </w:rPr>
        <w:t>。具体内容见表3.</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-1。</w:t>
      </w:r>
    </w:p>
    <w:p w14:paraId="11F522DC">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color w:val="auto"/>
          <w:kern w:val="0"/>
          <w:highlight w:val="none"/>
        </w:rPr>
        <w:t xml:space="preserve">表3.5-1    </w:t>
      </w:r>
      <w:bookmarkStart w:id="459" w:name="_Toc23425"/>
      <w:bookmarkStart w:id="460" w:name="_Toc735"/>
      <w:bookmarkStart w:id="461" w:name="_Toc14284"/>
      <w:bookmarkStart w:id="462" w:name="_Toc11882"/>
      <w:bookmarkStart w:id="463" w:name="_Toc22925"/>
      <w:r>
        <w:rPr>
          <w:rFonts w:hint="default" w:ascii="Times New Roman" w:hAnsi="Times New Roman" w:cs="Times New Roman"/>
          <w:b/>
          <w:bCs/>
          <w:color w:val="auto"/>
          <w:highlight w:val="none"/>
        </w:rPr>
        <w:t>黄金选冶（浮选）企业清洁生产指标一览表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3774"/>
        <w:gridCol w:w="1191"/>
        <w:gridCol w:w="1057"/>
        <w:gridCol w:w="1037"/>
        <w:gridCol w:w="989"/>
      </w:tblGrid>
      <w:tr w14:paraId="62C58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14" w:type="pct"/>
            <w:noWrap w:val="0"/>
            <w:vAlign w:val="center"/>
          </w:tcPr>
          <w:p w14:paraId="6F0AA25F">
            <w:pPr>
              <w:spacing w:line="360" w:lineRule="exact"/>
              <w:ind w:firstLine="0" w:firstLineChars="0"/>
              <w:jc w:val="center"/>
              <w:rPr>
                <w:rFonts w:hint="default" w:ascii="Times New Roman" w:hAnsi="Times New Roman" w:cs="Times New Roman"/>
                <w:b/>
                <w:bCs/>
                <w:color w:val="auto"/>
                <w:kern w:val="0"/>
                <w:sz w:val="21"/>
                <w:highlight w:val="none"/>
              </w:rPr>
            </w:pPr>
            <w:r>
              <w:rPr>
                <w:rFonts w:hint="default" w:ascii="Times New Roman" w:hAnsi="Times New Roman" w:cs="Times New Roman"/>
                <w:b/>
                <w:bCs/>
                <w:color w:val="auto"/>
                <w:kern w:val="0"/>
                <w:sz w:val="21"/>
                <w:highlight w:val="none"/>
              </w:rPr>
              <w:t>指标</w:t>
            </w:r>
          </w:p>
        </w:tc>
        <w:tc>
          <w:tcPr>
            <w:tcW w:w="2057" w:type="pct"/>
            <w:noWrap w:val="0"/>
            <w:vAlign w:val="center"/>
          </w:tcPr>
          <w:p w14:paraId="67425F1D">
            <w:pPr>
              <w:spacing w:line="360" w:lineRule="exact"/>
              <w:ind w:firstLine="0" w:firstLineChars="0"/>
              <w:jc w:val="center"/>
              <w:rPr>
                <w:rFonts w:hint="default" w:ascii="Times New Roman" w:hAnsi="Times New Roman" w:cs="Times New Roman"/>
                <w:b/>
                <w:bCs/>
                <w:color w:val="auto"/>
                <w:kern w:val="0"/>
                <w:sz w:val="21"/>
                <w:highlight w:val="none"/>
              </w:rPr>
            </w:pPr>
            <w:r>
              <w:rPr>
                <w:rFonts w:hint="default" w:ascii="Times New Roman" w:hAnsi="Times New Roman" w:cs="Times New Roman"/>
                <w:b/>
                <w:bCs/>
                <w:color w:val="auto"/>
                <w:kern w:val="0"/>
                <w:sz w:val="21"/>
                <w:highlight w:val="none"/>
              </w:rPr>
              <w:t>一级</w:t>
            </w:r>
          </w:p>
        </w:tc>
        <w:tc>
          <w:tcPr>
            <w:tcW w:w="1224" w:type="pct"/>
            <w:gridSpan w:val="2"/>
            <w:noWrap w:val="0"/>
            <w:vAlign w:val="center"/>
          </w:tcPr>
          <w:p w14:paraId="46D4DCF5">
            <w:pPr>
              <w:spacing w:line="360" w:lineRule="exact"/>
              <w:ind w:firstLine="0" w:firstLineChars="0"/>
              <w:jc w:val="center"/>
              <w:rPr>
                <w:rFonts w:hint="default" w:ascii="Times New Roman" w:hAnsi="Times New Roman" w:cs="Times New Roman"/>
                <w:b/>
                <w:bCs/>
                <w:color w:val="auto"/>
                <w:kern w:val="0"/>
                <w:sz w:val="21"/>
                <w:highlight w:val="none"/>
              </w:rPr>
            </w:pPr>
            <w:r>
              <w:rPr>
                <w:rFonts w:hint="default" w:ascii="Times New Roman" w:hAnsi="Times New Roman" w:cs="Times New Roman"/>
                <w:b/>
                <w:bCs/>
                <w:color w:val="auto"/>
                <w:kern w:val="0"/>
                <w:sz w:val="21"/>
                <w:highlight w:val="none"/>
              </w:rPr>
              <w:t>二级</w:t>
            </w:r>
          </w:p>
        </w:tc>
        <w:tc>
          <w:tcPr>
            <w:tcW w:w="565" w:type="pct"/>
            <w:noWrap w:val="0"/>
            <w:vAlign w:val="center"/>
          </w:tcPr>
          <w:p w14:paraId="2AEDA84E">
            <w:pPr>
              <w:spacing w:line="360" w:lineRule="exact"/>
              <w:ind w:firstLine="0" w:firstLineChars="0"/>
              <w:jc w:val="center"/>
              <w:rPr>
                <w:rFonts w:hint="default" w:ascii="Times New Roman" w:hAnsi="Times New Roman" w:cs="Times New Roman"/>
                <w:b/>
                <w:bCs/>
                <w:color w:val="auto"/>
                <w:kern w:val="0"/>
                <w:sz w:val="21"/>
                <w:highlight w:val="none"/>
              </w:rPr>
            </w:pPr>
            <w:r>
              <w:rPr>
                <w:rFonts w:hint="default" w:ascii="Times New Roman" w:hAnsi="Times New Roman" w:cs="Times New Roman"/>
                <w:b/>
                <w:bCs/>
                <w:color w:val="auto"/>
                <w:kern w:val="0"/>
                <w:sz w:val="21"/>
                <w:highlight w:val="none"/>
              </w:rPr>
              <w:t>三级</w:t>
            </w:r>
          </w:p>
        </w:tc>
        <w:tc>
          <w:tcPr>
            <w:tcW w:w="537" w:type="pct"/>
            <w:noWrap w:val="0"/>
            <w:vAlign w:val="center"/>
          </w:tcPr>
          <w:p w14:paraId="4A9BBD2A">
            <w:pPr>
              <w:spacing w:line="360" w:lineRule="exact"/>
              <w:ind w:firstLine="0" w:firstLineChars="0"/>
              <w:jc w:val="center"/>
              <w:rPr>
                <w:rFonts w:hint="default" w:ascii="Times New Roman" w:hAnsi="Times New Roman" w:cs="Times New Roman"/>
                <w:b/>
                <w:bCs/>
                <w:color w:val="auto"/>
                <w:kern w:val="0"/>
                <w:sz w:val="21"/>
                <w:highlight w:val="none"/>
              </w:rPr>
            </w:pPr>
            <w:r>
              <w:rPr>
                <w:rFonts w:hint="default" w:ascii="Times New Roman" w:hAnsi="Times New Roman" w:cs="Times New Roman"/>
                <w:b/>
                <w:bCs/>
                <w:color w:val="auto"/>
                <w:kern w:val="0"/>
                <w:sz w:val="21"/>
                <w:highlight w:val="none"/>
                <w:lang w:val="en-US" w:eastAsia="zh-CN"/>
              </w:rPr>
              <w:t>项目</w:t>
            </w:r>
            <w:r>
              <w:rPr>
                <w:rFonts w:hint="default" w:ascii="Times New Roman" w:hAnsi="Times New Roman" w:cs="Times New Roman"/>
                <w:b/>
                <w:bCs/>
                <w:color w:val="auto"/>
                <w:kern w:val="0"/>
                <w:sz w:val="21"/>
                <w:highlight w:val="none"/>
              </w:rPr>
              <w:t>情况</w:t>
            </w:r>
          </w:p>
        </w:tc>
      </w:tr>
      <w:tr w14:paraId="470D8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627E0508">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一、</w:t>
            </w:r>
            <w:r>
              <w:rPr>
                <w:rFonts w:hint="default" w:ascii="Times New Roman" w:hAnsi="Times New Roman" w:cs="Times New Roman"/>
                <w:color w:val="auto"/>
                <w:sz w:val="21"/>
                <w:highlight w:val="none"/>
              </w:rPr>
              <w:t>生产工艺装备指标</w:t>
            </w:r>
          </w:p>
        </w:tc>
      </w:tr>
      <w:tr w14:paraId="1E3F1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12F675DB">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工艺及装备技术</w:t>
            </w:r>
          </w:p>
        </w:tc>
        <w:tc>
          <w:tcPr>
            <w:tcW w:w="2057" w:type="pct"/>
            <w:noWrap w:val="0"/>
            <w:vAlign w:val="center"/>
          </w:tcPr>
          <w:p w14:paraId="499A4E3A">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采用国际先进适用的浮选工艺及技术，实现多破少磨，碎粒度≤12mm，磨矿装备采用变频节能技术；采用尾矿干排技术，采用节能、高效的超细磨装备、重选装备及浮选装备。</w:t>
            </w:r>
          </w:p>
        </w:tc>
        <w:tc>
          <w:tcPr>
            <w:tcW w:w="1224" w:type="pct"/>
            <w:gridSpan w:val="2"/>
            <w:noWrap w:val="0"/>
            <w:vAlign w:val="center"/>
          </w:tcPr>
          <w:p w14:paraId="70B2FB8B">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采用国内适用的浮选工艺及技术，磨矿装备采用变频节能技术</w:t>
            </w:r>
          </w:p>
        </w:tc>
        <w:tc>
          <w:tcPr>
            <w:tcW w:w="565" w:type="pct"/>
            <w:noWrap w:val="0"/>
            <w:vAlign w:val="center"/>
          </w:tcPr>
          <w:p w14:paraId="029C0C7D">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采用国内一般的工艺及装备</w:t>
            </w:r>
          </w:p>
        </w:tc>
        <w:tc>
          <w:tcPr>
            <w:tcW w:w="537" w:type="pct"/>
            <w:noWrap w:val="0"/>
            <w:vAlign w:val="center"/>
          </w:tcPr>
          <w:p w14:paraId="1EEC6D8E">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二级</w:t>
            </w:r>
          </w:p>
        </w:tc>
      </w:tr>
      <w:tr w14:paraId="4FCAD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235975C8">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自动化控制指标</w:t>
            </w:r>
          </w:p>
        </w:tc>
        <w:tc>
          <w:tcPr>
            <w:tcW w:w="2057" w:type="pct"/>
            <w:noWrap w:val="0"/>
            <w:vAlign w:val="center"/>
          </w:tcPr>
          <w:p w14:paraId="1FEBB840">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采用现场总线控制系统（FCS）、集散控制系统（DCS）、生产管理信息分析系统，生产全过程控制</w:t>
            </w:r>
          </w:p>
        </w:tc>
        <w:tc>
          <w:tcPr>
            <w:tcW w:w="1224" w:type="pct"/>
            <w:gridSpan w:val="2"/>
            <w:noWrap w:val="0"/>
            <w:vAlign w:val="center"/>
          </w:tcPr>
          <w:p w14:paraId="58640934">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采用可编程逻辑控制器（PLC）、生产管理信息分析系统，主要单元过程控制</w:t>
            </w:r>
          </w:p>
        </w:tc>
        <w:tc>
          <w:tcPr>
            <w:tcW w:w="565" w:type="pct"/>
            <w:noWrap w:val="0"/>
            <w:vAlign w:val="center"/>
          </w:tcPr>
          <w:p w14:paraId="6E36FD34">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生产过程无自动化控制</w:t>
            </w:r>
          </w:p>
        </w:tc>
        <w:tc>
          <w:tcPr>
            <w:tcW w:w="537" w:type="pct"/>
            <w:noWrap w:val="0"/>
            <w:vAlign w:val="center"/>
          </w:tcPr>
          <w:p w14:paraId="76D79C4C">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color w:val="auto"/>
                <w:sz w:val="21"/>
                <w:highlight w:val="none"/>
              </w:rPr>
              <w:t>二级</w:t>
            </w:r>
          </w:p>
        </w:tc>
      </w:tr>
      <w:tr w14:paraId="3A53A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3876554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二、资源能源消耗指标</w:t>
            </w:r>
          </w:p>
        </w:tc>
      </w:tr>
      <w:tr w14:paraId="2E53B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1B5092D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综合能耗/kg/t</w:t>
            </w:r>
          </w:p>
        </w:tc>
        <w:tc>
          <w:tcPr>
            <w:tcW w:w="2057" w:type="pct"/>
            <w:noWrap w:val="0"/>
            <w:vAlign w:val="center"/>
          </w:tcPr>
          <w:p w14:paraId="5B00C6C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≤3.5</w:t>
            </w:r>
          </w:p>
        </w:tc>
        <w:tc>
          <w:tcPr>
            <w:tcW w:w="1224" w:type="pct"/>
            <w:gridSpan w:val="2"/>
            <w:noWrap w:val="0"/>
            <w:vAlign w:val="center"/>
          </w:tcPr>
          <w:p w14:paraId="15FE46E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≤4.2</w:t>
            </w:r>
          </w:p>
        </w:tc>
        <w:tc>
          <w:tcPr>
            <w:tcW w:w="565" w:type="pct"/>
            <w:noWrap w:val="0"/>
            <w:vAlign w:val="center"/>
          </w:tcPr>
          <w:p w14:paraId="022A407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≤6.5</w:t>
            </w:r>
          </w:p>
        </w:tc>
        <w:tc>
          <w:tcPr>
            <w:tcW w:w="537" w:type="pct"/>
            <w:noWrap w:val="0"/>
            <w:vAlign w:val="center"/>
          </w:tcPr>
          <w:p w14:paraId="05D4621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r w14:paraId="546FE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702E761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取水量/m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/t</w:t>
            </w:r>
          </w:p>
        </w:tc>
        <w:tc>
          <w:tcPr>
            <w:tcW w:w="2057" w:type="pct"/>
            <w:noWrap w:val="0"/>
            <w:vAlign w:val="center"/>
          </w:tcPr>
          <w:p w14:paraId="557F6F13">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≤0.3</w:t>
            </w:r>
          </w:p>
        </w:tc>
        <w:tc>
          <w:tcPr>
            <w:tcW w:w="1224" w:type="pct"/>
            <w:gridSpan w:val="2"/>
            <w:noWrap w:val="0"/>
            <w:vAlign w:val="center"/>
          </w:tcPr>
          <w:p w14:paraId="053AB369">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≤0.7</w:t>
            </w:r>
          </w:p>
        </w:tc>
        <w:tc>
          <w:tcPr>
            <w:tcW w:w="565" w:type="pct"/>
            <w:noWrap w:val="0"/>
            <w:vAlign w:val="center"/>
          </w:tcPr>
          <w:p w14:paraId="7F0D6B71">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537" w:type="pct"/>
            <w:noWrap w:val="0"/>
            <w:vAlign w:val="center"/>
          </w:tcPr>
          <w:p w14:paraId="14DAFD0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r w14:paraId="2DB5E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78D4413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三、资源综合利用指标</w:t>
            </w:r>
          </w:p>
        </w:tc>
      </w:tr>
      <w:tr w14:paraId="70CD0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13FABCB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金回收率/%</w:t>
            </w:r>
          </w:p>
        </w:tc>
        <w:tc>
          <w:tcPr>
            <w:tcW w:w="2057" w:type="pct"/>
            <w:noWrap w:val="0"/>
            <w:vAlign w:val="center"/>
          </w:tcPr>
          <w:p w14:paraId="6A9DCD5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≥95.0</w:t>
            </w:r>
          </w:p>
        </w:tc>
        <w:tc>
          <w:tcPr>
            <w:tcW w:w="1224" w:type="pct"/>
            <w:gridSpan w:val="2"/>
            <w:noWrap w:val="0"/>
            <w:vAlign w:val="center"/>
          </w:tcPr>
          <w:p w14:paraId="7F43FCC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≥85.0</w:t>
            </w:r>
          </w:p>
        </w:tc>
        <w:tc>
          <w:tcPr>
            <w:tcW w:w="565" w:type="pct"/>
            <w:noWrap w:val="0"/>
            <w:vAlign w:val="center"/>
          </w:tcPr>
          <w:p w14:paraId="610BA14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≥75.0</w:t>
            </w:r>
          </w:p>
        </w:tc>
        <w:tc>
          <w:tcPr>
            <w:tcW w:w="537" w:type="pct"/>
            <w:noWrap w:val="0"/>
            <w:vAlign w:val="center"/>
          </w:tcPr>
          <w:p w14:paraId="550F48F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r w14:paraId="715A6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6F2431A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共生矿产/%</w:t>
            </w:r>
          </w:p>
        </w:tc>
        <w:tc>
          <w:tcPr>
            <w:tcW w:w="3282" w:type="pct"/>
            <w:gridSpan w:val="3"/>
            <w:noWrap w:val="0"/>
            <w:vAlign w:val="center"/>
          </w:tcPr>
          <w:p w14:paraId="66FFF1D1">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≥60</w:t>
            </w:r>
          </w:p>
        </w:tc>
        <w:tc>
          <w:tcPr>
            <w:tcW w:w="565" w:type="pct"/>
            <w:noWrap w:val="0"/>
            <w:vAlign w:val="center"/>
          </w:tcPr>
          <w:p w14:paraId="49EA21E0">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有回收利用</w:t>
            </w:r>
          </w:p>
        </w:tc>
        <w:tc>
          <w:tcPr>
            <w:tcW w:w="537" w:type="pct"/>
            <w:noWrap w:val="0"/>
            <w:vAlign w:val="center"/>
          </w:tcPr>
          <w:p w14:paraId="59F9F98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r w14:paraId="046C0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680828C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伴生矿产/%</w:t>
            </w:r>
          </w:p>
        </w:tc>
        <w:tc>
          <w:tcPr>
            <w:tcW w:w="3282" w:type="pct"/>
            <w:gridSpan w:val="3"/>
            <w:noWrap w:val="0"/>
            <w:vAlign w:val="center"/>
          </w:tcPr>
          <w:p w14:paraId="7C55C4A6">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≥40</w:t>
            </w:r>
          </w:p>
        </w:tc>
        <w:tc>
          <w:tcPr>
            <w:tcW w:w="565" w:type="pct"/>
            <w:noWrap w:val="0"/>
            <w:vAlign w:val="center"/>
          </w:tcPr>
          <w:p w14:paraId="0E76F02E">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有回收利用</w:t>
            </w:r>
          </w:p>
        </w:tc>
        <w:tc>
          <w:tcPr>
            <w:tcW w:w="537" w:type="pct"/>
            <w:noWrap w:val="0"/>
            <w:vAlign w:val="center"/>
          </w:tcPr>
          <w:p w14:paraId="3DA2570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r w14:paraId="674A8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14" w:type="pct"/>
            <w:noWrap w:val="0"/>
            <w:vAlign w:val="center"/>
          </w:tcPr>
          <w:p w14:paraId="4E31068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工业用水</w:t>
            </w:r>
          </w:p>
          <w:p w14:paraId="148AFA1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重复利用率/%</w:t>
            </w:r>
          </w:p>
        </w:tc>
        <w:tc>
          <w:tcPr>
            <w:tcW w:w="2057" w:type="pct"/>
            <w:noWrap w:val="0"/>
            <w:vAlign w:val="center"/>
          </w:tcPr>
          <w:p w14:paraId="7AD37ABF">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≥90</w:t>
            </w:r>
          </w:p>
        </w:tc>
        <w:tc>
          <w:tcPr>
            <w:tcW w:w="1224" w:type="pct"/>
            <w:gridSpan w:val="2"/>
            <w:noWrap w:val="0"/>
            <w:vAlign w:val="center"/>
          </w:tcPr>
          <w:p w14:paraId="0ACB7E86">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≥80</w:t>
            </w:r>
          </w:p>
        </w:tc>
        <w:tc>
          <w:tcPr>
            <w:tcW w:w="565" w:type="pct"/>
            <w:noWrap w:val="0"/>
            <w:vAlign w:val="center"/>
          </w:tcPr>
          <w:p w14:paraId="7470CC0E">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w:t>
            </w:r>
          </w:p>
        </w:tc>
        <w:tc>
          <w:tcPr>
            <w:tcW w:w="537" w:type="pct"/>
            <w:noWrap w:val="0"/>
            <w:vAlign w:val="center"/>
          </w:tcPr>
          <w:p w14:paraId="6716FFD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100%，一级</w:t>
            </w:r>
          </w:p>
        </w:tc>
      </w:tr>
      <w:tr w14:paraId="7DCFD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7811618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尾矿利用率/%</w:t>
            </w:r>
          </w:p>
        </w:tc>
        <w:tc>
          <w:tcPr>
            <w:tcW w:w="2057" w:type="pct"/>
            <w:noWrap w:val="0"/>
            <w:vAlign w:val="center"/>
          </w:tcPr>
          <w:p w14:paraId="6694615D">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≥25</w:t>
            </w:r>
          </w:p>
        </w:tc>
        <w:tc>
          <w:tcPr>
            <w:tcW w:w="1224" w:type="pct"/>
            <w:gridSpan w:val="2"/>
            <w:noWrap w:val="0"/>
            <w:vAlign w:val="center"/>
          </w:tcPr>
          <w:p w14:paraId="0F278A4A">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w:t>
            </w:r>
          </w:p>
        </w:tc>
        <w:tc>
          <w:tcPr>
            <w:tcW w:w="565" w:type="pct"/>
            <w:noWrap w:val="0"/>
            <w:vAlign w:val="center"/>
          </w:tcPr>
          <w:p w14:paraId="7F6E63FC">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≥15</w:t>
            </w:r>
          </w:p>
        </w:tc>
        <w:tc>
          <w:tcPr>
            <w:tcW w:w="537" w:type="pct"/>
            <w:noWrap w:val="0"/>
            <w:vAlign w:val="center"/>
          </w:tcPr>
          <w:p w14:paraId="341D2801">
            <w:pPr>
              <w:spacing w:line="360" w:lineRule="exact"/>
              <w:ind w:firstLine="0" w:firstLineChars="0"/>
              <w:jc w:val="center"/>
              <w:rPr>
                <w:rFonts w:hint="default" w:ascii="Times New Roman" w:hAnsi="Times New Roman" w:cs="Times New Roman"/>
                <w:color w:val="auto"/>
                <w:sz w:val="21"/>
                <w:highlight w:val="none"/>
              </w:rPr>
            </w:pPr>
            <w:r>
              <w:rPr>
                <w:rFonts w:hint="default" w:cs="Times New Roman"/>
                <w:color w:val="auto"/>
                <w:sz w:val="21"/>
                <w:highlight w:val="none"/>
                <w:lang w:val="en-US" w:eastAsia="zh-CN"/>
              </w:rPr>
              <w:t>60.9</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eastAsia="zh-CN"/>
              </w:rPr>
              <w:t>一</w:t>
            </w:r>
            <w:r>
              <w:rPr>
                <w:rFonts w:hint="default" w:ascii="Times New Roman" w:hAnsi="Times New Roman" w:cs="Times New Roman"/>
                <w:color w:val="auto"/>
                <w:sz w:val="21"/>
                <w:highlight w:val="none"/>
              </w:rPr>
              <w:t>级</w:t>
            </w:r>
          </w:p>
        </w:tc>
      </w:tr>
      <w:tr w14:paraId="0E110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778C483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四、污染物产生指标</w:t>
            </w:r>
          </w:p>
        </w:tc>
      </w:tr>
      <w:tr w14:paraId="71AEB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4CFCE46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浮选废水</w:t>
            </w:r>
          </w:p>
          <w:p w14:paraId="10AD8F3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产生量/m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/t</w:t>
            </w:r>
          </w:p>
        </w:tc>
        <w:tc>
          <w:tcPr>
            <w:tcW w:w="2057" w:type="pct"/>
            <w:noWrap w:val="0"/>
            <w:vAlign w:val="center"/>
          </w:tcPr>
          <w:p w14:paraId="2380537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w:t>
            </w:r>
          </w:p>
        </w:tc>
        <w:tc>
          <w:tcPr>
            <w:tcW w:w="1224" w:type="pct"/>
            <w:gridSpan w:val="2"/>
            <w:noWrap w:val="0"/>
            <w:vAlign w:val="center"/>
          </w:tcPr>
          <w:p w14:paraId="7993FAE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≤2.5</w:t>
            </w:r>
          </w:p>
        </w:tc>
        <w:tc>
          <w:tcPr>
            <w:tcW w:w="565" w:type="pct"/>
            <w:noWrap w:val="0"/>
            <w:vAlign w:val="center"/>
          </w:tcPr>
          <w:p w14:paraId="5DAB23C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≤3.0</w:t>
            </w:r>
          </w:p>
        </w:tc>
        <w:tc>
          <w:tcPr>
            <w:tcW w:w="537" w:type="pct"/>
            <w:vMerge w:val="restart"/>
            <w:noWrap w:val="0"/>
            <w:vAlign w:val="center"/>
          </w:tcPr>
          <w:p w14:paraId="25F7AF7D">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二级</w:t>
            </w:r>
          </w:p>
        </w:tc>
      </w:tr>
      <w:tr w14:paraId="619FE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72512338">
            <w:pPr>
              <w:spacing w:line="360" w:lineRule="exact"/>
              <w:ind w:firstLine="0" w:firstLineChars="0"/>
              <w:jc w:val="center"/>
              <w:rPr>
                <w:rFonts w:hint="default" w:ascii="Times New Roman" w:hAnsi="Times New Roman" w:cs="Times New Roman"/>
                <w:color w:val="auto"/>
                <w:sz w:val="21"/>
                <w:highlight w:val="none"/>
                <w:vertAlign w:val="subscript"/>
              </w:rPr>
            </w:pPr>
            <w:r>
              <w:rPr>
                <w:rFonts w:hint="default" w:ascii="Times New Roman" w:hAnsi="Times New Roman" w:cs="Times New Roman"/>
                <w:color w:val="auto"/>
                <w:sz w:val="21"/>
                <w:highlight w:val="none"/>
              </w:rPr>
              <w:t>COD</w:t>
            </w:r>
            <w:r>
              <w:rPr>
                <w:rFonts w:hint="default" w:ascii="Times New Roman" w:hAnsi="Times New Roman" w:cs="Times New Roman"/>
                <w:color w:val="auto"/>
                <w:sz w:val="21"/>
                <w:highlight w:val="none"/>
                <w:vertAlign w:val="subscript"/>
              </w:rPr>
              <w:t>cr</w:t>
            </w:r>
          </w:p>
          <w:p w14:paraId="0270B30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产生量/kg/t</w:t>
            </w:r>
          </w:p>
        </w:tc>
        <w:tc>
          <w:tcPr>
            <w:tcW w:w="2057" w:type="pct"/>
            <w:noWrap w:val="0"/>
            <w:vAlign w:val="center"/>
          </w:tcPr>
          <w:p w14:paraId="2D76C78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≤0.05</w:t>
            </w:r>
          </w:p>
        </w:tc>
        <w:tc>
          <w:tcPr>
            <w:tcW w:w="1224" w:type="pct"/>
            <w:gridSpan w:val="2"/>
            <w:noWrap w:val="0"/>
            <w:vAlign w:val="center"/>
          </w:tcPr>
          <w:p w14:paraId="3B51044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≤0.10</w:t>
            </w:r>
          </w:p>
        </w:tc>
        <w:tc>
          <w:tcPr>
            <w:tcW w:w="565" w:type="pct"/>
            <w:noWrap w:val="0"/>
            <w:vAlign w:val="center"/>
          </w:tcPr>
          <w:p w14:paraId="4F9FD04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≤0.50</w:t>
            </w:r>
          </w:p>
        </w:tc>
        <w:tc>
          <w:tcPr>
            <w:tcW w:w="537" w:type="pct"/>
            <w:vMerge w:val="continue"/>
            <w:noWrap w:val="0"/>
            <w:vAlign w:val="center"/>
          </w:tcPr>
          <w:p w14:paraId="46F48657">
            <w:pPr>
              <w:spacing w:line="360" w:lineRule="exact"/>
              <w:ind w:firstLine="0" w:firstLineChars="0"/>
              <w:jc w:val="center"/>
              <w:rPr>
                <w:rFonts w:hint="default" w:ascii="Times New Roman" w:hAnsi="Times New Roman" w:cs="Times New Roman"/>
                <w:color w:val="auto"/>
                <w:sz w:val="21"/>
                <w:highlight w:val="none"/>
              </w:rPr>
            </w:pPr>
          </w:p>
        </w:tc>
      </w:tr>
      <w:tr w14:paraId="10131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0A19EE8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五、清洁生产管理指标</w:t>
            </w:r>
          </w:p>
        </w:tc>
      </w:tr>
      <w:tr w14:paraId="35123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7137BBA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产业政策</w:t>
            </w:r>
          </w:p>
          <w:p w14:paraId="2378A29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执行情况</w:t>
            </w:r>
          </w:p>
        </w:tc>
        <w:tc>
          <w:tcPr>
            <w:tcW w:w="3847" w:type="pct"/>
            <w:gridSpan w:val="4"/>
            <w:noWrap w:val="0"/>
            <w:vAlign w:val="center"/>
          </w:tcPr>
          <w:p w14:paraId="0AE9900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生产工艺和装备符合国家和地方相关产业政策，外排污染物达标排放、符合总量控制和排污许可证管理要求，严格执行建设项目环境影响评价制度和环保“三同时”制度等。</w:t>
            </w:r>
          </w:p>
        </w:tc>
        <w:tc>
          <w:tcPr>
            <w:tcW w:w="537" w:type="pct"/>
            <w:noWrap w:val="0"/>
            <w:vAlign w:val="center"/>
          </w:tcPr>
          <w:p w14:paraId="1F38D84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66B25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6D62395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清洁生产</w:t>
            </w:r>
          </w:p>
          <w:p w14:paraId="7D615A5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管理制度</w:t>
            </w:r>
          </w:p>
        </w:tc>
        <w:tc>
          <w:tcPr>
            <w:tcW w:w="3847" w:type="pct"/>
            <w:gridSpan w:val="4"/>
            <w:noWrap w:val="0"/>
            <w:vAlign w:val="center"/>
          </w:tcPr>
          <w:p w14:paraId="2A1195E7">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建立完善的管理制度并严格执行</w:t>
            </w:r>
          </w:p>
        </w:tc>
        <w:tc>
          <w:tcPr>
            <w:tcW w:w="537" w:type="pct"/>
            <w:noWrap w:val="0"/>
            <w:vAlign w:val="center"/>
          </w:tcPr>
          <w:p w14:paraId="484610E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73859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379FB9F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清洁生产审核</w:t>
            </w:r>
          </w:p>
          <w:p w14:paraId="36077B1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制度执行情况</w:t>
            </w:r>
          </w:p>
        </w:tc>
        <w:tc>
          <w:tcPr>
            <w:tcW w:w="3847" w:type="pct"/>
            <w:gridSpan w:val="4"/>
            <w:noWrap w:val="0"/>
            <w:vAlign w:val="center"/>
          </w:tcPr>
          <w:p w14:paraId="7F90436C">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按照《</w:t>
            </w:r>
            <w:r>
              <w:rPr>
                <w:rFonts w:hint="default" w:cs="Times New Roman"/>
                <w:color w:val="auto"/>
                <w:sz w:val="21"/>
                <w:highlight w:val="none"/>
                <w:lang w:eastAsia="zh-CN"/>
              </w:rPr>
              <w:t>中华人民共和国清洁生产促进法</w:t>
            </w:r>
            <w:r>
              <w:rPr>
                <w:rFonts w:hint="default" w:ascii="Times New Roman" w:hAnsi="Times New Roman" w:cs="Times New Roman"/>
                <w:color w:val="auto"/>
                <w:sz w:val="21"/>
                <w:highlight w:val="none"/>
              </w:rPr>
              <w:t>》和《清洁生产审核办法》的要求开展审核</w:t>
            </w:r>
          </w:p>
        </w:tc>
        <w:tc>
          <w:tcPr>
            <w:tcW w:w="537" w:type="pct"/>
            <w:noWrap w:val="0"/>
            <w:vAlign w:val="center"/>
          </w:tcPr>
          <w:p w14:paraId="42552FD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2A006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18F79CF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清洁生产部门和人员配备</w:t>
            </w:r>
          </w:p>
        </w:tc>
        <w:tc>
          <w:tcPr>
            <w:tcW w:w="3282" w:type="pct"/>
            <w:gridSpan w:val="3"/>
            <w:noWrap w:val="0"/>
            <w:vAlign w:val="center"/>
          </w:tcPr>
          <w:p w14:paraId="445ABD99">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设有清洁生产管理部门和配备专职管理人员</w:t>
            </w:r>
          </w:p>
        </w:tc>
        <w:tc>
          <w:tcPr>
            <w:tcW w:w="565" w:type="pct"/>
            <w:noWrap w:val="0"/>
            <w:vAlign w:val="center"/>
          </w:tcPr>
          <w:p w14:paraId="6F4DE706">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设清洁生产管理部门和人员</w:t>
            </w:r>
          </w:p>
        </w:tc>
        <w:tc>
          <w:tcPr>
            <w:tcW w:w="537" w:type="pct"/>
            <w:noWrap w:val="0"/>
            <w:vAlign w:val="center"/>
          </w:tcPr>
          <w:p w14:paraId="6923CE0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符合，二级</w:t>
            </w:r>
          </w:p>
        </w:tc>
      </w:tr>
      <w:tr w14:paraId="375FE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4920DFB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开展提升清洁生产能力的活动</w:t>
            </w:r>
          </w:p>
        </w:tc>
        <w:tc>
          <w:tcPr>
            <w:tcW w:w="2057" w:type="pct"/>
            <w:noWrap w:val="0"/>
            <w:vAlign w:val="center"/>
          </w:tcPr>
          <w:p w14:paraId="2C17CFAE">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每年开展清洁生产活动2次以上</w:t>
            </w:r>
          </w:p>
        </w:tc>
        <w:tc>
          <w:tcPr>
            <w:tcW w:w="1789" w:type="pct"/>
            <w:gridSpan w:val="3"/>
            <w:noWrap w:val="0"/>
            <w:vAlign w:val="center"/>
          </w:tcPr>
          <w:p w14:paraId="2966CCF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开展清洁生产活动</w:t>
            </w:r>
          </w:p>
        </w:tc>
        <w:tc>
          <w:tcPr>
            <w:tcW w:w="537" w:type="pct"/>
            <w:noWrap w:val="0"/>
            <w:vAlign w:val="center"/>
          </w:tcPr>
          <w:p w14:paraId="016A358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二</w:t>
            </w:r>
            <w:r>
              <w:rPr>
                <w:rFonts w:hint="default" w:ascii="Times New Roman" w:hAnsi="Times New Roman" w:cs="Times New Roman"/>
                <w:color w:val="auto"/>
                <w:sz w:val="21"/>
                <w:highlight w:val="none"/>
              </w:rPr>
              <w:t>级</w:t>
            </w:r>
          </w:p>
        </w:tc>
      </w:tr>
      <w:tr w14:paraId="7A383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3284A61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环保设施运转率</w:t>
            </w:r>
          </w:p>
        </w:tc>
        <w:tc>
          <w:tcPr>
            <w:tcW w:w="3847" w:type="pct"/>
            <w:gridSpan w:val="4"/>
            <w:noWrap w:val="0"/>
            <w:vAlign w:val="center"/>
          </w:tcPr>
          <w:p w14:paraId="4C6F41A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环保设备与对应的装备同步运转率100%</w:t>
            </w:r>
          </w:p>
        </w:tc>
        <w:tc>
          <w:tcPr>
            <w:tcW w:w="537" w:type="pct"/>
            <w:noWrap w:val="0"/>
            <w:vAlign w:val="center"/>
          </w:tcPr>
          <w:p w14:paraId="0C10EBB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6EAA9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2F56C41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岗位培训</w:t>
            </w:r>
          </w:p>
        </w:tc>
        <w:tc>
          <w:tcPr>
            <w:tcW w:w="2057" w:type="pct"/>
            <w:noWrap w:val="0"/>
            <w:vAlign w:val="center"/>
          </w:tcPr>
          <w:p w14:paraId="3EE537E2">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所有岗位定期培训每年2次以上</w:t>
            </w:r>
          </w:p>
        </w:tc>
        <w:tc>
          <w:tcPr>
            <w:tcW w:w="1224" w:type="pct"/>
            <w:gridSpan w:val="2"/>
            <w:noWrap w:val="0"/>
            <w:vAlign w:val="center"/>
          </w:tcPr>
          <w:p w14:paraId="4BCC814A">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所有岗位定期培训每年1次以上</w:t>
            </w:r>
          </w:p>
        </w:tc>
        <w:tc>
          <w:tcPr>
            <w:tcW w:w="565" w:type="pct"/>
            <w:noWrap w:val="0"/>
            <w:vAlign w:val="center"/>
          </w:tcPr>
          <w:p w14:paraId="56DEABF9">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所有岗位进行不定期培训</w:t>
            </w:r>
          </w:p>
        </w:tc>
        <w:tc>
          <w:tcPr>
            <w:tcW w:w="537" w:type="pct"/>
            <w:noWrap w:val="0"/>
            <w:vAlign w:val="center"/>
          </w:tcPr>
          <w:p w14:paraId="52347E9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r w14:paraId="53366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7F300B2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节能管理</w:t>
            </w:r>
          </w:p>
        </w:tc>
        <w:tc>
          <w:tcPr>
            <w:tcW w:w="2057" w:type="pct"/>
            <w:noWrap w:val="0"/>
            <w:vAlign w:val="center"/>
          </w:tcPr>
          <w:p w14:paraId="03490764">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实施低温余热利用、高压变频、能源管理中心建设；配备专职管理人员；并符合GB17167配备要求，建立能源管理体系并通过认证审核</w:t>
            </w:r>
          </w:p>
        </w:tc>
        <w:tc>
          <w:tcPr>
            <w:tcW w:w="1789" w:type="pct"/>
            <w:gridSpan w:val="3"/>
            <w:noWrap w:val="0"/>
            <w:vAlign w:val="center"/>
          </w:tcPr>
          <w:p w14:paraId="3D617500">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有降低能耗措施，设有节能管理人员，并符合GB17167配备要求，建立能源三级管理体系</w:t>
            </w:r>
          </w:p>
        </w:tc>
        <w:tc>
          <w:tcPr>
            <w:tcW w:w="537" w:type="pct"/>
            <w:noWrap w:val="0"/>
            <w:vAlign w:val="center"/>
          </w:tcPr>
          <w:p w14:paraId="1A9B1A3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r w14:paraId="3EEBD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758C2AB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原料、燃料</w:t>
            </w:r>
          </w:p>
          <w:p w14:paraId="36F192A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消耗及质检</w:t>
            </w:r>
          </w:p>
        </w:tc>
        <w:tc>
          <w:tcPr>
            <w:tcW w:w="3847" w:type="pct"/>
            <w:gridSpan w:val="4"/>
            <w:noWrap w:val="0"/>
            <w:vAlign w:val="center"/>
          </w:tcPr>
          <w:p w14:paraId="698312AF">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建立原料燃料质检制度和原料、燃料消耗定额管理制度，安装计量装置或仪表，对能耗、物耗及水耗严格定量考核</w:t>
            </w:r>
          </w:p>
        </w:tc>
        <w:tc>
          <w:tcPr>
            <w:tcW w:w="537" w:type="pct"/>
            <w:noWrap w:val="0"/>
            <w:vAlign w:val="center"/>
          </w:tcPr>
          <w:p w14:paraId="1C6A55C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0EEE2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noWrap w:val="0"/>
            <w:vAlign w:val="center"/>
          </w:tcPr>
          <w:p w14:paraId="4D93201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环境应急</w:t>
            </w:r>
          </w:p>
          <w:p w14:paraId="1504E32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预案有效</w:t>
            </w:r>
          </w:p>
        </w:tc>
        <w:tc>
          <w:tcPr>
            <w:tcW w:w="2706" w:type="pct"/>
            <w:gridSpan w:val="2"/>
            <w:noWrap w:val="0"/>
            <w:vAlign w:val="center"/>
          </w:tcPr>
          <w:p w14:paraId="23A89811">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编制系统的环境应急预案并定期开展应急演练</w:t>
            </w:r>
          </w:p>
        </w:tc>
        <w:tc>
          <w:tcPr>
            <w:tcW w:w="1141" w:type="pct"/>
            <w:gridSpan w:val="2"/>
            <w:noWrap w:val="0"/>
            <w:vAlign w:val="center"/>
          </w:tcPr>
          <w:p w14:paraId="79C0B31B">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编制环境应急预案并开展环境应急演练</w:t>
            </w:r>
          </w:p>
        </w:tc>
        <w:tc>
          <w:tcPr>
            <w:tcW w:w="537" w:type="pct"/>
            <w:noWrap w:val="0"/>
            <w:vAlign w:val="center"/>
          </w:tcPr>
          <w:p w14:paraId="57D58B8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二级</w:t>
            </w:r>
          </w:p>
        </w:tc>
      </w:tr>
    </w:tbl>
    <w:p w14:paraId="63CDB815">
      <w:pPr>
        <w:pStyle w:val="32"/>
        <w:overflowPunct w:val="0"/>
        <w:topLinePunct/>
        <w:spacing w:after="0"/>
        <w:ind w:left="0" w:leftChars="0" w:firstLine="480"/>
        <w:rPr>
          <w:rFonts w:hint="default" w:ascii="Times New Roman" w:hAnsi="Times New Roman" w:cs="Times New Roman"/>
          <w:color w:val="auto"/>
          <w:sz w:val="24"/>
          <w:highlight w:val="none"/>
        </w:rPr>
      </w:pPr>
    </w:p>
    <w:p w14:paraId="502BC76C">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.4清洁生产评价结论</w:t>
      </w:r>
      <w:bookmarkEnd w:id="459"/>
      <w:bookmarkEnd w:id="460"/>
      <w:bookmarkEnd w:id="461"/>
      <w:bookmarkEnd w:id="462"/>
      <w:bookmarkEnd w:id="463"/>
    </w:p>
    <w:p w14:paraId="51137D9A">
      <w:pPr>
        <w:pStyle w:val="41"/>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根据本项目清洁生产水平评价结果可知，本项目在实际生产过程中通过采取以下措施使选矿工艺清洁生产水平有了大的提高。</w:t>
      </w:r>
    </w:p>
    <w:p w14:paraId="2B7EA5F9">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1、在实际设备选购过程中，破碎筛分、磨矿、选别和</w:t>
      </w:r>
      <w:r>
        <w:rPr>
          <w:rFonts w:hint="default" w:ascii="Times New Roman" w:hAnsi="Times New Roman" w:cs="Times New Roman"/>
          <w:color w:val="auto"/>
          <w:kern w:val="0"/>
          <w:highlight w:val="none"/>
          <w:lang w:eastAsia="zh-CN"/>
        </w:rPr>
        <w:t>浮选</w:t>
      </w:r>
      <w:r>
        <w:rPr>
          <w:rFonts w:hint="default" w:ascii="Times New Roman" w:hAnsi="Times New Roman" w:cs="Times New Roman"/>
          <w:color w:val="auto"/>
          <w:kern w:val="0"/>
          <w:highlight w:val="none"/>
        </w:rPr>
        <w:t>等主要生产工艺均采用国内较先进的处理量较大、效率较高、能耗较低等选矿设备。均达到清洁生产国内先进水平；</w:t>
      </w:r>
    </w:p>
    <w:p w14:paraId="0ABEC698">
      <w:pPr>
        <w:pStyle w:val="41"/>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2、通过采取科学合理建设选矿生产工艺及严格执行生产制度等措施，选矿工艺包括尾矿库废水实现“闭路循环”，</w:t>
      </w:r>
      <w:r>
        <w:rPr>
          <w:rFonts w:hint="default" w:ascii="Times New Roman" w:hAnsi="Times New Roman" w:cs="Times New Roman"/>
          <w:color w:val="auto"/>
          <w:kern w:val="0"/>
          <w:highlight w:val="none"/>
          <w:lang w:eastAsia="zh-CN"/>
        </w:rPr>
        <w:t>选厂生产废水、</w:t>
      </w:r>
      <w:r>
        <w:rPr>
          <w:rFonts w:hint="default" w:ascii="Times New Roman" w:hAnsi="Times New Roman" w:cs="Times New Roman"/>
          <w:color w:val="auto"/>
          <w:kern w:val="0"/>
          <w:highlight w:val="none"/>
        </w:rPr>
        <w:t>尾矿库回水充分回用于选矿生产，回用率最高可达100%</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无废水外排；生活污水经地埋式一体化污水处理设施处理达标后</w:t>
      </w:r>
      <w:r>
        <w:rPr>
          <w:rFonts w:hint="default" w:ascii="Times New Roman" w:hAnsi="Times New Roman" w:cs="Times New Roman"/>
          <w:color w:val="auto"/>
          <w:kern w:val="0"/>
          <w:highlight w:val="none"/>
          <w:lang w:val="en-US" w:eastAsia="zh-CN"/>
        </w:rPr>
        <w:t>回用不外排</w:t>
      </w:r>
      <w:r>
        <w:rPr>
          <w:rFonts w:hint="default" w:ascii="Times New Roman" w:hAnsi="Times New Roman" w:cs="Times New Roman"/>
          <w:color w:val="auto"/>
          <w:kern w:val="0"/>
          <w:highlight w:val="none"/>
        </w:rPr>
        <w:t>；</w:t>
      </w:r>
    </w:p>
    <w:p w14:paraId="76715E22">
      <w:pPr>
        <w:pStyle w:val="41"/>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r>
        <w:rPr>
          <w:rFonts w:hint="default" w:ascii="Times New Roman" w:hAnsi="Times New Roman" w:cs="Times New Roman"/>
          <w:color w:val="auto"/>
          <w:highlight w:val="none"/>
        </w:rPr>
        <w:t>尾矿砂经管道输送至尾矿库内，</w:t>
      </w:r>
      <w:r>
        <w:rPr>
          <w:rFonts w:hint="default" w:ascii="Times New Roman" w:hAnsi="Times New Roman" w:cs="Times New Roman"/>
          <w:color w:val="auto"/>
          <w:highlight w:val="none"/>
          <w:lang w:val="en-US" w:eastAsia="zh-CN"/>
        </w:rPr>
        <w:t>部分用于</w:t>
      </w:r>
      <w:r>
        <w:rPr>
          <w:rFonts w:hint="default" w:cs="Times New Roman"/>
          <w:color w:val="auto"/>
          <w:highlight w:val="none"/>
          <w:lang w:val="en-US" w:eastAsia="zh-CN"/>
        </w:rPr>
        <w:t>充填井下</w:t>
      </w:r>
      <w:r>
        <w:rPr>
          <w:rFonts w:hint="default" w:ascii="Times New Roman" w:hAnsi="Times New Roman" w:cs="Times New Roman"/>
          <w:color w:val="auto"/>
          <w:highlight w:val="none"/>
        </w:rPr>
        <w:t>，其余堆存至尾矿库内，尾矿砂综合利用率</w:t>
      </w:r>
      <w:r>
        <w:rPr>
          <w:rFonts w:hint="default" w:cs="Times New Roman"/>
          <w:color w:val="auto"/>
          <w:highlight w:val="none"/>
          <w:lang w:val="en-US" w:eastAsia="zh-CN"/>
        </w:rPr>
        <w:t>可</w:t>
      </w:r>
      <w:r>
        <w:rPr>
          <w:rFonts w:hint="default" w:ascii="Times New Roman" w:hAnsi="Times New Roman" w:cs="Times New Roman"/>
          <w:color w:val="auto"/>
          <w:highlight w:val="none"/>
        </w:rPr>
        <w:t>达</w:t>
      </w:r>
      <w:r>
        <w:rPr>
          <w:rFonts w:hint="default" w:cs="Times New Roman"/>
          <w:color w:val="auto"/>
          <w:highlight w:val="none"/>
          <w:lang w:val="en-US" w:eastAsia="zh-CN"/>
        </w:rPr>
        <w:t>60</w:t>
      </w:r>
      <w:r>
        <w:rPr>
          <w:rFonts w:hint="default" w:ascii="Times New Roman" w:hAnsi="Times New Roman" w:cs="Times New Roman"/>
          <w:color w:val="auto"/>
          <w:szCs w:val="24"/>
          <w:highlight w:val="none"/>
        </w:rPr>
        <w:t>%</w:t>
      </w:r>
      <w:r>
        <w:rPr>
          <w:rFonts w:hint="default" w:cs="Times New Roman"/>
          <w:color w:val="auto"/>
          <w:szCs w:val="24"/>
          <w:highlight w:val="none"/>
          <w:lang w:val="en-US" w:eastAsia="zh-CN"/>
        </w:rPr>
        <w:t>以上</w:t>
      </w:r>
      <w:r>
        <w:rPr>
          <w:rFonts w:hint="default" w:ascii="Times New Roman" w:hAnsi="Times New Roman" w:cs="Times New Roman"/>
          <w:color w:val="auto"/>
          <w:highlight w:val="none"/>
        </w:rPr>
        <w:t>。</w:t>
      </w:r>
    </w:p>
    <w:p w14:paraId="3F394754">
      <w:pPr>
        <w:pStyle w:val="41"/>
        <w:keepNext w:val="0"/>
        <w:keepLines w:val="0"/>
        <w:pageBreakBefore w:val="0"/>
        <w:widowControl w:val="0"/>
        <w:kinsoku/>
        <w:wordWrap/>
        <w:overflowPunct/>
        <w:topLinePunct w:val="0"/>
        <w:autoSpaceDE/>
        <w:autoSpaceDN/>
        <w:bidi w:val="0"/>
        <w:adjustRightInd/>
        <w:snapToGrid/>
        <w:spacing w:line="480" w:lineRule="atLeast"/>
        <w:ind w:firstLine="480" w:firstLineChars="200"/>
        <w:jc w:val="left"/>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4</w:t>
      </w:r>
      <w:r>
        <w:rPr>
          <w:rFonts w:hint="default" w:ascii="Times New Roman" w:hAnsi="Times New Roman" w:cs="Times New Roman"/>
          <w:color w:val="auto"/>
          <w:kern w:val="0"/>
          <w:highlight w:val="none"/>
        </w:rPr>
        <w:t>、通过现场调查及查阅相关资料，本项目</w:t>
      </w:r>
      <w:r>
        <w:rPr>
          <w:rFonts w:hint="default" w:cs="Times New Roman"/>
          <w:color w:val="auto"/>
          <w:kern w:val="0"/>
          <w:highlight w:val="none"/>
          <w:lang w:val="en-US" w:eastAsia="zh-CN"/>
        </w:rPr>
        <w:t>为新建项目，</w:t>
      </w:r>
      <w:r>
        <w:rPr>
          <w:rFonts w:hint="default" w:ascii="Times New Roman" w:hAnsi="Times New Roman" w:cs="Times New Roman"/>
          <w:color w:val="auto"/>
          <w:kern w:val="0"/>
          <w:highlight w:val="none"/>
        </w:rPr>
        <w:t>环境</w:t>
      </w:r>
      <w:r>
        <w:rPr>
          <w:rFonts w:hint="default" w:cs="Times New Roman"/>
          <w:color w:val="auto"/>
          <w:kern w:val="0"/>
          <w:highlight w:val="none"/>
          <w:lang w:val="en-US" w:eastAsia="zh-CN"/>
        </w:rPr>
        <w:t>管理工作待项目调试时期开展</w:t>
      </w:r>
      <w:r>
        <w:rPr>
          <w:rFonts w:hint="default" w:ascii="Times New Roman" w:hAnsi="Times New Roman" w:cs="Times New Roman"/>
          <w:color w:val="auto"/>
          <w:kern w:val="0"/>
          <w:highlight w:val="none"/>
        </w:rPr>
        <w:t>，此外生产过程环境管理、环境管理机构、环境管理制度、信息交流均符合清洁生产审核要求且处于一级~二级。</w:t>
      </w:r>
    </w:p>
    <w:p w14:paraId="6C3B3326">
      <w:pPr>
        <w:pStyle w:val="41"/>
        <w:overflowPunct w:val="0"/>
        <w:topLinePunct/>
        <w:spacing w:line="480" w:lineRule="exact"/>
        <w:ind w:firstLine="480"/>
        <w:rPr>
          <w:rFonts w:hint="default" w:ascii="Times New Roman" w:hAnsi="Times New Roman" w:cs="Times New Roman"/>
          <w:bCs/>
          <w:color w:val="auto"/>
          <w:szCs w:val="24"/>
          <w:highlight w:val="none"/>
        </w:rPr>
      </w:pPr>
      <w:r>
        <w:rPr>
          <w:rFonts w:hint="default" w:ascii="Times New Roman" w:hAnsi="Times New Roman" w:cs="Times New Roman"/>
          <w:color w:val="auto"/>
          <w:kern w:val="0"/>
          <w:highlight w:val="none"/>
        </w:rPr>
        <w:t>综上所述，生产废水经处理后全部循环利用，可做到零排放，不仅大大节约生产用新水量，还可避免废水排放对水体环境的影响，生产过程在厂房内进行，通过集尘罩收集粉尘，可有效控制粉尘排放并节约了生产</w:t>
      </w:r>
      <w:r>
        <w:rPr>
          <w:rFonts w:hint="default" w:ascii="Times New Roman" w:hAnsi="Times New Roman" w:cs="Times New Roman"/>
          <w:color w:val="auto"/>
          <w:kern w:val="0"/>
          <w:highlight w:val="none"/>
          <w:lang w:eastAsia="zh-CN"/>
        </w:rPr>
        <w:t>物料</w:t>
      </w:r>
      <w:r>
        <w:rPr>
          <w:rFonts w:hint="default" w:ascii="Times New Roman" w:hAnsi="Times New Roman" w:cs="Times New Roman"/>
          <w:color w:val="auto"/>
          <w:kern w:val="0"/>
          <w:highlight w:val="none"/>
        </w:rPr>
        <w:t>。环评要求建设单位积极开展清洁生产审核工作，采用国内先进的处理量大，能耗低、效率高的</w:t>
      </w:r>
      <w:r>
        <w:rPr>
          <w:rFonts w:hint="default" w:cs="Times New Roman"/>
          <w:color w:val="auto"/>
          <w:kern w:val="0"/>
          <w:highlight w:val="none"/>
          <w:lang w:val="en-US" w:eastAsia="zh-CN"/>
        </w:rPr>
        <w:t>破碎机、</w:t>
      </w:r>
      <w:r>
        <w:rPr>
          <w:rFonts w:hint="default" w:ascii="Times New Roman" w:hAnsi="Times New Roman" w:cs="Times New Roman"/>
          <w:color w:val="auto"/>
          <w:kern w:val="0"/>
          <w:highlight w:val="none"/>
        </w:rPr>
        <w:t>磨矿机等</w:t>
      </w:r>
      <w:r>
        <w:rPr>
          <w:rFonts w:hint="default" w:cs="Times New Roman"/>
          <w:color w:val="auto"/>
          <w:kern w:val="0"/>
          <w:highlight w:val="none"/>
          <w:lang w:val="en-US" w:eastAsia="zh-CN"/>
        </w:rPr>
        <w:t>节能</w:t>
      </w:r>
      <w:r>
        <w:rPr>
          <w:rFonts w:hint="default" w:ascii="Times New Roman" w:hAnsi="Times New Roman" w:cs="Times New Roman"/>
          <w:color w:val="auto"/>
          <w:kern w:val="0"/>
          <w:highlight w:val="none"/>
        </w:rPr>
        <w:t>设备，按照清洁生产二级标准执行环境管理工作，</w:t>
      </w:r>
      <w:r>
        <w:rPr>
          <w:rFonts w:hint="default" w:ascii="Times New Roman" w:hAnsi="Times New Roman" w:cs="Times New Roman"/>
          <w:color w:val="auto"/>
          <w:highlight w:val="none"/>
        </w:rPr>
        <w:t>在此基础上，本项目的生产运行能够符合金矿采选行业清洁生产二级标准</w:t>
      </w:r>
      <w:r>
        <w:rPr>
          <w:rFonts w:hint="default" w:ascii="Times New Roman" w:hAnsi="Times New Roman" w:cs="Times New Roman"/>
          <w:color w:val="auto"/>
          <w:szCs w:val="24"/>
          <w:highlight w:val="none"/>
        </w:rPr>
        <w:t>。</w:t>
      </w:r>
    </w:p>
    <w:p w14:paraId="5D37B51C">
      <w:pPr>
        <w:pStyle w:val="4"/>
        <w:rPr>
          <w:rFonts w:hint="default" w:ascii="Times New Roman" w:hAnsi="Times New Roman" w:cs="Times New Roman"/>
          <w:color w:val="auto"/>
          <w:highlight w:val="none"/>
        </w:rPr>
      </w:pPr>
      <w:bookmarkStart w:id="464" w:name="_Toc24821"/>
      <w:bookmarkStart w:id="465" w:name="_Toc14542"/>
      <w:bookmarkStart w:id="466" w:name="_Toc26271"/>
      <w:bookmarkStart w:id="467" w:name="_Toc7720"/>
      <w:bookmarkStart w:id="468" w:name="_Toc427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.5持续改进对策及建议</w:t>
      </w:r>
      <w:bookmarkEnd w:id="464"/>
      <w:bookmarkEnd w:id="465"/>
      <w:bookmarkEnd w:id="466"/>
      <w:bookmarkEnd w:id="467"/>
      <w:bookmarkEnd w:id="468"/>
    </w:p>
    <w:p w14:paraId="3541BEE6">
      <w:pPr>
        <w:pStyle w:val="41"/>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清洁生产是污染控制的新思路，其实质就是由过去单纯的末端治理转变成以“预防为主”的全过程污染物排放控制。因此，在工程设计的始终都要</w:t>
      </w:r>
      <w:r>
        <w:rPr>
          <w:rFonts w:hint="default" w:ascii="Times New Roman" w:hAnsi="Times New Roman" w:cs="Times New Roman"/>
          <w:color w:val="auto"/>
          <w:kern w:val="0"/>
          <w:highlight w:val="none"/>
          <w:lang w:eastAsia="zh-CN"/>
        </w:rPr>
        <w:t>贯彻</w:t>
      </w:r>
      <w:r>
        <w:rPr>
          <w:rFonts w:hint="default" w:ascii="Times New Roman" w:hAnsi="Times New Roman" w:cs="Times New Roman"/>
          <w:color w:val="auto"/>
          <w:kern w:val="0"/>
          <w:highlight w:val="none"/>
        </w:rPr>
        <w:t>清洁生产设计的指导思想，选用“无废”、“少废”工艺，先进的技术和设备，加强能源、资源的综合利用。</w:t>
      </w:r>
    </w:p>
    <w:p w14:paraId="6909E304">
      <w:pPr>
        <w:pStyle w:val="41"/>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对本工程开展清洁生产审核根据国内企业开展的清洁生产审计的经验，均取得了较好的经济效益，环保效益也十分可观。企业按照一定程序进行清洁生产审核，对生产和服务过程进行调查，判断出能耗高、物耗高的原因，提出降低能耗、物耗以及废物产生的方案，进而选定技术经济及环境可行的清洁生产方案。因此</w:t>
      </w:r>
      <w:r>
        <w:rPr>
          <w:rFonts w:hint="default" w:ascii="Times New Roman" w:hAnsi="Times New Roman" w:cs="Times New Roman"/>
          <w:color w:val="auto"/>
          <w:kern w:val="0"/>
          <w:highlight w:val="none"/>
          <w:lang w:val="en-US" w:eastAsia="zh-CN"/>
        </w:rPr>
        <w:t>江诣矿业</w:t>
      </w:r>
      <w:r>
        <w:rPr>
          <w:rFonts w:hint="default" w:ascii="Times New Roman" w:hAnsi="Times New Roman" w:cs="Times New Roman"/>
          <w:color w:val="auto"/>
          <w:kern w:val="0"/>
          <w:highlight w:val="none"/>
        </w:rPr>
        <w:t>应全面开展清洁生产审计工作，将对公司环境管理水平进一步科学化、体系化起到积极的作用。</w:t>
      </w:r>
    </w:p>
    <w:p w14:paraId="185D1ABE">
      <w:pPr>
        <w:pStyle w:val="41"/>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环境保护条例的规定，建设单位要严格执行环保“三同时”制度，配套建设的环境保护设施必须与主体工程同时设计、同时施工、同时投产使用。建设项目进行试生产结束后或者正式投入生产前，企业必须按规定对本工程进行自主竣工环境保护验收，未经环境保护验收或验收不合格的不得投入生产（运行）。</w:t>
      </w:r>
    </w:p>
    <w:p w14:paraId="363C5DB9">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企业严格执行环保“三同时”制度，切实加强建设项目环境影响评价，可有效地控制污染物排放，提高企业的清洁生产水平。企业在采取报告书中提出的相关改进措施后清洁生产水平可达二级水平，为国内清洁生产先进水平，符合清洁生产要求。</w:t>
      </w:r>
    </w:p>
    <w:p w14:paraId="147CA485">
      <w:pPr>
        <w:pStyle w:val="3"/>
        <w:rPr>
          <w:rFonts w:hint="default" w:ascii="Times New Roman" w:hAnsi="Times New Roman" w:cs="Times New Roman"/>
          <w:color w:val="auto"/>
          <w:highlight w:val="none"/>
        </w:rPr>
      </w:pPr>
      <w:bookmarkStart w:id="469" w:name="_Toc8540"/>
      <w:bookmarkStart w:id="470" w:name="_Toc107413891"/>
      <w:bookmarkStart w:id="471" w:name="_Toc5893"/>
      <w:bookmarkStart w:id="472" w:name="_Toc20715"/>
      <w:bookmarkStart w:id="473" w:name="_Toc107414658"/>
      <w:bookmarkStart w:id="474" w:name="_Toc27931"/>
      <w:bookmarkStart w:id="475" w:name="_Toc28100"/>
      <w:r>
        <w:rPr>
          <w:rFonts w:hint="default" w:ascii="Times New Roman" w:hAnsi="Times New Roman" w:cs="Times New Roman"/>
          <w:color w:val="auto"/>
          <w:highlight w:val="none"/>
        </w:rPr>
        <w:t>3.</w:t>
      </w:r>
      <w:bookmarkEnd w:id="469"/>
      <w:bookmarkEnd w:id="470"/>
      <w:bookmarkEnd w:id="471"/>
      <w:bookmarkEnd w:id="472"/>
      <w:bookmarkEnd w:id="473"/>
      <w:bookmarkEnd w:id="474"/>
      <w:bookmarkStart w:id="476" w:name="_Toc6804"/>
      <w:bookmarkStart w:id="477" w:name="_Toc18533"/>
      <w:bookmarkStart w:id="478" w:name="_Toc16322"/>
      <w:bookmarkStart w:id="479" w:name="_Toc4514"/>
      <w:bookmarkStart w:id="480" w:name="_Toc10737"/>
      <w:bookmarkStart w:id="481" w:name="_Toc13840"/>
      <w:bookmarkStart w:id="482" w:name="_Toc25946"/>
      <w:bookmarkStart w:id="483" w:name="_Toc24220"/>
      <w:bookmarkStart w:id="484" w:name="_Toc30300"/>
      <w:bookmarkStart w:id="485" w:name="_Toc13573"/>
      <w:bookmarkStart w:id="486" w:name="_Toc25920"/>
      <w:bookmarkStart w:id="487" w:name="_Toc11535"/>
      <w:bookmarkStart w:id="488" w:name="_Toc3751"/>
      <w:bookmarkStart w:id="489" w:name="_Toc32629"/>
      <w:bookmarkStart w:id="490" w:name="_Toc2435"/>
      <w:bookmarkStart w:id="491" w:name="_Toc23820"/>
      <w:bookmarkStart w:id="492" w:name="_Toc3515"/>
      <w:bookmarkStart w:id="493" w:name="_Toc2122"/>
      <w:bookmarkStart w:id="494" w:name="_Toc18430"/>
      <w:bookmarkStart w:id="495" w:name="_Toc28170"/>
      <w:bookmarkStart w:id="496" w:name="_Toc16727"/>
      <w:bookmarkStart w:id="497" w:name="_Toc18887"/>
      <w:bookmarkStart w:id="498" w:name="_Toc18518"/>
      <w:bookmarkStart w:id="499" w:name="_Toc15621"/>
      <w:bookmarkStart w:id="500" w:name="_Toc30335"/>
      <w:bookmarkStart w:id="501" w:name="_Toc26408"/>
      <w:bookmarkStart w:id="502" w:name="_Toc25538"/>
      <w:bookmarkStart w:id="503" w:name="_Toc2902"/>
      <w:bookmarkStart w:id="504" w:name="_Toc24177"/>
      <w:bookmarkStart w:id="505" w:name="_Toc1639"/>
      <w:bookmarkStart w:id="506" w:name="_Toc26523"/>
      <w:bookmarkStart w:id="507" w:name="_Toc4874"/>
      <w:bookmarkStart w:id="508" w:name="_Toc17401"/>
      <w:bookmarkStart w:id="509" w:name="_Toc22157"/>
      <w:bookmarkStart w:id="510" w:name="_Toc24888"/>
      <w:bookmarkStart w:id="511" w:name="_Toc17697"/>
      <w:bookmarkStart w:id="512" w:name="_Toc20658"/>
      <w:bookmarkStart w:id="513" w:name="_Toc9454"/>
      <w:bookmarkStart w:id="514" w:name="_Toc17312"/>
      <w:bookmarkStart w:id="515" w:name="_Toc4639"/>
      <w:bookmarkStart w:id="516" w:name="_Toc22629"/>
      <w:bookmarkStart w:id="517" w:name="_Toc20848"/>
      <w:bookmarkStart w:id="518" w:name="_Toc32205"/>
      <w:bookmarkStart w:id="519" w:name="_Toc23154"/>
      <w:bookmarkStart w:id="520" w:name="_Toc28316"/>
      <w:bookmarkStart w:id="521" w:name="_Toc26954"/>
      <w:bookmarkStart w:id="522" w:name="_Toc21911"/>
      <w:bookmarkStart w:id="523" w:name="_Toc1454"/>
      <w:bookmarkStart w:id="524" w:name="_Toc3317"/>
      <w:bookmarkStart w:id="525" w:name="_Toc23174"/>
      <w:bookmarkStart w:id="526" w:name="_Toc27110"/>
      <w:bookmarkStart w:id="527" w:name="_Toc23080"/>
      <w:bookmarkStart w:id="528" w:name="_Toc28137"/>
      <w:bookmarkStart w:id="529" w:name="_Toc9900"/>
      <w:bookmarkStart w:id="530" w:name="_Toc27182"/>
      <w:bookmarkStart w:id="531" w:name="_Toc107413892"/>
      <w:bookmarkStart w:id="532" w:name="_Toc107414659"/>
      <w:bookmarkStart w:id="533" w:name="_Toc12782"/>
      <w:bookmarkStart w:id="534" w:name="_Toc28273"/>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总量控制</w:t>
      </w:r>
      <w:bookmarkEnd w:id="475"/>
    </w:p>
    <w:p w14:paraId="0493D326">
      <w:pPr>
        <w:ind w:firstLine="480"/>
        <w:rPr>
          <w:rFonts w:hint="default" w:ascii="Times New Roman" w:hAnsi="Times New Roman" w:cs="Times New Roman"/>
          <w:color w:val="auto"/>
          <w:szCs w:val="22"/>
          <w:highlight w:val="none"/>
          <w:lang w:eastAsia="zh-CN"/>
        </w:rPr>
      </w:pPr>
      <w:r>
        <w:rPr>
          <w:rFonts w:hint="default" w:ascii="Times New Roman" w:hAnsi="Times New Roman" w:cs="Times New Roman"/>
          <w:color w:val="auto"/>
          <w:szCs w:val="24"/>
          <w:highlight w:val="none"/>
          <w:lang w:eastAsia="zh-TW"/>
        </w:rPr>
        <w:t>根据</w:t>
      </w:r>
      <w:r>
        <w:rPr>
          <w:rFonts w:hint="default" w:ascii="Times New Roman" w:hAnsi="Times New Roman" w:cs="Times New Roman"/>
          <w:color w:val="auto"/>
          <w:szCs w:val="24"/>
          <w:highlight w:val="none"/>
          <w:lang w:val="en-US" w:eastAsia="zh-CN"/>
        </w:rPr>
        <w:t>新疆维吾尔自治区党委、新疆维吾尔自治区人民政府于2021年12</w:t>
      </w:r>
      <w:r>
        <w:rPr>
          <w:rFonts w:hint="default" w:cs="Times New Roman"/>
          <w:color w:val="auto"/>
          <w:szCs w:val="24"/>
          <w:highlight w:val="none"/>
          <w:lang w:val="en-US" w:eastAsia="zh-CN"/>
        </w:rPr>
        <w:t>月</w:t>
      </w:r>
      <w:r>
        <w:rPr>
          <w:rFonts w:hint="default" w:ascii="Times New Roman" w:hAnsi="Times New Roman" w:cs="Times New Roman"/>
          <w:color w:val="auto"/>
          <w:szCs w:val="24"/>
          <w:highlight w:val="none"/>
          <w:lang w:val="en-US" w:eastAsia="zh-CN"/>
        </w:rPr>
        <w:t>24日印发的</w:t>
      </w:r>
      <w:r>
        <w:rPr>
          <w:rFonts w:hint="default" w:ascii="Times New Roman" w:hAnsi="Times New Roman" w:cs="Times New Roman"/>
          <w:color w:val="auto"/>
          <w:szCs w:val="24"/>
          <w:highlight w:val="none"/>
          <w:lang w:eastAsia="zh-TW"/>
        </w:rPr>
        <w:t>《</w:t>
      </w:r>
      <w:r>
        <w:rPr>
          <w:rFonts w:hint="default" w:ascii="Times New Roman" w:hAnsi="Times New Roman" w:cs="Times New Roman"/>
          <w:color w:val="auto"/>
          <w:szCs w:val="24"/>
          <w:highlight w:val="none"/>
          <w:lang w:val="en-US" w:eastAsia="zh-CN"/>
        </w:rPr>
        <w:t>新疆生态环境保护“十四五”规划》总量控制要求及本项目污染特点，本次环评确定的污染物排放总量控制因子为：</w:t>
      </w:r>
      <w:r>
        <w:rPr>
          <w:rFonts w:hint="default" w:cs="Times New Roman"/>
          <w:color w:val="auto"/>
          <w:szCs w:val="24"/>
          <w:highlight w:val="none"/>
          <w:lang w:val="en-US" w:eastAsia="zh-CN"/>
        </w:rPr>
        <w:t>SO</w:t>
      </w:r>
      <w:r>
        <w:rPr>
          <w:rFonts w:hint="default" w:cs="Times New Roman"/>
          <w:color w:val="auto"/>
          <w:szCs w:val="24"/>
          <w:highlight w:val="none"/>
          <w:vertAlign w:val="subscript"/>
          <w:lang w:val="en-US" w:eastAsia="zh-CN"/>
        </w:rPr>
        <w:t>2</w:t>
      </w:r>
      <w:r>
        <w:rPr>
          <w:rFonts w:hint="default" w:cs="Times New Roman"/>
          <w:color w:val="auto"/>
          <w:szCs w:val="24"/>
          <w:highlight w:val="none"/>
          <w:lang w:val="en-US" w:eastAsia="zh-CN"/>
        </w:rPr>
        <w:t>、NOx、</w:t>
      </w:r>
      <w:r>
        <w:rPr>
          <w:rFonts w:hint="default" w:ascii="Times New Roman" w:hAnsi="Times New Roman" w:cs="Times New Roman"/>
          <w:color w:val="auto"/>
          <w:szCs w:val="22"/>
          <w:highlight w:val="none"/>
        </w:rPr>
        <w:t>COD</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rPr>
        <w:t>氨氮</w:t>
      </w:r>
      <w:r>
        <w:rPr>
          <w:rFonts w:hint="default" w:ascii="Times New Roman" w:hAnsi="Times New Roman" w:cs="Times New Roman"/>
          <w:color w:val="auto"/>
          <w:szCs w:val="22"/>
          <w:highlight w:val="none"/>
          <w:lang w:eastAsia="zh-CN"/>
        </w:rPr>
        <w:t>。</w:t>
      </w:r>
    </w:p>
    <w:p w14:paraId="32CDCCB1">
      <w:pPr>
        <w:ind w:firstLine="480"/>
        <w:rPr>
          <w:rFonts w:hint="default" w:ascii="Times New Roman" w:hAnsi="Times New Roman" w:cs="Times New Roman"/>
          <w:color w:val="auto"/>
          <w:szCs w:val="24"/>
          <w:highlight w:val="none"/>
          <w:lang w:eastAsia="zh-TW"/>
        </w:rPr>
      </w:pPr>
      <w:r>
        <w:rPr>
          <w:rFonts w:hint="default" w:ascii="Times New Roman" w:hAnsi="Times New Roman" w:cs="Times New Roman"/>
          <w:color w:val="auto"/>
          <w:sz w:val="24"/>
          <w:szCs w:val="24"/>
          <w:highlight w:val="none"/>
          <w:lang w:val="en-US" w:eastAsia="zh-CN"/>
        </w:rPr>
        <w:t>根据《关于加强涉重金属行业污染防控的意见》《关于印发新疆维吾尔自治区加强涉重金属行业污染防控工作方案的通知》中所涉及的重金属行业，</w:t>
      </w:r>
      <w:r>
        <w:rPr>
          <w:rFonts w:hint="default" w:ascii="Times New Roman" w:hAnsi="Times New Roman" w:cs="Times New Roman"/>
          <w:color w:val="auto"/>
          <w:szCs w:val="24"/>
          <w:highlight w:val="none"/>
          <w:lang w:val="en-US" w:eastAsia="zh-CN"/>
        </w:rPr>
        <w:t>本项目为</w:t>
      </w:r>
      <w:r>
        <w:rPr>
          <w:rFonts w:hint="default" w:ascii="Times New Roman" w:hAnsi="Times New Roman" w:cs="Times New Roman"/>
          <w:color w:val="auto"/>
          <w:szCs w:val="24"/>
          <w:highlight w:val="none"/>
        </w:rPr>
        <w:t>金矿</w:t>
      </w:r>
      <w:r>
        <w:rPr>
          <w:rFonts w:hint="default" w:ascii="Times New Roman" w:hAnsi="Times New Roman" w:cs="Times New Roman"/>
          <w:color w:val="auto"/>
          <w:szCs w:val="24"/>
          <w:highlight w:val="none"/>
          <w:lang w:eastAsia="zh-TW"/>
        </w:rPr>
        <w:t>采选</w:t>
      </w:r>
      <w:r>
        <w:rPr>
          <w:rFonts w:hint="default" w:ascii="Times New Roman" w:hAnsi="Times New Roman" w:cs="Times New Roman"/>
          <w:color w:val="auto"/>
          <w:szCs w:val="24"/>
          <w:highlight w:val="none"/>
          <w:lang w:val="en-US" w:eastAsia="zh-CN"/>
        </w:rPr>
        <w:t>项目，</w:t>
      </w:r>
      <w:r>
        <w:rPr>
          <w:rFonts w:hint="default" w:ascii="Times New Roman" w:hAnsi="Times New Roman" w:cs="Times New Roman"/>
          <w:color w:val="auto"/>
          <w:szCs w:val="24"/>
          <w:highlight w:val="none"/>
          <w:lang w:eastAsia="zh-TW"/>
        </w:rPr>
        <w:t>不属于重金属行业，可不申请重金属总量指标。</w:t>
      </w:r>
    </w:p>
    <w:p w14:paraId="6B765BB0">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szCs w:val="24"/>
          <w:highlight w:val="none"/>
          <w:lang w:eastAsia="zh-CN"/>
        </w:rPr>
        <w:t>本</w:t>
      </w:r>
      <w:r>
        <w:rPr>
          <w:rFonts w:hint="default" w:ascii="Times New Roman" w:hAnsi="Times New Roman" w:cs="Times New Roman"/>
          <w:color w:val="auto"/>
          <w:szCs w:val="24"/>
          <w:highlight w:val="none"/>
          <w:lang w:eastAsia="zh-TW"/>
        </w:rPr>
        <w:t>项目大气污染物主要为</w:t>
      </w:r>
      <w:r>
        <w:rPr>
          <w:rFonts w:hint="default" w:ascii="Times New Roman" w:hAnsi="Times New Roman" w:cs="Times New Roman"/>
          <w:color w:val="auto"/>
          <w:szCs w:val="24"/>
          <w:highlight w:val="none"/>
        </w:rPr>
        <w:t>颗粒物</w:t>
      </w:r>
      <w:r>
        <w:rPr>
          <w:rFonts w:hint="default" w:ascii="Times New Roman" w:hAnsi="Times New Roman" w:cs="Times New Roman"/>
          <w:color w:val="auto"/>
          <w:szCs w:val="24"/>
          <w:highlight w:val="none"/>
          <w:lang w:eastAsia="zh-TW"/>
        </w:rPr>
        <w:t>；</w:t>
      </w:r>
      <w:r>
        <w:rPr>
          <w:rFonts w:hint="default" w:ascii="Times New Roman" w:hAnsi="Times New Roman" w:cs="Times New Roman"/>
          <w:color w:val="auto"/>
          <w:szCs w:val="24"/>
          <w:highlight w:val="none"/>
        </w:rPr>
        <w:t>选矿过程中生产废水</w:t>
      </w:r>
      <w:r>
        <w:rPr>
          <w:rFonts w:hint="default" w:ascii="Times New Roman" w:hAnsi="Times New Roman" w:cs="Times New Roman"/>
          <w:color w:val="auto"/>
          <w:szCs w:val="24"/>
          <w:highlight w:val="none"/>
          <w:lang w:val="en-US" w:eastAsia="zh-CN"/>
        </w:rPr>
        <w:t>经选矿厂循环使用于选矿生产，</w:t>
      </w:r>
      <w:r>
        <w:rPr>
          <w:rFonts w:hint="default" w:ascii="Times New Roman" w:hAnsi="Times New Roman" w:cs="Times New Roman"/>
          <w:color w:val="auto"/>
          <w:szCs w:val="24"/>
          <w:highlight w:val="none"/>
        </w:rPr>
        <w:t>不外排</w:t>
      </w:r>
      <w:r>
        <w:rPr>
          <w:rFonts w:hint="default" w:ascii="Times New Roman" w:hAnsi="Times New Roman" w:cs="Times New Roman"/>
          <w:color w:val="auto"/>
          <w:szCs w:val="24"/>
          <w:highlight w:val="none"/>
          <w:lang w:eastAsia="zh-TW"/>
        </w:rPr>
        <w:t>；生活污水</w:t>
      </w:r>
      <w:r>
        <w:rPr>
          <w:rFonts w:hint="default" w:ascii="Times New Roman" w:hAnsi="Times New Roman" w:cs="Times New Roman"/>
          <w:color w:val="auto"/>
          <w:szCs w:val="24"/>
          <w:highlight w:val="none"/>
          <w:lang w:val="en-US" w:eastAsia="zh-CN"/>
        </w:rPr>
        <w:t>经</w:t>
      </w:r>
      <w:r>
        <w:rPr>
          <w:rFonts w:hint="default" w:ascii="Times New Roman" w:hAnsi="Times New Roman" w:cs="Times New Roman"/>
          <w:color w:val="auto"/>
          <w:szCs w:val="24"/>
          <w:highlight w:val="none"/>
          <w:lang w:eastAsia="zh-TW"/>
        </w:rPr>
        <w:t>地埋式一体化污水</w:t>
      </w:r>
      <w:r>
        <w:rPr>
          <w:rFonts w:hint="default" w:ascii="Times New Roman" w:hAnsi="Times New Roman" w:cs="Times New Roman"/>
          <w:color w:val="auto"/>
          <w:szCs w:val="24"/>
          <w:highlight w:val="none"/>
          <w:lang w:val="en-US" w:eastAsia="zh-CN"/>
        </w:rPr>
        <w:t>处理设施</w:t>
      </w:r>
      <w:r>
        <w:rPr>
          <w:rFonts w:hint="default" w:ascii="Times New Roman" w:hAnsi="Times New Roman" w:cs="Times New Roman"/>
          <w:color w:val="auto"/>
          <w:szCs w:val="24"/>
          <w:highlight w:val="none"/>
          <w:lang w:eastAsia="zh-TW"/>
        </w:rPr>
        <w:t>处理达标后</w:t>
      </w:r>
      <w:r>
        <w:rPr>
          <w:rFonts w:hint="default" w:ascii="Times New Roman" w:hAnsi="Times New Roman" w:cs="Times New Roman"/>
          <w:color w:val="auto"/>
          <w:szCs w:val="24"/>
          <w:highlight w:val="none"/>
          <w:lang w:val="en-US" w:eastAsia="zh-CN"/>
        </w:rPr>
        <w:t>回用不外排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厂区供暖采用</w:t>
      </w:r>
      <w:r>
        <w:rPr>
          <w:rFonts w:hint="default" w:ascii="Times New Roman" w:hAnsi="Times New Roman" w:cs="Times New Roman"/>
          <w:color w:val="auto"/>
          <w:highlight w:val="none"/>
          <w:lang w:eastAsia="zh-CN"/>
        </w:rPr>
        <w:t>电热水锅炉</w:t>
      </w:r>
      <w:r>
        <w:rPr>
          <w:rFonts w:hint="default" w:ascii="Times New Roman" w:hAnsi="Times New Roman" w:cs="Times New Roman"/>
          <w:color w:val="auto"/>
          <w:highlight w:val="none"/>
          <w:lang w:val="en-US" w:eastAsia="zh-CN"/>
        </w:rPr>
        <w:t>进行厂区供暖</w:t>
      </w:r>
      <w:r>
        <w:rPr>
          <w:rFonts w:hint="default" w:ascii="Times New Roman" w:hAnsi="Times New Roman" w:cs="Times New Roman"/>
          <w:color w:val="auto"/>
          <w:szCs w:val="24"/>
          <w:highlight w:val="none"/>
          <w:lang w:eastAsia="zh-TW"/>
        </w:rPr>
        <w:t>。</w:t>
      </w:r>
      <w:r>
        <w:rPr>
          <w:rFonts w:hint="default" w:ascii="Times New Roman" w:hAnsi="Times New Roman" w:cs="Times New Roman"/>
          <w:color w:val="auto"/>
          <w:szCs w:val="24"/>
          <w:highlight w:val="none"/>
          <w:lang w:val="en-US" w:eastAsia="zh-CN"/>
        </w:rPr>
        <w:t>因此，本项目无总量控制指标。</w:t>
      </w:r>
    </w:p>
    <w:p w14:paraId="2567CC7F">
      <w:pPr>
        <w:pStyle w:val="3"/>
        <w:numPr>
          <w:ilvl w:val="1"/>
          <w:numId w:val="0"/>
        </w:numPr>
        <w:rPr>
          <w:rFonts w:hint="default" w:ascii="Times New Roman" w:hAnsi="Times New Roman" w:cs="Times New Roman"/>
          <w:color w:val="auto"/>
          <w:highlight w:val="none"/>
        </w:rPr>
      </w:pPr>
      <w:bookmarkStart w:id="535" w:name="_Toc9206"/>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产业政策及规划符合性分析</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35"/>
    </w:p>
    <w:p w14:paraId="45205908">
      <w:pPr>
        <w:pStyle w:val="4"/>
        <w:numPr>
          <w:ilvl w:val="2"/>
          <w:numId w:val="0"/>
        </w:numPr>
        <w:rPr>
          <w:rFonts w:hint="default" w:ascii="Times New Roman" w:hAnsi="Times New Roman" w:cs="Times New Roman"/>
          <w:color w:val="auto"/>
          <w:highlight w:val="none"/>
        </w:rPr>
      </w:pPr>
      <w:bookmarkStart w:id="536" w:name="_Toc21808_WPSOffice_Level2"/>
      <w:bookmarkStart w:id="537" w:name="_Toc1388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.1产业政策符合性分析</w:t>
      </w:r>
      <w:bookmarkEnd w:id="536"/>
      <w:bookmarkEnd w:id="537"/>
    </w:p>
    <w:p w14:paraId="0BDFCF5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.1.1与产业政策符合性分析</w:t>
      </w:r>
    </w:p>
    <w:p w14:paraId="0BEAF692">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bidi="ar"/>
        </w:rPr>
        <w:t>本项目为</w:t>
      </w:r>
      <w:r>
        <w:rPr>
          <w:rFonts w:hint="default" w:ascii="Times New Roman" w:hAnsi="Times New Roman" w:cs="Times New Roman"/>
          <w:color w:val="auto"/>
          <w:szCs w:val="24"/>
          <w:highlight w:val="none"/>
          <w:lang w:eastAsia="zh-CN" w:bidi="ar"/>
        </w:rPr>
        <w:t>新疆富蕴县阿克塔斯矿区金矿选矿及尾矿库项目</w:t>
      </w:r>
      <w:r>
        <w:rPr>
          <w:rFonts w:hint="default" w:ascii="Times New Roman" w:hAnsi="Times New Roman" w:cs="Times New Roman"/>
          <w:color w:val="auto"/>
          <w:szCs w:val="24"/>
          <w:highlight w:val="none"/>
          <w:lang w:bidi="ar"/>
        </w:rPr>
        <w:t>，根据《产业结构调整指导目录（20</w:t>
      </w:r>
      <w:r>
        <w:rPr>
          <w:rFonts w:hint="default" w:ascii="Times New Roman" w:hAnsi="Times New Roman" w:cs="Times New Roman"/>
          <w:color w:val="auto"/>
          <w:szCs w:val="24"/>
          <w:highlight w:val="none"/>
          <w:lang w:val="en-US" w:eastAsia="zh-CN" w:bidi="ar"/>
        </w:rPr>
        <w:t>24</w:t>
      </w:r>
      <w:r>
        <w:rPr>
          <w:rFonts w:hint="default" w:ascii="Times New Roman" w:hAnsi="Times New Roman" w:cs="Times New Roman"/>
          <w:color w:val="auto"/>
          <w:szCs w:val="24"/>
          <w:highlight w:val="none"/>
          <w:lang w:bidi="ar"/>
        </w:rPr>
        <w:t>年本）》，不属于产业政策鼓励类、限制类、淘汰类，视为允许类，项目建设符合国家产业政策要求。</w:t>
      </w:r>
    </w:p>
    <w:p w14:paraId="1408E7D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与《黄金工业污染防治技术政策》符合性分析</w:t>
      </w:r>
    </w:p>
    <w:p w14:paraId="04B6712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根据生态环境部2020年1月15日印发《黄金工业污染防治技术政策》（生态环境部公告2020年第7号），本技术政策适用于黄金工业金矿采选和以金精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矿、废杂金等含金物料为主要原料冶炼黄金过程的污染防控，本项目适用该技术政策。通过表3.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分析可知，本项目建设符合该技术政策的相关要求。</w:t>
      </w:r>
    </w:p>
    <w:p w14:paraId="345C7E8B">
      <w:pPr>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与《黄金工业污染防治技术政策》符合性分析</w:t>
      </w:r>
      <w:r>
        <w:rPr>
          <w:rFonts w:hint="default" w:ascii="Times New Roman" w:hAnsi="Times New Roman" w:cs="Times New Roman"/>
          <w:b/>
          <w:bCs/>
          <w:color w:val="auto"/>
          <w:highlight w:val="none"/>
          <w:lang w:eastAsia="zh-CN"/>
        </w:rPr>
        <w:t>一览表</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471"/>
        <w:gridCol w:w="3287"/>
        <w:gridCol w:w="954"/>
      </w:tblGrid>
      <w:tr w14:paraId="3A2AC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blHeader/>
        </w:trPr>
        <w:tc>
          <w:tcPr>
            <w:tcW w:w="2687" w:type="pct"/>
            <w:gridSpan w:val="2"/>
            <w:noWrap w:val="0"/>
            <w:vAlign w:val="center"/>
          </w:tcPr>
          <w:p w14:paraId="0E87CA0B">
            <w:pPr>
              <w:spacing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有关规定</w:t>
            </w:r>
          </w:p>
        </w:tc>
        <w:tc>
          <w:tcPr>
            <w:tcW w:w="1792" w:type="pct"/>
            <w:noWrap w:val="0"/>
            <w:vAlign w:val="center"/>
          </w:tcPr>
          <w:p w14:paraId="51F13AEA">
            <w:pPr>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项目情况</w:t>
            </w:r>
          </w:p>
        </w:tc>
        <w:tc>
          <w:tcPr>
            <w:tcW w:w="520" w:type="pct"/>
            <w:noWrap w:val="0"/>
            <w:vAlign w:val="center"/>
          </w:tcPr>
          <w:p w14:paraId="3F430F13">
            <w:pPr>
              <w:spacing w:line="360" w:lineRule="exact"/>
              <w:ind w:firstLine="0" w:firstLineChars="0"/>
              <w:jc w:val="center"/>
              <w:rPr>
                <w:rFonts w:hint="default" w:ascii="Times New Roman" w:hAnsi="Times New Roman"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结论</w:t>
            </w:r>
          </w:p>
        </w:tc>
      </w:tr>
      <w:tr w14:paraId="5BC1F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restart"/>
            <w:noWrap w:val="0"/>
            <w:vAlign w:val="center"/>
          </w:tcPr>
          <w:p w14:paraId="1E0A929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大气污染防治</w:t>
            </w:r>
          </w:p>
        </w:tc>
        <w:tc>
          <w:tcPr>
            <w:tcW w:w="2437" w:type="pct"/>
            <w:noWrap w:val="0"/>
            <w:vAlign w:val="center"/>
          </w:tcPr>
          <w:p w14:paraId="7260F7B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金矿石破碎工序宜设置在有挡风、遮盖措施的半封闭车间，在主要产尘点应采取抑尘措施，收尘设备宜采用布袋除尘技术，收集的粉尘应返回生产过程。</w:t>
            </w:r>
          </w:p>
        </w:tc>
        <w:tc>
          <w:tcPr>
            <w:tcW w:w="1792" w:type="pct"/>
            <w:noWrap w:val="0"/>
            <w:vAlign w:val="center"/>
          </w:tcPr>
          <w:p w14:paraId="6AB7CCA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本项目破碎</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筛分均设置在有挡风、遮盖措施的</w:t>
            </w:r>
            <w:r>
              <w:rPr>
                <w:rFonts w:hint="default" w:ascii="Times New Roman" w:hAnsi="Times New Roman" w:cs="Times New Roman"/>
                <w:color w:val="auto"/>
                <w:sz w:val="21"/>
                <w:highlight w:val="none"/>
                <w:lang w:val="en-US" w:eastAsia="zh-CN"/>
              </w:rPr>
              <w:t>密闭</w:t>
            </w:r>
            <w:r>
              <w:rPr>
                <w:rFonts w:hint="default" w:ascii="Times New Roman" w:hAnsi="Times New Roman" w:cs="Times New Roman"/>
                <w:color w:val="auto"/>
                <w:sz w:val="21"/>
                <w:highlight w:val="none"/>
              </w:rPr>
              <w:t>车间内</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在</w:t>
            </w:r>
            <w:r>
              <w:rPr>
                <w:rFonts w:hint="default" w:ascii="Times New Roman" w:hAnsi="Times New Roman" w:cs="Times New Roman"/>
                <w:color w:val="auto"/>
                <w:sz w:val="21"/>
                <w:highlight w:val="none"/>
                <w:lang w:val="en-US" w:eastAsia="zh-CN"/>
              </w:rPr>
              <w:t>主要</w:t>
            </w:r>
            <w:r>
              <w:rPr>
                <w:rFonts w:hint="default" w:ascii="Times New Roman" w:hAnsi="Times New Roman" w:cs="Times New Roman"/>
                <w:color w:val="auto"/>
                <w:sz w:val="21"/>
                <w:highlight w:val="none"/>
              </w:rPr>
              <w:t>产尘点安装</w:t>
            </w:r>
            <w:r>
              <w:rPr>
                <w:rFonts w:hint="default" w:ascii="Times New Roman" w:hAnsi="Times New Roman" w:cs="Times New Roman"/>
                <w:color w:val="auto"/>
                <w:sz w:val="21"/>
                <w:highlight w:val="none"/>
                <w:lang w:val="en-US" w:eastAsia="zh-CN"/>
              </w:rPr>
              <w:t>布袋</w:t>
            </w:r>
            <w:r>
              <w:rPr>
                <w:rFonts w:hint="default" w:ascii="Times New Roman" w:hAnsi="Times New Roman" w:cs="Times New Roman"/>
                <w:color w:val="auto"/>
                <w:sz w:val="21"/>
                <w:highlight w:val="none"/>
                <w:lang w:eastAsia="zh-CN"/>
              </w:rPr>
              <w:t>除尘器</w:t>
            </w:r>
            <w:r>
              <w:rPr>
                <w:rFonts w:hint="default" w:ascii="Times New Roman" w:hAnsi="Times New Roman" w:cs="Times New Roman"/>
                <w:color w:val="auto"/>
                <w:sz w:val="21"/>
                <w:highlight w:val="none"/>
              </w:rPr>
              <w:t>，收集</w:t>
            </w:r>
            <w:r>
              <w:rPr>
                <w:rFonts w:hint="default" w:ascii="Times New Roman" w:hAnsi="Times New Roman" w:cs="Times New Roman"/>
                <w:color w:val="auto"/>
                <w:sz w:val="21"/>
                <w:highlight w:val="none"/>
                <w:lang w:val="en-US" w:eastAsia="zh-CN"/>
              </w:rPr>
              <w:t>的</w:t>
            </w:r>
            <w:r>
              <w:rPr>
                <w:rFonts w:hint="default" w:ascii="Times New Roman" w:hAnsi="Times New Roman" w:cs="Times New Roman"/>
                <w:color w:val="auto"/>
                <w:sz w:val="21"/>
                <w:highlight w:val="none"/>
              </w:rPr>
              <w:t>粉尘返回</w:t>
            </w:r>
            <w:r>
              <w:rPr>
                <w:rFonts w:hint="default" w:ascii="Times New Roman" w:hAnsi="Times New Roman" w:cs="Times New Roman"/>
                <w:color w:val="auto"/>
                <w:sz w:val="21"/>
                <w:highlight w:val="none"/>
                <w:lang w:val="en-US" w:eastAsia="zh-CN"/>
              </w:rPr>
              <w:t>选矿工艺</w:t>
            </w:r>
            <w:r>
              <w:rPr>
                <w:rFonts w:hint="default" w:ascii="Times New Roman" w:hAnsi="Times New Roman" w:cs="Times New Roman"/>
                <w:color w:val="auto"/>
                <w:sz w:val="21"/>
                <w:highlight w:val="none"/>
              </w:rPr>
              <w:t>。</w:t>
            </w:r>
          </w:p>
        </w:tc>
        <w:tc>
          <w:tcPr>
            <w:tcW w:w="520" w:type="pct"/>
            <w:noWrap w:val="0"/>
            <w:vAlign w:val="center"/>
          </w:tcPr>
          <w:p w14:paraId="0D28F069">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2788D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07B1423F">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4919DFF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采场、矿石堆场、排土场、尾矿库应在确保生产安全情况下采取遮盖或喷淋洒水等措施减少扬尘排放。生产区内道路应采取洒水降尘等措施控制扬尘。</w:t>
            </w:r>
          </w:p>
        </w:tc>
        <w:tc>
          <w:tcPr>
            <w:tcW w:w="1792" w:type="pct"/>
            <w:noWrap w:val="0"/>
            <w:vAlign w:val="center"/>
          </w:tcPr>
          <w:p w14:paraId="589D2BD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本项目原矿</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粉矿及精矿均采取密闭</w:t>
            </w:r>
            <w:r>
              <w:rPr>
                <w:rFonts w:hint="default" w:cs="Times New Roman"/>
                <w:color w:val="auto"/>
                <w:sz w:val="21"/>
                <w:highlight w:val="none"/>
                <w:lang w:val="en-US" w:eastAsia="zh-CN"/>
              </w:rPr>
              <w:t>方式</w:t>
            </w:r>
            <w:r>
              <w:rPr>
                <w:rFonts w:hint="default" w:ascii="Times New Roman" w:hAnsi="Times New Roman" w:cs="Times New Roman"/>
                <w:color w:val="auto"/>
                <w:sz w:val="21"/>
                <w:highlight w:val="none"/>
                <w:lang w:val="en-US" w:eastAsia="zh-CN"/>
              </w:rPr>
              <w:t>堆存，可最大限度减少粉尘的排放。尾矿库扬尘采取洒水降尘措施，生产区内</w:t>
            </w:r>
            <w:r>
              <w:rPr>
                <w:rFonts w:hint="default" w:ascii="Times New Roman" w:hAnsi="Times New Roman" w:cs="Times New Roman"/>
                <w:color w:val="auto"/>
                <w:sz w:val="21"/>
                <w:highlight w:val="none"/>
              </w:rPr>
              <w:t>道路采取洒水降尘措施后</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可以减少扬尘排放量。</w:t>
            </w:r>
          </w:p>
        </w:tc>
        <w:tc>
          <w:tcPr>
            <w:tcW w:w="520" w:type="pct"/>
            <w:noWrap w:val="0"/>
            <w:vAlign w:val="center"/>
          </w:tcPr>
          <w:p w14:paraId="16E2E3C2">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1DF06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5E14452F">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7836C38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含硫金精矿焙烧烟气中的高浓度二氧化硫优先采用制酸工艺等方式进行资源化利用。含砷金精矿（金矿石）焙烧工艺应采取烟气除砷措施，保证烟气中砷的达标排放。</w:t>
            </w:r>
          </w:p>
        </w:tc>
        <w:tc>
          <w:tcPr>
            <w:tcW w:w="1792" w:type="pct"/>
            <w:noWrap w:val="0"/>
            <w:vAlign w:val="center"/>
          </w:tcPr>
          <w:p w14:paraId="5579D60D">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本项目不涉及冶炼工段</w:t>
            </w:r>
          </w:p>
        </w:tc>
        <w:tc>
          <w:tcPr>
            <w:tcW w:w="520" w:type="pct"/>
            <w:noWrap w:val="0"/>
            <w:vAlign w:val="center"/>
          </w:tcPr>
          <w:p w14:paraId="51DED98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不涉及</w:t>
            </w:r>
          </w:p>
        </w:tc>
      </w:tr>
      <w:tr w14:paraId="68A3F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454FD78B">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11DA897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鼓励利用含氰贫液或含氰矿浆净化处理焙烧烟气中的二氧化硫和冶炼烟气中的氮氧化物。</w:t>
            </w:r>
          </w:p>
        </w:tc>
        <w:tc>
          <w:tcPr>
            <w:tcW w:w="1792" w:type="pct"/>
            <w:noWrap w:val="0"/>
            <w:vAlign w:val="center"/>
          </w:tcPr>
          <w:p w14:paraId="6E77007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520" w:type="pct"/>
            <w:noWrap w:val="0"/>
            <w:vAlign w:val="center"/>
          </w:tcPr>
          <w:p w14:paraId="2B716E0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不涉及</w:t>
            </w:r>
          </w:p>
        </w:tc>
      </w:tr>
      <w:tr w14:paraId="08917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56B80C29">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0DB999E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含金物料（包括废杂金）精炼提纯过程中产生的含二氧化硫、氮氧化物、硫酸、盐酸等主要污染物的冶炼废气应采取负压工况收集、处理达标后外排。对无法完全密闭的废气排放点，应采用集气装置收集并处理达标后统一外排，严格控制无组织排放。</w:t>
            </w:r>
          </w:p>
        </w:tc>
        <w:tc>
          <w:tcPr>
            <w:tcW w:w="1792" w:type="pct"/>
            <w:noWrap w:val="0"/>
            <w:vAlign w:val="center"/>
          </w:tcPr>
          <w:p w14:paraId="3468886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520" w:type="pct"/>
            <w:noWrap w:val="0"/>
            <w:vAlign w:val="center"/>
          </w:tcPr>
          <w:p w14:paraId="063B820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不涉及</w:t>
            </w:r>
          </w:p>
        </w:tc>
      </w:tr>
      <w:tr w14:paraId="7A755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087E0EE3">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44BED06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鼓励采用活性炭吸附法等脱汞技术控制含汞含金物料（包括废杂金）精炼提纯过程冶炼废气中汞排放。</w:t>
            </w:r>
          </w:p>
        </w:tc>
        <w:tc>
          <w:tcPr>
            <w:tcW w:w="1792" w:type="pct"/>
            <w:noWrap w:val="0"/>
            <w:vAlign w:val="center"/>
          </w:tcPr>
          <w:p w14:paraId="4C3D277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520" w:type="pct"/>
            <w:noWrap w:val="0"/>
            <w:vAlign w:val="center"/>
          </w:tcPr>
          <w:p w14:paraId="31D3F002">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不涉及</w:t>
            </w:r>
          </w:p>
        </w:tc>
      </w:tr>
      <w:tr w14:paraId="1D7FA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restart"/>
            <w:noWrap w:val="0"/>
            <w:vAlign w:val="center"/>
          </w:tcPr>
          <w:p w14:paraId="55790AB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水污染防治</w:t>
            </w:r>
          </w:p>
        </w:tc>
        <w:tc>
          <w:tcPr>
            <w:tcW w:w="2437" w:type="pct"/>
            <w:noWrap w:val="0"/>
            <w:vAlign w:val="center"/>
          </w:tcPr>
          <w:p w14:paraId="1C4785E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水污染防治应遵循雨污分流、清污分流、分类收集、分质处理和循环利用的原则，实现污水全收集利用或达标排放，外排废水应达到国家或地方相应排放要求。</w:t>
            </w:r>
          </w:p>
        </w:tc>
        <w:tc>
          <w:tcPr>
            <w:tcW w:w="1792" w:type="pct"/>
            <w:noWrap w:val="0"/>
            <w:vAlign w:val="center"/>
          </w:tcPr>
          <w:p w14:paraId="08B7287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本项目选矿废水</w:t>
            </w:r>
            <w:r>
              <w:rPr>
                <w:rFonts w:hint="default" w:ascii="Times New Roman" w:hAnsi="Times New Roman" w:cs="Times New Roman"/>
                <w:color w:val="auto"/>
                <w:sz w:val="21"/>
                <w:highlight w:val="none"/>
                <w:lang w:eastAsia="zh-CN"/>
              </w:rPr>
              <w:t>回用于</w:t>
            </w:r>
            <w:r>
              <w:rPr>
                <w:rFonts w:hint="default" w:ascii="Times New Roman" w:hAnsi="Times New Roman" w:cs="Times New Roman"/>
                <w:color w:val="auto"/>
                <w:sz w:val="21"/>
                <w:highlight w:val="none"/>
                <w:lang w:val="en-US" w:eastAsia="zh-CN"/>
              </w:rPr>
              <w:t>选矿工艺，</w:t>
            </w:r>
            <w:r>
              <w:rPr>
                <w:rFonts w:hint="default" w:ascii="Times New Roman" w:hAnsi="Times New Roman" w:cs="Times New Roman"/>
                <w:color w:val="auto"/>
                <w:sz w:val="21"/>
                <w:highlight w:val="none"/>
              </w:rPr>
              <w:t>不外排，生活污水经处理达标</w:t>
            </w:r>
            <w:r>
              <w:rPr>
                <w:rFonts w:hint="default" w:ascii="Times New Roman" w:hAnsi="Times New Roman" w:cs="Times New Roman"/>
                <w:color w:val="auto"/>
                <w:sz w:val="21"/>
                <w:highlight w:val="none"/>
                <w:lang w:val="en-US" w:eastAsia="zh-CN"/>
              </w:rPr>
              <w:t>回用不外排</w:t>
            </w:r>
            <w:r>
              <w:rPr>
                <w:rFonts w:hint="default" w:ascii="Times New Roman" w:hAnsi="Times New Roman" w:cs="Times New Roman"/>
                <w:color w:val="auto"/>
                <w:sz w:val="21"/>
                <w:highlight w:val="none"/>
              </w:rPr>
              <w:t>。</w:t>
            </w:r>
          </w:p>
        </w:tc>
        <w:tc>
          <w:tcPr>
            <w:tcW w:w="520" w:type="pct"/>
            <w:noWrap w:val="0"/>
            <w:vAlign w:val="center"/>
          </w:tcPr>
          <w:p w14:paraId="2FCDB3EA">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181A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370903D3">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71F84FB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采矿废水宜根据其去向采用混凝、沉淀、过滤或以上工艺组合等方法合理处理后进行生产、绿化、生活等方式综合利用，其水质应达到相应要求。</w:t>
            </w:r>
          </w:p>
        </w:tc>
        <w:tc>
          <w:tcPr>
            <w:tcW w:w="1792" w:type="pct"/>
            <w:noWrap w:val="0"/>
            <w:vAlign w:val="center"/>
          </w:tcPr>
          <w:p w14:paraId="440DB74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本项目为选矿工程，不涉及采矿工程。</w:t>
            </w:r>
          </w:p>
        </w:tc>
        <w:tc>
          <w:tcPr>
            <w:tcW w:w="520" w:type="pct"/>
            <w:noWrap w:val="0"/>
            <w:vAlign w:val="center"/>
          </w:tcPr>
          <w:p w14:paraId="24C076E5">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3F152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108B4412">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172A11B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鼓励金精矿预处理过程产生的酸性废水用于处理氰化尾渣。</w:t>
            </w:r>
          </w:p>
        </w:tc>
        <w:tc>
          <w:tcPr>
            <w:tcW w:w="1792" w:type="pct"/>
            <w:noWrap w:val="0"/>
            <w:vAlign w:val="center"/>
          </w:tcPr>
          <w:p w14:paraId="0B45615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520" w:type="pct"/>
            <w:noWrap w:val="0"/>
            <w:vAlign w:val="center"/>
          </w:tcPr>
          <w:p w14:paraId="61043516">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不涉及</w:t>
            </w:r>
          </w:p>
        </w:tc>
      </w:tr>
      <w:tr w14:paraId="6F7D1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3A294103">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6DFB5B0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鼓励将氰化工艺循环水中的硫氰化物转化为氰化物进行回用。</w:t>
            </w:r>
          </w:p>
        </w:tc>
        <w:tc>
          <w:tcPr>
            <w:tcW w:w="1792" w:type="pct"/>
            <w:noWrap w:val="0"/>
            <w:vAlign w:val="center"/>
          </w:tcPr>
          <w:p w14:paraId="457F08D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520" w:type="pct"/>
            <w:noWrap w:val="0"/>
            <w:vAlign w:val="center"/>
          </w:tcPr>
          <w:p w14:paraId="6118B55B">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不涉及</w:t>
            </w:r>
          </w:p>
        </w:tc>
      </w:tr>
      <w:tr w14:paraId="41C89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1F83DEF3">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001AC6F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对含氰废水宜采用臭氧法、双氧水法等二次污染少的方法进行无害化处理。</w:t>
            </w:r>
          </w:p>
        </w:tc>
        <w:tc>
          <w:tcPr>
            <w:tcW w:w="1792" w:type="pct"/>
            <w:noWrap w:val="0"/>
            <w:vAlign w:val="center"/>
          </w:tcPr>
          <w:p w14:paraId="465BD66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520" w:type="pct"/>
            <w:noWrap w:val="0"/>
            <w:vAlign w:val="center"/>
          </w:tcPr>
          <w:p w14:paraId="13843FDF">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不涉及</w:t>
            </w:r>
          </w:p>
        </w:tc>
      </w:tr>
      <w:tr w14:paraId="69A79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1DC76254">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0E55D97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生活污水宜单独收集并根据其去向合理处理后进行生产、绿化、冲洗等综合利用，其水质应达到相应要求。</w:t>
            </w:r>
          </w:p>
        </w:tc>
        <w:tc>
          <w:tcPr>
            <w:tcW w:w="1792" w:type="pct"/>
            <w:noWrap w:val="0"/>
            <w:vAlign w:val="center"/>
          </w:tcPr>
          <w:p w14:paraId="4FCBAE1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本项目生活污水经地埋式一体化污水处理设备处理达标后综合利用</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不外排。</w:t>
            </w:r>
          </w:p>
        </w:tc>
        <w:tc>
          <w:tcPr>
            <w:tcW w:w="520" w:type="pct"/>
            <w:noWrap w:val="0"/>
            <w:vAlign w:val="center"/>
          </w:tcPr>
          <w:p w14:paraId="0081E7A3">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40EE3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restart"/>
            <w:noWrap w:val="0"/>
            <w:vAlign w:val="center"/>
          </w:tcPr>
          <w:p w14:paraId="6819A06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固体废物利用处置</w:t>
            </w:r>
          </w:p>
        </w:tc>
        <w:tc>
          <w:tcPr>
            <w:tcW w:w="2437" w:type="pct"/>
            <w:noWrap w:val="0"/>
            <w:vAlign w:val="center"/>
          </w:tcPr>
          <w:p w14:paraId="67295FC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矿废石、浮选尾矿等固体废物的贮存和利用应符合国家环境保护相应要求。采矿废石应优先用于回填，或作为建材等方式进行综合利用。鼓励采选过程产生的浮选尾矿用于露天采坑或井下采空区回填，或作为建材等方式进行综合利用。</w:t>
            </w:r>
          </w:p>
        </w:tc>
        <w:tc>
          <w:tcPr>
            <w:tcW w:w="1792" w:type="pct"/>
            <w:noWrap w:val="0"/>
            <w:vAlign w:val="center"/>
          </w:tcPr>
          <w:p w14:paraId="6993A7E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本项目为</w:t>
            </w:r>
            <w:r>
              <w:rPr>
                <w:rFonts w:hint="default" w:ascii="Times New Roman" w:hAnsi="Times New Roman" w:cs="Times New Roman"/>
                <w:color w:val="auto"/>
                <w:sz w:val="21"/>
                <w:highlight w:val="none"/>
                <w:lang w:eastAsia="zh-CN"/>
              </w:rPr>
              <w:t>选矿及尾矿库</w:t>
            </w:r>
            <w:r>
              <w:rPr>
                <w:rFonts w:hint="default" w:ascii="Times New Roman" w:hAnsi="Times New Roman" w:cs="Times New Roman"/>
                <w:color w:val="auto"/>
                <w:sz w:val="21"/>
                <w:highlight w:val="none"/>
                <w:lang w:val="en-US" w:eastAsia="zh-CN"/>
              </w:rPr>
              <w:t>建设项目</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浮选</w:t>
            </w:r>
            <w:r>
              <w:rPr>
                <w:rFonts w:hint="default" w:ascii="Times New Roman" w:hAnsi="Times New Roman" w:cs="Times New Roman"/>
                <w:color w:val="auto"/>
                <w:sz w:val="21"/>
                <w:highlight w:val="none"/>
              </w:rPr>
              <w:t>产生</w:t>
            </w:r>
            <w:r>
              <w:rPr>
                <w:rFonts w:hint="default" w:ascii="Times New Roman" w:hAnsi="Times New Roman" w:cs="Times New Roman"/>
                <w:color w:val="auto"/>
                <w:sz w:val="21"/>
                <w:highlight w:val="none"/>
                <w:lang w:val="en-US" w:eastAsia="zh-CN"/>
              </w:rPr>
              <w:t>的</w:t>
            </w:r>
            <w:r>
              <w:rPr>
                <w:rFonts w:hint="default" w:ascii="Times New Roman" w:hAnsi="Times New Roman" w:cs="Times New Roman"/>
                <w:color w:val="auto"/>
                <w:sz w:val="21"/>
                <w:highlight w:val="none"/>
              </w:rPr>
              <w:t>产生尾矿部分用于</w:t>
            </w:r>
            <w:r>
              <w:rPr>
                <w:rFonts w:hint="default" w:ascii="Times New Roman" w:hAnsi="Times New Roman" w:cs="Times New Roman"/>
                <w:color w:val="auto"/>
                <w:sz w:val="21"/>
                <w:highlight w:val="none"/>
                <w:lang w:eastAsia="zh-CN"/>
              </w:rPr>
              <w:t>采</w:t>
            </w:r>
            <w:r>
              <w:rPr>
                <w:rFonts w:hint="default" w:ascii="Times New Roman" w:hAnsi="Times New Roman" w:cs="Times New Roman"/>
                <w:color w:val="auto"/>
                <w:sz w:val="21"/>
                <w:highlight w:val="none"/>
                <w:lang w:val="en-US" w:eastAsia="zh-CN"/>
              </w:rPr>
              <w:t>坑回填</w:t>
            </w:r>
            <w:r>
              <w:rPr>
                <w:rFonts w:hint="default" w:ascii="Times New Roman" w:hAnsi="Times New Roman" w:cs="Times New Roman"/>
                <w:color w:val="auto"/>
                <w:sz w:val="21"/>
                <w:highlight w:val="none"/>
              </w:rPr>
              <w:t>，剩余进入尾矿库堆存，能够做到</w:t>
            </w:r>
            <w:r>
              <w:rPr>
                <w:rFonts w:hint="default" w:ascii="Times New Roman" w:hAnsi="Times New Roman" w:cs="Times New Roman"/>
                <w:color w:val="auto"/>
                <w:sz w:val="21"/>
                <w:highlight w:val="none"/>
                <w:lang w:val="en-US" w:eastAsia="zh-CN"/>
              </w:rPr>
              <w:t>最大限度</w:t>
            </w:r>
            <w:r>
              <w:rPr>
                <w:rFonts w:hint="default" w:cs="Times New Roman"/>
                <w:color w:val="auto"/>
                <w:sz w:val="21"/>
                <w:highlight w:val="none"/>
                <w:lang w:val="en-US" w:eastAsia="zh-CN"/>
              </w:rPr>
              <w:t>地</w:t>
            </w:r>
            <w:r>
              <w:rPr>
                <w:rFonts w:hint="default" w:ascii="Times New Roman" w:hAnsi="Times New Roman" w:cs="Times New Roman"/>
                <w:color w:val="auto"/>
                <w:sz w:val="21"/>
                <w:highlight w:val="none"/>
              </w:rPr>
              <w:t>合理利用。</w:t>
            </w:r>
          </w:p>
        </w:tc>
        <w:tc>
          <w:tcPr>
            <w:tcW w:w="520" w:type="pct"/>
            <w:noWrap w:val="0"/>
            <w:vAlign w:val="center"/>
          </w:tcPr>
          <w:p w14:paraId="39970405">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39F48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7DAF0EB2">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6B4D129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氰化尾渣等危险废物的贮存、运输、利用和处置应符合《黄金行业氰渣污染控制技术规范》等国家环境保护的相应要求。氰化尾渣用于露天采坑或井下采空区回填、水泥窑协同处置、有价成分回收等资源化利用前，应采用与利用处置方式相适应的预处理技术，确保满足无害化和风险可控要求。</w:t>
            </w:r>
          </w:p>
        </w:tc>
        <w:tc>
          <w:tcPr>
            <w:tcW w:w="1792" w:type="pct"/>
            <w:noWrap w:val="0"/>
            <w:vAlign w:val="center"/>
          </w:tcPr>
          <w:p w14:paraId="7C97CAB1">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本项目</w:t>
            </w:r>
            <w:r>
              <w:rPr>
                <w:rFonts w:hint="default" w:ascii="Times New Roman" w:hAnsi="Times New Roman" w:cs="Times New Roman"/>
                <w:color w:val="auto"/>
                <w:sz w:val="21"/>
                <w:highlight w:val="none"/>
                <w:lang w:eastAsia="zh-CN"/>
              </w:rPr>
              <w:t>尾矿采用湿排工艺，为</w:t>
            </w:r>
            <w:r>
              <w:rPr>
                <w:rFonts w:hint="default" w:ascii="Times New Roman" w:hAnsi="Times New Roman" w:cs="Times New Roman"/>
                <w:color w:val="auto"/>
                <w:sz w:val="21"/>
                <w:highlight w:val="none"/>
              </w:rPr>
              <w:t>第Ⅱ类工业固体废物</w:t>
            </w:r>
            <w:r>
              <w:rPr>
                <w:rFonts w:hint="default" w:ascii="Times New Roman" w:hAnsi="Times New Roman" w:cs="Times New Roman"/>
                <w:color w:val="auto"/>
                <w:sz w:val="21"/>
                <w:highlight w:val="none"/>
                <w:lang w:eastAsia="zh-CN"/>
              </w:rPr>
              <w:t>，尾矿</w:t>
            </w:r>
            <w:r>
              <w:rPr>
                <w:rFonts w:hint="default" w:ascii="Times New Roman" w:hAnsi="Times New Roman" w:cs="Times New Roman"/>
                <w:color w:val="auto"/>
                <w:sz w:val="21"/>
                <w:highlight w:val="none"/>
              </w:rPr>
              <w:t>的贮存、运输、利用和处置符合《黄金行业氰渣污染控制技术规范》等国家环境保护的相应要求。产生尾矿部分用于</w:t>
            </w:r>
            <w:r>
              <w:rPr>
                <w:rFonts w:hint="default" w:ascii="Times New Roman" w:hAnsi="Times New Roman" w:cs="Times New Roman"/>
                <w:color w:val="auto"/>
                <w:sz w:val="21"/>
                <w:highlight w:val="none"/>
                <w:lang w:eastAsia="zh-CN"/>
              </w:rPr>
              <w:t>采</w:t>
            </w:r>
            <w:r>
              <w:rPr>
                <w:rFonts w:hint="default" w:ascii="Times New Roman" w:hAnsi="Times New Roman" w:cs="Times New Roman"/>
                <w:color w:val="auto"/>
                <w:sz w:val="21"/>
                <w:highlight w:val="none"/>
                <w:lang w:val="en-US" w:eastAsia="zh-CN"/>
              </w:rPr>
              <w:t>坑回填</w:t>
            </w:r>
            <w:r>
              <w:rPr>
                <w:rFonts w:hint="default" w:ascii="Times New Roman" w:hAnsi="Times New Roman" w:cs="Times New Roman"/>
                <w:color w:val="auto"/>
                <w:sz w:val="21"/>
                <w:highlight w:val="none"/>
              </w:rPr>
              <w:t>，剩余进入尾矿库堆存</w:t>
            </w:r>
            <w:r>
              <w:rPr>
                <w:rFonts w:hint="default" w:ascii="Times New Roman" w:hAnsi="Times New Roman" w:cs="Times New Roman"/>
                <w:color w:val="auto"/>
                <w:sz w:val="21"/>
                <w:highlight w:val="none"/>
                <w:lang w:val="en-US" w:eastAsia="zh-CN"/>
              </w:rPr>
              <w:t>，尾矿合理处置后可以满足无害化和风险可控要求。</w:t>
            </w:r>
          </w:p>
        </w:tc>
        <w:tc>
          <w:tcPr>
            <w:tcW w:w="520" w:type="pct"/>
            <w:noWrap w:val="0"/>
            <w:vAlign w:val="center"/>
          </w:tcPr>
          <w:p w14:paraId="1DC4F4A1">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6620A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23372DF4">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58EAF52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鼓励采用焙烧烟气、工艺废水对氰化尾渣进行无害化处理等以废治废技术。</w:t>
            </w:r>
          </w:p>
        </w:tc>
        <w:tc>
          <w:tcPr>
            <w:tcW w:w="3287" w:type="dxa"/>
            <w:noWrap w:val="0"/>
            <w:vAlign w:val="center"/>
          </w:tcPr>
          <w:p w14:paraId="026AC89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954" w:type="dxa"/>
            <w:noWrap w:val="0"/>
            <w:vAlign w:val="center"/>
          </w:tcPr>
          <w:p w14:paraId="055C862B">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不涉及</w:t>
            </w:r>
          </w:p>
        </w:tc>
      </w:tr>
      <w:tr w14:paraId="48442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43D0AC46">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2F8B976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精炼过程产生的冶炼渣宜返回生产流程再次利用。</w:t>
            </w:r>
          </w:p>
        </w:tc>
        <w:tc>
          <w:tcPr>
            <w:tcW w:w="3287" w:type="dxa"/>
            <w:noWrap w:val="0"/>
            <w:vAlign w:val="center"/>
          </w:tcPr>
          <w:p w14:paraId="39BE059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本项目不涉及冶炼工段</w:t>
            </w:r>
          </w:p>
        </w:tc>
        <w:tc>
          <w:tcPr>
            <w:tcW w:w="954" w:type="dxa"/>
            <w:noWrap w:val="0"/>
            <w:vAlign w:val="center"/>
          </w:tcPr>
          <w:p w14:paraId="1DB28ED6">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不涉及</w:t>
            </w:r>
          </w:p>
        </w:tc>
      </w:tr>
      <w:tr w14:paraId="0BE1C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restart"/>
            <w:noWrap w:val="0"/>
            <w:vAlign w:val="center"/>
          </w:tcPr>
          <w:p w14:paraId="3240B0A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噪声污染防治</w:t>
            </w:r>
          </w:p>
        </w:tc>
        <w:tc>
          <w:tcPr>
            <w:tcW w:w="2437" w:type="pct"/>
            <w:noWrap w:val="0"/>
            <w:vAlign w:val="center"/>
          </w:tcPr>
          <w:p w14:paraId="44F92D8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应通过合理的生产布局减少对厂界外噪声敏感目标的影响。</w:t>
            </w:r>
          </w:p>
        </w:tc>
        <w:tc>
          <w:tcPr>
            <w:tcW w:w="1792" w:type="pct"/>
            <w:noWrap w:val="0"/>
            <w:vAlign w:val="center"/>
          </w:tcPr>
          <w:p w14:paraId="25A9084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w:t>
            </w:r>
            <w:r>
              <w:rPr>
                <w:rFonts w:hint="default" w:ascii="Times New Roman" w:hAnsi="Times New Roman" w:cs="Times New Roman"/>
                <w:color w:val="auto"/>
                <w:sz w:val="21"/>
                <w:highlight w:val="none"/>
                <w:lang w:val="en-US" w:eastAsia="zh-CN"/>
              </w:rPr>
              <w:t>评价范围内</w:t>
            </w:r>
            <w:r>
              <w:rPr>
                <w:rFonts w:hint="default" w:ascii="Times New Roman" w:hAnsi="Times New Roman" w:cs="Times New Roman"/>
                <w:color w:val="auto"/>
                <w:sz w:val="21"/>
                <w:highlight w:val="none"/>
              </w:rPr>
              <w:t>无声环境保护目标，生产布局合理，采取</w:t>
            </w:r>
            <w:r>
              <w:rPr>
                <w:rFonts w:hint="default" w:ascii="Times New Roman" w:hAnsi="Times New Roman" w:cs="Times New Roman"/>
                <w:color w:val="auto"/>
                <w:sz w:val="21"/>
                <w:highlight w:val="none"/>
                <w:lang w:val="en-US" w:eastAsia="zh-CN"/>
              </w:rPr>
              <w:t>消声、</w:t>
            </w:r>
            <w:r>
              <w:rPr>
                <w:rFonts w:hint="default" w:cs="Times New Roman"/>
                <w:color w:val="auto"/>
                <w:sz w:val="21"/>
                <w:highlight w:val="none"/>
                <w:lang w:val="en-US" w:eastAsia="zh-CN"/>
              </w:rPr>
              <w:t>减振</w:t>
            </w:r>
            <w:r>
              <w:rPr>
                <w:rFonts w:hint="default" w:ascii="Times New Roman" w:hAnsi="Times New Roman" w:cs="Times New Roman"/>
                <w:color w:val="auto"/>
                <w:sz w:val="21"/>
                <w:highlight w:val="none"/>
                <w:lang w:val="en-US" w:eastAsia="zh-CN"/>
              </w:rPr>
              <w:t>、隔音等</w:t>
            </w:r>
            <w:r>
              <w:rPr>
                <w:rFonts w:hint="default" w:ascii="Times New Roman" w:hAnsi="Times New Roman" w:cs="Times New Roman"/>
                <w:color w:val="auto"/>
                <w:sz w:val="21"/>
                <w:highlight w:val="none"/>
              </w:rPr>
              <w:t>措施处理后对项目区周围声环境影响较小。</w:t>
            </w:r>
          </w:p>
        </w:tc>
        <w:tc>
          <w:tcPr>
            <w:tcW w:w="520" w:type="pct"/>
            <w:noWrap w:val="0"/>
            <w:vAlign w:val="center"/>
          </w:tcPr>
          <w:p w14:paraId="55AF04CB">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063A7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2FAC5907">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340001E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对于噪声较大的各类风机、破碎机、球磨机等应采取隔振、减振、隔声、消声等措施。</w:t>
            </w:r>
          </w:p>
        </w:tc>
        <w:tc>
          <w:tcPr>
            <w:tcW w:w="1792" w:type="pct"/>
            <w:noWrap w:val="0"/>
            <w:vAlign w:val="center"/>
          </w:tcPr>
          <w:p w14:paraId="2C67487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本项目在设备选型上选用低噪音设备，机组基础设置衬垫，各类风机进出口装</w:t>
            </w:r>
            <w:r>
              <w:rPr>
                <w:rFonts w:hint="default" w:cs="Times New Roman"/>
                <w:color w:val="auto"/>
                <w:sz w:val="21"/>
                <w:highlight w:val="none"/>
                <w:lang w:eastAsia="zh-CN"/>
              </w:rPr>
              <w:t>消声器</w:t>
            </w:r>
            <w:r>
              <w:rPr>
                <w:rFonts w:hint="default" w:ascii="Times New Roman" w:hAnsi="Times New Roman" w:cs="Times New Roman"/>
                <w:color w:val="auto"/>
                <w:sz w:val="21"/>
                <w:highlight w:val="none"/>
              </w:rPr>
              <w:t>，泵类加隔音罩，对噪声设备采取室内布置并采用隔声吸声材料等措施。</w:t>
            </w:r>
          </w:p>
        </w:tc>
        <w:tc>
          <w:tcPr>
            <w:tcW w:w="520" w:type="pct"/>
            <w:noWrap w:val="0"/>
            <w:vAlign w:val="center"/>
          </w:tcPr>
          <w:p w14:paraId="277F5A52">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7891A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restart"/>
            <w:noWrap w:val="0"/>
            <w:vAlign w:val="center"/>
          </w:tcPr>
          <w:p w14:paraId="0AB7AD5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生态保护</w:t>
            </w:r>
          </w:p>
        </w:tc>
        <w:tc>
          <w:tcPr>
            <w:tcW w:w="2437" w:type="pct"/>
            <w:noWrap w:val="0"/>
            <w:vAlign w:val="center"/>
          </w:tcPr>
          <w:p w14:paraId="675B822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采矿、选矿工业场地应选择有利于保护生态环境的场所（位置），矿山开采企业应采取种植植被或其他措施，减少水土流失。</w:t>
            </w:r>
          </w:p>
        </w:tc>
        <w:tc>
          <w:tcPr>
            <w:tcW w:w="1792" w:type="pct"/>
            <w:noWrap w:val="0"/>
            <w:vAlign w:val="center"/>
          </w:tcPr>
          <w:p w14:paraId="139F104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本项目选矿工业场地生产设施布置紧凑，</w:t>
            </w:r>
            <w:r>
              <w:rPr>
                <w:rFonts w:hint="default" w:ascii="Times New Roman" w:hAnsi="Times New Roman" w:cs="Times New Roman"/>
                <w:color w:val="auto"/>
                <w:sz w:val="21"/>
                <w:highlight w:val="none"/>
                <w:lang w:val="en-US" w:eastAsia="zh-CN"/>
              </w:rPr>
              <w:t>办公生活区</w:t>
            </w:r>
            <w:r>
              <w:rPr>
                <w:rFonts w:hint="default" w:ascii="Times New Roman" w:hAnsi="Times New Roman" w:cs="Times New Roman"/>
                <w:color w:val="auto"/>
                <w:sz w:val="21"/>
                <w:highlight w:val="none"/>
              </w:rPr>
              <w:t>位于</w:t>
            </w:r>
            <w:r>
              <w:rPr>
                <w:rFonts w:hint="default" w:ascii="Times New Roman" w:hAnsi="Times New Roman" w:cs="Times New Roman"/>
                <w:color w:val="auto"/>
                <w:sz w:val="21"/>
                <w:highlight w:val="none"/>
                <w:lang w:val="en-US" w:eastAsia="zh-CN"/>
              </w:rPr>
              <w:t>选矿厂</w:t>
            </w:r>
            <w:r>
              <w:rPr>
                <w:rFonts w:hint="default" w:ascii="Times New Roman" w:hAnsi="Times New Roman" w:cs="Times New Roman"/>
                <w:color w:val="auto"/>
                <w:sz w:val="21"/>
                <w:highlight w:val="none"/>
              </w:rPr>
              <w:t>常年主导风</w:t>
            </w:r>
            <w:r>
              <w:rPr>
                <w:rFonts w:hint="default" w:ascii="Times New Roman" w:hAnsi="Times New Roman" w:cs="Times New Roman"/>
                <w:color w:val="auto"/>
                <w:sz w:val="21"/>
                <w:highlight w:val="none"/>
                <w:lang w:val="en-US" w:eastAsia="zh-CN"/>
              </w:rPr>
              <w:t>侧</w:t>
            </w:r>
            <w:r>
              <w:rPr>
                <w:rFonts w:hint="default" w:ascii="Times New Roman" w:hAnsi="Times New Roman" w:cs="Times New Roman"/>
                <w:color w:val="auto"/>
                <w:sz w:val="21"/>
                <w:highlight w:val="none"/>
              </w:rPr>
              <w:t>风向。在选矿工业场地</w:t>
            </w:r>
            <w:r>
              <w:rPr>
                <w:rFonts w:hint="default" w:ascii="Times New Roman" w:hAnsi="Times New Roman" w:cs="Times New Roman"/>
                <w:color w:val="auto"/>
                <w:sz w:val="21"/>
                <w:highlight w:val="none"/>
                <w:lang w:val="en-US" w:eastAsia="zh-CN"/>
              </w:rPr>
              <w:t>重点区域实施硬化，可绿化区域</w:t>
            </w:r>
            <w:r>
              <w:rPr>
                <w:rFonts w:hint="default" w:ascii="Times New Roman" w:hAnsi="Times New Roman" w:cs="Times New Roman"/>
                <w:color w:val="auto"/>
                <w:sz w:val="21"/>
                <w:highlight w:val="none"/>
              </w:rPr>
              <w:t>种植适宜植被，增加项目区绿化面积</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可以有效减少水土流失</w:t>
            </w:r>
            <w:r>
              <w:rPr>
                <w:rFonts w:hint="default" w:ascii="Times New Roman" w:hAnsi="Times New Roman" w:cs="Times New Roman"/>
                <w:color w:val="auto"/>
                <w:sz w:val="21"/>
                <w:highlight w:val="none"/>
              </w:rPr>
              <w:t>。</w:t>
            </w:r>
          </w:p>
        </w:tc>
        <w:tc>
          <w:tcPr>
            <w:tcW w:w="520" w:type="pct"/>
            <w:noWrap w:val="0"/>
            <w:vAlign w:val="center"/>
          </w:tcPr>
          <w:p w14:paraId="0FDFF066">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7735D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357D128C">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5800EEB6">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露天开采矿山宜采用“剥离-排土-造地-复垦”一体化技术。</w:t>
            </w:r>
          </w:p>
        </w:tc>
        <w:tc>
          <w:tcPr>
            <w:tcW w:w="1792" w:type="pct"/>
            <w:noWrap w:val="0"/>
            <w:vAlign w:val="center"/>
          </w:tcPr>
          <w:p w14:paraId="5645162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本项目不涉及露天开采。</w:t>
            </w:r>
          </w:p>
        </w:tc>
        <w:tc>
          <w:tcPr>
            <w:tcW w:w="520" w:type="pct"/>
            <w:noWrap w:val="0"/>
            <w:vAlign w:val="center"/>
          </w:tcPr>
          <w:p w14:paraId="2E897889">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45CA2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4C6D8893">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73A76E3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矿山修复应优先采用原生植物覆盖生态修复技术。</w:t>
            </w:r>
          </w:p>
        </w:tc>
        <w:tc>
          <w:tcPr>
            <w:tcW w:w="1792" w:type="pct"/>
            <w:noWrap w:val="0"/>
            <w:vAlign w:val="center"/>
          </w:tcPr>
          <w:p w14:paraId="0457F10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本项目为选矿</w:t>
            </w:r>
            <w:r>
              <w:rPr>
                <w:rFonts w:hint="default" w:ascii="Times New Roman" w:hAnsi="Times New Roman" w:cs="Times New Roman"/>
                <w:color w:val="auto"/>
                <w:sz w:val="21"/>
                <w:highlight w:val="none"/>
                <w:lang w:eastAsia="zh-CN"/>
              </w:rPr>
              <w:t>及尾矿库</w:t>
            </w:r>
            <w:r>
              <w:rPr>
                <w:rFonts w:hint="default" w:ascii="Times New Roman" w:hAnsi="Times New Roman" w:cs="Times New Roman"/>
                <w:color w:val="auto"/>
                <w:sz w:val="21"/>
                <w:highlight w:val="none"/>
                <w:lang w:val="en-US" w:eastAsia="zh-CN"/>
              </w:rPr>
              <w:t>建设项目</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采矿工程后期需</w:t>
            </w:r>
            <w:r>
              <w:rPr>
                <w:rFonts w:hint="default" w:ascii="Times New Roman" w:hAnsi="Times New Roman" w:cs="Times New Roman"/>
                <w:color w:val="auto"/>
                <w:sz w:val="21"/>
                <w:highlight w:val="none"/>
              </w:rPr>
              <w:t>按照土地复垦方案开展复垦工作，恢复至与周围生态环境相容状态。</w:t>
            </w:r>
          </w:p>
        </w:tc>
        <w:tc>
          <w:tcPr>
            <w:tcW w:w="520" w:type="pct"/>
            <w:noWrap w:val="0"/>
            <w:vAlign w:val="center"/>
          </w:tcPr>
          <w:p w14:paraId="6C23D4A8">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2938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32FAA940">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4966021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新（改、扩）建及固定设施建设项目应充分考虑有利于矿山生命周期全过程生态环境保护及生态恢复的技术及方案。</w:t>
            </w:r>
          </w:p>
        </w:tc>
        <w:tc>
          <w:tcPr>
            <w:tcW w:w="1792" w:type="pct"/>
            <w:noWrap w:val="0"/>
            <w:vAlign w:val="center"/>
          </w:tcPr>
          <w:p w14:paraId="653E0C1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本项目为选矿</w:t>
            </w:r>
            <w:r>
              <w:rPr>
                <w:rFonts w:hint="default" w:ascii="Times New Roman" w:hAnsi="Times New Roman" w:cs="Times New Roman"/>
                <w:color w:val="auto"/>
                <w:sz w:val="21"/>
                <w:highlight w:val="none"/>
                <w:lang w:eastAsia="zh-CN"/>
              </w:rPr>
              <w:t>及尾矿库</w:t>
            </w:r>
            <w:r>
              <w:rPr>
                <w:rFonts w:hint="default" w:ascii="Times New Roman" w:hAnsi="Times New Roman" w:cs="Times New Roman"/>
                <w:color w:val="auto"/>
                <w:sz w:val="21"/>
                <w:highlight w:val="none"/>
                <w:lang w:val="en-US" w:eastAsia="zh-CN"/>
              </w:rPr>
              <w:t>建设项目</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退役期应该按照本次环评要求开展相应的生态保护及恢复工作</w:t>
            </w:r>
            <w:r>
              <w:rPr>
                <w:rFonts w:hint="default" w:ascii="Times New Roman" w:hAnsi="Times New Roman" w:cs="Times New Roman"/>
                <w:color w:val="auto"/>
                <w:sz w:val="21"/>
                <w:highlight w:val="none"/>
              </w:rPr>
              <w:t>。</w:t>
            </w:r>
          </w:p>
        </w:tc>
        <w:tc>
          <w:tcPr>
            <w:tcW w:w="520" w:type="pct"/>
            <w:noWrap w:val="0"/>
            <w:vAlign w:val="center"/>
          </w:tcPr>
          <w:p w14:paraId="68A52BA7">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0F6BF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49" w:type="pct"/>
            <w:vMerge w:val="continue"/>
            <w:noWrap w:val="0"/>
            <w:vAlign w:val="center"/>
          </w:tcPr>
          <w:p w14:paraId="4B12BE52">
            <w:pPr>
              <w:spacing w:line="360" w:lineRule="exact"/>
              <w:ind w:firstLine="0" w:firstLineChars="0"/>
              <w:jc w:val="center"/>
              <w:rPr>
                <w:rFonts w:hint="default" w:ascii="Times New Roman" w:hAnsi="Times New Roman" w:cs="Times New Roman"/>
                <w:color w:val="auto"/>
                <w:sz w:val="21"/>
                <w:highlight w:val="none"/>
              </w:rPr>
            </w:pPr>
          </w:p>
        </w:tc>
        <w:tc>
          <w:tcPr>
            <w:tcW w:w="2437" w:type="pct"/>
            <w:noWrap w:val="0"/>
            <w:vAlign w:val="center"/>
          </w:tcPr>
          <w:p w14:paraId="59FE5FE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尾矿库闭库后应进行生态修复，且根据环境风险评价结果确定修复目标，尾矿库场地修复完成后用于土地利用时应符合相关规定。</w:t>
            </w:r>
          </w:p>
        </w:tc>
        <w:tc>
          <w:tcPr>
            <w:tcW w:w="1792" w:type="pct"/>
            <w:noWrap w:val="0"/>
            <w:vAlign w:val="center"/>
          </w:tcPr>
          <w:p w14:paraId="325B490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本项目尾矿库闭库后将采取生态恢复治理</w:t>
            </w:r>
            <w:r>
              <w:rPr>
                <w:rFonts w:hint="default" w:ascii="Times New Roman" w:hAnsi="Times New Roman" w:cs="Times New Roman"/>
                <w:color w:val="auto"/>
                <w:sz w:val="21"/>
                <w:highlight w:val="none"/>
                <w:lang w:val="en-US" w:eastAsia="zh-CN"/>
              </w:rPr>
              <w:t>措施</w:t>
            </w:r>
            <w:r>
              <w:rPr>
                <w:rFonts w:hint="default" w:ascii="Times New Roman" w:hAnsi="Times New Roman" w:cs="Times New Roman"/>
                <w:color w:val="auto"/>
                <w:sz w:val="21"/>
                <w:highlight w:val="none"/>
              </w:rPr>
              <w:t>，按照有关规定报经相关部门批准，依法依规办理相应手续。</w:t>
            </w:r>
          </w:p>
        </w:tc>
        <w:tc>
          <w:tcPr>
            <w:tcW w:w="520" w:type="pct"/>
            <w:noWrap w:val="0"/>
            <w:vAlign w:val="center"/>
          </w:tcPr>
          <w:p w14:paraId="3FE3C721">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bl>
    <w:p w14:paraId="5A64EF6B">
      <w:pPr>
        <w:pStyle w:val="4"/>
        <w:numPr>
          <w:ilvl w:val="2"/>
          <w:numId w:val="0"/>
        </w:numPr>
        <w:rPr>
          <w:rFonts w:hint="default" w:ascii="Times New Roman" w:hAnsi="Times New Roman" w:cs="Times New Roman"/>
          <w:color w:val="auto"/>
          <w:highlight w:val="none"/>
        </w:rPr>
      </w:pPr>
      <w:bookmarkStart w:id="538" w:name="_Toc31852_WPSOffice_Level2"/>
      <w:bookmarkStart w:id="539" w:name="_Toc18016"/>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.2相关规划符合性分析</w:t>
      </w:r>
      <w:bookmarkEnd w:id="538"/>
      <w:bookmarkEnd w:id="539"/>
    </w:p>
    <w:p w14:paraId="21C7DD5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.2.1与《</w:t>
      </w:r>
      <w:r>
        <w:rPr>
          <w:rFonts w:hint="eastAsia" w:cs="Times New Roman"/>
          <w:color w:val="auto"/>
          <w:highlight w:val="none"/>
          <w:lang w:eastAsia="zh-CN"/>
        </w:rPr>
        <w:t>新疆维吾尔自治区国民经济和社会发展第十五个五年规划纲要</w:t>
      </w:r>
      <w:r>
        <w:rPr>
          <w:rFonts w:hint="default" w:ascii="Times New Roman" w:hAnsi="Times New Roman" w:cs="Times New Roman"/>
          <w:color w:val="auto"/>
          <w:highlight w:val="none"/>
        </w:rPr>
        <w:t>》符合性分析</w:t>
      </w:r>
    </w:p>
    <w:p w14:paraId="16D9F5B0">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bidi="ar"/>
        </w:rPr>
        <w:t>根据《</w:t>
      </w:r>
      <w:r>
        <w:rPr>
          <w:rFonts w:hint="eastAsia" w:cs="Times New Roman"/>
          <w:color w:val="auto"/>
          <w:szCs w:val="24"/>
          <w:highlight w:val="none"/>
          <w:lang w:eastAsia="zh-CN" w:bidi="ar"/>
        </w:rPr>
        <w:t>新疆维吾尔自治区国民经济和社会发展第十五个五年规划纲要</w:t>
      </w:r>
      <w:r>
        <w:rPr>
          <w:rFonts w:hint="default" w:ascii="Times New Roman" w:hAnsi="Times New Roman" w:cs="Times New Roman"/>
          <w:color w:val="auto"/>
          <w:szCs w:val="24"/>
          <w:highlight w:val="none"/>
          <w:lang w:bidi="ar"/>
        </w:rPr>
        <w:t>》（2021年2月5日新疆维吾尔自治区第十三届人民代表大会第四次会议通过）中第五篇</w:t>
      </w:r>
      <w:r>
        <w:rPr>
          <w:rFonts w:hint="default" w:ascii="Times New Roman" w:hAnsi="Times New Roman" w:cs="Times New Roman"/>
          <w:color w:val="auto"/>
          <w:szCs w:val="24"/>
          <w:highlight w:val="none"/>
          <w:lang w:val="en-US" w:eastAsia="zh-CN" w:bidi="ar"/>
        </w:rPr>
        <w:t>-</w:t>
      </w:r>
      <w:r>
        <w:rPr>
          <w:rFonts w:hint="default" w:ascii="Times New Roman" w:hAnsi="Times New Roman" w:cs="Times New Roman"/>
          <w:color w:val="auto"/>
          <w:szCs w:val="24"/>
          <w:highlight w:val="none"/>
          <w:lang w:bidi="ar"/>
        </w:rPr>
        <w:t>第二章：</w:t>
      </w:r>
      <w:bookmarkStart w:id="540" w:name="_Toc36466467"/>
      <w:bookmarkStart w:id="541" w:name="_Toc36466161"/>
      <w:bookmarkStart w:id="542" w:name="_Toc310770504"/>
      <w:bookmarkStart w:id="543" w:name="_Toc1382326041"/>
      <w:bookmarkStart w:id="544" w:name="_Toc36466795"/>
      <w:r>
        <w:rPr>
          <w:rFonts w:hint="default" w:ascii="Times New Roman" w:hAnsi="Times New Roman" w:cs="Times New Roman"/>
          <w:b/>
          <w:bCs/>
          <w:color w:val="auto"/>
          <w:szCs w:val="24"/>
          <w:highlight w:val="none"/>
          <w:lang w:bidi="ar"/>
        </w:rPr>
        <w:t>积极发展有色工业。</w:t>
      </w:r>
      <w:r>
        <w:rPr>
          <w:rFonts w:hint="default" w:ascii="Times New Roman" w:hAnsi="Times New Roman" w:cs="Times New Roman"/>
          <w:color w:val="auto"/>
          <w:szCs w:val="24"/>
          <w:highlight w:val="none"/>
          <w:lang w:bidi="ar"/>
        </w:rPr>
        <w:t>推进铝、铜、镍、镁等有色金属下游产业链延伸，培育铜镍、铜铝、铜镁、硅铝、铍铜等合金产业，推动汽车、铁路、航天、航海等行业应用有色新材料，打造全国重要的有色金属产业基地。</w:t>
      </w:r>
      <w:bookmarkEnd w:id="540"/>
      <w:bookmarkEnd w:id="541"/>
      <w:bookmarkEnd w:id="542"/>
      <w:bookmarkEnd w:id="543"/>
      <w:bookmarkEnd w:id="544"/>
    </w:p>
    <w:p w14:paraId="7B6946E4">
      <w:pPr>
        <w:widowControl/>
        <w:ind w:firstLine="480"/>
        <w:jc w:val="left"/>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eastAsia="zh-CN" w:bidi="ar"/>
        </w:rPr>
        <w:t>本</w:t>
      </w:r>
      <w:r>
        <w:rPr>
          <w:rFonts w:hint="default" w:ascii="Times New Roman" w:hAnsi="Times New Roman" w:cs="Times New Roman"/>
          <w:color w:val="auto"/>
          <w:szCs w:val="24"/>
          <w:highlight w:val="none"/>
          <w:lang w:val="en-US" w:eastAsia="zh-CN" w:bidi="ar"/>
        </w:rPr>
        <w:t>项目</w:t>
      </w:r>
      <w:r>
        <w:rPr>
          <w:rFonts w:hint="default" w:ascii="Times New Roman" w:hAnsi="Times New Roman" w:cs="Times New Roman"/>
          <w:color w:val="auto"/>
          <w:szCs w:val="24"/>
          <w:highlight w:val="none"/>
          <w:lang w:eastAsia="zh-CN" w:bidi="ar"/>
        </w:rPr>
        <w:t>位于</w:t>
      </w:r>
      <w:r>
        <w:rPr>
          <w:rFonts w:hint="default" w:ascii="Times New Roman" w:hAnsi="Times New Roman" w:cs="Times New Roman"/>
          <w:color w:val="auto"/>
          <w:highlight w:val="none"/>
          <w:lang w:val="en-US" w:eastAsia="zh-CN"/>
        </w:rPr>
        <w:t>富蕴</w:t>
      </w:r>
      <w:r>
        <w:rPr>
          <w:rFonts w:hint="default" w:ascii="Times New Roman" w:hAnsi="Times New Roman" w:cs="Times New Roman"/>
          <w:color w:val="auto"/>
          <w:highlight w:val="none"/>
        </w:rPr>
        <w:t>县城东南144°方位</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40km处，行政区划属于富蕴县喀拉通克镇管辖。</w:t>
      </w:r>
      <w:r>
        <w:rPr>
          <w:rFonts w:hint="default" w:ascii="Times New Roman" w:hAnsi="Times New Roman" w:cs="Times New Roman"/>
          <w:color w:val="auto"/>
          <w:szCs w:val="24"/>
          <w:highlight w:val="none"/>
          <w:lang w:bidi="ar"/>
        </w:rPr>
        <w:t>本项目为金矿选矿</w:t>
      </w:r>
      <w:r>
        <w:rPr>
          <w:rFonts w:hint="default" w:ascii="Times New Roman" w:hAnsi="Times New Roman" w:cs="Times New Roman"/>
          <w:color w:val="auto"/>
          <w:szCs w:val="24"/>
          <w:highlight w:val="none"/>
          <w:lang w:eastAsia="zh-CN" w:bidi="ar"/>
        </w:rPr>
        <w:t>及尾矿库</w:t>
      </w:r>
      <w:r>
        <w:rPr>
          <w:rFonts w:hint="default" w:ascii="Times New Roman" w:hAnsi="Times New Roman" w:cs="Times New Roman"/>
          <w:color w:val="auto"/>
          <w:szCs w:val="24"/>
          <w:highlight w:val="none"/>
          <w:lang w:val="en-US" w:eastAsia="zh-CN" w:bidi="ar"/>
        </w:rPr>
        <w:t>建设项目</w:t>
      </w:r>
      <w:r>
        <w:rPr>
          <w:rFonts w:hint="default" w:ascii="Times New Roman" w:hAnsi="Times New Roman" w:cs="Times New Roman"/>
          <w:color w:val="auto"/>
          <w:szCs w:val="24"/>
          <w:highlight w:val="none"/>
          <w:lang w:bidi="ar"/>
        </w:rPr>
        <w:t>，属于有色金属</w:t>
      </w:r>
      <w:r>
        <w:rPr>
          <w:rFonts w:hint="default" w:ascii="Times New Roman" w:hAnsi="Times New Roman" w:cs="Times New Roman"/>
          <w:color w:val="auto"/>
          <w:szCs w:val="24"/>
          <w:highlight w:val="none"/>
          <w:lang w:val="en-US" w:eastAsia="zh-CN" w:bidi="ar"/>
        </w:rPr>
        <w:t>产业链中重要一环，</w:t>
      </w:r>
      <w:r>
        <w:rPr>
          <w:rFonts w:hint="default" w:ascii="Times New Roman" w:hAnsi="Times New Roman" w:cs="Times New Roman"/>
          <w:color w:val="auto"/>
          <w:szCs w:val="24"/>
          <w:highlight w:val="none"/>
          <w:lang w:bidi="ar"/>
        </w:rPr>
        <w:t>符合《</w:t>
      </w:r>
      <w:r>
        <w:rPr>
          <w:rFonts w:hint="eastAsia" w:cs="Times New Roman"/>
          <w:color w:val="auto"/>
          <w:szCs w:val="24"/>
          <w:highlight w:val="none"/>
          <w:lang w:eastAsia="zh-CN" w:bidi="ar"/>
        </w:rPr>
        <w:t>新疆维吾尔自治区国民经济和社会发展第十五个五年规划纲要</w:t>
      </w:r>
      <w:r>
        <w:rPr>
          <w:rFonts w:hint="default" w:ascii="Times New Roman" w:hAnsi="Times New Roman" w:cs="Times New Roman"/>
          <w:color w:val="auto"/>
          <w:szCs w:val="24"/>
          <w:highlight w:val="none"/>
          <w:lang w:bidi="ar"/>
        </w:rPr>
        <w:t>》提出的</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积极发展有色工业</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中的相关内容。</w:t>
      </w:r>
    </w:p>
    <w:p w14:paraId="18D17F14">
      <w:pPr>
        <w:pStyle w:val="5"/>
        <w:ind w:firstLine="482"/>
        <w:rPr>
          <w:rFonts w:hint="default" w:ascii="Times New Roman" w:hAnsi="Times New Roman" w:cs="Times New Roman"/>
          <w:color w:val="auto"/>
          <w:kern w:val="0"/>
          <w:szCs w:val="22"/>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.2.2与《</w:t>
      </w:r>
      <w:r>
        <w:rPr>
          <w:rFonts w:hint="default" w:ascii="Times New Roman" w:hAnsi="Times New Roman" w:cs="Times New Roman"/>
          <w:color w:val="auto"/>
          <w:highlight w:val="none"/>
          <w:lang w:val="en-US" w:eastAsia="zh-CN"/>
        </w:rPr>
        <w:t>富蕴县国民经济和社会发展第十四个五年规划和2035年远景目标纲要</w:t>
      </w:r>
      <w:r>
        <w:rPr>
          <w:rFonts w:hint="default" w:ascii="Times New Roman" w:hAnsi="Times New Roman" w:cs="Times New Roman"/>
          <w:color w:val="auto"/>
          <w:highlight w:val="none"/>
        </w:rPr>
        <w:t>》符合性分析</w:t>
      </w:r>
    </w:p>
    <w:p w14:paraId="1BACACA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富蕴县国民经济和社会发展第十四个五年规划和2035年远景目标纲要</w:t>
      </w:r>
      <w:r>
        <w:rPr>
          <w:rFonts w:hint="default" w:ascii="Times New Roman" w:hAnsi="Times New Roman" w:cs="Times New Roman"/>
          <w:color w:val="auto"/>
          <w:highlight w:val="none"/>
        </w:rPr>
        <w:t>》（2021年4月15日县第十六届人民代表大会第六次会议通过）</w:t>
      </w:r>
      <w:r>
        <w:rPr>
          <w:rFonts w:hint="default" w:ascii="Times New Roman" w:hAnsi="Times New Roman" w:cs="Times New Roman"/>
          <w:color w:val="auto"/>
          <w:highlight w:val="none"/>
          <w:lang w:eastAsia="zh-CN"/>
        </w:rPr>
        <w:t>第五章第一节提出</w:t>
      </w:r>
      <w:r>
        <w:rPr>
          <w:rFonts w:hint="default" w:ascii="Times New Roman" w:hAnsi="Times New Roman" w:cs="Times New Roman"/>
          <w:color w:val="auto"/>
          <w:highlight w:val="none"/>
        </w:rPr>
        <w:t>：在有色金属方面，依托资源优势，</w:t>
      </w:r>
      <w:r>
        <w:rPr>
          <w:rFonts w:hint="default" w:ascii="Times New Roman" w:hAnsi="Times New Roman" w:cs="Times New Roman"/>
          <w:b/>
          <w:bCs/>
          <w:color w:val="auto"/>
          <w:highlight w:val="none"/>
        </w:rPr>
        <w:t>加大有色和稀有金属采、选、冶及后续产品开发力度</w:t>
      </w:r>
      <w:r>
        <w:rPr>
          <w:rFonts w:hint="default" w:ascii="Times New Roman" w:hAnsi="Times New Roman" w:cs="Times New Roman"/>
          <w:color w:val="auto"/>
          <w:highlight w:val="none"/>
        </w:rPr>
        <w:t>，重点发展铜、镍、铍、锌、铅、钴、钼等有色金属及稀有金属精深加工，生产铍铜母、铍镍合金、铍铜材、铍铝合金、各类板材、线材等，延长产业链条，提高附加值和综合效益，重点推进恒盛铍业二期能力提升项目。推进老矿山资源整合。可克塔勒铅锌矿、乔夏哈拉铁铜矿等中型矿山企业在“十四五”末将面临资源枯竭，按照矿产资源深化改革的相关要求，鼓励生产矿山开展深部和外围勘探，探明矿山接替资源，推进资源合理利用，优化整合矿业权，对矿山深部及外围进行研究，重点推进可克塔勒铅锌矿外围、乔夏哈拉铁铜矿深部等深部及外围探矿权出让，目前经初步估算通过外围和深部勘探预计可新增铁矿石1500万吨；铅锌矿石量720万吨，铅金属8.0689万吨，锌金属23.1163万吨，估算潜在经济价值150</w:t>
      </w:r>
      <w:r>
        <w:rPr>
          <w:rFonts w:hint="default" w:cs="Times New Roman"/>
          <w:color w:val="auto"/>
          <w:highlight w:val="none"/>
          <w:lang w:eastAsia="zh-CN"/>
        </w:rPr>
        <w:t>亿元</w:t>
      </w:r>
      <w:r>
        <w:rPr>
          <w:rFonts w:hint="default" w:ascii="Times New Roman" w:hAnsi="Times New Roman" w:cs="Times New Roman"/>
          <w:color w:val="auto"/>
          <w:highlight w:val="none"/>
        </w:rPr>
        <w:t>。新增资源量均为利用现有生产矿山开展外围及深部的勘探，探明后均利用矿山原有生产系统进行井下开采，对地表生态破坏较小，可最大限度体现矿产资源节约集约利用，同时，可有效增加生产矿山资源储量，延长矿山服务年限，解决矿山企业资源枯竭危机矿山的困难。</w:t>
      </w:r>
    </w:p>
    <w:p w14:paraId="000800F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随着近</w:t>
      </w:r>
      <w:r>
        <w:rPr>
          <w:rFonts w:hint="default" w:cs="Times New Roman"/>
          <w:color w:val="auto"/>
          <w:highlight w:val="none"/>
          <w:lang w:eastAsia="zh-CN"/>
        </w:rPr>
        <w:t>年来</w:t>
      </w:r>
      <w:r>
        <w:rPr>
          <w:rFonts w:hint="default" w:ascii="Times New Roman" w:hAnsi="Times New Roman" w:cs="Times New Roman"/>
          <w:color w:val="auto"/>
          <w:highlight w:val="none"/>
        </w:rPr>
        <w:t>黄金价格的逐步回暖，该项目的建设可增加政府财政收入，</w:t>
      </w:r>
      <w:r>
        <w:rPr>
          <w:rFonts w:hint="default" w:ascii="Times New Roman" w:hAnsi="Times New Roman" w:cs="Times New Roman"/>
          <w:color w:val="auto"/>
          <w:highlight w:val="none"/>
          <w:lang w:val="en-US" w:eastAsia="zh-CN"/>
        </w:rPr>
        <w:t>有效</w:t>
      </w:r>
      <w:r>
        <w:rPr>
          <w:rFonts w:hint="default" w:ascii="Times New Roman" w:hAnsi="Times New Roman" w:cs="Times New Roman"/>
          <w:color w:val="auto"/>
          <w:highlight w:val="none"/>
        </w:rPr>
        <w:t>解决该区域大量闲置劳动力就业</w:t>
      </w:r>
      <w:r>
        <w:rPr>
          <w:rFonts w:hint="default" w:ascii="Times New Roman" w:hAnsi="Times New Roman" w:cs="Times New Roman"/>
          <w:color w:val="auto"/>
          <w:highlight w:val="none"/>
          <w:lang w:eastAsia="zh-CN"/>
        </w:rPr>
        <w:t>问题，</w:t>
      </w:r>
      <w:r>
        <w:rPr>
          <w:rFonts w:hint="default" w:ascii="Times New Roman" w:hAnsi="Times New Roman" w:cs="Times New Roman"/>
          <w:color w:val="auto"/>
          <w:highlight w:val="none"/>
        </w:rPr>
        <w:t>加快城市发展速度、推动</w:t>
      </w:r>
      <w:r>
        <w:rPr>
          <w:rFonts w:hint="default" w:ascii="Times New Roman" w:hAnsi="Times New Roman" w:cs="Times New Roman"/>
          <w:color w:val="auto"/>
          <w:highlight w:val="none"/>
          <w:lang w:eastAsia="zh-CN"/>
        </w:rPr>
        <w:t>城市</w:t>
      </w:r>
      <w:r>
        <w:rPr>
          <w:rFonts w:hint="default" w:ascii="Times New Roman" w:hAnsi="Times New Roman" w:cs="Times New Roman"/>
          <w:color w:val="auto"/>
          <w:highlight w:val="none"/>
        </w:rPr>
        <w:t>经济的繁荣和发展。作为黄金重要的原料供应企业，</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建设与发展符合《</w:t>
      </w:r>
      <w:r>
        <w:rPr>
          <w:rFonts w:hint="default" w:ascii="Times New Roman" w:hAnsi="Times New Roman" w:cs="Times New Roman"/>
          <w:color w:val="auto"/>
          <w:highlight w:val="none"/>
          <w:lang w:val="en-US" w:eastAsia="zh-CN"/>
        </w:rPr>
        <w:t>富蕴县国民经济和社会发展第十四个五年规划和2035年远景目标纲要</w:t>
      </w:r>
      <w:r>
        <w:rPr>
          <w:rFonts w:hint="default" w:ascii="Times New Roman" w:hAnsi="Times New Roman" w:cs="Times New Roman"/>
          <w:color w:val="auto"/>
          <w:highlight w:val="none"/>
        </w:rPr>
        <w:t>》。</w:t>
      </w:r>
    </w:p>
    <w:p w14:paraId="7970FB8C">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.2.3与《新疆维吾尔自治区矿产资源总体规划（20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年）》符合性分析</w:t>
      </w:r>
    </w:p>
    <w:p w14:paraId="61C368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cs="Times New Roman"/>
          <w:color w:val="auto"/>
          <w:highlight w:val="none"/>
        </w:rPr>
        <w:t>根据《新疆维吾尔自治区矿产资源总体规划（20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年）》中的要求：</w:t>
      </w:r>
      <w:r>
        <w:rPr>
          <w:rFonts w:hint="default" w:ascii="Times New Roman" w:hAnsi="Times New Roman" w:eastAsia="宋体" w:cs="Times New Roman"/>
          <w:color w:val="auto"/>
          <w:sz w:val="24"/>
          <w:szCs w:val="24"/>
          <w:highlight w:val="none"/>
          <w:lang w:val="en-US" w:eastAsia="zh-CN" w:bidi="ar"/>
        </w:rPr>
        <w:t>到2035年，矿产资源勘查开发支撑经济社会发展更加有力，矿产资源结构布局稳定成型，大中型矿山比例提高至50%以上，矿业开发集聚效应、规模效应进一步显现，矿业高质量发展与经济社会发展协调一致，绿色勘查开采方式基本普及，矿山智能化水平全面提升</w:t>
      </w:r>
      <w:r>
        <w:rPr>
          <w:rFonts w:hint="default" w:ascii="Times New Roman" w:hAnsi="Times New Roman"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bidi="ar"/>
        </w:rPr>
        <w:t>矿产资源管理和矿业权市场监管制度更趋完善，新疆矿业参与国内国际竞争新优势有效凸显，绿色、安全、创新、协调的矿产资源保障体系基本建立。</w:t>
      </w:r>
    </w:p>
    <w:p w14:paraId="6108A450">
      <w:pPr>
        <w:ind w:firstLine="480"/>
        <w:rPr>
          <w:rFonts w:hint="default" w:ascii="Times New Roman" w:hAnsi="Times New Roman" w:cs="Times New Roman"/>
          <w:color w:val="auto"/>
          <w:sz w:val="24"/>
          <w:szCs w:val="24"/>
          <w:highlight w:val="none"/>
          <w:lang w:val="en-US" w:eastAsia="zh-CN" w:bidi="ar"/>
        </w:rPr>
      </w:pPr>
      <w:r>
        <w:rPr>
          <w:rFonts w:hint="default" w:ascii="Times New Roman" w:hAnsi="Times New Roman" w:cs="Times New Roman"/>
          <w:color w:val="auto"/>
          <w:sz w:val="24"/>
          <w:szCs w:val="24"/>
          <w:highlight w:val="none"/>
          <w:lang w:val="en-US" w:eastAsia="zh-CN" w:bidi="ar"/>
        </w:rPr>
        <w:t>——阿尔泰黑色、有色及稀有金属勘查开发区。重点开展蒙库铁矿、阿舍勒铜矿、喀拉通克铜镍矿等矿山外围深部找矿，新增铁资源量5000万吨、镍5万吨，延长矿山服务年限。加大富蕴—青河一带的铜、金、钴等矿产找矿力度，提交大中型矿产地3-5处，新增金资源量10吨、铜30万吨，形成新的资源接续区。加快哈巴河县、富蕴县绿色矿山建设步伐，建设绿色矿业发展示范区。</w:t>
      </w:r>
    </w:p>
    <w:p w14:paraId="0B565A5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eastAsia="zh-CN"/>
        </w:rPr>
        <w:t>中阿尔泰黑色、有色及稀有金属勘查开发区，</w:t>
      </w:r>
      <w:r>
        <w:rPr>
          <w:rFonts w:hint="default" w:ascii="Times New Roman" w:hAnsi="Times New Roman" w:cs="Times New Roman"/>
          <w:color w:val="auto"/>
          <w:highlight w:val="none"/>
          <w:lang w:val="en-US" w:eastAsia="zh-CN"/>
        </w:rPr>
        <w:t>为</w:t>
      </w:r>
      <w:r>
        <w:rPr>
          <w:rFonts w:hint="default" w:ascii="Times New Roman" w:hAnsi="Times New Roman" w:cs="Times New Roman"/>
          <w:color w:val="auto"/>
          <w:sz w:val="24"/>
          <w:szCs w:val="24"/>
          <w:highlight w:val="none"/>
          <w:lang w:val="en-US" w:eastAsia="zh-CN" w:bidi="ar"/>
        </w:rPr>
        <w:t>富蕴—青河一带的金矿选矿及尾矿库建设项目，</w:t>
      </w:r>
      <w:r>
        <w:rPr>
          <w:rFonts w:hint="default" w:ascii="Times New Roman" w:hAnsi="Times New Roman" w:cs="Times New Roman"/>
          <w:color w:val="auto"/>
          <w:highlight w:val="none"/>
          <w:lang w:eastAsia="zh-CN"/>
        </w:rPr>
        <w:t>因此</w:t>
      </w:r>
      <w:r>
        <w:rPr>
          <w:rFonts w:hint="default" w:ascii="Times New Roman" w:hAnsi="Times New Roman" w:cs="Times New Roman"/>
          <w:color w:val="auto"/>
          <w:highlight w:val="none"/>
          <w:lang w:val="en-US" w:eastAsia="zh-CN"/>
        </w:rPr>
        <w:t>项目建设</w:t>
      </w:r>
      <w:r>
        <w:rPr>
          <w:rFonts w:hint="default" w:ascii="Times New Roman" w:hAnsi="Times New Roman" w:cs="Times New Roman"/>
          <w:color w:val="auto"/>
          <w:highlight w:val="none"/>
          <w:lang w:eastAsia="zh-CN"/>
        </w:rPr>
        <w:t>符合</w:t>
      </w:r>
      <w:r>
        <w:rPr>
          <w:rFonts w:hint="default" w:ascii="Times New Roman" w:hAnsi="Times New Roman" w:cs="Times New Roman"/>
          <w:color w:val="auto"/>
          <w:highlight w:val="none"/>
        </w:rPr>
        <w:t>《新疆维吾尔自治区矿产资源总体规划（20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p>
    <w:p w14:paraId="63529C4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与《新疆维吾尔自治区矿产资源总体规划（20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环境影响报告书</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及其审查意见</w:t>
      </w:r>
      <w:r>
        <w:rPr>
          <w:rFonts w:hint="default" w:ascii="Times New Roman" w:hAnsi="Times New Roman" w:cs="Times New Roman"/>
          <w:color w:val="auto"/>
          <w:highlight w:val="none"/>
        </w:rPr>
        <w:t>符合性分析</w:t>
      </w:r>
    </w:p>
    <w:p w14:paraId="522EFD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2021年9月新疆维吾尔自治区自然资源厅编制完成了</w:t>
      </w:r>
      <w:r>
        <w:rPr>
          <w:rFonts w:hint="default" w:ascii="Times New Roman" w:hAnsi="Times New Roman" w:cs="Times New Roman"/>
          <w:color w:val="auto"/>
          <w:highlight w:val="none"/>
        </w:rPr>
        <w:t>《新疆维吾尔自治区矿产资源总体规划（20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环境影响报告书</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并于2022年8月11日取得了中华人民共和国生态环境部出具的《关于</w:t>
      </w:r>
      <w:r>
        <w:rPr>
          <w:rFonts w:hint="default" w:ascii="Times New Roman" w:hAnsi="Times New Roman" w:cs="Times New Roman"/>
          <w:color w:val="auto"/>
          <w:highlight w:val="none"/>
        </w:rPr>
        <w:t>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环境影响报告书的审查意见》（环审</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号</w:t>
      </w:r>
      <w:r>
        <w:rPr>
          <w:rFonts w:hint="default" w:ascii="Times New Roman" w:hAnsi="Times New Roman" w:cs="Times New Roman"/>
          <w:color w:val="auto"/>
          <w:highlight w:val="none"/>
          <w:lang w:val="en-US" w:eastAsia="zh-CN"/>
        </w:rPr>
        <w:t>）。本项目与规划环评审查意见中相关内容的相符性分析见下表。</w:t>
      </w:r>
    </w:p>
    <w:p w14:paraId="052907A2">
      <w:pPr>
        <w:ind w:firstLine="0" w:firstLineChars="0"/>
        <w:jc w:val="center"/>
        <w:rPr>
          <w:rFonts w:hint="default" w:ascii="Times New Roman" w:hAnsi="Times New Roman" w:eastAsia="宋体" w:cs="Times New Roman"/>
          <w:b/>
          <w:color w:val="auto"/>
          <w:szCs w:val="24"/>
          <w:highlight w:val="none"/>
          <w:lang w:eastAsia="zh-CN"/>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与</w:t>
      </w:r>
      <w:r>
        <w:rPr>
          <w:rFonts w:hint="default" w:ascii="Times New Roman" w:hAnsi="Times New Roman" w:cs="Times New Roman"/>
          <w:b/>
          <w:bCs/>
          <w:color w:val="auto"/>
          <w:highlight w:val="none"/>
          <w:lang w:val="en-US" w:eastAsia="zh-CN"/>
        </w:rPr>
        <w:t>矿</w:t>
      </w:r>
      <w:r>
        <w:rPr>
          <w:rFonts w:hint="default" w:ascii="Times New Roman" w:hAnsi="Times New Roman" w:cs="Times New Roman"/>
          <w:b/>
          <w:bCs/>
          <w:color w:val="auto"/>
          <w:highlight w:val="none"/>
        </w:rPr>
        <w:t>产资源总体规划（20</w:t>
      </w:r>
      <w:r>
        <w:rPr>
          <w:rFonts w:hint="default" w:ascii="Times New Roman" w:hAnsi="Times New Roman" w:cs="Times New Roman"/>
          <w:b/>
          <w:bCs/>
          <w:color w:val="auto"/>
          <w:highlight w:val="none"/>
          <w:lang w:val="en-US" w:eastAsia="zh-CN"/>
        </w:rPr>
        <w:t>21</w:t>
      </w:r>
      <w:r>
        <w:rPr>
          <w:rFonts w:hint="default" w:ascii="Times New Roman" w:hAnsi="Times New Roman" w:cs="Times New Roman"/>
          <w:b/>
          <w:bCs/>
          <w:color w:val="auto"/>
          <w:highlight w:val="none"/>
        </w:rPr>
        <w:t>-20</w:t>
      </w:r>
      <w:r>
        <w:rPr>
          <w:rFonts w:hint="default" w:ascii="Times New Roman" w:hAnsi="Times New Roman" w:cs="Times New Roman"/>
          <w:b/>
          <w:bCs/>
          <w:color w:val="auto"/>
          <w:highlight w:val="none"/>
          <w:lang w:val="en-US" w:eastAsia="zh-CN"/>
        </w:rPr>
        <w:t>25</w:t>
      </w:r>
      <w:r>
        <w:rPr>
          <w:rFonts w:hint="default" w:ascii="Times New Roman" w:hAnsi="Times New Roman" w:cs="Times New Roman"/>
          <w:b/>
          <w:bCs/>
          <w:color w:val="auto"/>
          <w:highlight w:val="none"/>
        </w:rPr>
        <w:t>年）</w:t>
      </w:r>
      <w:r>
        <w:rPr>
          <w:rFonts w:hint="default" w:ascii="Times New Roman" w:hAnsi="Times New Roman" w:cs="Times New Roman"/>
          <w:b/>
          <w:bCs/>
          <w:color w:val="auto"/>
          <w:highlight w:val="none"/>
          <w:lang w:val="en-US" w:eastAsia="zh-CN"/>
        </w:rPr>
        <w:t>环评审查意见</w:t>
      </w:r>
      <w:r>
        <w:rPr>
          <w:rFonts w:hint="default" w:ascii="Times New Roman" w:hAnsi="Times New Roman" w:cs="Times New Roman"/>
          <w:b/>
          <w:bCs/>
          <w:color w:val="auto"/>
          <w:highlight w:val="none"/>
        </w:rPr>
        <w:t>符合性分析</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56"/>
        <w:gridCol w:w="3555"/>
        <w:gridCol w:w="959"/>
      </w:tblGrid>
      <w:tr w14:paraId="51BC8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8" w:type="pct"/>
            <w:noWrap w:val="0"/>
            <w:vAlign w:val="center"/>
          </w:tcPr>
          <w:p w14:paraId="10436AA7">
            <w:pPr>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规划环评要求及批复内容</w:t>
            </w:r>
          </w:p>
        </w:tc>
        <w:tc>
          <w:tcPr>
            <w:tcW w:w="1938" w:type="pct"/>
            <w:noWrap w:val="0"/>
            <w:vAlign w:val="center"/>
          </w:tcPr>
          <w:p w14:paraId="2F922BB6">
            <w:pPr>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本项目</w:t>
            </w:r>
          </w:p>
        </w:tc>
        <w:tc>
          <w:tcPr>
            <w:tcW w:w="523" w:type="pct"/>
            <w:noWrap w:val="0"/>
            <w:vAlign w:val="center"/>
          </w:tcPr>
          <w:p w14:paraId="651EE58A">
            <w:pPr>
              <w:spacing w:line="360" w:lineRule="exact"/>
              <w:ind w:firstLine="0" w:firstLineChars="0"/>
              <w:jc w:val="center"/>
              <w:rPr>
                <w:rFonts w:hint="default" w:ascii="Times New Roman" w:hAnsi="Times New Roman"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相符性</w:t>
            </w:r>
          </w:p>
        </w:tc>
      </w:tr>
      <w:tr w14:paraId="4D319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8" w:type="pct"/>
            <w:noWrap w:val="0"/>
            <w:vAlign w:val="center"/>
          </w:tcPr>
          <w:p w14:paraId="2F962CA6">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b/>
                <w:bCs/>
                <w:color w:val="auto"/>
                <w:sz w:val="21"/>
                <w:highlight w:val="none"/>
                <w:lang w:val="en-US" w:eastAsia="zh-CN"/>
              </w:rPr>
              <w:t>（一）坚持</w:t>
            </w:r>
            <w:r>
              <w:rPr>
                <w:rFonts w:hint="eastAsia" w:cs="Times New Roman"/>
                <w:b/>
                <w:bCs/>
                <w:color w:val="auto"/>
                <w:sz w:val="21"/>
                <w:highlight w:val="none"/>
                <w:lang w:val="en-US" w:eastAsia="zh-CN"/>
              </w:rPr>
              <w:t>生态优先、绿色发展</w:t>
            </w:r>
            <w:r>
              <w:rPr>
                <w:rFonts w:hint="default" w:ascii="Times New Roman" w:hAnsi="Times New Roman" w:eastAsia="宋体" w:cs="Times New Roman"/>
                <w:b/>
                <w:bCs/>
                <w:color w:val="auto"/>
                <w:sz w:val="21"/>
                <w:highlight w:val="none"/>
                <w:lang w:val="en-US" w:eastAsia="zh-CN"/>
              </w:rPr>
              <w:t>。</w:t>
            </w:r>
            <w:r>
              <w:rPr>
                <w:rFonts w:hint="default" w:ascii="Times New Roman" w:hAnsi="Times New Roman" w:eastAsia="宋体" w:cs="Times New Roman"/>
                <w:color w:val="auto"/>
                <w:sz w:val="21"/>
                <w:highlight w:val="none"/>
                <w:lang w:val="en-US" w:eastAsia="zh-CN"/>
              </w:rPr>
              <w:t>《规划》应严格执行国家矿产资源合理开发利用“三率”（即开采回采率、选矿回收率、综合利用率）相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tc>
        <w:tc>
          <w:tcPr>
            <w:tcW w:w="1938" w:type="pct"/>
            <w:noWrap w:val="0"/>
            <w:vAlign w:val="center"/>
          </w:tcPr>
          <w:p w14:paraId="6955D0E9">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根据规划环评，</w:t>
            </w:r>
            <w:r>
              <w:rPr>
                <w:rFonts w:hint="default" w:ascii="Times New Roman" w:hAnsi="Times New Roman" w:cs="Times New Roman"/>
                <w:color w:val="auto"/>
                <w:sz w:val="21"/>
                <w:highlight w:val="none"/>
                <w:lang w:val="en-US" w:eastAsia="zh-CN"/>
              </w:rPr>
              <w:t>本项目</w:t>
            </w:r>
            <w:r>
              <w:rPr>
                <w:rFonts w:hint="default" w:ascii="Times New Roman" w:hAnsi="Times New Roman" w:eastAsia="宋体" w:cs="Times New Roman"/>
                <w:color w:val="auto"/>
                <w:sz w:val="21"/>
                <w:highlight w:val="none"/>
                <w:lang w:val="en-US" w:eastAsia="zh-CN"/>
              </w:rPr>
              <w:t>选矿工艺</w:t>
            </w:r>
            <w:r>
              <w:rPr>
                <w:rFonts w:hint="default" w:ascii="Times New Roman" w:hAnsi="Times New Roman" w:cs="Times New Roman"/>
                <w:color w:val="auto"/>
                <w:sz w:val="21"/>
                <w:highlight w:val="none"/>
                <w:lang w:val="en-US" w:eastAsia="zh-CN"/>
              </w:rPr>
              <w:t>满足</w:t>
            </w:r>
            <w:r>
              <w:rPr>
                <w:rFonts w:hint="default" w:ascii="Times New Roman" w:hAnsi="Times New Roman" w:eastAsia="宋体" w:cs="Times New Roman"/>
                <w:color w:val="auto"/>
                <w:sz w:val="21"/>
                <w:highlight w:val="none"/>
                <w:lang w:val="en-US" w:eastAsia="zh-CN"/>
              </w:rPr>
              <w:t>国家矿产资源合理开发利用“三率”（即开采回采率、选矿回收率、综合利用率）相关要求，矿山整体“三率”水平达标率达到85%以上，并按照《黄金行业绿色矿山建设规范》进行建设，确保</w:t>
            </w:r>
            <w:r>
              <w:rPr>
                <w:rFonts w:hint="default" w:ascii="Times New Roman" w:hAnsi="Times New Roman" w:cs="Times New Roman"/>
                <w:color w:val="auto"/>
                <w:sz w:val="21"/>
                <w:highlight w:val="none"/>
                <w:lang w:val="en-US" w:eastAsia="zh-CN"/>
              </w:rPr>
              <w:t>符合</w:t>
            </w:r>
            <w:r>
              <w:rPr>
                <w:rFonts w:hint="default" w:ascii="Times New Roman" w:hAnsi="Times New Roman" w:eastAsia="宋体" w:cs="Times New Roman"/>
                <w:color w:val="auto"/>
                <w:sz w:val="21"/>
                <w:highlight w:val="none"/>
                <w:lang w:val="en-US" w:eastAsia="zh-CN"/>
              </w:rPr>
              <w:t>绿色发展要求。</w:t>
            </w:r>
          </w:p>
        </w:tc>
        <w:tc>
          <w:tcPr>
            <w:tcW w:w="523" w:type="pct"/>
            <w:noWrap w:val="0"/>
            <w:vAlign w:val="center"/>
          </w:tcPr>
          <w:p w14:paraId="06479722">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1BF4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8" w:type="pct"/>
            <w:noWrap w:val="0"/>
            <w:vAlign w:val="center"/>
          </w:tcPr>
          <w:p w14:paraId="2B38D0D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lang w:val="en-US" w:eastAsia="zh-CN"/>
              </w:rPr>
              <w:t>二</w:t>
            </w: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rPr>
              <w:t>严格保护生态空间，优化《规划》布局。</w:t>
            </w:r>
            <w:r>
              <w:rPr>
                <w:rFonts w:hint="default" w:ascii="Times New Roman" w:hAnsi="Times New Roman" w:cs="Times New Roman"/>
                <w:color w:val="auto"/>
                <w:sz w:val="21"/>
                <w:highlight w:val="none"/>
              </w:rPr>
              <w:t>与生态保护红线存在空间重叠的6个能源资源基地、24个国家规划矿区</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22个重点勘查区、32个重点开采区等，后续设置矿业权时，应进一步优化布局，确保满足生态保护红线管控要求。与大气环境优先保护区</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自然保护区、森林公园、世界遗产地等</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r>
              <w:rPr>
                <w:rFonts w:hint="default" w:ascii="Times New Roman" w:hAnsi="Times New Roman" w:cs="Times New Roman"/>
                <w:color w:val="auto"/>
                <w:sz w:val="21"/>
                <w:highlight w:val="none"/>
                <w:lang w:eastAsia="zh-CN"/>
              </w:rPr>
              <w:t>。</w:t>
            </w:r>
          </w:p>
        </w:tc>
        <w:tc>
          <w:tcPr>
            <w:tcW w:w="1938" w:type="pct"/>
            <w:noWrap w:val="0"/>
            <w:vAlign w:val="center"/>
          </w:tcPr>
          <w:p w14:paraId="126AB434">
            <w:pPr>
              <w:numPr>
                <w:ilvl w:val="0"/>
                <w:numId w:val="0"/>
              </w:numPr>
              <w:spacing w:line="360" w:lineRule="exact"/>
              <w:ind w:left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w:t>
            </w:r>
            <w:r>
              <w:rPr>
                <w:rFonts w:hint="default" w:ascii="Times New Roman" w:hAnsi="Times New Roman" w:cs="Times New Roman"/>
                <w:color w:val="auto"/>
                <w:sz w:val="21"/>
                <w:highlight w:val="none"/>
                <w:lang w:val="en-US" w:eastAsia="zh-CN"/>
              </w:rPr>
              <w:t>与生态红线保护区无重叠，距离生态保护红线区最近为3.</w:t>
            </w:r>
            <w:r>
              <w:rPr>
                <w:rFonts w:hint="default" w:cs="Times New Roman"/>
                <w:color w:val="auto"/>
                <w:sz w:val="21"/>
                <w:highlight w:val="none"/>
                <w:lang w:val="en-US" w:eastAsia="zh-CN"/>
              </w:rPr>
              <w:t>68</w:t>
            </w:r>
            <w:r>
              <w:rPr>
                <w:rFonts w:hint="default" w:ascii="Times New Roman" w:hAnsi="Times New Roman" w:cs="Times New Roman"/>
                <w:color w:val="auto"/>
                <w:sz w:val="21"/>
                <w:highlight w:val="none"/>
                <w:lang w:val="en-US" w:eastAsia="zh-CN"/>
              </w:rPr>
              <w:t>m。本项目未与</w:t>
            </w:r>
            <w:r>
              <w:rPr>
                <w:rFonts w:hint="default" w:ascii="Times New Roman" w:hAnsi="Times New Roman" w:cs="Times New Roman"/>
                <w:color w:val="auto"/>
                <w:sz w:val="21"/>
                <w:highlight w:val="none"/>
              </w:rPr>
              <w:t>大气环境优先保护区</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水环境优先保护区</w:t>
            </w:r>
            <w:r>
              <w:rPr>
                <w:rFonts w:hint="default" w:ascii="Times New Roman" w:hAnsi="Times New Roman" w:cs="Times New Roman"/>
                <w:color w:val="auto"/>
                <w:sz w:val="21"/>
                <w:highlight w:val="none"/>
                <w:lang w:val="en-US" w:eastAsia="zh-CN"/>
              </w:rPr>
              <w:t>及</w:t>
            </w:r>
            <w:r>
              <w:rPr>
                <w:rFonts w:hint="default" w:ascii="Times New Roman" w:hAnsi="Times New Roman" w:cs="Times New Roman"/>
                <w:color w:val="auto"/>
                <w:sz w:val="21"/>
                <w:highlight w:val="none"/>
              </w:rPr>
              <w:t>与农用地优先保护区存在空间重叠</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后续运营时，应进一步优化布局，确保满足生态保护红线管控要求、</w:t>
            </w:r>
            <w:r>
              <w:rPr>
                <w:rFonts w:hint="default" w:ascii="Times New Roman" w:hAnsi="Times New Roman" w:cs="Times New Roman"/>
                <w:color w:val="auto"/>
                <w:sz w:val="21"/>
                <w:highlight w:val="none"/>
              </w:rPr>
              <w:t>生态环境分区管控及相关环境保护要求</w:t>
            </w:r>
            <w:r>
              <w:rPr>
                <w:rFonts w:hint="default" w:ascii="Times New Roman" w:hAnsi="Times New Roman" w:cs="Times New Roman"/>
                <w:color w:val="auto"/>
                <w:sz w:val="21"/>
                <w:highlight w:val="none"/>
                <w:lang w:eastAsia="zh-CN"/>
              </w:rPr>
              <w:t>。</w:t>
            </w:r>
          </w:p>
        </w:tc>
        <w:tc>
          <w:tcPr>
            <w:tcW w:w="523" w:type="pct"/>
            <w:noWrap w:val="0"/>
            <w:vAlign w:val="center"/>
          </w:tcPr>
          <w:p w14:paraId="000A2049">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DDB2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8" w:type="pct"/>
            <w:noWrap w:val="0"/>
            <w:vAlign w:val="center"/>
          </w:tcPr>
          <w:p w14:paraId="562C662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lang w:val="en-US" w:eastAsia="zh-CN"/>
              </w:rPr>
              <w:t>三</w:t>
            </w: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rPr>
              <w:t>严格产业准入，合理控制矿山开采种类和规模。</w:t>
            </w:r>
            <w:r>
              <w:rPr>
                <w:rFonts w:hint="default" w:ascii="Times New Roman" w:hAnsi="Times New Roman" w:cs="Times New Roman"/>
                <w:color w:val="auto"/>
                <w:sz w:val="21"/>
                <w:highlight w:val="none"/>
              </w:rPr>
              <w:t>严格落实《规划》提出的重点矿种矿山最低开采规模准入要求</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进一步控制矿山总数，提高大中型矿山比例，加大低效产能压减、无效产能腾退力度，逐步关闭退出安全隐患突出、生态环境问题明显、违法违规问题多的“小弱散”矿山和未达到最低生产规模的矿山。禁止开采砷和放射性等有毒有害物质超过规定标准的煤炭，以及砂铁、汞、可耕地砖瓦用粘土等矿产</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限制开采硫铁矿、砖瓦用粘土等矿产</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严格控制开采钨、稀土等特定保护性矿产。严格尾矿库的新建和管理，确保符合相关要求。</w:t>
            </w:r>
          </w:p>
        </w:tc>
        <w:tc>
          <w:tcPr>
            <w:tcW w:w="1938" w:type="pct"/>
            <w:noWrap w:val="0"/>
            <w:vAlign w:val="center"/>
          </w:tcPr>
          <w:p w14:paraId="23D63B91">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本项目属于规划环评及审查意见提出的重点开发矿，本次建设规模为</w:t>
            </w:r>
            <w:r>
              <w:rPr>
                <w:rFonts w:hint="default" w:ascii="Times New Roman" w:hAnsi="Times New Roman" w:cs="Times New Roman"/>
                <w:color w:val="auto"/>
                <w:sz w:val="21"/>
                <w:highlight w:val="none"/>
                <w:lang w:val="en-US" w:eastAsia="zh-CN"/>
              </w:rPr>
              <w:t>15</w:t>
            </w:r>
            <w:r>
              <w:rPr>
                <w:rFonts w:hint="default" w:ascii="Times New Roman" w:hAnsi="Times New Roman" w:eastAsia="宋体" w:cs="Times New Roman"/>
                <w:color w:val="auto"/>
                <w:sz w:val="21"/>
                <w:highlight w:val="none"/>
                <w:lang w:val="en-US" w:eastAsia="zh-CN"/>
              </w:rPr>
              <w:t>万t/a，未逾越规划及规划环评规划规模。本项目属于矿山新建选矿及尾矿库工程，不属于</w:t>
            </w:r>
            <w:r>
              <w:rPr>
                <w:rFonts w:hint="default" w:ascii="Times New Roman" w:hAnsi="Times New Roman" w:cs="Times New Roman"/>
                <w:color w:val="auto"/>
                <w:sz w:val="21"/>
                <w:highlight w:val="none"/>
              </w:rPr>
              <w:t>“小弱散”矿山和未达到最低生产规模的矿山</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不属于</w:t>
            </w:r>
            <w:r>
              <w:rPr>
                <w:rFonts w:hint="default" w:ascii="Times New Roman" w:hAnsi="Times New Roman" w:cs="Times New Roman"/>
                <w:color w:val="auto"/>
                <w:sz w:val="21"/>
                <w:highlight w:val="none"/>
                <w:lang w:eastAsia="zh-CN"/>
              </w:rPr>
              <w:t>开采砷和放射性等有毒有害物质超过规定标准的煤炭，以及砂铁、汞、可耕地砖瓦用粘土等矿产；</w:t>
            </w:r>
            <w:r>
              <w:rPr>
                <w:rFonts w:hint="default" w:ascii="Times New Roman" w:hAnsi="Times New Roman" w:cs="Times New Roman"/>
                <w:color w:val="auto"/>
                <w:sz w:val="21"/>
                <w:highlight w:val="none"/>
                <w:lang w:val="en-US" w:eastAsia="zh-CN"/>
              </w:rPr>
              <w:t>也不属于</w:t>
            </w:r>
            <w:r>
              <w:rPr>
                <w:rFonts w:hint="default" w:ascii="Times New Roman" w:hAnsi="Times New Roman" w:cs="Times New Roman"/>
                <w:color w:val="auto"/>
                <w:sz w:val="21"/>
                <w:highlight w:val="none"/>
                <w:lang w:eastAsia="zh-CN"/>
              </w:rPr>
              <w:t>开采硫铁矿、砖瓦用粘土等矿产；</w:t>
            </w:r>
            <w:r>
              <w:rPr>
                <w:rFonts w:hint="default" w:ascii="Times New Roman" w:hAnsi="Times New Roman" w:cs="Times New Roman"/>
                <w:color w:val="auto"/>
                <w:sz w:val="21"/>
                <w:highlight w:val="none"/>
                <w:lang w:val="en-US" w:eastAsia="zh-CN"/>
              </w:rPr>
              <w:t>亦不属于</w:t>
            </w:r>
            <w:r>
              <w:rPr>
                <w:rFonts w:hint="default" w:ascii="Times New Roman" w:hAnsi="Times New Roman" w:cs="Times New Roman"/>
                <w:color w:val="auto"/>
                <w:sz w:val="21"/>
                <w:highlight w:val="none"/>
                <w:lang w:eastAsia="zh-CN"/>
              </w:rPr>
              <w:t>开采钨、稀土等特定保护性矿产。</w:t>
            </w:r>
            <w:r>
              <w:rPr>
                <w:rFonts w:hint="default" w:ascii="Times New Roman" w:hAnsi="Times New Roman" w:cs="Times New Roman"/>
                <w:color w:val="auto"/>
                <w:sz w:val="21"/>
                <w:highlight w:val="none"/>
                <w:lang w:val="en-US" w:eastAsia="zh-CN"/>
              </w:rPr>
              <w:t>尾矿库运营期间，</w:t>
            </w:r>
            <w:r>
              <w:rPr>
                <w:rFonts w:hint="default" w:ascii="Times New Roman" w:hAnsi="Times New Roman" w:cs="Times New Roman"/>
                <w:color w:val="auto"/>
                <w:sz w:val="21"/>
                <w:highlight w:val="none"/>
                <w:lang w:eastAsia="zh-CN"/>
              </w:rPr>
              <w:t>严格尾矿库管理，确保符合相关要求。</w:t>
            </w:r>
          </w:p>
        </w:tc>
        <w:tc>
          <w:tcPr>
            <w:tcW w:w="523" w:type="pct"/>
            <w:noWrap w:val="0"/>
            <w:vAlign w:val="center"/>
          </w:tcPr>
          <w:p w14:paraId="3AA5CC97">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115F4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8" w:type="pct"/>
            <w:noWrap w:val="0"/>
            <w:vAlign w:val="center"/>
          </w:tcPr>
          <w:p w14:paraId="330ED76B">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lang w:val="en-US" w:eastAsia="zh-CN"/>
              </w:rPr>
              <w:t>四</w:t>
            </w: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rPr>
              <w:t>严格环境准入，保护区域生态功能。</w:t>
            </w:r>
            <w:r>
              <w:rPr>
                <w:rFonts w:hint="default" w:ascii="Times New Roman" w:hAnsi="Times New Roman" w:cs="Times New Roman"/>
                <w:color w:val="auto"/>
                <w:sz w:val="21"/>
                <w:highlight w:val="none"/>
              </w:rPr>
              <w:t>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r>
              <w:rPr>
                <w:rFonts w:hint="default" w:ascii="Times New Roman" w:hAnsi="Times New Roman" w:cs="Times New Roman"/>
                <w:color w:val="auto"/>
                <w:sz w:val="21"/>
                <w:highlight w:val="none"/>
                <w:lang w:eastAsia="zh-CN"/>
              </w:rPr>
              <w:t>。</w:t>
            </w:r>
          </w:p>
        </w:tc>
        <w:tc>
          <w:tcPr>
            <w:tcW w:w="1938" w:type="pct"/>
            <w:noWrap w:val="0"/>
            <w:vAlign w:val="center"/>
          </w:tcPr>
          <w:p w14:paraId="49D51F34">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按照新疆维吾尔自治区生态环境分区管控方案、生态环境保护规划等新要求，</w:t>
            </w:r>
            <w:r>
              <w:rPr>
                <w:rFonts w:hint="default" w:ascii="Times New Roman" w:hAnsi="Times New Roman" w:cs="Times New Roman"/>
                <w:color w:val="auto"/>
                <w:sz w:val="21"/>
                <w:highlight w:val="none"/>
                <w:lang w:val="en-US" w:eastAsia="zh-CN"/>
              </w:rPr>
              <w:t>本项目</w:t>
            </w:r>
            <w:r>
              <w:rPr>
                <w:rFonts w:hint="default" w:ascii="Times New Roman" w:hAnsi="Times New Roman" w:eastAsia="宋体" w:cs="Times New Roman"/>
                <w:color w:val="auto"/>
                <w:sz w:val="21"/>
                <w:highlight w:val="none"/>
                <w:lang w:val="en-US" w:eastAsia="zh-CN"/>
              </w:rPr>
              <w:t>不属于大气环境优先保护区、水环境优先保护区、农用地优先保护区等存在空间重叠的现有矿业权、勘查规划区块、开采规划区块。选矿及尾矿库生产运营应严格执行相应管控要求，控制生产活动范围和强度，严格执行矿山环境生态保护修复相关要求，确保生态系统结构和主要功能不受破坏。</w:t>
            </w:r>
            <w:r>
              <w:rPr>
                <w:rFonts w:hint="default" w:ascii="Times New Roman" w:hAnsi="Times New Roman" w:cs="Times New Roman"/>
                <w:color w:val="auto"/>
                <w:sz w:val="21"/>
                <w:highlight w:val="none"/>
              </w:rPr>
              <w:t>严格控制区域矿产资源开发活动，并采取相应保护措施，防止加剧对重点生态功能区的不良环境影响</w:t>
            </w:r>
            <w:r>
              <w:rPr>
                <w:rFonts w:hint="default" w:ascii="Times New Roman" w:hAnsi="Times New Roman" w:cs="Times New Roman"/>
                <w:color w:val="auto"/>
                <w:sz w:val="21"/>
                <w:highlight w:val="none"/>
                <w:lang w:eastAsia="zh-CN"/>
              </w:rPr>
              <w:t>。</w:t>
            </w:r>
          </w:p>
        </w:tc>
        <w:tc>
          <w:tcPr>
            <w:tcW w:w="523" w:type="pct"/>
            <w:noWrap w:val="0"/>
            <w:vAlign w:val="center"/>
          </w:tcPr>
          <w:p w14:paraId="0DF2F103">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482C1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8" w:type="pct"/>
            <w:noWrap w:val="0"/>
            <w:vAlign w:val="center"/>
          </w:tcPr>
          <w:p w14:paraId="2630D89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lang w:val="en-US" w:eastAsia="zh-CN"/>
              </w:rPr>
              <w:t>五</w:t>
            </w: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rPr>
              <w:t>加强矿山生态修复和环境治理。</w:t>
            </w:r>
            <w:r>
              <w:rPr>
                <w:rFonts w:hint="default" w:ascii="Times New Roman" w:hAnsi="Times New Roman" w:cs="Times New Roman"/>
                <w:color w:val="auto"/>
                <w:sz w:val="21"/>
                <w:highlight w:val="none"/>
              </w:rPr>
              <w:t>结合区域生态环境质量改善目标和主要生态环境问题，分区域、分矿种确定矿山生态修复和环境治理总体要求，将目标任务分解细化到具体矿区、矿山，确保“十四五”规划期矿山生态修复治理面积不低于11000公顷。重视关闭矿山及历史遗留矿山的生态环境问题，明确污染治理、生态修复的任务、要求和完成时限。对可能造成重金属污染等环境问题的矿区，进一步优化开发方式，推进结构调整，加大治理投入。</w:t>
            </w:r>
          </w:p>
        </w:tc>
        <w:tc>
          <w:tcPr>
            <w:tcW w:w="1938" w:type="pct"/>
            <w:noWrap w:val="0"/>
            <w:vAlign w:val="center"/>
          </w:tcPr>
          <w:p w14:paraId="5C8782B3">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结合区域生态环境质量改善目标和主要生态环境问题，尾矿库退役期及历史遗留的生态环境问题，应明确污染治理、生态修复的任务、要求和完成时限。对可能造成重金属污染等环境问题，明确优化开发方式，推进结构调整，加大治理投入。</w:t>
            </w:r>
          </w:p>
        </w:tc>
        <w:tc>
          <w:tcPr>
            <w:tcW w:w="523" w:type="pct"/>
            <w:noWrap w:val="0"/>
            <w:vAlign w:val="center"/>
          </w:tcPr>
          <w:p w14:paraId="1D1E3832">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22D8B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8" w:type="pct"/>
            <w:noWrap w:val="0"/>
            <w:vAlign w:val="center"/>
          </w:tcPr>
          <w:p w14:paraId="067BA7C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lang w:val="en-US" w:eastAsia="zh-CN"/>
              </w:rPr>
              <w:t>六</w:t>
            </w:r>
            <w:r>
              <w:rPr>
                <w:rFonts w:hint="default" w:ascii="Times New Roman" w:hAnsi="Times New Roman" w:cs="Times New Roman"/>
                <w:b/>
                <w:bCs/>
                <w:color w:val="auto"/>
                <w:sz w:val="21"/>
                <w:highlight w:val="none"/>
                <w:lang w:eastAsia="zh-CN"/>
              </w:rPr>
              <w:t>）</w:t>
            </w:r>
            <w:r>
              <w:rPr>
                <w:rFonts w:hint="default" w:ascii="Times New Roman" w:hAnsi="Times New Roman" w:cs="Times New Roman"/>
                <w:b/>
                <w:bCs/>
                <w:color w:val="auto"/>
                <w:sz w:val="21"/>
                <w:highlight w:val="none"/>
              </w:rPr>
              <w:t>加强生态环境保护监测和预警。</w:t>
            </w:r>
            <w:r>
              <w:rPr>
                <w:rFonts w:hint="default" w:ascii="Times New Roman" w:hAnsi="Times New Roman" w:cs="Times New Roman"/>
                <w:color w:val="auto"/>
                <w:sz w:val="21"/>
                <w:highlight w:val="none"/>
              </w:rPr>
              <w:t>结合生态保护、饮用水水源保护区及水环境功能区水质保护及改善要求、土壤污染防治目标等，推进重点矿区建立生态、地表水、地下水、土壤等环境要素的长期监测监控体系，明确责任主体、强化资金保障，其中，在用尾矿库100%安装在线监测装置</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组织开展主要矿种集中开采区域生态修复效果评估，并根据监测和评估结果增加和优化必要的保护措施。针对地表水环境及土壤环境累积影响、地下水环境质量下降、生态退化等情形，建立预警机制。</w:t>
            </w:r>
          </w:p>
        </w:tc>
        <w:tc>
          <w:tcPr>
            <w:tcW w:w="1938" w:type="pct"/>
            <w:noWrap w:val="0"/>
            <w:vAlign w:val="center"/>
          </w:tcPr>
          <w:p w14:paraId="7BED881D">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本项目在生产运营期间应</w:t>
            </w:r>
            <w:r>
              <w:rPr>
                <w:rFonts w:hint="default" w:ascii="Times New Roman" w:hAnsi="Times New Roman" w:cs="Times New Roman"/>
                <w:color w:val="auto"/>
                <w:sz w:val="21"/>
                <w:highlight w:val="none"/>
              </w:rPr>
              <w:t>建立生态、地表水、地下水、土壤等环境要素的长期监测监控体系</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其中，尾矿库</w:t>
            </w:r>
            <w:r>
              <w:rPr>
                <w:rFonts w:hint="default" w:ascii="Times New Roman" w:hAnsi="Times New Roman" w:cs="Times New Roman"/>
                <w:color w:val="auto"/>
                <w:sz w:val="21"/>
                <w:highlight w:val="none"/>
                <w:lang w:val="en-US" w:eastAsia="zh-CN"/>
              </w:rPr>
              <w:t>应</w:t>
            </w:r>
            <w:r>
              <w:rPr>
                <w:rFonts w:hint="default" w:ascii="Times New Roman" w:hAnsi="Times New Roman" w:cs="Times New Roman"/>
                <w:color w:val="auto"/>
                <w:sz w:val="21"/>
                <w:highlight w:val="none"/>
              </w:rPr>
              <w:t>安装在线监测</w:t>
            </w:r>
            <w:r>
              <w:rPr>
                <w:rFonts w:hint="default" w:ascii="Times New Roman" w:hAnsi="Times New Roman" w:cs="Times New Roman"/>
                <w:color w:val="auto"/>
                <w:sz w:val="21"/>
                <w:highlight w:val="none"/>
                <w:lang w:val="en-US" w:eastAsia="zh-CN"/>
              </w:rPr>
              <w:t>系统</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组织开展</w:t>
            </w:r>
            <w:r>
              <w:rPr>
                <w:rFonts w:hint="default" w:ascii="Times New Roman" w:hAnsi="Times New Roman" w:cs="Times New Roman"/>
                <w:color w:val="auto"/>
                <w:sz w:val="21"/>
                <w:highlight w:val="none"/>
                <w:lang w:val="en-US" w:eastAsia="zh-CN"/>
              </w:rPr>
              <w:t>矿山</w:t>
            </w:r>
            <w:r>
              <w:rPr>
                <w:rFonts w:hint="default" w:ascii="Times New Roman" w:hAnsi="Times New Roman" w:cs="Times New Roman"/>
                <w:color w:val="auto"/>
                <w:sz w:val="21"/>
                <w:highlight w:val="none"/>
              </w:rPr>
              <w:t>生态修复效果评估，并根据监测和评估结果增加和优化必要的保护措施。针对地表水环境及土壤环境累积影响、地下水环境质量下降、生态退化等情形，建立预警机制。</w:t>
            </w:r>
          </w:p>
        </w:tc>
        <w:tc>
          <w:tcPr>
            <w:tcW w:w="523" w:type="pct"/>
            <w:noWrap w:val="0"/>
            <w:vAlign w:val="center"/>
          </w:tcPr>
          <w:p w14:paraId="7764A0A8">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bl>
    <w:p w14:paraId="67A82450">
      <w:p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由上表可知，项目</w:t>
      </w:r>
      <w:r>
        <w:rPr>
          <w:rFonts w:hint="default" w:ascii="Times New Roman" w:hAnsi="Times New Roman" w:cs="Times New Roman"/>
          <w:color w:val="auto"/>
          <w:highlight w:val="none"/>
          <w:lang w:eastAsia="zh-CN"/>
        </w:rPr>
        <w:t>符合《</w:t>
      </w:r>
      <w:r>
        <w:rPr>
          <w:rFonts w:hint="default" w:ascii="Times New Roman" w:hAnsi="Times New Roman" w:cs="Times New Roman"/>
          <w:color w:val="auto"/>
          <w:highlight w:val="none"/>
        </w:rPr>
        <w:t>新疆维吾尔自治区矿产资源总体规划（20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环境影响报告书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审查意见的要求</w:t>
      </w:r>
      <w:r>
        <w:rPr>
          <w:rFonts w:hint="default" w:ascii="Times New Roman" w:hAnsi="Times New Roman" w:cs="Times New Roman"/>
          <w:color w:val="auto"/>
          <w:highlight w:val="none"/>
        </w:rPr>
        <w:t>。</w:t>
      </w:r>
    </w:p>
    <w:p w14:paraId="70D2388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与《新疆生态环境保护“十四五”规划》符合性分析</w:t>
      </w:r>
    </w:p>
    <w:p w14:paraId="33755786">
      <w:pPr>
        <w:widowControl/>
        <w:ind w:firstLine="480"/>
        <w:jc w:val="left"/>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eastAsia="zh-CN" w:bidi="ar"/>
        </w:rPr>
        <w:t>2021</w:t>
      </w:r>
      <w:r>
        <w:rPr>
          <w:rFonts w:hint="default" w:ascii="Times New Roman" w:hAnsi="Times New Roman" w:cs="Times New Roman"/>
          <w:color w:val="auto"/>
          <w:szCs w:val="24"/>
          <w:highlight w:val="none"/>
          <w:lang w:bidi="ar"/>
        </w:rPr>
        <w:t>年12月24日自治区党委、自治区人民政府印发《新疆生态环境保护“十四五”规划》，指出：“展望2035年，生态环境质量持续改善，广泛形成绿色生产生活方式，美丽新疆建设目标基本实现。”</w:t>
      </w:r>
    </w:p>
    <w:p w14:paraId="647AEAC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（1）生产生活方式绿色转型成效显著。国土空间开发保护格局得到优化，能源开发利用效率大幅提升，能耗和水资源消耗、建设用地、碳排放强度得到有效控制，简约适度、绿色低碳的生活方式加快形成。</w:t>
      </w:r>
    </w:p>
    <w:p w14:paraId="7711B59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（2）生态环境质量持续改善。主要污染物排放总量持续减少，空气质量稳步改善，重污染天气明显减少，水环境质量保持总体优良，水资源合理开发利用，巩固城市黑臭水体治理成效，城乡人居环境明显改善。</w:t>
      </w:r>
    </w:p>
    <w:p w14:paraId="1E43EF7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（3）生态系统质量稳步提升。生态安全屏障更加牢固，生物多样性得到有效保护，生物安全管理水平显著提高，生态系统服务功能不断增强。</w:t>
      </w:r>
    </w:p>
    <w:p w14:paraId="4194690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（4）环境安全得到有效保障。土壤污染风险管控和安全利用水平巩固提升，固体废物与化学物质环境风险防控能力明显增强，核安全监管持续加强，环境风险得到有效管控。</w:t>
      </w:r>
    </w:p>
    <w:p w14:paraId="0D24C19D">
      <w:pPr>
        <w:ind w:firstLine="480"/>
        <w:rPr>
          <w:rFonts w:hint="default" w:ascii="Times New Roman" w:hAnsi="Times New Roman" w:eastAsia="宋体" w:cs="Times New Roman"/>
          <w:color w:val="auto"/>
          <w:spacing w:val="8"/>
          <w:szCs w:val="24"/>
          <w:highlight w:val="none"/>
        </w:rPr>
      </w:pPr>
      <w:r>
        <w:rPr>
          <w:rFonts w:hint="default" w:ascii="Times New Roman" w:hAnsi="Times New Roman" w:cs="Times New Roman"/>
          <w:color w:val="auto"/>
          <w:highlight w:val="none"/>
        </w:rPr>
        <w:t>（5）现代环境治理体系进一步健全。生态文明制度改革深入推进，生态环境治理能力突出短板加快补齐，生态环境治理效能得到新提升。</w:t>
      </w:r>
    </w:p>
    <w:p w14:paraId="28544C2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本项目主要大气污染物的排放经采取有效措施处理后达标排放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水资源合理利用，选矿生产</w:t>
      </w:r>
      <w:r>
        <w:rPr>
          <w:rFonts w:hint="default" w:ascii="Times New Roman" w:hAnsi="Times New Roman" w:cs="Times New Roman"/>
          <w:color w:val="auto"/>
          <w:highlight w:val="none"/>
          <w:lang w:eastAsia="zh-CN"/>
        </w:rPr>
        <w:t>废</w:t>
      </w:r>
      <w:r>
        <w:rPr>
          <w:rFonts w:hint="default" w:ascii="Times New Roman" w:hAnsi="Times New Roman" w:cs="Times New Roman"/>
          <w:color w:val="auto"/>
          <w:highlight w:val="none"/>
        </w:rPr>
        <w:t>水及生活污水经处理后综合利用不外排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各工业场地周围设置截洪沟、拦洪坝等，减少对周边环境的影响；</w:t>
      </w:r>
      <w:r>
        <w:rPr>
          <w:rFonts w:hint="default" w:ascii="Times New Roman" w:hAnsi="Times New Roman" w:cs="Times New Roman"/>
          <w:color w:val="auto"/>
          <w:highlight w:val="none"/>
        </w:rPr>
        <w:t>在项目区及周边种植适宜</w:t>
      </w:r>
      <w:r>
        <w:rPr>
          <w:rFonts w:hint="default" w:ascii="Times New Roman" w:hAnsi="Times New Roman" w:cs="Times New Roman"/>
          <w:color w:val="auto"/>
          <w:highlight w:val="none"/>
          <w:lang w:eastAsia="zh-CN"/>
        </w:rPr>
        <w:t>植被</w:t>
      </w:r>
      <w:r>
        <w:rPr>
          <w:rFonts w:hint="default" w:ascii="Times New Roman" w:hAnsi="Times New Roman" w:cs="Times New Roman"/>
          <w:color w:val="auto"/>
          <w:highlight w:val="none"/>
        </w:rPr>
        <w:t>，增加绿化面积及加强生态治理，选矿</w:t>
      </w:r>
      <w:r>
        <w:rPr>
          <w:rFonts w:hint="default" w:ascii="Times New Roman" w:hAnsi="Times New Roman" w:cs="Times New Roman"/>
          <w:color w:val="auto"/>
          <w:highlight w:val="none"/>
          <w:lang w:eastAsia="zh-CN"/>
        </w:rPr>
        <w:t>工业场地</w:t>
      </w:r>
      <w:r>
        <w:rPr>
          <w:rFonts w:hint="default" w:ascii="Times New Roman" w:hAnsi="Times New Roman" w:cs="Times New Roman"/>
          <w:color w:val="auto"/>
          <w:highlight w:val="none"/>
        </w:rPr>
        <w:t>及尾矿库采取相应的防渗措施后对周边土壤及地下水环境影响较小，危险废物暂存于</w:t>
      </w:r>
      <w:r>
        <w:rPr>
          <w:rFonts w:hint="default" w:ascii="Times New Roman" w:hAnsi="Times New Roman" w:cs="Times New Roman"/>
          <w:color w:val="auto"/>
          <w:highlight w:val="none"/>
          <w:lang w:eastAsia="zh-CN"/>
        </w:rPr>
        <w:t>危废</w:t>
      </w:r>
      <w:r>
        <w:rPr>
          <w:rFonts w:hint="default" w:cs="Times New Roman"/>
          <w:color w:val="auto"/>
          <w:highlight w:val="none"/>
          <w:lang w:val="en-US" w:eastAsia="zh-CN"/>
        </w:rPr>
        <w:t>暂存点</w:t>
      </w:r>
      <w:r>
        <w:rPr>
          <w:rFonts w:hint="default" w:ascii="Times New Roman" w:hAnsi="Times New Roman" w:cs="Times New Roman"/>
          <w:color w:val="auto"/>
          <w:highlight w:val="none"/>
        </w:rPr>
        <w:t>内，交由有资质的单位合理处置。因此，本项目建设符合《新疆生态环境保护“十四五”规划》。</w:t>
      </w:r>
    </w:p>
    <w:p w14:paraId="45FC2DB0">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与</w:t>
      </w:r>
      <w:r>
        <w:rPr>
          <w:rFonts w:hint="default" w:ascii="Times New Roman" w:hAnsi="Times New Roman" w:cs="Times New Roman"/>
          <w:color w:val="auto"/>
          <w:highlight w:val="none"/>
          <w:lang w:eastAsia="zh-CN"/>
        </w:rPr>
        <w:t>《“十四五”工业绿色发展规划》</w:t>
      </w:r>
      <w:r>
        <w:rPr>
          <w:rFonts w:hint="default" w:ascii="Times New Roman" w:hAnsi="Times New Roman" w:cs="Times New Roman"/>
          <w:color w:val="auto"/>
          <w:highlight w:val="none"/>
        </w:rPr>
        <w:t>相符性分析</w:t>
      </w:r>
    </w:p>
    <w:p w14:paraId="0496D16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《“十四五”工业绿色发展规划》</w:t>
      </w:r>
      <w:r>
        <w:rPr>
          <w:rFonts w:hint="default" w:ascii="Times New Roman" w:hAnsi="Times New Roman" w:eastAsia="宋体" w:cs="Times New Roman"/>
          <w:color w:val="auto"/>
          <w:kern w:val="0"/>
          <w:sz w:val="24"/>
          <w:szCs w:val="20"/>
          <w:highlight w:val="none"/>
          <w:lang w:val="en-US" w:eastAsia="zh-CN" w:bidi="ar-SA"/>
        </w:rPr>
        <w:t>对工业产业结构、生产方式绿色低碳转型进行了要求，本项目与发展规划的符合性分析见表3.</w:t>
      </w:r>
      <w:r>
        <w:rPr>
          <w:rFonts w:hint="default" w:ascii="Times New Roman" w:hAnsi="Times New Roman" w:cs="Times New Roman"/>
          <w:color w:val="auto"/>
          <w:kern w:val="0"/>
          <w:sz w:val="24"/>
          <w:szCs w:val="20"/>
          <w:highlight w:val="none"/>
          <w:lang w:val="en-US" w:eastAsia="zh-CN" w:bidi="ar-SA"/>
        </w:rPr>
        <w:t>6</w:t>
      </w:r>
      <w:r>
        <w:rPr>
          <w:rFonts w:hint="default" w:ascii="Times New Roman" w:hAnsi="Times New Roman" w:eastAsia="宋体" w:cs="Times New Roman"/>
          <w:color w:val="auto"/>
          <w:kern w:val="0"/>
          <w:sz w:val="24"/>
          <w:szCs w:val="20"/>
          <w:highlight w:val="none"/>
          <w:lang w:val="en-US" w:eastAsia="zh-CN" w:bidi="ar-SA"/>
        </w:rPr>
        <w:t>-3。</w:t>
      </w:r>
    </w:p>
    <w:p w14:paraId="10ED21EE">
      <w:pPr>
        <w:ind w:firstLine="0" w:firstLineChars="0"/>
        <w:jc w:val="center"/>
        <w:rPr>
          <w:rFonts w:hint="default" w:ascii="Times New Roman" w:hAnsi="Times New Roman" w:eastAsia="宋体" w:cs="Times New Roman"/>
          <w:b/>
          <w:color w:val="auto"/>
          <w:szCs w:val="24"/>
          <w:highlight w:val="none"/>
          <w:lang w:eastAsia="zh-CN"/>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 xml:space="preserve">  与</w:t>
      </w:r>
      <w:r>
        <w:rPr>
          <w:rFonts w:hint="default" w:ascii="Times New Roman" w:hAnsi="Times New Roman" w:cs="Times New Roman"/>
          <w:b/>
          <w:bCs/>
          <w:color w:val="auto"/>
          <w:highlight w:val="none"/>
          <w:lang w:eastAsia="zh-CN"/>
        </w:rPr>
        <w:t>《“十四五”工业绿色发展规划》</w:t>
      </w:r>
      <w:r>
        <w:rPr>
          <w:rFonts w:hint="default" w:ascii="Times New Roman" w:hAnsi="Times New Roman" w:cs="Times New Roman"/>
          <w:b/>
          <w:bCs/>
          <w:color w:val="auto"/>
          <w:highlight w:val="none"/>
        </w:rPr>
        <w:t>符合性分析</w:t>
      </w:r>
      <w:r>
        <w:rPr>
          <w:rFonts w:hint="default" w:ascii="Times New Roman" w:hAnsi="Times New Roman" w:cs="Times New Roman"/>
          <w:b/>
          <w:bCs/>
          <w:color w:val="auto"/>
          <w:highlight w:val="none"/>
          <w:lang w:eastAsia="zh-CN"/>
        </w:rPr>
        <w:t>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45"/>
        <w:gridCol w:w="4189"/>
        <w:gridCol w:w="934"/>
      </w:tblGrid>
      <w:tr w14:paraId="230F7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06" w:type="pct"/>
            <w:noWrap w:val="0"/>
            <w:vAlign w:val="center"/>
          </w:tcPr>
          <w:p w14:paraId="223D05FF">
            <w:pPr>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有关规定</w:t>
            </w:r>
          </w:p>
        </w:tc>
        <w:tc>
          <w:tcPr>
            <w:tcW w:w="2284" w:type="pct"/>
            <w:noWrap w:val="0"/>
            <w:vAlign w:val="center"/>
          </w:tcPr>
          <w:p w14:paraId="340C9344">
            <w:pPr>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项目情况</w:t>
            </w:r>
          </w:p>
        </w:tc>
        <w:tc>
          <w:tcPr>
            <w:tcW w:w="509" w:type="pct"/>
            <w:noWrap w:val="0"/>
            <w:vAlign w:val="center"/>
          </w:tcPr>
          <w:p w14:paraId="2C8E78C6">
            <w:pPr>
              <w:spacing w:line="360" w:lineRule="exact"/>
              <w:ind w:firstLine="0" w:firstLineChars="0"/>
              <w:jc w:val="center"/>
              <w:rPr>
                <w:rFonts w:hint="default" w:ascii="Times New Roman" w:hAnsi="Times New Roman"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相符性</w:t>
            </w:r>
          </w:p>
        </w:tc>
      </w:tr>
      <w:tr w14:paraId="7DD38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6DBCEDEF">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val="en-US" w:eastAsia="zh-CN"/>
              </w:rPr>
              <w:t>碳排放强度持续下降。单位工业增加值二氧化碳排放降低18%，钢铁、有色金属、建材等重点行业碳排放总量控制取得阶段性成果。</w:t>
            </w:r>
          </w:p>
        </w:tc>
        <w:tc>
          <w:tcPr>
            <w:tcW w:w="2284" w:type="pct"/>
            <w:noWrap w:val="0"/>
            <w:vAlign w:val="center"/>
          </w:tcPr>
          <w:p w14:paraId="1100184A">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本项目属于有色金属重点行业，能够有效控制碳排放总量控制。</w:t>
            </w:r>
          </w:p>
        </w:tc>
        <w:tc>
          <w:tcPr>
            <w:tcW w:w="509" w:type="pct"/>
            <w:noWrap w:val="0"/>
            <w:vAlign w:val="center"/>
          </w:tcPr>
          <w:p w14:paraId="35E2D8E8">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70B0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2AD0D06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污染物排放强度显著下降。有害物质源头管控能力持续加强，清洁生产水平显著提高，重点行业主要污染物排放强度降低10%。</w:t>
            </w:r>
          </w:p>
        </w:tc>
        <w:tc>
          <w:tcPr>
            <w:tcW w:w="2284" w:type="pct"/>
            <w:noWrap w:val="0"/>
            <w:vAlign w:val="center"/>
          </w:tcPr>
          <w:p w14:paraId="0740D107">
            <w:pPr>
              <w:numPr>
                <w:ilvl w:val="0"/>
                <w:numId w:val="0"/>
              </w:numPr>
              <w:spacing w:line="360" w:lineRule="exact"/>
              <w:ind w:left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本项目产生的</w:t>
            </w:r>
            <w:r>
              <w:rPr>
                <w:rFonts w:hint="default" w:ascii="Times New Roman" w:hAnsi="Times New Roman" w:cs="Times New Roman"/>
                <w:color w:val="auto"/>
                <w:sz w:val="21"/>
                <w:highlight w:val="none"/>
                <w:lang w:val="en-US" w:eastAsia="zh-CN"/>
              </w:rPr>
              <w:t>“三废”</w:t>
            </w:r>
            <w:r>
              <w:rPr>
                <w:rFonts w:hint="default" w:ascii="Times New Roman" w:hAnsi="Times New Roman" w:eastAsia="宋体" w:cs="Times New Roman"/>
                <w:color w:val="auto"/>
                <w:sz w:val="21"/>
                <w:highlight w:val="none"/>
                <w:lang w:val="en-US" w:eastAsia="zh-CN"/>
              </w:rPr>
              <w:t>均有效处置，污染物排放强度降低，并且对源头管控能力加强，</w:t>
            </w:r>
            <w:r>
              <w:rPr>
                <w:rFonts w:hint="default" w:ascii="Times New Roman" w:hAnsi="Times New Roman" w:cs="Times New Roman"/>
                <w:color w:val="auto"/>
                <w:sz w:val="21"/>
                <w:highlight w:val="none"/>
                <w:lang w:val="en-US" w:eastAsia="zh-CN"/>
              </w:rPr>
              <w:t>目前</w:t>
            </w:r>
            <w:r>
              <w:rPr>
                <w:rFonts w:hint="default" w:ascii="Times New Roman" w:hAnsi="Times New Roman" w:eastAsia="宋体" w:cs="Times New Roman"/>
                <w:color w:val="auto"/>
                <w:sz w:val="21"/>
                <w:highlight w:val="none"/>
                <w:lang w:val="en-US" w:eastAsia="zh-CN"/>
              </w:rPr>
              <w:t>达到清洁生产国内先进水平，能够满足主要污染物排放强度降低10%的要求。</w:t>
            </w:r>
          </w:p>
        </w:tc>
        <w:tc>
          <w:tcPr>
            <w:tcW w:w="509" w:type="pct"/>
            <w:noWrap w:val="0"/>
            <w:vAlign w:val="center"/>
          </w:tcPr>
          <w:p w14:paraId="3F075265">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6EBA7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508ADF2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能源效率稳步提升。规模以上工业单位增加值能耗降低13.5%，粗钢、水泥、乙烯等重点工业产品单耗达到世界先进水平。</w:t>
            </w:r>
          </w:p>
        </w:tc>
        <w:tc>
          <w:tcPr>
            <w:tcW w:w="2284" w:type="pct"/>
            <w:noWrap w:val="0"/>
            <w:vAlign w:val="center"/>
          </w:tcPr>
          <w:p w14:paraId="10ABC080">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本项目供水、供电均能满足</w:t>
            </w:r>
            <w:r>
              <w:rPr>
                <w:rFonts w:hint="default" w:ascii="Times New Roman" w:hAnsi="Times New Roman" w:cs="Times New Roman"/>
                <w:color w:val="auto"/>
                <w:sz w:val="21"/>
                <w:highlight w:val="none"/>
                <w:lang w:val="en-US" w:eastAsia="zh-CN"/>
              </w:rPr>
              <w:t>项目</w:t>
            </w:r>
            <w:r>
              <w:rPr>
                <w:rFonts w:hint="default" w:ascii="Times New Roman" w:hAnsi="Times New Roman" w:eastAsia="宋体" w:cs="Times New Roman"/>
                <w:color w:val="auto"/>
                <w:sz w:val="21"/>
                <w:highlight w:val="none"/>
                <w:lang w:val="en-US" w:eastAsia="zh-CN"/>
              </w:rPr>
              <w:t>所需，供暖采用电热水锅炉供暖。</w:t>
            </w:r>
            <w:r>
              <w:rPr>
                <w:rFonts w:hint="default" w:ascii="Times New Roman" w:hAnsi="Times New Roman" w:cs="Times New Roman"/>
                <w:color w:val="auto"/>
                <w:sz w:val="21"/>
                <w:highlight w:val="none"/>
              </w:rPr>
              <w:t>工业产品能耗可满足国家二级水平。</w:t>
            </w:r>
          </w:p>
        </w:tc>
        <w:tc>
          <w:tcPr>
            <w:tcW w:w="509" w:type="pct"/>
            <w:noWrap w:val="0"/>
            <w:vAlign w:val="center"/>
          </w:tcPr>
          <w:p w14:paraId="6169AF4A">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41143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2B3B40F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资源利用水平明显提高。重点行业资源产出率持续提升，大宗工业固废综合利用率达到57%，主要再生资源回收利用量达到4.8亿吨。单位工业增加值用水量降低16%。</w:t>
            </w:r>
          </w:p>
        </w:tc>
        <w:tc>
          <w:tcPr>
            <w:tcW w:w="2284" w:type="pct"/>
            <w:noWrap w:val="0"/>
            <w:vAlign w:val="center"/>
          </w:tcPr>
          <w:p w14:paraId="2A9ACEA0">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本项目选矿废水回用于选矿工艺，不外排，生活污水经处理后</w:t>
            </w:r>
            <w:r>
              <w:rPr>
                <w:rFonts w:hint="default" w:ascii="Times New Roman" w:hAnsi="Times New Roman" w:cs="Times New Roman"/>
                <w:color w:val="auto"/>
                <w:sz w:val="21"/>
                <w:highlight w:val="none"/>
                <w:lang w:val="en-US" w:eastAsia="zh-CN"/>
              </w:rPr>
              <w:t>回用不外排</w:t>
            </w:r>
            <w:r>
              <w:rPr>
                <w:rFonts w:hint="default" w:ascii="Times New Roman" w:hAnsi="Times New Roman" w:eastAsia="宋体" w:cs="Times New Roman"/>
                <w:color w:val="auto"/>
                <w:sz w:val="21"/>
                <w:highlight w:val="none"/>
                <w:lang w:val="en-US" w:eastAsia="zh-CN"/>
              </w:rPr>
              <w:t>；</w:t>
            </w:r>
            <w:r>
              <w:rPr>
                <w:rFonts w:hint="default" w:ascii="Times New Roman" w:hAnsi="Times New Roman" w:cs="Times New Roman"/>
                <w:color w:val="auto"/>
                <w:sz w:val="21"/>
                <w:highlight w:val="none"/>
              </w:rPr>
              <w:t>产生尾矿部分用于</w:t>
            </w:r>
            <w:r>
              <w:rPr>
                <w:rFonts w:hint="default" w:ascii="Times New Roman" w:hAnsi="Times New Roman" w:cs="Times New Roman"/>
                <w:color w:val="auto"/>
                <w:sz w:val="21"/>
                <w:highlight w:val="none"/>
                <w:lang w:eastAsia="zh-CN"/>
              </w:rPr>
              <w:t>采</w:t>
            </w:r>
            <w:r>
              <w:rPr>
                <w:rFonts w:hint="default" w:ascii="Times New Roman" w:hAnsi="Times New Roman" w:cs="Times New Roman"/>
                <w:color w:val="auto"/>
                <w:sz w:val="21"/>
                <w:highlight w:val="none"/>
                <w:lang w:val="en-US" w:eastAsia="zh-CN"/>
              </w:rPr>
              <w:t>坑回填</w:t>
            </w:r>
            <w:r>
              <w:rPr>
                <w:rFonts w:hint="default" w:ascii="Times New Roman" w:hAnsi="Times New Roman" w:cs="Times New Roman"/>
                <w:color w:val="auto"/>
                <w:sz w:val="21"/>
                <w:highlight w:val="none"/>
              </w:rPr>
              <w:t>，剩余进入尾矿库堆存</w:t>
            </w:r>
            <w:r>
              <w:rPr>
                <w:rFonts w:hint="default" w:ascii="Times New Roman" w:hAnsi="Times New Roman" w:eastAsia="宋体" w:cs="Times New Roman"/>
                <w:color w:val="auto"/>
                <w:sz w:val="21"/>
                <w:highlight w:val="none"/>
                <w:lang w:val="en-US" w:eastAsia="zh-CN"/>
              </w:rPr>
              <w:t>，除尘灰返回生产线，产生的危险废物暂存于</w:t>
            </w:r>
            <w:r>
              <w:rPr>
                <w:rFonts w:hint="default" w:cs="Times New Roman"/>
                <w:color w:val="auto"/>
                <w:sz w:val="21"/>
                <w:highlight w:val="none"/>
                <w:lang w:val="en-US" w:eastAsia="zh-CN"/>
              </w:rPr>
              <w:t>危废贮存点</w:t>
            </w:r>
            <w:r>
              <w:rPr>
                <w:rFonts w:hint="default" w:ascii="Times New Roman" w:hAnsi="Times New Roman" w:eastAsia="宋体" w:cs="Times New Roman"/>
                <w:color w:val="auto"/>
                <w:sz w:val="21"/>
                <w:highlight w:val="none"/>
                <w:lang w:val="en-US" w:eastAsia="zh-CN"/>
              </w:rPr>
              <w:t>内，定期交由有资质的单位进行处置，综合利用率可以满足57%的要求</w:t>
            </w:r>
            <w:r>
              <w:rPr>
                <w:rFonts w:hint="default" w:ascii="Times New Roman" w:hAnsi="Times New Roman" w:cs="Times New Roman"/>
                <w:color w:val="auto"/>
                <w:sz w:val="21"/>
                <w:highlight w:val="none"/>
                <w:lang w:val="en-US" w:eastAsia="zh-CN"/>
              </w:rPr>
              <w:t>。</w:t>
            </w:r>
          </w:p>
        </w:tc>
        <w:tc>
          <w:tcPr>
            <w:tcW w:w="509" w:type="pct"/>
            <w:noWrap w:val="0"/>
            <w:vAlign w:val="center"/>
          </w:tcPr>
          <w:p w14:paraId="51BCAFAF">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C0BA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0CB3FE0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绿色制造体系日趋完善。重点行业和重点区域绿色制造体系基本建成，完善工业绿色低碳标准体系，推广万种绿色产品，绿色环保产业产值达到11万亿元。布局建设一批标准、技术公共服务平台。</w:t>
            </w:r>
          </w:p>
        </w:tc>
        <w:tc>
          <w:tcPr>
            <w:tcW w:w="2284" w:type="pct"/>
            <w:noWrap w:val="0"/>
            <w:vAlign w:val="center"/>
          </w:tcPr>
          <w:p w14:paraId="39EABE3D">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w:t>
            </w:r>
            <w:r>
              <w:rPr>
                <w:rFonts w:hint="default" w:ascii="Times New Roman" w:hAnsi="Times New Roman" w:cs="Times New Roman"/>
                <w:color w:val="auto"/>
                <w:sz w:val="21"/>
                <w:highlight w:val="none"/>
                <w:lang w:val="en-US" w:eastAsia="zh-CN"/>
              </w:rPr>
              <w:t>运营过程中按照绿色矿山要求开展矿山建设运行</w:t>
            </w:r>
            <w:r>
              <w:rPr>
                <w:rFonts w:hint="default" w:ascii="Times New Roman" w:hAnsi="Times New Roman" w:cs="Times New Roman"/>
                <w:color w:val="auto"/>
                <w:sz w:val="21"/>
                <w:highlight w:val="none"/>
              </w:rPr>
              <w:t>。</w:t>
            </w:r>
          </w:p>
        </w:tc>
        <w:tc>
          <w:tcPr>
            <w:tcW w:w="509" w:type="pct"/>
            <w:noWrap w:val="0"/>
            <w:vAlign w:val="center"/>
          </w:tcPr>
          <w:p w14:paraId="6602D7E7">
            <w:pPr>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bl>
    <w:p w14:paraId="12C6F2F4">
      <w:pPr>
        <w:pStyle w:val="5"/>
        <w:spacing w:before="0" w:after="0" w:line="480" w:lineRule="exact"/>
        <w:ind w:firstLine="482"/>
        <w:rPr>
          <w:rFonts w:hint="default" w:ascii="Times New Roman" w:hAnsi="Times New Roman" w:cs="Times New Roman"/>
          <w:color w:val="auto"/>
          <w:sz w:val="24"/>
          <w:highlight w:val="none"/>
        </w:rPr>
      </w:pPr>
      <w:bookmarkStart w:id="545" w:name="_Toc4661_WPSOffice_Level2"/>
      <w:bookmarkStart w:id="546" w:name="_Toc24092"/>
      <w:r>
        <w:rPr>
          <w:rFonts w:hint="default" w:ascii="Times New Roman" w:hAnsi="Times New Roman" w:cs="Times New Roman"/>
          <w:bCs w:val="0"/>
          <w:color w:val="auto"/>
          <w:kern w:val="2"/>
          <w:szCs w:val="24"/>
          <w:highlight w:val="none"/>
          <w:lang w:val="en-US" w:eastAsia="zh-CN"/>
        </w:rPr>
        <w:t>3.6.2.7</w:t>
      </w:r>
      <w:r>
        <w:rPr>
          <w:rFonts w:hint="default" w:ascii="Times New Roman" w:hAnsi="Times New Roman" w:cs="Times New Roman"/>
          <w:bCs w:val="0"/>
          <w:color w:val="auto"/>
          <w:kern w:val="2"/>
          <w:szCs w:val="24"/>
          <w:highlight w:val="none"/>
        </w:rPr>
        <w:t>与</w:t>
      </w:r>
      <w:r>
        <w:rPr>
          <w:rFonts w:hint="default" w:ascii="Times New Roman" w:hAnsi="Times New Roman" w:cs="Times New Roman"/>
          <w:bCs w:val="0"/>
          <w:color w:val="auto"/>
          <w:kern w:val="2"/>
          <w:szCs w:val="24"/>
          <w:highlight w:val="none"/>
          <w:lang w:eastAsia="zh-CN"/>
        </w:rPr>
        <w:t>《</w:t>
      </w:r>
      <w:r>
        <w:rPr>
          <w:rFonts w:hint="default" w:ascii="Times New Roman" w:hAnsi="Times New Roman" w:cs="Times New Roman"/>
          <w:b/>
          <w:bCs/>
          <w:color w:val="auto"/>
          <w:highlight w:val="none"/>
          <w:lang w:val="en-US" w:eastAsia="zh-CN"/>
        </w:rPr>
        <w:t>新疆维吾尔自治区28个国家重点生态功能区县（市）产业准入负面清单（试行）》</w:t>
      </w:r>
      <w:r>
        <w:rPr>
          <w:rFonts w:hint="default" w:ascii="Times New Roman" w:hAnsi="Times New Roman" w:cs="Times New Roman"/>
          <w:bCs w:val="0"/>
          <w:color w:val="auto"/>
          <w:kern w:val="2"/>
          <w:szCs w:val="24"/>
          <w:highlight w:val="none"/>
        </w:rPr>
        <w:t>的符合性</w:t>
      </w:r>
    </w:p>
    <w:p w14:paraId="7541C337">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cs="Times New Roman"/>
          <w:color w:val="auto"/>
          <w:sz w:val="24"/>
          <w:szCs w:val="24"/>
          <w:highlight w:val="none"/>
          <w:lang w:val="en-US" w:eastAsia="zh-CN"/>
        </w:rPr>
        <w:t>新疆富蕴县</w:t>
      </w:r>
      <w:r>
        <w:rPr>
          <w:rFonts w:hint="default" w:ascii="Times New Roman" w:hAnsi="Times New Roman" w:eastAsia="宋体" w:cs="Times New Roman"/>
          <w:color w:val="auto"/>
          <w:sz w:val="24"/>
          <w:szCs w:val="24"/>
          <w:highlight w:val="none"/>
          <w:lang w:val="en-US" w:eastAsia="zh-CN"/>
        </w:rPr>
        <w:t>境内，</w:t>
      </w:r>
      <w:r>
        <w:rPr>
          <w:rFonts w:hint="default" w:ascii="Times New Roman" w:hAnsi="Times New Roman" w:cs="Times New Roman"/>
          <w:color w:val="auto"/>
          <w:sz w:val="24"/>
          <w:szCs w:val="24"/>
          <w:highlight w:val="none"/>
          <w:lang w:val="en-US" w:eastAsia="zh-CN"/>
        </w:rPr>
        <w:t>根据《新疆维吾尔自治区28个国家重点生态功能区县（市）产业准入负面清单（试行）》可知，对于富蕴县金矿采选管控要求为：1.仅限布局在不破坏草原等生态环境的区域。2.新建项目设计规模不低于年处理矿石量6万吨。现有设计规模低于年处理矿石量6万吨项目，应在2019年12月31日前完成现有工艺和装备的升级改造。3.新建项目清洁生产水平不得低于国内先进水平，现有未达到国内先进水平的企业应在2019年12月31日前完成升级改造。4.推进绿色矿山建设，达到绿色矿山标准。</w:t>
      </w:r>
    </w:p>
    <w:p w14:paraId="705EE2E6">
      <w:pPr>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本项目不占用基本草原，项目建成后将持续开展绿化工作，同时闭矿期将积极开展土地复垦及生态恢复工作；项目设计处理规模为15万吨/年，项目的清洁生产水平</w:t>
      </w:r>
      <w:r>
        <w:rPr>
          <w:rFonts w:hint="default" w:cs="Times New Roman"/>
          <w:color w:val="auto"/>
          <w:highlight w:val="none"/>
          <w:lang w:val="en-US" w:eastAsia="zh-CN"/>
        </w:rPr>
        <w:t>为</w:t>
      </w:r>
      <w:r>
        <w:rPr>
          <w:rFonts w:hint="default" w:ascii="Times New Roman" w:hAnsi="Times New Roman" w:cs="Times New Roman"/>
          <w:color w:val="auto"/>
          <w:highlight w:val="none"/>
          <w:lang w:val="en-US" w:eastAsia="zh-CN"/>
        </w:rPr>
        <w:t>国内先进水平，同时本项目按照绿色矿山标准进行建设，因此本项目建设符合</w:t>
      </w:r>
      <w:r>
        <w:rPr>
          <w:rFonts w:hint="default" w:ascii="Times New Roman" w:hAnsi="Times New Roman" w:cs="Times New Roman"/>
          <w:color w:val="auto"/>
          <w:sz w:val="24"/>
          <w:szCs w:val="24"/>
          <w:highlight w:val="none"/>
          <w:lang w:val="en-US" w:eastAsia="zh-CN"/>
        </w:rPr>
        <w:t>《新疆维吾尔自治区28个国家重点生态功能区县（市）产业准入负面清单（试行）》相关要求。</w:t>
      </w:r>
    </w:p>
    <w:p w14:paraId="488185A6">
      <w:pPr>
        <w:pStyle w:val="5"/>
        <w:spacing w:before="0" w:after="0" w:line="480" w:lineRule="exact"/>
        <w:ind w:firstLine="482"/>
        <w:rPr>
          <w:rFonts w:hint="default" w:ascii="Times New Roman" w:hAnsi="Times New Roman" w:eastAsia="宋体"/>
          <w:bCs w:val="0"/>
          <w:color w:val="auto"/>
          <w:kern w:val="2"/>
          <w:szCs w:val="24"/>
          <w:highlight w:val="none"/>
          <w:lang w:val="en-US" w:eastAsia="zh-CN"/>
        </w:rPr>
      </w:pPr>
      <w:r>
        <w:rPr>
          <w:rFonts w:hint="default" w:ascii="Times New Roman" w:hAnsi="Times New Roman"/>
          <w:bCs w:val="0"/>
          <w:color w:val="auto"/>
          <w:kern w:val="2"/>
          <w:szCs w:val="24"/>
          <w:highlight w:val="none"/>
          <w:lang w:val="en-US" w:eastAsia="zh-CN"/>
        </w:rPr>
        <w:t>3.6.2.8</w:t>
      </w:r>
      <w:r>
        <w:rPr>
          <w:rFonts w:hint="default" w:ascii="Times New Roman" w:hAnsi="Times New Roman"/>
          <w:bCs w:val="0"/>
          <w:color w:val="auto"/>
          <w:kern w:val="2"/>
          <w:szCs w:val="24"/>
          <w:highlight w:val="none"/>
        </w:rPr>
        <w:t>与</w:t>
      </w:r>
      <w:r>
        <w:rPr>
          <w:rFonts w:hint="default"/>
          <w:bCs w:val="0"/>
          <w:color w:val="auto"/>
          <w:kern w:val="2"/>
          <w:szCs w:val="24"/>
          <w:highlight w:val="none"/>
          <w:lang w:eastAsia="zh-CN"/>
        </w:rPr>
        <w:t>《</w:t>
      </w:r>
      <w:r>
        <w:rPr>
          <w:rFonts w:hint="default"/>
          <w:bCs w:val="0"/>
          <w:color w:val="auto"/>
          <w:kern w:val="2"/>
          <w:szCs w:val="24"/>
          <w:highlight w:val="none"/>
          <w:lang w:val="en-US" w:eastAsia="zh-CN"/>
        </w:rPr>
        <w:t>富蕴县国土空间总体规划（2020-2035）</w:t>
      </w:r>
      <w:r>
        <w:rPr>
          <w:rFonts w:hint="default"/>
          <w:bCs w:val="0"/>
          <w:color w:val="auto"/>
          <w:kern w:val="2"/>
          <w:szCs w:val="24"/>
          <w:highlight w:val="none"/>
          <w:lang w:eastAsia="zh-CN"/>
        </w:rPr>
        <w:t>》的</w:t>
      </w:r>
      <w:r>
        <w:rPr>
          <w:rFonts w:hint="default"/>
          <w:bCs w:val="0"/>
          <w:color w:val="auto"/>
          <w:kern w:val="2"/>
          <w:szCs w:val="24"/>
          <w:highlight w:val="none"/>
          <w:lang w:val="en-US" w:eastAsia="zh-CN"/>
        </w:rPr>
        <w:t>符合性</w:t>
      </w:r>
    </w:p>
    <w:p w14:paraId="26DE37E7">
      <w:pPr>
        <w:overflowPunct w:val="0"/>
        <w:topLinePunct/>
        <w:ind w:firstLine="480"/>
        <w:rPr>
          <w:rFonts w:hint="default"/>
          <w:color w:val="auto"/>
          <w:highlight w:val="none"/>
          <w:lang w:val="en-US" w:eastAsia="zh-CN"/>
        </w:rPr>
      </w:pPr>
      <w:r>
        <w:rPr>
          <w:rFonts w:hint="default"/>
          <w:color w:val="auto"/>
          <w:highlight w:val="none"/>
          <w:lang w:val="en-US" w:eastAsia="zh-CN"/>
        </w:rPr>
        <w:t>本项目与</w:t>
      </w:r>
      <w:r>
        <w:rPr>
          <w:rFonts w:hint="default"/>
          <w:color w:val="auto"/>
          <w:highlight w:val="none"/>
          <w:lang w:eastAsia="zh-CN"/>
        </w:rPr>
        <w:t>《</w:t>
      </w:r>
      <w:r>
        <w:rPr>
          <w:rFonts w:hint="default"/>
          <w:color w:val="auto"/>
          <w:highlight w:val="none"/>
          <w:lang w:val="en-US" w:eastAsia="zh-CN"/>
        </w:rPr>
        <w:t>富蕴县国土空间总体规划（2020-2035）</w:t>
      </w:r>
      <w:r>
        <w:rPr>
          <w:rFonts w:hint="default"/>
          <w:color w:val="auto"/>
          <w:highlight w:val="none"/>
          <w:lang w:eastAsia="zh-CN"/>
        </w:rPr>
        <w:t>》</w:t>
      </w:r>
      <w:r>
        <w:rPr>
          <w:rFonts w:hint="default"/>
          <w:color w:val="auto"/>
          <w:highlight w:val="none"/>
          <w:lang w:val="en-US" w:eastAsia="zh-CN"/>
        </w:rPr>
        <w:t>的符合性分析见表3.6-4。</w:t>
      </w:r>
    </w:p>
    <w:p w14:paraId="08F73FFA">
      <w:pPr>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表3.6-4    本项目与《富蕴县国土空间总体规划（2020-2035）》的相符性</w:t>
      </w:r>
    </w:p>
    <w:tbl>
      <w:tblPr>
        <w:tblStyle w:val="3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42"/>
        <w:gridCol w:w="2793"/>
        <w:gridCol w:w="732"/>
      </w:tblGrid>
      <w:tr w14:paraId="6AF95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77" w:type="pct"/>
            <w:noWrap w:val="0"/>
            <w:vAlign w:val="center"/>
          </w:tcPr>
          <w:p w14:paraId="05167E14">
            <w:pPr>
              <w:widowControl w:val="0"/>
              <w:spacing w:line="360" w:lineRule="exact"/>
              <w:ind w:firstLine="0" w:firstLineChars="0"/>
              <w:jc w:val="center"/>
              <w:rPr>
                <w:rFonts w:hint="default" w:eastAsia="宋体"/>
                <w:b/>
                <w:bCs/>
                <w:color w:val="auto"/>
                <w:sz w:val="21"/>
                <w:highlight w:val="none"/>
                <w:lang w:eastAsia="zh-CN"/>
              </w:rPr>
            </w:pPr>
            <w:r>
              <w:rPr>
                <w:rFonts w:hint="default"/>
                <w:b/>
                <w:bCs/>
                <w:color w:val="auto"/>
                <w:sz w:val="21"/>
                <w:highlight w:val="none"/>
                <w:lang w:val="en-US" w:eastAsia="zh-CN"/>
              </w:rPr>
              <w:t>相关内容</w:t>
            </w:r>
          </w:p>
        </w:tc>
        <w:tc>
          <w:tcPr>
            <w:tcW w:w="1523" w:type="pct"/>
            <w:noWrap w:val="0"/>
            <w:vAlign w:val="center"/>
          </w:tcPr>
          <w:p w14:paraId="1BFDAE03">
            <w:pPr>
              <w:widowControl w:val="0"/>
              <w:spacing w:line="360" w:lineRule="exact"/>
              <w:ind w:firstLine="0" w:firstLineChars="0"/>
              <w:jc w:val="center"/>
              <w:rPr>
                <w:rFonts w:hint="default" w:eastAsia="宋体"/>
                <w:b/>
                <w:bCs/>
                <w:color w:val="auto"/>
                <w:sz w:val="21"/>
                <w:highlight w:val="none"/>
                <w:lang w:eastAsia="zh-CN"/>
              </w:rPr>
            </w:pPr>
            <w:r>
              <w:rPr>
                <w:rFonts w:hint="default"/>
                <w:b/>
                <w:bCs/>
                <w:color w:val="auto"/>
                <w:sz w:val="21"/>
                <w:highlight w:val="none"/>
                <w:lang w:val="en-US" w:eastAsia="zh-CN"/>
              </w:rPr>
              <w:t>项目情况</w:t>
            </w:r>
          </w:p>
        </w:tc>
        <w:tc>
          <w:tcPr>
            <w:tcW w:w="399" w:type="pct"/>
            <w:noWrap w:val="0"/>
            <w:vAlign w:val="center"/>
          </w:tcPr>
          <w:p w14:paraId="24034EFD">
            <w:pPr>
              <w:widowControl w:val="0"/>
              <w:spacing w:line="360" w:lineRule="exact"/>
              <w:ind w:firstLine="0" w:firstLineChars="0"/>
              <w:jc w:val="center"/>
              <w:rPr>
                <w:rFonts w:hint="default"/>
                <w:b/>
                <w:bCs/>
                <w:color w:val="auto"/>
                <w:sz w:val="21"/>
                <w:highlight w:val="none"/>
                <w:lang w:val="en-US" w:eastAsia="zh-CN"/>
              </w:rPr>
            </w:pPr>
            <w:r>
              <w:rPr>
                <w:rFonts w:hint="default"/>
                <w:b/>
                <w:bCs/>
                <w:color w:val="auto"/>
                <w:sz w:val="21"/>
                <w:highlight w:val="none"/>
                <w:lang w:val="en-US" w:eastAsia="zh-CN"/>
              </w:rPr>
              <w:t>结论</w:t>
            </w:r>
          </w:p>
        </w:tc>
      </w:tr>
      <w:tr w14:paraId="1A46B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7" w:type="pct"/>
            <w:noWrap w:val="0"/>
            <w:vAlign w:val="center"/>
          </w:tcPr>
          <w:p w14:paraId="7AFD464C">
            <w:pPr>
              <w:widowControl w:val="0"/>
              <w:spacing w:line="360" w:lineRule="exact"/>
              <w:ind w:firstLine="0" w:firstLineChars="0"/>
              <w:jc w:val="center"/>
              <w:rPr>
                <w:rFonts w:hint="default"/>
                <w:color w:val="auto"/>
                <w:sz w:val="21"/>
                <w:highlight w:val="none"/>
                <w:lang w:val="en-US" w:eastAsia="zh-CN"/>
              </w:rPr>
            </w:pPr>
            <w:r>
              <w:rPr>
                <w:rFonts w:hint="default" w:eastAsia="宋体"/>
                <w:color w:val="auto"/>
                <w:sz w:val="21"/>
                <w:highlight w:val="none"/>
                <w:lang w:val="en-US" w:eastAsia="zh-CN"/>
              </w:rPr>
              <w:t>加大矿产资源勘探勘查力度</w:t>
            </w:r>
            <w:r>
              <w:rPr>
                <w:rFonts w:hint="default"/>
                <w:color w:val="auto"/>
                <w:sz w:val="21"/>
                <w:highlight w:val="none"/>
                <w:lang w:val="en-US" w:eastAsia="zh-CN"/>
              </w:rPr>
              <w:t>。完成覆盖全县的地质矿产调查。结合矿产资源规划划定限制和禁止开采的地区，优化作业点布局，严禁一矿多开。城市规划区范围内不再新增作业点和扩大开采规模。富蕴县禁止开采区包括金塔斯山地草原禁止开采区、两河源头自然保护区禁止开采区、可可托海地质公园禁止开采区、卡拉麦里自然保护区禁止开采区。</w:t>
            </w:r>
          </w:p>
          <w:p w14:paraId="149CB5EE">
            <w:pPr>
              <w:widowControl w:val="0"/>
              <w:spacing w:line="360" w:lineRule="exact"/>
              <w:ind w:firstLine="0" w:firstLineChars="0"/>
              <w:jc w:val="center"/>
              <w:rPr>
                <w:rFonts w:hint="default" w:eastAsia="宋体"/>
                <w:color w:val="auto"/>
                <w:sz w:val="21"/>
                <w:highlight w:val="none"/>
                <w:lang w:val="en-US" w:eastAsia="zh-CN"/>
              </w:rPr>
            </w:pPr>
            <w:r>
              <w:rPr>
                <w:rFonts w:hint="default"/>
                <w:color w:val="auto"/>
                <w:sz w:val="21"/>
                <w:highlight w:val="none"/>
                <w:lang w:val="en-US" w:eastAsia="zh-CN"/>
              </w:rPr>
              <w:t>发展阿勒泰蒙库（铁矿）、富蕴喀拉通克（铜矿）等能源资源基地；重点勘查蒙库铁矿、喀拉通克深部-外围铜镍多金属矿、</w:t>
            </w:r>
            <w:r>
              <w:rPr>
                <w:rFonts w:hint="default"/>
                <w:b w:val="0"/>
                <w:bCs w:val="0"/>
                <w:color w:val="auto"/>
                <w:sz w:val="21"/>
                <w:highlight w:val="none"/>
                <w:lang w:val="en-US" w:eastAsia="zh-CN"/>
              </w:rPr>
              <w:t>索尔库都克</w:t>
            </w:r>
            <w:r>
              <w:rPr>
                <w:rFonts w:hint="default"/>
                <w:color w:val="auto"/>
                <w:sz w:val="21"/>
                <w:highlight w:val="none"/>
                <w:lang w:val="en-US" w:eastAsia="zh-CN"/>
              </w:rPr>
              <w:t>-扎河坝铜金矿。</w:t>
            </w:r>
          </w:p>
        </w:tc>
        <w:tc>
          <w:tcPr>
            <w:tcW w:w="1523" w:type="pct"/>
            <w:noWrap w:val="0"/>
            <w:vAlign w:val="center"/>
          </w:tcPr>
          <w:p w14:paraId="4D6019E4">
            <w:pPr>
              <w:widowControl w:val="0"/>
              <w:spacing w:line="360" w:lineRule="exact"/>
              <w:ind w:firstLine="0" w:firstLineChars="0"/>
              <w:jc w:val="center"/>
              <w:rPr>
                <w:rFonts w:hint="default" w:eastAsia="宋体"/>
                <w:color w:val="auto"/>
                <w:sz w:val="21"/>
                <w:highlight w:val="none"/>
                <w:lang w:val="en-US" w:eastAsia="zh-CN"/>
              </w:rPr>
            </w:pPr>
            <w:r>
              <w:rPr>
                <w:rFonts w:hint="default"/>
                <w:b w:val="0"/>
                <w:bCs w:val="0"/>
                <w:color w:val="auto"/>
                <w:sz w:val="21"/>
                <w:highlight w:val="none"/>
                <w:lang w:val="en-US" w:eastAsia="zh-CN"/>
              </w:rPr>
              <w:t>本项目属于金矿选矿项目，本项目及配套的采矿工程不涉及禁止开采区，符合该要求。</w:t>
            </w:r>
          </w:p>
        </w:tc>
        <w:tc>
          <w:tcPr>
            <w:tcW w:w="399" w:type="pct"/>
            <w:noWrap w:val="0"/>
            <w:vAlign w:val="center"/>
          </w:tcPr>
          <w:p w14:paraId="63832D71">
            <w:pPr>
              <w:widowControl w:val="0"/>
              <w:spacing w:line="360" w:lineRule="exact"/>
              <w:ind w:firstLine="0" w:firstLineChars="0"/>
              <w:jc w:val="center"/>
              <w:rPr>
                <w:rFonts w:hint="default" w:eastAsia="宋体"/>
                <w:color w:val="auto"/>
                <w:sz w:val="21"/>
                <w:highlight w:val="none"/>
                <w:lang w:val="en-US" w:eastAsia="zh-CN"/>
              </w:rPr>
            </w:pPr>
            <w:r>
              <w:rPr>
                <w:rFonts w:hint="default"/>
                <w:color w:val="auto"/>
                <w:sz w:val="21"/>
                <w:highlight w:val="none"/>
                <w:lang w:val="en-US" w:eastAsia="zh-CN"/>
              </w:rPr>
              <w:t>符合</w:t>
            </w:r>
          </w:p>
        </w:tc>
      </w:tr>
      <w:tr w14:paraId="7DF02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077" w:type="pct"/>
            <w:noWrap w:val="0"/>
            <w:vAlign w:val="center"/>
          </w:tcPr>
          <w:p w14:paraId="62AC8A90">
            <w:pPr>
              <w:widowControl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提高矿产资源综合利用率</w:t>
            </w:r>
            <w:r>
              <w:rPr>
                <w:rFonts w:hint="default"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鼓励伴生矿、多矿种的综合开发，加强长石、石英、云母等矿石的回收利用，鼓励贫富兼采，充分利用低品位原矿石，做好矿山用水、尾矿、尾砂等下游资源的循环利用和再利用。推广节能降耗、利用率高、环境污染少的技术、工艺和设备，提高矿产品科技含量附加值，采矿回采率和选矿回收率达到新疆同类企业先进水平。</w:t>
            </w:r>
          </w:p>
        </w:tc>
        <w:tc>
          <w:tcPr>
            <w:tcW w:w="1523" w:type="pct"/>
            <w:noWrap w:val="0"/>
            <w:vAlign w:val="center"/>
          </w:tcPr>
          <w:p w14:paraId="4F0A0AD6">
            <w:pPr>
              <w:widowControl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本项目选矿废水回用不外排，</w:t>
            </w:r>
            <w:r>
              <w:rPr>
                <w:rFonts w:hint="default" w:ascii="Times New Roman" w:hAnsi="Times New Roman" w:cs="Times New Roman" w:eastAsiaTheme="minorEastAsia"/>
                <w:color w:val="auto"/>
                <w:sz w:val="21"/>
                <w:highlight w:val="none"/>
                <w:lang w:val="en-US" w:eastAsia="zh-CN"/>
              </w:rPr>
              <w:t>尾矿部分回用于采空区充填，剩余部分暂存于尾矿库，综合利用率可达60%。</w:t>
            </w:r>
            <w:r>
              <w:rPr>
                <w:rFonts w:hint="default" w:cs="Times New Roman"/>
                <w:color w:val="auto"/>
                <w:kern w:val="2"/>
                <w:sz w:val="21"/>
                <w:szCs w:val="24"/>
                <w:highlight w:val="none"/>
                <w:lang w:val="en-US" w:eastAsia="zh-CN" w:bidi="ar-SA"/>
              </w:rPr>
              <w:t>选矿回收率达到90%，可达到新疆同企业先进水平。</w:t>
            </w:r>
          </w:p>
        </w:tc>
        <w:tc>
          <w:tcPr>
            <w:tcW w:w="399" w:type="pct"/>
            <w:noWrap w:val="0"/>
            <w:vAlign w:val="center"/>
          </w:tcPr>
          <w:p w14:paraId="2A18BDC7">
            <w:pPr>
              <w:widowControl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olor w:val="auto"/>
                <w:sz w:val="21"/>
                <w:highlight w:val="none"/>
                <w:lang w:val="en-US" w:eastAsia="zh-CN"/>
              </w:rPr>
              <w:t>符合</w:t>
            </w:r>
          </w:p>
        </w:tc>
      </w:tr>
      <w:tr w14:paraId="3EBED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077" w:type="pct"/>
            <w:noWrap w:val="0"/>
            <w:vAlign w:val="center"/>
          </w:tcPr>
          <w:p w14:paraId="6AB70C97">
            <w:pPr>
              <w:widowControl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积极推进矿山生态环境的综合整治</w:t>
            </w:r>
            <w:r>
              <w:rPr>
                <w:rFonts w:hint="default" w:cs="Times New Roman"/>
                <w:color w:val="auto"/>
                <w:sz w:val="21"/>
                <w:highlight w:val="none"/>
                <w:lang w:eastAsia="zh-CN"/>
              </w:rPr>
              <w:t>。</w:t>
            </w:r>
            <w:r>
              <w:rPr>
                <w:rFonts w:hint="default" w:ascii="Times New Roman" w:hAnsi="Times New Roman" w:cs="Times New Roman"/>
                <w:color w:val="auto"/>
                <w:sz w:val="21"/>
                <w:highlight w:val="none"/>
              </w:rPr>
              <w:t>预防为主，防治结合，禁止矿山废水、废气、废渣超标排放，加强闭坑矿山、老矿山的生态环境恢复和保护工作。</w:t>
            </w:r>
          </w:p>
        </w:tc>
        <w:tc>
          <w:tcPr>
            <w:tcW w:w="1523" w:type="pct"/>
            <w:noWrap w:val="0"/>
            <w:vAlign w:val="center"/>
          </w:tcPr>
          <w:p w14:paraId="6BA63DEB">
            <w:pPr>
              <w:widowControl w:val="0"/>
              <w:numPr>
                <w:ilvl w:val="0"/>
                <w:numId w:val="0"/>
              </w:numPr>
              <w:spacing w:line="360" w:lineRule="exact"/>
              <w:ind w:left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eastAsiaTheme="minorEastAsia"/>
                <w:color w:val="auto"/>
                <w:sz w:val="21"/>
                <w:highlight w:val="none"/>
                <w:lang w:val="en-US" w:eastAsia="zh-CN"/>
              </w:rPr>
              <w:t>项目运营期尾矿部分回用于采空区充填，剩余部分暂存于尾矿库，综合利用率可达60%。</w:t>
            </w:r>
            <w:r>
              <w:rPr>
                <w:rFonts w:hint="default" w:ascii="Times New Roman" w:hAnsi="Times New Roman" w:cs="Times New Roman" w:eastAsiaTheme="minorEastAsia"/>
                <w:color w:val="auto"/>
                <w:sz w:val="21"/>
                <w:highlight w:val="none"/>
              </w:rPr>
              <w:t>本项目</w:t>
            </w:r>
            <w:r>
              <w:rPr>
                <w:rFonts w:hint="default" w:ascii="Times New Roman" w:hAnsi="Times New Roman" w:cs="Times New Roman" w:eastAsiaTheme="minorEastAsia"/>
                <w:color w:val="auto"/>
                <w:sz w:val="21"/>
                <w:highlight w:val="none"/>
                <w:lang w:val="en-US" w:eastAsia="zh-CN"/>
              </w:rPr>
              <w:t>选矿废水回用不外排</w:t>
            </w:r>
            <w:r>
              <w:rPr>
                <w:rFonts w:hint="default" w:ascii="Times New Roman" w:hAnsi="Times New Roman" w:cs="Times New Roman" w:eastAsiaTheme="minorEastAsia"/>
                <w:color w:val="auto"/>
                <w:sz w:val="21"/>
                <w:highlight w:val="none"/>
              </w:rPr>
              <w:t>；生活污水达标处理</w:t>
            </w:r>
            <w:r>
              <w:rPr>
                <w:rFonts w:hint="default" w:ascii="Times New Roman" w:hAnsi="Times New Roman" w:cs="Times New Roman" w:eastAsiaTheme="minorEastAsia"/>
                <w:color w:val="auto"/>
                <w:sz w:val="21"/>
                <w:highlight w:val="none"/>
                <w:lang w:val="en-US" w:eastAsia="zh-CN"/>
              </w:rPr>
              <w:t>后回用</w:t>
            </w:r>
            <w:r>
              <w:rPr>
                <w:rFonts w:hint="default" w:ascii="Times New Roman" w:hAnsi="Times New Roman" w:cs="Times New Roman" w:eastAsiaTheme="minorEastAsia"/>
                <w:color w:val="auto"/>
                <w:sz w:val="21"/>
                <w:highlight w:val="none"/>
              </w:rPr>
              <w:t>于</w:t>
            </w:r>
            <w:r>
              <w:rPr>
                <w:rFonts w:hint="default" w:ascii="Times New Roman" w:hAnsi="Times New Roman" w:cs="Times New Roman" w:eastAsiaTheme="minorEastAsia"/>
                <w:color w:val="auto"/>
                <w:sz w:val="21"/>
                <w:highlight w:val="none"/>
                <w:lang w:val="en-US" w:eastAsia="zh-CN"/>
              </w:rPr>
              <w:t>项目</w:t>
            </w:r>
            <w:r>
              <w:rPr>
                <w:rFonts w:hint="default" w:ascii="Times New Roman" w:hAnsi="Times New Roman" w:cs="Times New Roman" w:eastAsiaTheme="minorEastAsia"/>
                <w:color w:val="auto"/>
                <w:sz w:val="21"/>
                <w:highlight w:val="none"/>
              </w:rPr>
              <w:t>绿化</w:t>
            </w:r>
            <w:r>
              <w:rPr>
                <w:rFonts w:hint="default" w:ascii="Times New Roman" w:hAnsi="Times New Roman" w:cs="Times New Roman" w:eastAsiaTheme="minorEastAsia"/>
                <w:color w:val="auto"/>
                <w:sz w:val="21"/>
                <w:highlight w:val="none"/>
                <w:lang w:val="en-US" w:eastAsia="zh-CN"/>
              </w:rPr>
              <w:t>及生产</w:t>
            </w:r>
            <w:r>
              <w:rPr>
                <w:rFonts w:hint="default" w:ascii="Times New Roman" w:hAnsi="Times New Roman" w:cs="Times New Roman" w:eastAsiaTheme="minorEastAsia"/>
                <w:color w:val="auto"/>
                <w:sz w:val="21"/>
                <w:highlight w:val="none"/>
              </w:rPr>
              <w:t>，利用率为100%；项目运营期洒水、降尘，可最大程度减</w:t>
            </w:r>
            <w:r>
              <w:rPr>
                <w:rFonts w:hint="default" w:ascii="Times New Roman" w:hAnsi="Times New Roman" w:cs="Times New Roman" w:eastAsiaTheme="minorEastAsia"/>
                <w:color w:val="auto"/>
                <w:sz w:val="21"/>
                <w:highlight w:val="none"/>
                <w:lang w:val="en-US" w:eastAsia="zh-CN"/>
              </w:rPr>
              <w:t>少</w:t>
            </w:r>
            <w:r>
              <w:rPr>
                <w:rFonts w:hint="default" w:ascii="Times New Roman" w:hAnsi="Times New Roman" w:cs="Times New Roman" w:eastAsiaTheme="minorEastAsia"/>
                <w:color w:val="auto"/>
                <w:sz w:val="21"/>
                <w:highlight w:val="none"/>
              </w:rPr>
              <w:t>废气排放。</w:t>
            </w:r>
          </w:p>
        </w:tc>
        <w:tc>
          <w:tcPr>
            <w:tcW w:w="399" w:type="pct"/>
            <w:noWrap w:val="0"/>
            <w:vAlign w:val="center"/>
          </w:tcPr>
          <w:p w14:paraId="790935B4">
            <w:pPr>
              <w:widowControl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color w:val="auto"/>
                <w:sz w:val="21"/>
                <w:highlight w:val="none"/>
                <w:lang w:val="en-US" w:eastAsia="zh-CN"/>
              </w:rPr>
              <w:t>符合</w:t>
            </w:r>
          </w:p>
        </w:tc>
      </w:tr>
    </w:tbl>
    <w:p w14:paraId="76238314">
      <w:pPr>
        <w:overflowPunct w:val="0"/>
        <w:topLinePunct/>
        <w:ind w:firstLine="480"/>
        <w:rPr>
          <w:rFonts w:hint="default"/>
          <w:color w:val="auto"/>
          <w:highlight w:val="none"/>
          <w:lang w:val="en-US" w:eastAsia="zh-CN"/>
        </w:rPr>
      </w:pPr>
      <w:r>
        <w:rPr>
          <w:rFonts w:hint="default"/>
          <w:color w:val="auto"/>
          <w:highlight w:val="none"/>
        </w:rPr>
        <w:t>综上，本项目</w:t>
      </w:r>
      <w:r>
        <w:rPr>
          <w:rFonts w:hint="default"/>
          <w:color w:val="auto"/>
          <w:highlight w:val="none"/>
          <w:lang w:val="en-US" w:eastAsia="zh-CN"/>
        </w:rPr>
        <w:t>符合</w:t>
      </w:r>
      <w:r>
        <w:rPr>
          <w:rFonts w:hint="default"/>
          <w:color w:val="auto"/>
          <w:highlight w:val="none"/>
          <w:lang w:eastAsia="zh-CN"/>
        </w:rPr>
        <w:t>《</w:t>
      </w:r>
      <w:r>
        <w:rPr>
          <w:rFonts w:hint="default"/>
          <w:color w:val="auto"/>
          <w:highlight w:val="none"/>
          <w:lang w:val="en-US" w:eastAsia="zh-CN"/>
        </w:rPr>
        <w:t>富蕴县国土空间总体规划（2020-2035）</w:t>
      </w:r>
      <w:r>
        <w:rPr>
          <w:rFonts w:hint="default"/>
          <w:color w:val="auto"/>
          <w:highlight w:val="none"/>
          <w:lang w:eastAsia="zh-CN"/>
        </w:rPr>
        <w:t>》的</w:t>
      </w:r>
      <w:r>
        <w:rPr>
          <w:rFonts w:hint="default"/>
          <w:color w:val="auto"/>
          <w:highlight w:val="none"/>
          <w:lang w:val="en-US" w:eastAsia="zh-CN"/>
        </w:rPr>
        <w:t>相关要求。</w:t>
      </w:r>
    </w:p>
    <w:p w14:paraId="25DFF769">
      <w:pPr>
        <w:pStyle w:val="4"/>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.3相关条例符合性分析</w:t>
      </w:r>
      <w:bookmarkEnd w:id="545"/>
      <w:bookmarkEnd w:id="546"/>
    </w:p>
    <w:p w14:paraId="081BE5F2">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3.1</w:t>
      </w:r>
      <w:r>
        <w:rPr>
          <w:rFonts w:hint="default" w:ascii="Times New Roman" w:hAnsi="Times New Roman" w:cs="Times New Roman"/>
          <w:color w:val="auto"/>
          <w:highlight w:val="none"/>
        </w:rPr>
        <w:t>与《新疆维吾尔自治区重点行业</w:t>
      </w:r>
      <w:r>
        <w:rPr>
          <w:rFonts w:hint="default" w:ascii="Times New Roman" w:hAnsi="Times New Roman" w:cs="Times New Roman"/>
          <w:color w:val="auto"/>
          <w:highlight w:val="none"/>
          <w:lang w:val="en-US" w:eastAsia="zh-CN"/>
        </w:rPr>
        <w:t>生态</w:t>
      </w:r>
      <w:r>
        <w:rPr>
          <w:rFonts w:hint="default" w:ascii="Times New Roman" w:hAnsi="Times New Roman" w:cs="Times New Roman"/>
          <w:color w:val="auto"/>
          <w:highlight w:val="none"/>
        </w:rPr>
        <w:t>环境准入条件（</w:t>
      </w:r>
      <w:r>
        <w:rPr>
          <w:rFonts w:hint="default" w:ascii="Times New Roman" w:hAnsi="Times New Roman" w:cs="Times New Roman"/>
          <w:color w:val="auto"/>
          <w:highlight w:val="none"/>
          <w:lang w:val="en-US" w:eastAsia="zh-CN"/>
        </w:rPr>
        <w:t>2024年</w:t>
      </w:r>
      <w:r>
        <w:rPr>
          <w:rFonts w:hint="default" w:ascii="Times New Roman" w:hAnsi="Times New Roman" w:cs="Times New Roman"/>
          <w:color w:val="auto"/>
          <w:highlight w:val="none"/>
        </w:rPr>
        <w:t>）》符合性分析</w:t>
      </w:r>
    </w:p>
    <w:p w14:paraId="68594978">
      <w:pPr>
        <w:ind w:firstLine="480"/>
        <w:rPr>
          <w:rFonts w:hint="default" w:ascii="Times New Roman" w:hAnsi="Times New Roman" w:eastAsia="宋体" w:cs="Times New Roman"/>
          <w:color w:val="auto"/>
          <w:kern w:val="0"/>
          <w:szCs w:val="24"/>
          <w:highlight w:val="none"/>
          <w:lang w:val="en-US" w:eastAsia="zh-CN" w:bidi="ar"/>
        </w:rPr>
      </w:pPr>
      <w:bookmarkStart w:id="547" w:name="_Toc12092_WPSOffice_Level2"/>
      <w:r>
        <w:rPr>
          <w:rFonts w:hint="default" w:ascii="Times New Roman" w:hAnsi="Times New Roman" w:eastAsia="宋体" w:cs="Times New Roman"/>
          <w:color w:val="auto"/>
          <w:kern w:val="0"/>
          <w:sz w:val="24"/>
          <w:szCs w:val="20"/>
          <w:highlight w:val="none"/>
          <w:lang w:val="en-US" w:eastAsia="zh-CN" w:bidi="ar-SA"/>
        </w:rPr>
        <w:t>《新疆维吾尔自治区重点行业</w:t>
      </w:r>
      <w:r>
        <w:rPr>
          <w:rFonts w:hint="default" w:ascii="Times New Roman" w:hAnsi="Times New Roman" w:cs="Times New Roman"/>
          <w:color w:val="auto"/>
          <w:kern w:val="0"/>
          <w:sz w:val="24"/>
          <w:szCs w:val="20"/>
          <w:highlight w:val="none"/>
          <w:lang w:val="en-US" w:eastAsia="zh-CN" w:bidi="ar-SA"/>
        </w:rPr>
        <w:t>生态</w:t>
      </w:r>
      <w:r>
        <w:rPr>
          <w:rFonts w:hint="default" w:ascii="Times New Roman" w:hAnsi="Times New Roman" w:eastAsia="宋体" w:cs="Times New Roman"/>
          <w:color w:val="auto"/>
          <w:kern w:val="0"/>
          <w:sz w:val="24"/>
          <w:szCs w:val="20"/>
          <w:highlight w:val="none"/>
          <w:lang w:val="en-US" w:eastAsia="zh-CN" w:bidi="ar-SA"/>
        </w:rPr>
        <w:t>环境准入条件（2024年）》对金属矿采选行业的选址</w:t>
      </w:r>
      <w:r>
        <w:rPr>
          <w:rFonts w:hint="default" w:ascii="Times New Roman" w:hAnsi="Times New Roman" w:cs="Times New Roman"/>
          <w:color w:val="auto"/>
          <w:kern w:val="0"/>
          <w:sz w:val="24"/>
          <w:szCs w:val="20"/>
          <w:highlight w:val="none"/>
          <w:lang w:val="en-US" w:eastAsia="zh-CN" w:bidi="ar-SA"/>
        </w:rPr>
        <w:t>与空间布局</w:t>
      </w:r>
      <w:r>
        <w:rPr>
          <w:rFonts w:hint="default" w:ascii="Times New Roman" w:hAnsi="Times New Roman" w:eastAsia="宋体" w:cs="Times New Roman"/>
          <w:color w:val="auto"/>
          <w:kern w:val="0"/>
          <w:sz w:val="24"/>
          <w:szCs w:val="20"/>
          <w:highlight w:val="none"/>
          <w:lang w:val="en-US" w:eastAsia="zh-CN" w:bidi="ar-SA"/>
        </w:rPr>
        <w:t>及污染防治</w:t>
      </w:r>
      <w:r>
        <w:rPr>
          <w:rFonts w:hint="default" w:ascii="Times New Roman" w:hAnsi="Times New Roman" w:cs="Times New Roman"/>
          <w:color w:val="auto"/>
          <w:kern w:val="0"/>
          <w:sz w:val="24"/>
          <w:szCs w:val="20"/>
          <w:highlight w:val="none"/>
          <w:lang w:val="en-US" w:eastAsia="zh-CN" w:bidi="ar-SA"/>
        </w:rPr>
        <w:t>与环境影响</w:t>
      </w:r>
      <w:r>
        <w:rPr>
          <w:rFonts w:hint="default" w:ascii="Times New Roman" w:hAnsi="Times New Roman" w:eastAsia="宋体" w:cs="Times New Roman"/>
          <w:color w:val="auto"/>
          <w:kern w:val="0"/>
          <w:sz w:val="24"/>
          <w:szCs w:val="20"/>
          <w:highlight w:val="none"/>
          <w:lang w:val="en-US" w:eastAsia="zh-CN" w:bidi="ar-SA"/>
        </w:rPr>
        <w:t>进行了要求，本项目与环境准入条件的符合性分析见表</w:t>
      </w:r>
      <w:r>
        <w:rPr>
          <w:rFonts w:hint="default" w:ascii="Times New Roman" w:hAnsi="Times New Roman" w:cs="Times New Roman"/>
          <w:color w:val="auto"/>
          <w:kern w:val="0"/>
          <w:szCs w:val="24"/>
          <w:highlight w:val="none"/>
          <w:lang w:val="en-US" w:eastAsia="zh-CN" w:bidi="ar"/>
        </w:rPr>
        <w:t>3.6-4。</w:t>
      </w:r>
    </w:p>
    <w:p w14:paraId="562E09EB">
      <w:pPr>
        <w:ind w:firstLine="0" w:firstLineChars="0"/>
        <w:jc w:val="center"/>
        <w:rPr>
          <w:rFonts w:hint="default" w:ascii="Times New Roman" w:hAnsi="Times New Roman" w:eastAsia="宋体" w:cs="Times New Roman"/>
          <w:b/>
          <w:color w:val="auto"/>
          <w:szCs w:val="24"/>
          <w:highlight w:val="none"/>
          <w:lang w:eastAsia="zh-CN"/>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 xml:space="preserve">    与自治区重点行业生态环境准入条件</w:t>
      </w:r>
      <w:r>
        <w:rPr>
          <w:rFonts w:hint="default" w:ascii="Times New Roman" w:hAnsi="Times New Roman" w:cs="Times New Roman"/>
          <w:b/>
          <w:bCs/>
          <w:color w:val="auto"/>
          <w:highlight w:val="none"/>
        </w:rPr>
        <w:t>符合性分析</w:t>
      </w:r>
      <w:r>
        <w:rPr>
          <w:rFonts w:hint="default" w:ascii="Times New Roman" w:hAnsi="Times New Roman" w:cs="Times New Roman"/>
          <w:b/>
          <w:bCs/>
          <w:color w:val="auto"/>
          <w:highlight w:val="none"/>
          <w:lang w:eastAsia="zh-CN"/>
        </w:rPr>
        <w:t>一览表</w:t>
      </w:r>
    </w:p>
    <w:tbl>
      <w:tblPr>
        <w:tblStyle w:val="3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45"/>
        <w:gridCol w:w="4168"/>
        <w:gridCol w:w="954"/>
      </w:tblGrid>
      <w:tr w14:paraId="27C1B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06" w:type="pct"/>
            <w:noWrap w:val="0"/>
            <w:vAlign w:val="center"/>
          </w:tcPr>
          <w:p w14:paraId="4A2796FF">
            <w:pPr>
              <w:wordWrap w:val="0"/>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有关规定</w:t>
            </w:r>
          </w:p>
        </w:tc>
        <w:tc>
          <w:tcPr>
            <w:tcW w:w="2273" w:type="pct"/>
            <w:noWrap w:val="0"/>
            <w:vAlign w:val="center"/>
          </w:tcPr>
          <w:p w14:paraId="0E957ECA">
            <w:pPr>
              <w:wordWrap w:val="0"/>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项目情况</w:t>
            </w:r>
          </w:p>
        </w:tc>
        <w:tc>
          <w:tcPr>
            <w:tcW w:w="520" w:type="pct"/>
            <w:noWrap w:val="0"/>
            <w:vAlign w:val="center"/>
          </w:tcPr>
          <w:p w14:paraId="55FD6B1F">
            <w:pPr>
              <w:wordWrap w:val="0"/>
              <w:spacing w:line="360" w:lineRule="exact"/>
              <w:ind w:firstLine="0" w:firstLineChars="0"/>
              <w:jc w:val="center"/>
              <w:rPr>
                <w:rFonts w:hint="default" w:ascii="Times New Roman" w:hAnsi="Times New Roman"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符合性</w:t>
            </w:r>
          </w:p>
        </w:tc>
      </w:tr>
      <w:tr w14:paraId="56350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43CDF9B8">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适用于自治区行政区域内新建、改建、扩建金属矿采选项目相关的环境管理活动。经环境影响比选论证后，适宜在矿区就地开展采选冶一体化、尾矿再生利用项目选址与空间布局可参照执行。</w:t>
            </w:r>
          </w:p>
        </w:tc>
        <w:tc>
          <w:tcPr>
            <w:tcW w:w="2273" w:type="pct"/>
            <w:noWrap w:val="0"/>
            <w:vAlign w:val="center"/>
          </w:tcPr>
          <w:p w14:paraId="76840794">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本项目为</w:t>
            </w:r>
            <w:r>
              <w:rPr>
                <w:rFonts w:hint="default" w:ascii="Times New Roman" w:hAnsi="Times New Roman" w:cs="Times New Roman"/>
                <w:color w:val="auto"/>
                <w:sz w:val="21"/>
                <w:highlight w:val="none"/>
                <w:lang w:eastAsia="zh-CN"/>
              </w:rPr>
              <w:t>金矿选矿及尾矿库</w:t>
            </w:r>
            <w:r>
              <w:rPr>
                <w:rFonts w:hint="default" w:ascii="Times New Roman" w:hAnsi="Times New Roman" w:cs="Times New Roman"/>
                <w:color w:val="auto"/>
                <w:sz w:val="21"/>
                <w:highlight w:val="none"/>
                <w:lang w:val="en-US" w:eastAsia="zh-CN"/>
              </w:rPr>
              <w:t>建设项目</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项目性质为新建，本次选矿建设与矿山临近</w:t>
            </w:r>
            <w:r>
              <w:rPr>
                <w:rFonts w:hint="default" w:ascii="Times New Roman" w:hAnsi="Times New Roman" w:cs="Times New Roman"/>
                <w:color w:val="auto"/>
                <w:sz w:val="21"/>
                <w:highlight w:val="none"/>
                <w:lang w:eastAsia="zh-CN"/>
              </w:rPr>
              <w:t>。</w:t>
            </w:r>
          </w:p>
        </w:tc>
        <w:tc>
          <w:tcPr>
            <w:tcW w:w="520" w:type="pct"/>
            <w:noWrap w:val="0"/>
            <w:vAlign w:val="center"/>
          </w:tcPr>
          <w:p w14:paraId="496E4874">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40A34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38757951">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铁路、高速公路、国道、省道等重要交通干线两侧200米范围以内（其中，禁止在铁路、国道、省道两侧的直观可视范围内进行露天开采），重要工业区、大型水利工程设施、城镇市政工程设施所在区域，军事管理区、机场、国防工程设施圈定的区域</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居民聚集区1千米以内，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存在山体等阻隔地形或建设人工地下水阻隔设施和严格防尘措施的，可适当放宽距离要求，具体根据专业机构论证结论确定。其他水体根据矿产资源开发利用结论和环境影响评价结论管控。</w:t>
            </w:r>
          </w:p>
        </w:tc>
        <w:tc>
          <w:tcPr>
            <w:tcW w:w="2273" w:type="pct"/>
            <w:noWrap w:val="0"/>
            <w:vAlign w:val="center"/>
          </w:tcPr>
          <w:p w14:paraId="50B2542C">
            <w:pPr>
              <w:numPr>
                <w:ilvl w:val="0"/>
                <w:numId w:val="0"/>
              </w:numPr>
              <w:wordWrap w:val="0"/>
              <w:spacing w:line="360" w:lineRule="exact"/>
              <w:ind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经现场踏勘，项目未在铁路、国道、省道两侧的直观可视范围内进行生产作业；2、本项目200</w:t>
            </w:r>
            <w:r>
              <w:rPr>
                <w:rFonts w:hint="default" w:ascii="Times New Roman" w:hAnsi="Times New Roman" w:cs="Times New Roman"/>
                <w:color w:val="auto"/>
                <w:sz w:val="21"/>
                <w:highlight w:val="none"/>
                <w:lang w:eastAsia="zh-CN"/>
              </w:rPr>
              <w:t>m</w:t>
            </w:r>
            <w:r>
              <w:rPr>
                <w:rFonts w:hint="default" w:ascii="Times New Roman" w:hAnsi="Times New Roman" w:cs="Times New Roman"/>
                <w:color w:val="auto"/>
                <w:sz w:val="21"/>
                <w:highlight w:val="none"/>
              </w:rPr>
              <w:t>范围内无铁路、高速公路、国道、省道等重要交通干线；</w:t>
            </w:r>
            <w:r>
              <w:rPr>
                <w:rFonts w:hint="default" w:ascii="Times New Roman" w:hAnsi="Times New Roman" w:cs="Times New Roman"/>
                <w:color w:val="auto"/>
                <w:sz w:val="21"/>
                <w:highlight w:val="none"/>
                <w:lang w:val="en-US" w:eastAsia="zh-CN"/>
              </w:rPr>
              <w:t>3、本项目所在区域不属于</w:t>
            </w:r>
            <w:r>
              <w:rPr>
                <w:rFonts w:hint="default" w:ascii="Times New Roman" w:hAnsi="Times New Roman" w:cs="Times New Roman"/>
                <w:color w:val="auto"/>
                <w:sz w:val="21"/>
                <w:highlight w:val="none"/>
              </w:rPr>
              <w:t>重要工业区、大型水利工程设施、城镇市政工程设施所在区域，</w:t>
            </w:r>
            <w:r>
              <w:rPr>
                <w:rFonts w:hint="default" w:ascii="Times New Roman" w:hAnsi="Times New Roman" w:cs="Times New Roman"/>
                <w:color w:val="auto"/>
                <w:sz w:val="21"/>
                <w:highlight w:val="none"/>
                <w:lang w:val="en-US" w:eastAsia="zh-CN"/>
              </w:rPr>
              <w:t>也不属于</w:t>
            </w:r>
            <w:r>
              <w:rPr>
                <w:rFonts w:hint="default" w:ascii="Times New Roman" w:hAnsi="Times New Roman" w:cs="Times New Roman"/>
                <w:color w:val="auto"/>
                <w:sz w:val="21"/>
                <w:highlight w:val="none"/>
              </w:rPr>
              <w:t>军事管理区、机场、国防工程设施圈定的区域</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居民聚集区1千米以内</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4、</w:t>
            </w:r>
            <w:r>
              <w:rPr>
                <w:rFonts w:hint="default" w:ascii="Times New Roman" w:hAnsi="Times New Roman" w:cs="Times New Roman"/>
                <w:color w:val="auto"/>
                <w:sz w:val="21"/>
                <w:highlight w:val="none"/>
                <w:lang w:eastAsia="zh-CN"/>
              </w:rPr>
              <w:t>项目</w:t>
            </w:r>
            <w:r>
              <w:rPr>
                <w:rFonts w:hint="default" w:ascii="Times New Roman" w:hAnsi="Times New Roman" w:cs="Times New Roman"/>
                <w:color w:val="auto"/>
                <w:sz w:val="21"/>
                <w:highlight w:val="none"/>
                <w:lang w:val="en-US" w:eastAsia="zh-CN"/>
              </w:rPr>
              <w:t>区周边1km范围内无地表水体。</w:t>
            </w:r>
          </w:p>
        </w:tc>
        <w:tc>
          <w:tcPr>
            <w:tcW w:w="520" w:type="pct"/>
            <w:noWrap w:val="0"/>
            <w:vAlign w:val="center"/>
          </w:tcPr>
          <w:p w14:paraId="231FFE19">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15E17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7A17957D">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尾矿库按《选矿厂尾矿设施设计规范》（ZBJ1）、《尾矿库安全监督管理规定</w:t>
            </w:r>
            <w:r>
              <w:rPr>
                <w:rFonts w:hint="default" w:cs="Times New Roman"/>
                <w:color w:val="auto"/>
                <w:sz w:val="21"/>
                <w:highlight w:val="none"/>
                <w:lang w:eastAsia="zh-CN"/>
              </w:rPr>
              <w:t>》《</w:t>
            </w:r>
            <w:r>
              <w:rPr>
                <w:rFonts w:hint="default" w:ascii="Times New Roman" w:hAnsi="Times New Roman" w:cs="Times New Roman"/>
                <w:color w:val="auto"/>
                <w:sz w:val="21"/>
                <w:highlight w:val="none"/>
              </w:rPr>
              <w:t>尾矿库安全规程》（GB39496）、《关于印发〈尾矿库环境应急管理工作指南（试行）〉的通知》（环办〔2010〕138号）、《防范化解尾矿库安全风险工作方案》（应急〔2020〕15号）、《尾矿污染环境防治管理办法》（中华人民共和国生态环境部令第26号）、《尾矿库环境风险评估技术导则（试行）》（HJ740）等要求进行选址、建设、运行和闭库。</w:t>
            </w:r>
          </w:p>
        </w:tc>
        <w:tc>
          <w:tcPr>
            <w:tcW w:w="2273" w:type="pct"/>
            <w:noWrap w:val="0"/>
            <w:vAlign w:val="center"/>
          </w:tcPr>
          <w:p w14:paraId="0A242C57">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本项目新建尾矿库位于选矿厂北侧约</w:t>
            </w:r>
            <w:r>
              <w:rPr>
                <w:rFonts w:hint="default" w:cs="Times New Roman"/>
                <w:color w:val="auto"/>
                <w:sz w:val="21"/>
                <w:highlight w:val="none"/>
                <w:lang w:val="en-US" w:eastAsia="zh-CN"/>
              </w:rPr>
              <w:t>0.85</w:t>
            </w:r>
            <w:r>
              <w:rPr>
                <w:rFonts w:hint="default" w:ascii="Times New Roman" w:hAnsi="Times New Roman" w:cs="Times New Roman"/>
                <w:color w:val="auto"/>
                <w:sz w:val="21"/>
                <w:highlight w:val="none"/>
                <w:lang w:val="en-US" w:eastAsia="zh-CN"/>
              </w:rPr>
              <w:t>km处，为四等别平地型尾矿库，尾矿库总体地势北高南低，</w:t>
            </w:r>
            <w:r>
              <w:rPr>
                <w:rFonts w:hint="default" w:ascii="Times New Roman" w:hAnsi="Times New Roman" w:cs="Times New Roman"/>
                <w:color w:val="auto"/>
                <w:sz w:val="21"/>
                <w:highlight w:val="none"/>
              </w:rPr>
              <w:t>尾矿</w:t>
            </w:r>
            <w:r>
              <w:rPr>
                <w:rFonts w:hint="default" w:ascii="Times New Roman" w:hAnsi="Times New Roman" w:cs="Times New Roman"/>
                <w:color w:val="auto"/>
                <w:sz w:val="21"/>
                <w:highlight w:val="none"/>
                <w:lang w:val="en-US" w:eastAsia="zh-CN"/>
              </w:rPr>
              <w:t>库</w:t>
            </w:r>
            <w:r>
              <w:rPr>
                <w:rFonts w:hint="default" w:ascii="Times New Roman" w:hAnsi="Times New Roman" w:cs="Times New Roman"/>
                <w:color w:val="auto"/>
                <w:sz w:val="21"/>
                <w:highlight w:val="none"/>
              </w:rPr>
              <w:t>下游</w:t>
            </w:r>
            <w:r>
              <w:rPr>
                <w:rFonts w:hint="default" w:ascii="Times New Roman" w:hAnsi="Times New Roman" w:cs="Times New Roman"/>
                <w:color w:val="auto"/>
                <w:sz w:val="21"/>
                <w:highlight w:val="none"/>
                <w:lang w:val="en-US" w:eastAsia="zh-CN"/>
              </w:rPr>
              <w:t>1km范围内</w:t>
            </w:r>
            <w:r>
              <w:rPr>
                <w:rFonts w:hint="default" w:ascii="Times New Roman" w:hAnsi="Times New Roman" w:cs="Times New Roman"/>
                <w:color w:val="auto"/>
                <w:sz w:val="21"/>
                <w:highlight w:val="none"/>
              </w:rPr>
              <w:t>无河流、村庄、工矿企业等重要设施，尾矿库的选址符合相关设计规范及技术</w:t>
            </w:r>
            <w:r>
              <w:rPr>
                <w:rFonts w:hint="default" w:ascii="Times New Roman" w:hAnsi="Times New Roman" w:cs="Times New Roman"/>
                <w:color w:val="auto"/>
                <w:sz w:val="21"/>
                <w:highlight w:val="none"/>
                <w:lang w:val="en-US" w:eastAsia="zh-CN"/>
              </w:rPr>
              <w:t>要求</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并在后期闭库时采取</w:t>
            </w:r>
            <w:r>
              <w:rPr>
                <w:rFonts w:hint="default" w:ascii="Times New Roman" w:hAnsi="Times New Roman" w:cs="Times New Roman"/>
                <w:color w:val="auto"/>
                <w:sz w:val="21"/>
                <w:highlight w:val="none"/>
                <w:lang w:eastAsia="zh-CN"/>
              </w:rPr>
              <w:t>生态恢复治理措施，同时尾矿库按照有关规定报相关部门批准，依法</w:t>
            </w:r>
            <w:r>
              <w:rPr>
                <w:rFonts w:hint="default" w:ascii="Times New Roman" w:hAnsi="Times New Roman" w:cs="Times New Roman"/>
                <w:color w:val="auto"/>
                <w:sz w:val="21"/>
                <w:highlight w:val="none"/>
                <w:lang w:val="en-US" w:eastAsia="zh-CN"/>
              </w:rPr>
              <w:t>办理尾矿库闭库治理、验收、专家论证、销号等手续。</w:t>
            </w:r>
          </w:p>
        </w:tc>
        <w:tc>
          <w:tcPr>
            <w:tcW w:w="520" w:type="pct"/>
            <w:noWrap w:val="0"/>
            <w:vAlign w:val="center"/>
          </w:tcPr>
          <w:p w14:paraId="06255D70">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0944D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20DD32AE">
            <w:pPr>
              <w:wordWrap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废石堆场及尾矿库选址应达到《一般工业固体废物贮存和填埋污染控制标准》（GB18599）要求，对不明确是否具有危险特性的尾矿砂，应当按照国家规定的危险废物鉴别标准和鉴别方法进行鉴别，经鉴别属于危险废物的按危险废物依法依规管理，其贮存设施应符合《危险废物贮存污染控制标准》（GB18597）。</w:t>
            </w:r>
          </w:p>
        </w:tc>
        <w:tc>
          <w:tcPr>
            <w:tcW w:w="2273" w:type="pct"/>
            <w:noWrap w:val="0"/>
            <w:vAlign w:val="center"/>
          </w:tcPr>
          <w:p w14:paraId="703C4379">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bCs/>
                <w:color w:val="auto"/>
                <w:sz w:val="21"/>
                <w:highlight w:val="none"/>
              </w:rPr>
              <w:t>经尾矿浸出毒性鉴别监测报告，本项目尾矿属于第Ⅱ类工业固体废物，</w:t>
            </w:r>
            <w:r>
              <w:rPr>
                <w:rFonts w:hint="default" w:ascii="Times New Roman" w:hAnsi="Times New Roman" w:cs="Times New Roman"/>
                <w:bCs/>
                <w:color w:val="auto"/>
                <w:sz w:val="21"/>
                <w:highlight w:val="none"/>
                <w:lang w:eastAsia="zh-CN"/>
              </w:rPr>
              <w:t>尾矿库全库采用</w:t>
            </w:r>
            <w:r>
              <w:rPr>
                <w:rFonts w:hint="default" w:ascii="Times New Roman" w:hAnsi="Times New Roman" w:cs="Times New Roman"/>
                <w:bCs/>
                <w:color w:val="auto"/>
                <w:sz w:val="21"/>
                <w:highlight w:val="none"/>
                <w:lang w:val="en-US" w:eastAsia="zh-CN"/>
              </w:rPr>
              <w:t>1.5mmHDPE复合土工膜的防渗措施</w:t>
            </w:r>
            <w:r>
              <w:rPr>
                <w:rFonts w:hint="default" w:ascii="Times New Roman" w:hAnsi="Times New Roman" w:cs="Times New Roman"/>
                <w:bCs/>
                <w:color w:val="auto"/>
                <w:sz w:val="21"/>
                <w:highlight w:val="none"/>
              </w:rPr>
              <w:t>，渗透系数达到</w:t>
            </w:r>
            <w:r>
              <w:rPr>
                <w:rFonts w:hint="default" w:ascii="Times New Roman" w:hAnsi="Times New Roman" w:cs="Times New Roman"/>
                <w:bCs/>
                <w:color w:val="auto"/>
                <w:sz w:val="21"/>
                <w:highlight w:val="none"/>
                <w:lang w:eastAsia="zh-CN"/>
              </w:rPr>
              <w:t>10</w:t>
            </w:r>
            <w:r>
              <w:rPr>
                <w:rFonts w:hint="default" w:ascii="Times New Roman" w:hAnsi="Times New Roman" w:cs="Times New Roman"/>
                <w:bCs/>
                <w:color w:val="auto"/>
                <w:sz w:val="21"/>
                <w:highlight w:val="none"/>
                <w:vertAlign w:val="superscript"/>
                <w:lang w:eastAsia="zh-CN"/>
              </w:rPr>
              <w:t>-7</w:t>
            </w:r>
            <w:r>
              <w:rPr>
                <w:rFonts w:hint="default" w:ascii="Times New Roman" w:hAnsi="Times New Roman" w:cs="Times New Roman"/>
                <w:bCs/>
                <w:color w:val="auto"/>
                <w:sz w:val="21"/>
                <w:highlight w:val="none"/>
              </w:rPr>
              <w:t>cm/s，满足《一般工业固体废物贮存和填埋污染控制标准》（GB18599-2020）要求。</w:t>
            </w:r>
            <w:r>
              <w:rPr>
                <w:rFonts w:hint="default" w:ascii="Times New Roman" w:hAnsi="Times New Roman" w:cs="Times New Roman"/>
                <w:bCs/>
                <w:color w:val="auto"/>
                <w:sz w:val="21"/>
                <w:highlight w:val="none"/>
                <w:lang w:val="en-US" w:eastAsia="zh-CN"/>
              </w:rPr>
              <w:t>本项目危险废物暂存于</w:t>
            </w:r>
            <w:r>
              <w:rPr>
                <w:rFonts w:hint="default" w:cs="Times New Roman"/>
                <w:bCs/>
                <w:color w:val="auto"/>
                <w:sz w:val="21"/>
                <w:highlight w:val="none"/>
                <w:lang w:val="en-US" w:eastAsia="zh-CN"/>
              </w:rPr>
              <w:t>危废贮存点</w:t>
            </w:r>
            <w:r>
              <w:rPr>
                <w:rFonts w:hint="default" w:ascii="Times New Roman" w:hAnsi="Times New Roman" w:cs="Times New Roman"/>
                <w:bCs/>
                <w:color w:val="auto"/>
                <w:sz w:val="21"/>
                <w:highlight w:val="none"/>
                <w:lang w:val="en-US" w:eastAsia="zh-CN"/>
              </w:rPr>
              <w:t>，定期交由有资质的单位进行处置，能够做到规范管理</w:t>
            </w:r>
            <w:r>
              <w:rPr>
                <w:rFonts w:hint="default" w:ascii="Times New Roman" w:hAnsi="Times New Roman" w:cs="Times New Roman"/>
                <w:color w:val="auto"/>
                <w:sz w:val="21"/>
                <w:highlight w:val="none"/>
              </w:rPr>
              <w:t>，贮存设施符合《危险废物贮存污染控制标准》（GB18597</w:t>
            </w:r>
            <w:r>
              <w:rPr>
                <w:rFonts w:hint="default" w:ascii="Times New Roman" w:hAnsi="Times New Roman" w:cs="Times New Roman"/>
                <w:color w:val="auto"/>
                <w:sz w:val="21"/>
                <w:highlight w:val="none"/>
                <w:lang w:val="en-US" w:eastAsia="zh-CN"/>
              </w:rPr>
              <w:t>-2023</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eastAsia="zh-CN"/>
              </w:rPr>
              <w:t>。</w:t>
            </w:r>
          </w:p>
        </w:tc>
        <w:tc>
          <w:tcPr>
            <w:tcW w:w="520" w:type="pct"/>
            <w:noWrap w:val="0"/>
            <w:vAlign w:val="center"/>
          </w:tcPr>
          <w:p w14:paraId="5F8A93AC">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A37B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74AB5A90">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铝矿采选执行《铝工业污染物排放标准》（GB25465），铅锌矿采选执行《铅、锌工业污染物排放标准》(GB25466)，铜镍矿采选执行《铜、镍、钴工业污染物排放标准》(GB25467)，稀土矿采选执行《稀土工业污染物排放标准》（GB26451），铁矿采选执行《铁矿采选工业污染物排放标准》（GB28661），钒矿采选执行《钒工业污染物排放标准》（GB26452），镁、钛矿采选执行《镁、钛工业污染物排放标准》（GB25468）。</w:t>
            </w:r>
          </w:p>
        </w:tc>
        <w:tc>
          <w:tcPr>
            <w:tcW w:w="2273" w:type="pct"/>
            <w:noWrap w:val="0"/>
            <w:vAlign w:val="center"/>
          </w:tcPr>
          <w:p w14:paraId="5CC3E17A">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本项目为金矿选矿及尾矿库建设项目，金矿采选执行《大气污染物综合排放标准》（GB16297-1996）中排放浓度限值要求。</w:t>
            </w:r>
          </w:p>
        </w:tc>
        <w:tc>
          <w:tcPr>
            <w:tcW w:w="520" w:type="pct"/>
            <w:noWrap w:val="0"/>
            <w:vAlign w:val="center"/>
          </w:tcPr>
          <w:p w14:paraId="53D6B5F7">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176B5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01B7853C">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矿井涌水、矿坑涌水、选矿废水应优先用于生产工艺、降尘、绿化等，废水综合利用率应达到相关综合利用标准要求。采选废水排放有行业标准的应达到行业标准要求，无行业标准的应达到《污水综合排放标准》（GB8978）要求。生活污水处理达标后尽量综合利用，边远矿区的生活污水排放和综合利用可参照《农村生活污水处理排放标准》（DB65/4275）要求管控。</w:t>
            </w:r>
          </w:p>
        </w:tc>
        <w:tc>
          <w:tcPr>
            <w:tcW w:w="2273" w:type="pct"/>
            <w:noWrap w:val="0"/>
            <w:vAlign w:val="center"/>
          </w:tcPr>
          <w:p w14:paraId="701B668A">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1、选矿废水经生产回水池处理后回用于选矿生产，不外排，综合利用率为100%，废水满足《污水综合排放标准》（GB8978-1996）表1第一类污染物最高允许排放浓度限值、《城市污水再生利用 城市杂用水水质》（GB/T18920-2020）中杂用水质标准；生活污水出水水质达到</w:t>
            </w:r>
            <w:r>
              <w:rPr>
                <w:rFonts w:hint="default" w:ascii="Times New Roman" w:hAnsi="Times New Roman" w:cs="Times New Roman"/>
                <w:color w:val="auto"/>
                <w:sz w:val="21"/>
                <w:highlight w:val="none"/>
              </w:rPr>
              <w:t>《农村生活污水处理排放标准》（DB65</w:t>
            </w:r>
            <w:r>
              <w:rPr>
                <w:rFonts w:hint="default" w:ascii="Times New Roman" w:hAnsi="Times New Roman" w:cs="Times New Roman"/>
                <w:color w:val="auto"/>
                <w:sz w:val="21"/>
                <w:highlight w:val="none"/>
                <w:lang w:val="en-US" w:eastAsia="zh-CN"/>
              </w:rPr>
              <w:t xml:space="preserve"> </w:t>
            </w:r>
            <w:r>
              <w:rPr>
                <w:rFonts w:hint="default" w:ascii="Times New Roman" w:hAnsi="Times New Roman" w:cs="Times New Roman"/>
                <w:color w:val="auto"/>
                <w:sz w:val="21"/>
                <w:highlight w:val="none"/>
              </w:rPr>
              <w:t>4275</w:t>
            </w:r>
            <w:r>
              <w:rPr>
                <w:rFonts w:hint="default" w:ascii="Times New Roman" w:hAnsi="Times New Roman" w:cs="Times New Roman"/>
                <w:color w:val="auto"/>
                <w:sz w:val="21"/>
                <w:highlight w:val="none"/>
                <w:lang w:val="en-US" w:eastAsia="zh-CN"/>
              </w:rPr>
              <w:t>-2019</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中A级标准回用，不外排。</w:t>
            </w:r>
          </w:p>
        </w:tc>
        <w:tc>
          <w:tcPr>
            <w:tcW w:w="520" w:type="pct"/>
            <w:noWrap w:val="0"/>
            <w:vAlign w:val="center"/>
          </w:tcPr>
          <w:p w14:paraId="657329E2">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59A6D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6382CC59">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选活动矿石转运、破碎、筛分等粉尘产生工序，应配备抑尘、除尘设备，除尘效率不低于99%，有效控制无组织粉尘排放。采选矿各环节废气排放有行业标准的应达到行业标准要求，无行业标准的应达到《大气污染物综合排放标准》（GB16297）要求。</w:t>
            </w:r>
          </w:p>
        </w:tc>
        <w:tc>
          <w:tcPr>
            <w:tcW w:w="2273" w:type="pct"/>
            <w:noWrap w:val="0"/>
            <w:vAlign w:val="center"/>
          </w:tcPr>
          <w:p w14:paraId="797EDCBC">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本项目碎磨系统设置除尘效率为99%的布袋除尘器，可以</w:t>
            </w:r>
            <w:r>
              <w:rPr>
                <w:rFonts w:hint="default" w:ascii="Times New Roman" w:hAnsi="Times New Roman" w:cs="Times New Roman"/>
                <w:color w:val="auto"/>
                <w:sz w:val="21"/>
                <w:highlight w:val="none"/>
              </w:rPr>
              <w:t>有效控制</w:t>
            </w:r>
            <w:r>
              <w:rPr>
                <w:rFonts w:hint="default" w:ascii="Times New Roman" w:hAnsi="Times New Roman" w:cs="Times New Roman"/>
                <w:color w:val="auto"/>
                <w:sz w:val="21"/>
                <w:highlight w:val="none"/>
                <w:lang w:val="en-US" w:eastAsia="zh-CN"/>
              </w:rPr>
              <w:t>污染物</w:t>
            </w:r>
            <w:r>
              <w:rPr>
                <w:rFonts w:hint="default" w:ascii="Times New Roman" w:hAnsi="Times New Roman" w:cs="Times New Roman"/>
                <w:color w:val="auto"/>
                <w:sz w:val="21"/>
                <w:highlight w:val="none"/>
              </w:rPr>
              <w:t>排放</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执行《大气污染物综合排放标准》（GB16297-1996）中排放浓度限值要求。</w:t>
            </w:r>
          </w:p>
        </w:tc>
        <w:tc>
          <w:tcPr>
            <w:tcW w:w="520" w:type="pct"/>
            <w:noWrap w:val="0"/>
            <w:vAlign w:val="center"/>
          </w:tcPr>
          <w:p w14:paraId="061721E2">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38B37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7DA1BFD7">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噪声排放执行《工业企业厂界环境噪声排放标准》（GB12348）。</w:t>
            </w:r>
          </w:p>
        </w:tc>
        <w:tc>
          <w:tcPr>
            <w:tcW w:w="2273" w:type="pct"/>
            <w:noWrap w:val="0"/>
            <w:vAlign w:val="center"/>
          </w:tcPr>
          <w:p w14:paraId="75815184">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本项目厂界噪声预测值可满足《工业企业厂界环境噪声排放标准》（GB12348-2008）中2类区排放限值要求。</w:t>
            </w:r>
          </w:p>
        </w:tc>
        <w:tc>
          <w:tcPr>
            <w:tcW w:w="520" w:type="pct"/>
            <w:noWrap w:val="0"/>
            <w:vAlign w:val="center"/>
          </w:tcPr>
          <w:p w14:paraId="7DFECC56">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4F6EC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531FE97B">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鼓励对废石、尾矿砂进行多途径综合利用，因地制宜选择合理的综合利用方式，提高综合利用率，其处置与综合利用应符合国家及行业相关标准规范要求。废石和尾矿砂应根据《一般工业固体废物贮存和填埋污染控制标准》（GB18599）进行管理，属危险废物的按危险废物相关要求依法依规进行管理，其贮存设施应符合《危险废物贮存污染控制标准》（GB18597）。生活垃圾实现100%无害化处置。</w:t>
            </w:r>
          </w:p>
        </w:tc>
        <w:tc>
          <w:tcPr>
            <w:tcW w:w="2273" w:type="pct"/>
            <w:noWrap w:val="0"/>
            <w:vAlign w:val="center"/>
          </w:tcPr>
          <w:p w14:paraId="5FFF55D4">
            <w:pPr>
              <w:widowControl/>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1、本项目尾矿部分用于回填采坑，剩余堆存于尾矿库，符合</w:t>
            </w:r>
            <w:r>
              <w:rPr>
                <w:rFonts w:hint="default" w:ascii="Times New Roman" w:hAnsi="Times New Roman" w:cs="Times New Roman"/>
                <w:color w:val="auto"/>
                <w:sz w:val="21"/>
                <w:highlight w:val="none"/>
              </w:rPr>
              <w:t>《一般工业固体废物贮存和填埋污染控制标准》（GB18599</w:t>
            </w:r>
            <w:r>
              <w:rPr>
                <w:rFonts w:hint="default" w:ascii="Times New Roman" w:hAnsi="Times New Roman" w:cs="Times New Roman"/>
                <w:color w:val="auto"/>
                <w:sz w:val="21"/>
                <w:highlight w:val="none"/>
                <w:lang w:val="en-US" w:eastAsia="zh-CN"/>
              </w:rPr>
              <w:t>-2020</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w:t>
            </w:r>
            <w:r>
              <w:rPr>
                <w:rFonts w:hint="default" w:ascii="Times New Roman" w:hAnsi="Times New Roman" w:eastAsia="宋体" w:cs="Times New Roman"/>
                <w:color w:val="auto"/>
                <w:sz w:val="21"/>
                <w:szCs w:val="21"/>
                <w:highlight w:val="none"/>
                <w:lang w:val="en-US" w:eastAsia="zh-CN"/>
              </w:rPr>
              <w:t>垃圾</w:t>
            </w:r>
            <w:r>
              <w:rPr>
                <w:rFonts w:hint="default" w:ascii="Times New Roman" w:hAnsi="Times New Roman" w:eastAsia="宋体" w:cs="Times New Roman"/>
                <w:bCs/>
                <w:color w:val="auto"/>
                <w:sz w:val="21"/>
                <w:szCs w:val="21"/>
                <w:highlight w:val="none"/>
              </w:rPr>
              <w:t>定期拉运至</w:t>
            </w:r>
            <w:r>
              <w:rPr>
                <w:rFonts w:hint="default" w:ascii="Times New Roman" w:hAnsi="Times New Roman" w:cs="Times New Roman"/>
                <w:bCs/>
                <w:color w:val="auto"/>
                <w:sz w:val="21"/>
                <w:szCs w:val="21"/>
                <w:highlight w:val="none"/>
                <w:lang w:val="en-US" w:eastAsia="zh-CN"/>
              </w:rPr>
              <w:t>喀拉通克镇填埋处置，可实现100%无害化处置；</w:t>
            </w:r>
            <w:r>
              <w:rPr>
                <w:rFonts w:hint="default" w:ascii="Times New Roman" w:hAnsi="Times New Roman" w:eastAsia="宋体"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Hans"/>
              </w:rPr>
              <w:t>危险废物</w:t>
            </w:r>
            <w:r>
              <w:rPr>
                <w:rFonts w:hint="default" w:ascii="Times New Roman" w:hAnsi="Times New Roman" w:eastAsia="宋体" w:cs="Times New Roman"/>
                <w:color w:val="auto"/>
                <w:sz w:val="21"/>
                <w:szCs w:val="21"/>
                <w:highlight w:val="none"/>
              </w:rPr>
              <w:t>暂存至</w:t>
            </w:r>
            <w:r>
              <w:rPr>
                <w:rFonts w:hint="default" w:cs="Times New Roman"/>
                <w:color w:val="auto"/>
                <w:sz w:val="21"/>
                <w:szCs w:val="21"/>
                <w:highlight w:val="none"/>
                <w:lang w:eastAsia="zh-CN"/>
              </w:rPr>
              <w:t>危废贮存点</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Hans"/>
              </w:rPr>
              <w:t>定期</w:t>
            </w:r>
            <w:r>
              <w:rPr>
                <w:rFonts w:hint="default" w:ascii="Times New Roman" w:hAnsi="Times New Roman" w:eastAsia="宋体" w:cs="Times New Roman"/>
                <w:color w:val="auto"/>
                <w:sz w:val="21"/>
                <w:szCs w:val="21"/>
                <w:highlight w:val="none"/>
              </w:rPr>
              <w:t>交由有危险废物处理资质单位处置</w:t>
            </w:r>
            <w:r>
              <w:rPr>
                <w:rFonts w:hint="default" w:ascii="Times New Roman" w:hAnsi="Times New Roman" w:cs="Times New Roman"/>
                <w:color w:val="auto"/>
                <w:sz w:val="21"/>
                <w:szCs w:val="21"/>
                <w:highlight w:val="none"/>
                <w:lang w:eastAsia="zh-CN"/>
              </w:rPr>
              <w:t>，符合《危险废物贮存污染控制标准》（GB18597</w:t>
            </w:r>
            <w:r>
              <w:rPr>
                <w:rFonts w:hint="default" w:ascii="Times New Roman" w:hAnsi="Times New Roman" w:cs="Times New Roman"/>
                <w:color w:val="auto"/>
                <w:sz w:val="21"/>
                <w:szCs w:val="21"/>
                <w:highlight w:val="none"/>
                <w:lang w:val="en-US" w:eastAsia="zh-CN"/>
              </w:rPr>
              <w:t>-2023</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tc>
        <w:tc>
          <w:tcPr>
            <w:tcW w:w="520" w:type="pct"/>
            <w:noWrap w:val="0"/>
            <w:vAlign w:val="center"/>
          </w:tcPr>
          <w:p w14:paraId="4E99DEB7">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001EF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06" w:type="pct"/>
            <w:noWrap w:val="0"/>
            <w:vAlign w:val="center"/>
          </w:tcPr>
          <w:p w14:paraId="467632B0">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矿山生态环境保护和恢复以及土地复垦应达到《矿山生态环境保护与恢复治理技术规范（试行）》（HJ651）及其他有关生态环境保护法律法规的相关要求。</w:t>
            </w:r>
          </w:p>
        </w:tc>
        <w:tc>
          <w:tcPr>
            <w:tcW w:w="2273" w:type="pct"/>
            <w:noWrap w:val="0"/>
            <w:vAlign w:val="center"/>
          </w:tcPr>
          <w:p w14:paraId="28DF01AA">
            <w:pPr>
              <w:wordWrap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本环评要求</w:t>
            </w:r>
            <w:r>
              <w:rPr>
                <w:rFonts w:hint="default" w:ascii="Times New Roman" w:hAnsi="Times New Roman" w:cs="Times New Roman"/>
                <w:color w:val="auto"/>
                <w:sz w:val="21"/>
                <w:szCs w:val="21"/>
                <w:highlight w:val="none"/>
                <w:lang w:val="en-US" w:eastAsia="zh-CN"/>
              </w:rPr>
              <w:t>选矿厂、尾矿库</w:t>
            </w:r>
            <w:r>
              <w:rPr>
                <w:rFonts w:hint="default" w:ascii="Times New Roman" w:hAnsi="Times New Roman" w:eastAsia="宋体" w:cs="Times New Roman"/>
                <w:color w:val="auto"/>
                <w:sz w:val="21"/>
                <w:szCs w:val="21"/>
                <w:highlight w:val="none"/>
                <w:lang w:eastAsia="zh-CN"/>
              </w:rPr>
              <w:t>生态环境保护和恢复以及土地复垦应达到《矿山生态环境保护与恢复治理技术规范（试行）》（HJ651）及其他有关生态环境保护法律法规的相关要求</w:t>
            </w:r>
            <w:r>
              <w:rPr>
                <w:rFonts w:hint="default" w:ascii="Times New Roman" w:hAnsi="Times New Roman" w:eastAsia="宋体" w:cs="Times New Roman"/>
                <w:color w:val="auto"/>
                <w:sz w:val="21"/>
                <w:szCs w:val="21"/>
                <w:highlight w:val="none"/>
              </w:rPr>
              <w:t>。</w:t>
            </w:r>
          </w:p>
        </w:tc>
        <w:tc>
          <w:tcPr>
            <w:tcW w:w="520" w:type="pct"/>
            <w:noWrap w:val="0"/>
            <w:vAlign w:val="center"/>
          </w:tcPr>
          <w:p w14:paraId="7A353CD0">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bl>
    <w:p w14:paraId="4172879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根据《新疆维吾尔自治区重点行业生态环境准入条件（</w:t>
      </w:r>
      <w:r>
        <w:rPr>
          <w:rFonts w:hint="default" w:ascii="Times New Roman" w:hAnsi="Times New Roman" w:eastAsia="宋体" w:cs="Times New Roman"/>
          <w:color w:val="auto"/>
          <w:kern w:val="0"/>
          <w:sz w:val="24"/>
          <w:szCs w:val="20"/>
          <w:highlight w:val="none"/>
          <w:lang w:val="en-US" w:eastAsia="zh-CN" w:bidi="ar-SA"/>
        </w:rPr>
        <w:t>2024年</w:t>
      </w:r>
      <w:r>
        <w:rPr>
          <w:rFonts w:hint="default" w:ascii="Times New Roman" w:hAnsi="Times New Roman" w:cs="Times New Roman"/>
          <w:color w:val="auto"/>
          <w:highlight w:val="none"/>
          <w:lang w:val="en-US" w:eastAsia="zh-CN"/>
        </w:rPr>
        <w:t>）》中关于金属矿采选行业技术要求，本项目选址与空间布局符合国家、自治区主体功能区规划、国家和自治区矿产资源勘探开发规划、城乡总体规划和土地利用规划等相关规划要求，项目选址不属于禁止开发区、限制开发区内。本项目</w:t>
      </w:r>
      <w:r>
        <w:rPr>
          <w:rFonts w:hint="default" w:ascii="Times New Roman" w:hAnsi="Times New Roman" w:cs="Times New Roman"/>
          <w:color w:val="auto"/>
          <w:highlight w:val="none"/>
          <w:lang w:val="zh-CN" w:eastAsia="zh-CN"/>
        </w:rPr>
        <w:t>生产</w:t>
      </w:r>
      <w:r>
        <w:rPr>
          <w:rFonts w:hint="default" w:ascii="Times New Roman" w:hAnsi="Times New Roman" w:cs="Times New Roman"/>
          <w:color w:val="auto"/>
          <w:highlight w:val="none"/>
          <w:lang w:val="en-US" w:eastAsia="zh-CN"/>
        </w:rPr>
        <w:t>废水均回用不外排</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en-US" w:eastAsia="zh-CN"/>
        </w:rPr>
        <w:t>本项目各项指标符合《新疆维吾尔自治区重点行业生态环境准入条件（</w:t>
      </w:r>
      <w:r>
        <w:rPr>
          <w:rFonts w:hint="default" w:ascii="Times New Roman" w:hAnsi="Times New Roman" w:eastAsia="宋体" w:cs="Times New Roman"/>
          <w:color w:val="auto"/>
          <w:kern w:val="0"/>
          <w:sz w:val="24"/>
          <w:szCs w:val="20"/>
          <w:highlight w:val="none"/>
          <w:lang w:val="en-US" w:eastAsia="zh-CN" w:bidi="ar-SA"/>
        </w:rPr>
        <w:t>2024年</w:t>
      </w:r>
      <w:r>
        <w:rPr>
          <w:rFonts w:hint="default" w:ascii="Times New Roman" w:hAnsi="Times New Roman" w:cs="Times New Roman"/>
          <w:color w:val="auto"/>
          <w:highlight w:val="none"/>
          <w:lang w:val="en-US" w:eastAsia="zh-CN"/>
        </w:rPr>
        <w:t>）》中的相关要求。</w:t>
      </w:r>
      <w:bookmarkEnd w:id="547"/>
    </w:p>
    <w:p w14:paraId="04EF7B12">
      <w:pPr>
        <w:pStyle w:val="5"/>
        <w:numPr>
          <w:ilvl w:val="2"/>
          <w:numId w:val="0"/>
        </w:numPr>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与《关于印发防范化解尾矿库安全风险工作方案的通知》符合性分析</w:t>
      </w:r>
    </w:p>
    <w:p w14:paraId="0B7410D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《关于印发自治区防范化解尾矿库安全风险工作实施方案的通知》</w:t>
      </w:r>
      <w:r>
        <w:rPr>
          <w:rFonts w:hint="default" w:ascii="Times New Roman" w:hAnsi="Times New Roman" w:eastAsia="宋体" w:cs="Times New Roman"/>
          <w:color w:val="auto"/>
          <w:kern w:val="0"/>
          <w:sz w:val="24"/>
          <w:szCs w:val="20"/>
          <w:highlight w:val="none"/>
          <w:lang w:val="en-US" w:eastAsia="zh-CN" w:bidi="ar-SA"/>
        </w:rPr>
        <w:t>对尾矿库的选址及污染防治进行了要求，本项目与实施方案的符合性分析见表3.</w:t>
      </w:r>
      <w:r>
        <w:rPr>
          <w:rFonts w:hint="default" w:ascii="Times New Roman" w:hAnsi="Times New Roman" w:cs="Times New Roman"/>
          <w:color w:val="auto"/>
          <w:kern w:val="0"/>
          <w:sz w:val="24"/>
          <w:szCs w:val="20"/>
          <w:highlight w:val="none"/>
          <w:lang w:val="en-US" w:eastAsia="zh-CN" w:bidi="ar-SA"/>
        </w:rPr>
        <w:t>6</w:t>
      </w:r>
      <w:r>
        <w:rPr>
          <w:rFonts w:hint="default" w:ascii="Times New Roman" w:hAnsi="Times New Roman" w:eastAsia="宋体" w:cs="Times New Roman"/>
          <w:color w:val="auto"/>
          <w:kern w:val="0"/>
          <w:sz w:val="24"/>
          <w:szCs w:val="20"/>
          <w:highlight w:val="none"/>
          <w:lang w:val="en-US" w:eastAsia="zh-CN" w:bidi="ar-SA"/>
        </w:rPr>
        <w:t>-5。</w:t>
      </w:r>
    </w:p>
    <w:p w14:paraId="6BCBD7D8">
      <w:pPr>
        <w:ind w:firstLine="0" w:firstLineChars="0"/>
        <w:jc w:val="center"/>
        <w:rPr>
          <w:rFonts w:hint="default" w:ascii="Times New Roman" w:hAnsi="Times New Roman" w:cs="Times New Roman"/>
          <w:b/>
          <w:color w:val="auto"/>
          <w:szCs w:val="24"/>
          <w:highlight w:val="none"/>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 xml:space="preserve">   与《关于印发防范化解尾矿库安全风险工作方案的通知》符合性分析</w:t>
      </w:r>
    </w:p>
    <w:tbl>
      <w:tblPr>
        <w:tblStyle w:val="3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99"/>
        <w:gridCol w:w="3509"/>
        <w:gridCol w:w="959"/>
      </w:tblGrid>
      <w:tr w14:paraId="3419C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62" w:type="pct"/>
            <w:noWrap w:val="0"/>
            <w:vAlign w:val="center"/>
          </w:tcPr>
          <w:p w14:paraId="37875F04">
            <w:pPr>
              <w:wordWrap w:val="0"/>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有关规定</w:t>
            </w:r>
          </w:p>
        </w:tc>
        <w:tc>
          <w:tcPr>
            <w:tcW w:w="1913" w:type="pct"/>
            <w:noWrap w:val="0"/>
            <w:vAlign w:val="center"/>
          </w:tcPr>
          <w:p w14:paraId="296A4F15">
            <w:pPr>
              <w:wordWrap w:val="0"/>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项目情况</w:t>
            </w:r>
          </w:p>
        </w:tc>
        <w:tc>
          <w:tcPr>
            <w:tcW w:w="523" w:type="pct"/>
            <w:noWrap w:val="0"/>
            <w:vAlign w:val="center"/>
          </w:tcPr>
          <w:p w14:paraId="1621CD00">
            <w:pPr>
              <w:wordWrap w:val="0"/>
              <w:spacing w:line="360" w:lineRule="exact"/>
              <w:ind w:firstLine="0" w:firstLineChars="0"/>
              <w:jc w:val="center"/>
              <w:rPr>
                <w:rFonts w:hint="default" w:ascii="Times New Roman" w:hAnsi="Times New Roman"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相符性</w:t>
            </w:r>
          </w:p>
        </w:tc>
      </w:tr>
      <w:tr w14:paraId="0BC16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noWrap w:val="0"/>
            <w:vAlign w:val="center"/>
          </w:tcPr>
          <w:p w14:paraId="09F6BB26">
            <w:pPr>
              <w:wordWrap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尾矿库企业法定代表人和实际控制人同为本企业防范化解安全风险第一责任人，对防范化解安全风险工作全面负责。要建立相应的安全生产管理机构，配备足够的专职安全生产管理人员和专业技术人员，建立健全安全生产规章制度和安全技术操作规程，实行全员安全生产责任制度，强化各职能部门安全生产职责，落实一岗双责，按职责分工对防范化解安全风险工作承担相应责任。要加强尾矿库企业安全培训教育，充分利用安全生产网络平台，强化复工复产及汛前事故警示教育，有效提高企业全员防范安全风险意识和能力</w:t>
            </w:r>
            <w:r>
              <w:rPr>
                <w:rFonts w:hint="default" w:ascii="Times New Roman" w:hAnsi="Times New Roman" w:cs="Times New Roman"/>
                <w:color w:val="auto"/>
                <w:sz w:val="21"/>
                <w:highlight w:val="none"/>
                <w:lang w:eastAsia="zh-CN"/>
              </w:rPr>
              <w:t>。</w:t>
            </w:r>
          </w:p>
        </w:tc>
        <w:tc>
          <w:tcPr>
            <w:tcW w:w="1913" w:type="pct"/>
            <w:noWrap w:val="0"/>
            <w:vAlign w:val="center"/>
          </w:tcPr>
          <w:p w14:paraId="17691372">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本项目尾矿库</w:t>
            </w:r>
            <w:r>
              <w:rPr>
                <w:rFonts w:hint="default" w:ascii="Times New Roman" w:hAnsi="Times New Roman" w:cs="Times New Roman"/>
                <w:color w:val="auto"/>
                <w:sz w:val="21"/>
                <w:highlight w:val="none"/>
                <w:lang w:val="en-US" w:eastAsia="zh-CN"/>
              </w:rPr>
              <w:t>建设满足</w:t>
            </w:r>
            <w:r>
              <w:rPr>
                <w:rFonts w:hint="default" w:ascii="Times New Roman" w:hAnsi="Times New Roman" w:eastAsia="宋体" w:cs="Times New Roman"/>
                <w:color w:val="auto"/>
                <w:sz w:val="21"/>
                <w:highlight w:val="none"/>
                <w:lang w:val="en-US" w:eastAsia="zh-CN"/>
              </w:rPr>
              <w:t>新建尾矿库条件，</w:t>
            </w:r>
            <w:r>
              <w:rPr>
                <w:rFonts w:hint="default" w:ascii="Times New Roman" w:hAnsi="Times New Roman" w:cs="Times New Roman"/>
                <w:color w:val="auto"/>
                <w:sz w:val="21"/>
                <w:highlight w:val="none"/>
                <w:lang w:val="en-US" w:eastAsia="zh-CN"/>
              </w:rPr>
              <w:t>运营时</w:t>
            </w:r>
            <w:r>
              <w:rPr>
                <w:rFonts w:hint="default" w:ascii="Times New Roman" w:hAnsi="Times New Roman" w:cs="Times New Roman"/>
                <w:color w:val="auto"/>
                <w:sz w:val="21"/>
                <w:highlight w:val="none"/>
              </w:rPr>
              <w:t>建立安全生产管理机构，配备专职安全生产管理人员和专业技术人员，建立健全安全生产规章制度和安全技术操作规程，实行全员安全生产责任制度，强化各职能部门安全生产职责，落实一岗双责，按职责分工对防范化解安全风险工作承担相应责任。要加强尾矿库企业安全培训教育，充分利用安全生产网络平台，强化复工复产及汛前事故警示教育，有效</w:t>
            </w:r>
            <w:r>
              <w:rPr>
                <w:rFonts w:hint="default" w:ascii="Times New Roman" w:hAnsi="Times New Roman" w:cs="Times New Roman"/>
                <w:color w:val="auto"/>
                <w:sz w:val="21"/>
                <w:highlight w:val="none"/>
                <w:lang w:eastAsia="zh-CN"/>
              </w:rPr>
              <w:t>增强</w:t>
            </w:r>
            <w:r>
              <w:rPr>
                <w:rFonts w:hint="default" w:ascii="Times New Roman" w:hAnsi="Times New Roman" w:cs="Times New Roman"/>
                <w:color w:val="auto"/>
                <w:sz w:val="21"/>
                <w:highlight w:val="none"/>
              </w:rPr>
              <w:t>企业全员防范安全风险意识和能力</w:t>
            </w:r>
            <w:r>
              <w:rPr>
                <w:rFonts w:hint="default" w:ascii="Times New Roman" w:hAnsi="Times New Roman" w:cs="Times New Roman"/>
                <w:color w:val="auto"/>
                <w:sz w:val="21"/>
                <w:highlight w:val="none"/>
                <w:lang w:eastAsia="zh-CN"/>
              </w:rPr>
              <w:t>。</w:t>
            </w:r>
          </w:p>
        </w:tc>
        <w:tc>
          <w:tcPr>
            <w:tcW w:w="523" w:type="pct"/>
            <w:noWrap w:val="0"/>
            <w:vAlign w:val="center"/>
          </w:tcPr>
          <w:p w14:paraId="44156DD7">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329F0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noWrap w:val="0"/>
            <w:vAlign w:val="center"/>
          </w:tcPr>
          <w:p w14:paraId="05BBF2D3">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严格新建尾矿库项目立项、项目选址、环境影响评价、河道保护、安全生产等方面的审查。对于不符合产业总体布局、国土空间规划、河道保护、安全生产、水土保持、生态环境保护等国家有关法律法规、标准和政策要求的，均一律不予批准。严格控制新建独立选矿厂尾矿库，严禁新建“头顶库”、总坝高超过200米的尾矿库，新建四等、五等尾矿库必须采用一次性筑坝方式。</w:t>
            </w:r>
          </w:p>
        </w:tc>
        <w:tc>
          <w:tcPr>
            <w:tcW w:w="1913" w:type="pct"/>
            <w:noWrap w:val="0"/>
            <w:vAlign w:val="center"/>
          </w:tcPr>
          <w:p w14:paraId="5A172AEF">
            <w:pPr>
              <w:numPr>
                <w:ilvl w:val="0"/>
                <w:numId w:val="0"/>
              </w:numPr>
              <w:wordWrap w:val="0"/>
              <w:spacing w:line="360" w:lineRule="exact"/>
              <w:ind w:leftChars="0"/>
              <w:jc w:val="both"/>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w:t>
            </w:r>
            <w:r>
              <w:rPr>
                <w:rFonts w:hint="default" w:ascii="Times New Roman" w:hAnsi="Times New Roman" w:cs="Times New Roman"/>
                <w:color w:val="auto"/>
                <w:sz w:val="21"/>
                <w:highlight w:val="none"/>
                <w:lang w:val="en-US" w:eastAsia="zh-CN"/>
              </w:rPr>
              <w:t>已完成</w:t>
            </w:r>
            <w:r>
              <w:rPr>
                <w:rFonts w:hint="default" w:ascii="Times New Roman" w:hAnsi="Times New Roman" w:cs="Times New Roman"/>
                <w:color w:val="auto"/>
                <w:sz w:val="21"/>
                <w:highlight w:val="none"/>
              </w:rPr>
              <w:t>尾矿库项目立项</w:t>
            </w:r>
            <w:r>
              <w:rPr>
                <w:rFonts w:hint="default" w:ascii="Times New Roman" w:hAnsi="Times New Roman" w:cs="Times New Roman"/>
                <w:color w:val="auto"/>
                <w:sz w:val="21"/>
                <w:highlight w:val="none"/>
                <w:lang w:val="en-US" w:eastAsia="zh-CN"/>
              </w:rPr>
              <w:t>工作，</w:t>
            </w:r>
            <w:r>
              <w:rPr>
                <w:rFonts w:hint="default" w:ascii="Times New Roman" w:hAnsi="Times New Roman" w:cs="Times New Roman"/>
                <w:color w:val="auto"/>
                <w:sz w:val="21"/>
                <w:highlight w:val="none"/>
              </w:rPr>
              <w:t>项目选址、环境影响评价</w:t>
            </w:r>
            <w:r>
              <w:rPr>
                <w:rFonts w:hint="default" w:cs="Times New Roman"/>
                <w:color w:val="auto"/>
                <w:sz w:val="21"/>
                <w:highlight w:val="none"/>
                <w:lang w:eastAsia="zh-CN"/>
              </w:rPr>
              <w:t>、</w:t>
            </w:r>
            <w:r>
              <w:rPr>
                <w:rFonts w:hint="default" w:ascii="Times New Roman" w:hAnsi="Times New Roman" w:cs="Times New Roman"/>
                <w:color w:val="auto"/>
                <w:sz w:val="21"/>
                <w:highlight w:val="none"/>
              </w:rPr>
              <w:t>安全生产等方面的审查</w:t>
            </w:r>
            <w:r>
              <w:rPr>
                <w:rFonts w:hint="default" w:ascii="Times New Roman" w:hAnsi="Times New Roman" w:cs="Times New Roman"/>
                <w:color w:val="auto"/>
                <w:sz w:val="21"/>
                <w:highlight w:val="none"/>
                <w:lang w:val="en-US" w:eastAsia="zh-CN"/>
              </w:rPr>
              <w:t>工作正在同步开展中</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本项目尾矿库建设符合</w:t>
            </w:r>
            <w:r>
              <w:rPr>
                <w:rFonts w:hint="default" w:ascii="Times New Roman" w:hAnsi="Times New Roman" w:cs="Times New Roman"/>
                <w:color w:val="auto"/>
                <w:sz w:val="21"/>
                <w:highlight w:val="none"/>
              </w:rPr>
              <w:t>产业总体布局、国土空间规划、河道保护、安全生产、水土保持、生态环境保护等国家有关法律法规、标准和政策要求</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选矿厂、尾矿库与配套采场同期建设同期使用</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本项目尾矿库为四等库，不属于</w:t>
            </w:r>
            <w:r>
              <w:rPr>
                <w:rFonts w:hint="default" w:ascii="Times New Roman" w:hAnsi="Times New Roman" w:cs="Times New Roman"/>
                <w:color w:val="auto"/>
                <w:sz w:val="21"/>
                <w:highlight w:val="none"/>
              </w:rPr>
              <w:t>“头顶库”</w:t>
            </w:r>
            <w:r>
              <w:rPr>
                <w:rFonts w:hint="default" w:ascii="Times New Roman" w:hAnsi="Times New Roman" w:cs="Times New Roman"/>
                <w:color w:val="auto"/>
                <w:sz w:val="21"/>
                <w:highlight w:val="none"/>
                <w:lang w:eastAsia="zh-CN"/>
              </w:rPr>
              <w:t>，</w:t>
            </w:r>
            <w:r>
              <w:rPr>
                <w:rFonts w:hint="default" w:ascii="Times New Roman" w:hAnsi="Times New Roman" w:eastAsia="宋体" w:cs="Times New Roman"/>
                <w:color w:val="auto"/>
                <w:sz w:val="21"/>
                <w:highlight w:val="none"/>
                <w:lang w:val="en-US" w:eastAsia="zh-CN"/>
              </w:rPr>
              <w:t>采取一次</w:t>
            </w:r>
            <w:r>
              <w:rPr>
                <w:rFonts w:hint="default" w:ascii="Times New Roman" w:hAnsi="Times New Roman" w:cs="Times New Roman"/>
                <w:color w:val="auto"/>
                <w:sz w:val="21"/>
                <w:highlight w:val="none"/>
                <w:lang w:val="en-US" w:eastAsia="zh-CN"/>
              </w:rPr>
              <w:t>性筑坝的方式进行建设</w:t>
            </w:r>
            <w:r>
              <w:rPr>
                <w:rFonts w:hint="default" w:ascii="Times New Roman" w:hAnsi="Times New Roman" w:eastAsia="宋体" w:cs="Times New Roman"/>
                <w:color w:val="auto"/>
                <w:sz w:val="21"/>
                <w:highlight w:val="none"/>
                <w:lang w:val="en-US" w:eastAsia="zh-CN"/>
              </w:rPr>
              <w:t>。</w:t>
            </w:r>
          </w:p>
        </w:tc>
        <w:tc>
          <w:tcPr>
            <w:tcW w:w="523" w:type="pct"/>
            <w:noWrap w:val="0"/>
            <w:vAlign w:val="center"/>
          </w:tcPr>
          <w:p w14:paraId="3ABD6A1F">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14E5C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noWrap w:val="0"/>
            <w:vAlign w:val="center"/>
          </w:tcPr>
          <w:p w14:paraId="770CF466">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各有关部门要严格尾矿库加高扩容工程项目行政审批，进一步细化审查、审批流程，凡是尾矿库加高扩容审批事项，必须经自治区相关部门审查同意。要强化尾矿库加高扩容项目工程勘察、安全评价、水土保持、环境影响评价、工程设计、施工监理等工作，凡不满足国家有关法律法规、标准和政策要求的，均一律不予批准。严禁审批“头顶库”、运行状况与设计不符的尾矿库加高扩容项目。</w:t>
            </w:r>
          </w:p>
        </w:tc>
        <w:tc>
          <w:tcPr>
            <w:tcW w:w="1913" w:type="pct"/>
            <w:noWrap w:val="0"/>
            <w:vAlign w:val="center"/>
          </w:tcPr>
          <w:p w14:paraId="6DC19A05">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本项目不涉及尾矿库加高扩容的建设</w:t>
            </w:r>
            <w:r>
              <w:rPr>
                <w:rFonts w:hint="default" w:ascii="Times New Roman" w:hAnsi="Times New Roman" w:cs="Times New Roman"/>
                <w:color w:val="auto"/>
                <w:sz w:val="21"/>
                <w:highlight w:val="none"/>
                <w:lang w:val="en-US" w:eastAsia="zh-CN"/>
              </w:rPr>
              <w:t>。尾矿库建设前期将完成</w:t>
            </w:r>
            <w:r>
              <w:rPr>
                <w:rFonts w:hint="default" w:ascii="Times New Roman" w:hAnsi="Times New Roman" w:cs="Times New Roman"/>
                <w:color w:val="auto"/>
                <w:sz w:val="21"/>
                <w:highlight w:val="none"/>
              </w:rPr>
              <w:t>工程勘察、安全评价、水土保持、环境影响评价、工程设计、施工监理等工作</w:t>
            </w:r>
            <w:r>
              <w:rPr>
                <w:rFonts w:hint="default" w:ascii="Times New Roman" w:hAnsi="Times New Roman" w:eastAsia="宋体" w:cs="Times New Roman"/>
                <w:color w:val="auto"/>
                <w:sz w:val="21"/>
                <w:highlight w:val="none"/>
                <w:lang w:val="en-US" w:eastAsia="zh-CN"/>
              </w:rPr>
              <w:t>，</w:t>
            </w:r>
            <w:r>
              <w:rPr>
                <w:rFonts w:hint="default" w:ascii="Times New Roman" w:hAnsi="Times New Roman" w:cs="Times New Roman"/>
                <w:color w:val="auto"/>
                <w:sz w:val="21"/>
                <w:highlight w:val="none"/>
                <w:lang w:val="en-US" w:eastAsia="zh-CN"/>
              </w:rPr>
              <w:t>本项目尾矿库</w:t>
            </w:r>
            <w:r>
              <w:rPr>
                <w:rFonts w:hint="default" w:ascii="Times New Roman" w:hAnsi="Times New Roman" w:eastAsia="宋体" w:cs="Times New Roman"/>
                <w:color w:val="auto"/>
                <w:sz w:val="21"/>
                <w:highlight w:val="none"/>
                <w:lang w:val="en-US" w:eastAsia="zh-CN"/>
              </w:rPr>
              <w:t>不属于“头顶库”。</w:t>
            </w:r>
          </w:p>
        </w:tc>
        <w:tc>
          <w:tcPr>
            <w:tcW w:w="523" w:type="pct"/>
            <w:noWrap w:val="0"/>
            <w:vAlign w:val="center"/>
          </w:tcPr>
          <w:p w14:paraId="76327CF8">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1A569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noWrap w:val="0"/>
            <w:vAlign w:val="center"/>
          </w:tcPr>
          <w:p w14:paraId="3EEDE144">
            <w:pPr>
              <w:wordWrap w:val="0"/>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各级人民政府要按照分级监管的原则，研究制定有针对性的安全风险管控措施，明确落实各项管控措施的责任部门和责任人，督促尾矿库企业全面开展安全风险评估工作；要科学评定尾矿库安全风险等级，实施分类指导，实行动态和差异化监管。县级人民政府负责对无生产经营主体的尾矿库每年进行一次安全风险评估，并将评估结果向社会公告。尾矿库企业要构建源头辨识、过程控制、持续改进、全员参与的安全风险管控体系。强化尾矿库安全风险动态评估，制定有针对性的安全风险管控措施，编制安全风险管控方案，明确落实各项管控措施的责任部门和责任人，确保安全风险管控措施有效实施，确保尾矿库安全风险始终处于受控状态。尽量降低库内水位，确保尾矿库干滩长度、安全超高、调洪库容、浸润线埋深等主要运行参数及排洪系统始终满足设计要求。</w:t>
            </w:r>
          </w:p>
        </w:tc>
        <w:tc>
          <w:tcPr>
            <w:tcW w:w="1913" w:type="pct"/>
            <w:noWrap w:val="0"/>
            <w:vAlign w:val="center"/>
          </w:tcPr>
          <w:p w14:paraId="6FC31EF1">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本项目尾矿库</w:t>
            </w:r>
            <w:r>
              <w:rPr>
                <w:rFonts w:hint="default" w:cs="Times New Roman"/>
                <w:color w:val="auto"/>
                <w:sz w:val="21"/>
                <w:highlight w:val="none"/>
                <w:lang w:val="en-US" w:eastAsia="zh-CN"/>
              </w:rPr>
              <w:t>运营期需</w:t>
            </w:r>
            <w:r>
              <w:rPr>
                <w:rFonts w:hint="default" w:ascii="Times New Roman" w:hAnsi="Times New Roman" w:cs="Times New Roman"/>
                <w:color w:val="auto"/>
                <w:sz w:val="21"/>
                <w:highlight w:val="none"/>
                <w:lang w:val="en-US" w:eastAsia="zh-CN"/>
              </w:rPr>
              <w:t>明确</w:t>
            </w:r>
            <w:r>
              <w:rPr>
                <w:rFonts w:hint="default" w:ascii="Times New Roman" w:hAnsi="Times New Roman" w:eastAsia="宋体" w:cs="Times New Roman"/>
                <w:color w:val="auto"/>
                <w:sz w:val="21"/>
                <w:highlight w:val="none"/>
                <w:lang w:eastAsia="zh-CN"/>
              </w:rPr>
              <w:t>落实各项管控措施的责任部门和责任人，</w:t>
            </w:r>
            <w:r>
              <w:rPr>
                <w:rFonts w:hint="default" w:cs="Times New Roman"/>
                <w:color w:val="auto"/>
                <w:sz w:val="21"/>
                <w:highlight w:val="none"/>
                <w:lang w:val="en-US" w:eastAsia="zh-CN"/>
              </w:rPr>
              <w:t>需</w:t>
            </w:r>
            <w:r>
              <w:rPr>
                <w:rFonts w:hint="default" w:ascii="Times New Roman" w:hAnsi="Times New Roman" w:eastAsia="宋体" w:cs="Times New Roman"/>
                <w:color w:val="auto"/>
                <w:sz w:val="21"/>
                <w:highlight w:val="none"/>
                <w:lang w:eastAsia="zh-CN"/>
              </w:rPr>
              <w:t>开展安全风险评估工作；</w:t>
            </w:r>
            <w:r>
              <w:rPr>
                <w:rFonts w:hint="default" w:cs="Times New Roman"/>
                <w:color w:val="auto"/>
                <w:sz w:val="21"/>
                <w:highlight w:val="none"/>
                <w:lang w:val="en-US" w:eastAsia="zh-CN"/>
              </w:rPr>
              <w:t>需</w:t>
            </w:r>
            <w:r>
              <w:rPr>
                <w:rFonts w:hint="default" w:ascii="Times New Roman" w:hAnsi="Times New Roman" w:eastAsia="宋体" w:cs="Times New Roman"/>
                <w:color w:val="auto"/>
                <w:sz w:val="21"/>
                <w:highlight w:val="none"/>
                <w:lang w:eastAsia="zh-CN"/>
              </w:rPr>
              <w:t>评定尾矿库安全风险等级；</w:t>
            </w:r>
            <w:r>
              <w:rPr>
                <w:rFonts w:hint="default" w:cs="Times New Roman"/>
                <w:color w:val="auto"/>
                <w:sz w:val="21"/>
                <w:highlight w:val="none"/>
                <w:lang w:val="en-US" w:eastAsia="zh-CN"/>
              </w:rPr>
              <w:t>需</w:t>
            </w:r>
            <w:r>
              <w:rPr>
                <w:rFonts w:hint="default" w:ascii="Times New Roman" w:hAnsi="Times New Roman" w:eastAsia="宋体" w:cs="Times New Roman"/>
                <w:color w:val="auto"/>
                <w:sz w:val="21"/>
                <w:highlight w:val="none"/>
                <w:lang w:eastAsia="zh-CN"/>
              </w:rPr>
              <w:t>构建安全风险管控体系，</w:t>
            </w:r>
            <w:r>
              <w:rPr>
                <w:rFonts w:hint="default" w:cs="Times New Roman"/>
                <w:color w:val="auto"/>
                <w:sz w:val="21"/>
                <w:highlight w:val="none"/>
                <w:lang w:val="en-US" w:eastAsia="zh-CN"/>
              </w:rPr>
              <w:t>在设计中</w:t>
            </w:r>
            <w:r>
              <w:rPr>
                <w:rFonts w:hint="default" w:ascii="Times New Roman" w:hAnsi="Times New Roman" w:cs="Times New Roman"/>
                <w:color w:val="auto"/>
                <w:sz w:val="21"/>
                <w:highlight w:val="none"/>
                <w:lang w:val="en-US" w:eastAsia="zh-CN"/>
              </w:rPr>
              <w:t>设置</w:t>
            </w:r>
            <w:r>
              <w:rPr>
                <w:rFonts w:hint="default" w:cs="Times New Roman"/>
                <w:color w:val="auto"/>
                <w:sz w:val="21"/>
                <w:highlight w:val="none"/>
                <w:lang w:val="en-US" w:eastAsia="zh-CN"/>
              </w:rPr>
              <w:t>了</w:t>
            </w:r>
            <w:r>
              <w:rPr>
                <w:rFonts w:hint="default" w:ascii="Times New Roman" w:hAnsi="Times New Roman" w:cs="Times New Roman"/>
                <w:color w:val="auto"/>
                <w:sz w:val="21"/>
                <w:highlight w:val="none"/>
                <w:lang w:val="en-US" w:eastAsia="zh-CN"/>
              </w:rPr>
              <w:t>排洪系统、尾矿输送系统、尾矿回水系统、防渗系统、监控系统等</w:t>
            </w:r>
            <w:r>
              <w:rPr>
                <w:rFonts w:hint="default" w:ascii="Times New Roman" w:hAnsi="Times New Roman" w:eastAsia="宋体" w:cs="Times New Roman"/>
                <w:color w:val="auto"/>
                <w:sz w:val="21"/>
                <w:highlight w:val="none"/>
                <w:lang w:eastAsia="zh-CN"/>
              </w:rPr>
              <w:t>安全风险管控措施，</w:t>
            </w:r>
            <w:r>
              <w:rPr>
                <w:rFonts w:hint="default" w:cs="Times New Roman"/>
                <w:color w:val="auto"/>
                <w:sz w:val="21"/>
                <w:highlight w:val="none"/>
                <w:lang w:val="en-US" w:eastAsia="zh-CN"/>
              </w:rPr>
              <w:t>需</w:t>
            </w:r>
            <w:r>
              <w:rPr>
                <w:rFonts w:hint="default" w:ascii="Times New Roman" w:hAnsi="Times New Roman" w:eastAsia="宋体" w:cs="Times New Roman"/>
                <w:color w:val="auto"/>
                <w:sz w:val="21"/>
                <w:highlight w:val="none"/>
                <w:lang w:eastAsia="zh-CN"/>
              </w:rPr>
              <w:t>编制安全风险管控方案，责任</w:t>
            </w:r>
            <w:r>
              <w:rPr>
                <w:rFonts w:hint="default" w:ascii="Times New Roman" w:hAnsi="Times New Roman" w:eastAsia="宋体" w:cs="Times New Roman"/>
                <w:color w:val="auto"/>
                <w:sz w:val="21"/>
                <w:highlight w:val="none"/>
                <w:lang w:val="en-US" w:eastAsia="zh-CN"/>
              </w:rPr>
              <w:t>到</w:t>
            </w:r>
            <w:r>
              <w:rPr>
                <w:rFonts w:hint="default" w:ascii="Times New Roman" w:hAnsi="Times New Roman" w:eastAsia="宋体" w:cs="Times New Roman"/>
                <w:color w:val="auto"/>
                <w:sz w:val="21"/>
                <w:highlight w:val="none"/>
                <w:lang w:eastAsia="zh-CN"/>
              </w:rPr>
              <w:t>人，确保安全风险管控措施有效实施，确保尾矿库安全风险始终处于受控状态。尽量降低库内水位，确保尾矿库干滩长度、安全超高、调洪库容、浸润线埋深等主要运行参数及排洪系统始终满足设计要求。</w:t>
            </w:r>
          </w:p>
        </w:tc>
        <w:tc>
          <w:tcPr>
            <w:tcW w:w="523" w:type="pct"/>
            <w:noWrap w:val="0"/>
            <w:vAlign w:val="center"/>
          </w:tcPr>
          <w:p w14:paraId="313BCAD6">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35000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noWrap w:val="0"/>
            <w:vAlign w:val="center"/>
          </w:tcPr>
          <w:p w14:paraId="7167D338">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各级人民政府要将“头顶库”作为防范化解重大风险的重点对象，对“头顶库”治理工作进行再梳理，在巩固2016年至2019年我区“头顶库”综合治理工作的基础上，继续深入对前期综合治理效果进行评估，深化巩固、确保安全。对于前期已采用隐患治理方式进行治理但本质安全水平没有提高或者安全管理水平滑坡的“头顶库”，要督促企业进一步完善治理方案，采用闭库销号或升级改造、尾矿综合利用等方式进行治理，原则上2021年年底前完成治理任务。尾矿库企业每年要对“头顶库”进行一次安全风险评估。尾矿库下游1公里范围内不得新设置居民区、人员密集场所或重要设施。严禁已搬迁居民再次返回“头顶库”下游原居住地。因公路、铁路以及其他项目建设导致尾矿库成为“头顶库”的，由项目建设单位出资对尾矿库进行治理。</w:t>
            </w:r>
          </w:p>
        </w:tc>
        <w:tc>
          <w:tcPr>
            <w:tcW w:w="1913" w:type="pct"/>
            <w:noWrap w:val="0"/>
            <w:vAlign w:val="center"/>
          </w:tcPr>
          <w:p w14:paraId="72071D62">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本项目尾矿库不属于“头顶库”</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尾矿库下游1公里范围内</w:t>
            </w:r>
            <w:r>
              <w:rPr>
                <w:rFonts w:hint="default" w:ascii="Times New Roman" w:hAnsi="Times New Roman" w:cs="Times New Roman"/>
                <w:color w:val="auto"/>
                <w:sz w:val="21"/>
                <w:highlight w:val="none"/>
                <w:lang w:val="en-US" w:eastAsia="zh-CN"/>
              </w:rPr>
              <w:t>未</w:t>
            </w:r>
            <w:r>
              <w:rPr>
                <w:rFonts w:hint="default" w:ascii="Times New Roman" w:hAnsi="Times New Roman" w:cs="Times New Roman"/>
                <w:color w:val="auto"/>
                <w:sz w:val="21"/>
                <w:highlight w:val="none"/>
              </w:rPr>
              <w:t>新设置居民区、人员密集场所或重要设施</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尾矿库下游1公里范围内</w:t>
            </w:r>
            <w:r>
              <w:rPr>
                <w:rFonts w:hint="default" w:ascii="Times New Roman" w:hAnsi="Times New Roman" w:cs="Times New Roman"/>
                <w:color w:val="auto"/>
                <w:sz w:val="21"/>
                <w:highlight w:val="none"/>
                <w:lang w:val="en-US" w:eastAsia="zh-CN"/>
              </w:rPr>
              <w:t>不涉及</w:t>
            </w:r>
            <w:r>
              <w:rPr>
                <w:rFonts w:hint="default" w:ascii="Times New Roman" w:hAnsi="Times New Roman" w:cs="Times New Roman"/>
                <w:color w:val="auto"/>
                <w:sz w:val="21"/>
                <w:highlight w:val="none"/>
              </w:rPr>
              <w:t>居民区、人员密集场所或重要设施。</w:t>
            </w:r>
            <w:r>
              <w:rPr>
                <w:rFonts w:hint="default" w:ascii="Times New Roman" w:hAnsi="Times New Roman" w:cs="Times New Roman"/>
                <w:color w:val="auto"/>
                <w:sz w:val="21"/>
                <w:highlight w:val="none"/>
                <w:lang w:val="en-US" w:eastAsia="zh-CN"/>
              </w:rPr>
              <w:t>未有</w:t>
            </w:r>
            <w:r>
              <w:rPr>
                <w:rFonts w:hint="default" w:ascii="Times New Roman" w:hAnsi="Times New Roman" w:cs="Times New Roman"/>
                <w:color w:val="auto"/>
                <w:sz w:val="21"/>
                <w:highlight w:val="none"/>
              </w:rPr>
              <w:t>居民</w:t>
            </w:r>
            <w:r>
              <w:rPr>
                <w:rFonts w:hint="default" w:ascii="Times New Roman" w:hAnsi="Times New Roman" w:cs="Times New Roman"/>
                <w:color w:val="auto"/>
                <w:sz w:val="21"/>
                <w:highlight w:val="none"/>
                <w:lang w:val="en-US" w:eastAsia="zh-CN"/>
              </w:rPr>
              <w:t>居住在尾矿库</w:t>
            </w:r>
            <w:r>
              <w:rPr>
                <w:rFonts w:hint="default" w:ascii="Times New Roman" w:hAnsi="Times New Roman" w:cs="Times New Roman"/>
                <w:color w:val="auto"/>
                <w:sz w:val="21"/>
                <w:highlight w:val="none"/>
              </w:rPr>
              <w:t>下游</w:t>
            </w:r>
            <w:r>
              <w:rPr>
                <w:rFonts w:hint="default" w:ascii="Times New Roman" w:hAnsi="Times New Roman" w:cs="Times New Roman"/>
                <w:color w:val="auto"/>
                <w:sz w:val="21"/>
                <w:highlight w:val="none"/>
                <w:lang w:val="en-US" w:eastAsia="zh-CN"/>
              </w:rPr>
              <w:t>的情形</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项目周边暂未涉及</w:t>
            </w:r>
            <w:r>
              <w:rPr>
                <w:rFonts w:hint="default" w:ascii="Times New Roman" w:hAnsi="Times New Roman" w:cs="Times New Roman"/>
                <w:color w:val="auto"/>
                <w:sz w:val="21"/>
                <w:highlight w:val="none"/>
              </w:rPr>
              <w:t>因公路、铁路以及其他项目建设导致尾矿库成为“头顶库”</w:t>
            </w:r>
            <w:r>
              <w:rPr>
                <w:rFonts w:hint="default" w:ascii="Times New Roman" w:hAnsi="Times New Roman" w:cs="Times New Roman"/>
                <w:color w:val="auto"/>
                <w:sz w:val="21"/>
                <w:highlight w:val="none"/>
                <w:lang w:eastAsia="zh-CN"/>
              </w:rPr>
              <w:t>的情况</w:t>
            </w: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后期运营过程中若出现此情形，</w:t>
            </w:r>
            <w:r>
              <w:rPr>
                <w:rFonts w:hint="default" w:ascii="Times New Roman" w:hAnsi="Times New Roman" w:cs="Times New Roman"/>
                <w:color w:val="auto"/>
                <w:sz w:val="21"/>
                <w:highlight w:val="none"/>
              </w:rPr>
              <w:t>由建设单位出资对尾矿库进行治理。</w:t>
            </w:r>
          </w:p>
        </w:tc>
        <w:tc>
          <w:tcPr>
            <w:tcW w:w="523" w:type="pct"/>
            <w:noWrap w:val="0"/>
            <w:vAlign w:val="center"/>
          </w:tcPr>
          <w:p w14:paraId="505A5894">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437AA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noWrap w:val="0"/>
            <w:vAlign w:val="center"/>
          </w:tcPr>
          <w:p w14:paraId="4F3733DA">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全区四等、五等尾矿库企业要加快建立在线监测监控系统，并确保有效运行。2022年6月底前，湿排尾矿库要实现对坝体位移、浸润线、库水位等的在线监测和重要部位的视频监控，干式堆存尾矿库要实现对坝体表面位移的在线监测。自治区应急管理厅建立全区统一的尾矿库安全风险监测预警信息平台，2020年年底前实现与三</w:t>
            </w:r>
            <w:r>
              <w:rPr>
                <w:rFonts w:hint="default" w:ascii="Times New Roman" w:hAnsi="Times New Roman" w:cs="Times New Roman"/>
                <w:color w:val="auto"/>
                <w:sz w:val="21"/>
                <w:highlight w:val="none"/>
                <w:lang w:eastAsia="zh-CN"/>
              </w:rPr>
              <w:t>等级</w:t>
            </w:r>
            <w:r>
              <w:rPr>
                <w:rFonts w:hint="default" w:ascii="Times New Roman" w:hAnsi="Times New Roman" w:cs="Times New Roman"/>
                <w:color w:val="auto"/>
                <w:sz w:val="21"/>
                <w:highlight w:val="none"/>
              </w:rPr>
              <w:t>以上尾矿库和“头顶库”企业在线监测监控系统的互联互通，2022年年底前全面实现与所有尾矿库企业在线监测监控系统的互联互通，并接入国家灾害风险综合监测预警信息平台。应急管理部门牵头会同有关部门建立重大安全风险会商研判机制，针对地震、暴雨、连续降雨等极端天气，建立健全预警信息发布制度，及时向企业发出预警信息，并督促做好应急准备。</w:t>
            </w:r>
          </w:p>
        </w:tc>
        <w:tc>
          <w:tcPr>
            <w:tcW w:w="1913" w:type="pct"/>
            <w:noWrap w:val="0"/>
            <w:vAlign w:val="center"/>
          </w:tcPr>
          <w:p w14:paraId="06FC521B">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w:t>
            </w:r>
            <w:r>
              <w:rPr>
                <w:rFonts w:hint="default" w:ascii="Times New Roman" w:hAnsi="Times New Roman" w:cs="Times New Roman"/>
                <w:color w:val="auto"/>
                <w:sz w:val="21"/>
                <w:highlight w:val="none"/>
                <w:lang w:val="en-US" w:eastAsia="zh-CN"/>
              </w:rPr>
              <w:t>为四等</w:t>
            </w:r>
            <w:r>
              <w:rPr>
                <w:rFonts w:hint="default" w:ascii="Times New Roman" w:hAnsi="Times New Roman" w:eastAsia="宋体" w:cs="Times New Roman"/>
                <w:color w:val="auto"/>
                <w:sz w:val="21"/>
                <w:highlight w:val="none"/>
                <w:lang w:val="en-US" w:eastAsia="zh-CN"/>
              </w:rPr>
              <w:t>尾矿库</w:t>
            </w:r>
            <w:r>
              <w:rPr>
                <w:rFonts w:hint="default" w:ascii="Times New Roman" w:hAnsi="Times New Roman" w:cs="Times New Roman"/>
                <w:color w:val="auto"/>
                <w:sz w:val="21"/>
                <w:highlight w:val="none"/>
                <w:lang w:val="en-US" w:eastAsia="zh-CN"/>
              </w:rPr>
              <w:t>，采取湿排尾矿方式，并设置排洪系统、尾矿输送系统、尾矿回水系统、防渗系统、监控系统等在线监测系统，</w:t>
            </w:r>
            <w:r>
              <w:rPr>
                <w:rFonts w:hint="default" w:ascii="Times New Roman" w:hAnsi="Times New Roman" w:eastAsia="宋体" w:cs="Times New Roman"/>
                <w:color w:val="auto"/>
                <w:sz w:val="21"/>
                <w:highlight w:val="none"/>
                <w:lang w:val="en-US" w:eastAsia="zh-CN"/>
              </w:rPr>
              <w:t>对</w:t>
            </w:r>
            <w:r>
              <w:rPr>
                <w:rFonts w:hint="default" w:ascii="Times New Roman" w:hAnsi="Times New Roman" w:cs="Times New Roman"/>
                <w:color w:val="auto"/>
                <w:sz w:val="21"/>
                <w:highlight w:val="none"/>
              </w:rPr>
              <w:t>坝体位移、浸润线、库水位等</w:t>
            </w:r>
            <w:r>
              <w:rPr>
                <w:rFonts w:hint="default" w:ascii="Times New Roman" w:hAnsi="Times New Roman" w:cs="Times New Roman"/>
                <w:color w:val="auto"/>
                <w:sz w:val="21"/>
                <w:highlight w:val="none"/>
                <w:lang w:val="en-US" w:eastAsia="zh-CN"/>
              </w:rPr>
              <w:t>进行</w:t>
            </w:r>
            <w:r>
              <w:rPr>
                <w:rFonts w:hint="default" w:ascii="Times New Roman" w:hAnsi="Times New Roman" w:cs="Times New Roman"/>
                <w:color w:val="auto"/>
                <w:sz w:val="21"/>
                <w:highlight w:val="none"/>
              </w:rPr>
              <w:t>在线监测</w:t>
            </w:r>
            <w:r>
              <w:rPr>
                <w:rFonts w:hint="default" w:ascii="Times New Roman" w:hAnsi="Times New Roman" w:cs="Times New Roman"/>
                <w:color w:val="auto"/>
                <w:sz w:val="21"/>
                <w:highlight w:val="none"/>
                <w:lang w:val="en-US" w:eastAsia="zh-CN"/>
              </w:rPr>
              <w:t>及</w:t>
            </w:r>
            <w:r>
              <w:rPr>
                <w:rFonts w:hint="default" w:ascii="Times New Roman" w:hAnsi="Times New Roman" w:cs="Times New Roman"/>
                <w:color w:val="auto"/>
                <w:sz w:val="21"/>
                <w:highlight w:val="none"/>
              </w:rPr>
              <w:t>监控，</w:t>
            </w:r>
            <w:r>
              <w:rPr>
                <w:rFonts w:hint="default" w:ascii="Times New Roman" w:hAnsi="Times New Roman" w:cs="Times New Roman"/>
                <w:color w:val="auto"/>
                <w:sz w:val="21"/>
                <w:highlight w:val="none"/>
                <w:lang w:val="en-US" w:eastAsia="zh-CN"/>
              </w:rPr>
              <w:t>确保尾矿库有效运行。</w:t>
            </w:r>
            <w:r>
              <w:rPr>
                <w:rFonts w:hint="default" w:ascii="Times New Roman" w:hAnsi="Times New Roman" w:cs="Times New Roman"/>
                <w:color w:val="auto"/>
                <w:sz w:val="21"/>
                <w:highlight w:val="none"/>
              </w:rPr>
              <w:t>建立</w:t>
            </w:r>
            <w:r>
              <w:rPr>
                <w:rFonts w:hint="default" w:ascii="Times New Roman" w:hAnsi="Times New Roman" w:cs="Times New Roman"/>
                <w:color w:val="auto"/>
                <w:sz w:val="21"/>
                <w:highlight w:val="none"/>
                <w:lang w:val="en-US" w:eastAsia="zh-CN"/>
              </w:rPr>
              <w:t>了</w:t>
            </w:r>
            <w:r>
              <w:rPr>
                <w:rFonts w:hint="default" w:ascii="Times New Roman" w:hAnsi="Times New Roman" w:cs="Times New Roman"/>
                <w:color w:val="auto"/>
                <w:sz w:val="21"/>
                <w:highlight w:val="none"/>
              </w:rPr>
              <w:t>尾矿库安全风险监测预警信息</w:t>
            </w:r>
            <w:r>
              <w:rPr>
                <w:rFonts w:hint="default" w:ascii="Times New Roman" w:hAnsi="Times New Roman" w:cs="Times New Roman"/>
                <w:color w:val="auto"/>
                <w:sz w:val="21"/>
                <w:highlight w:val="none"/>
                <w:lang w:val="en-US" w:eastAsia="zh-CN"/>
              </w:rPr>
              <w:t>系统便于后期运营管理</w:t>
            </w:r>
            <w:r>
              <w:rPr>
                <w:rFonts w:hint="default" w:ascii="Times New Roman" w:hAnsi="Times New Roman" w:cs="Times New Roman"/>
                <w:color w:val="auto"/>
                <w:sz w:val="21"/>
                <w:highlight w:val="none"/>
              </w:rPr>
              <w:t>，尾矿库企业在线监测监控系统接入国家灾害风险综合监测预警信息平台。</w:t>
            </w:r>
            <w:r>
              <w:rPr>
                <w:rFonts w:hint="default" w:ascii="Times New Roman" w:hAnsi="Times New Roman" w:cs="Times New Roman"/>
                <w:color w:val="auto"/>
                <w:sz w:val="21"/>
                <w:highlight w:val="none"/>
                <w:lang w:val="en-US" w:eastAsia="zh-CN"/>
              </w:rPr>
              <w:t>后期运营将</w:t>
            </w:r>
            <w:r>
              <w:rPr>
                <w:rFonts w:hint="default" w:ascii="Times New Roman" w:hAnsi="Times New Roman" w:cs="Times New Roman"/>
                <w:color w:val="auto"/>
                <w:sz w:val="21"/>
                <w:highlight w:val="none"/>
              </w:rPr>
              <w:t>针对地震、暴雨、连续降雨等极端天气，建立健全预警信息发布制度，及时向企业发出预警信息，并督促做好应急准备。</w:t>
            </w:r>
          </w:p>
        </w:tc>
        <w:tc>
          <w:tcPr>
            <w:tcW w:w="523" w:type="pct"/>
            <w:noWrap w:val="0"/>
            <w:vAlign w:val="center"/>
          </w:tcPr>
          <w:p w14:paraId="76F32BAA">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38703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62" w:type="pct"/>
            <w:noWrap w:val="0"/>
            <w:vAlign w:val="center"/>
          </w:tcPr>
          <w:p w14:paraId="18C5CC83">
            <w:pPr>
              <w:wordWrap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企业要切实完善溃坝、漫顶、排洪设施损毁等事故专项应急预案、环境应急预案和现场处置方案，储备必要的应急救援器材、设备和物资，确保上坝道路、通信、供电及照明线路可靠和畅通。严格执行应急值班、专人巡查和事故信息报告制度，确保一旦发生险情，立即启动应急预案并迅速报告。各级人民政府要进一步完善应急预案，强化与企业应急预案的合理衔接；尾矿库企业与政府有关部门、乡（镇）政府每年至少联合开展一次应急演练，切实增强应急联动响应能力。自治区综合性消防救援队伍和安全生产应急救援队伍要将尾矿库事故救援纳入重点设防范围，加强针对性训练和装备配备，提高专业救援能力。发生溃坝、漫顶等尾矿库生产安全事故，应急管理部门应及时向有关部门通报事故信息，参与事故抢救的部门和单位应当服从统一指挥，加强协同联动，采取有效的应急救援措施，防止事故扩大和次生灾害的发生，减少人员伤亡和财产损失。事故抢救过程中应当采取必要措施，避免或者减少对环境造成的危害。</w:t>
            </w:r>
          </w:p>
        </w:tc>
        <w:tc>
          <w:tcPr>
            <w:tcW w:w="1913" w:type="pct"/>
            <w:noWrap w:val="0"/>
            <w:vAlign w:val="center"/>
          </w:tcPr>
          <w:p w14:paraId="4AC208A5">
            <w:pPr>
              <w:wordWrap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本项目尾矿库需严格开展尾矿库</w:t>
            </w:r>
            <w:r>
              <w:rPr>
                <w:rFonts w:hint="default" w:ascii="Times New Roman" w:hAnsi="Times New Roman" w:cs="Times New Roman"/>
                <w:color w:val="auto"/>
                <w:sz w:val="21"/>
                <w:highlight w:val="none"/>
              </w:rPr>
              <w:t>溃坝、漫顶、排洪设施损毁等</w:t>
            </w:r>
            <w:r>
              <w:rPr>
                <w:rFonts w:hint="default" w:ascii="Times New Roman" w:hAnsi="Times New Roman" w:cs="Times New Roman"/>
                <w:color w:val="auto"/>
                <w:sz w:val="21"/>
                <w:highlight w:val="none"/>
                <w:lang w:val="en-US" w:eastAsia="zh-CN"/>
              </w:rPr>
              <w:t>安全应急预案备案工作，后期</w:t>
            </w:r>
            <w:r>
              <w:rPr>
                <w:rFonts w:hint="default" w:ascii="Times New Roman" w:hAnsi="Times New Roman" w:cs="Times New Roman"/>
                <w:color w:val="auto"/>
                <w:sz w:val="21"/>
                <w:highlight w:val="none"/>
              </w:rPr>
              <w:t>完善事故专项应急预案和现场处置方案，</w:t>
            </w:r>
            <w:r>
              <w:rPr>
                <w:rFonts w:hint="default" w:ascii="Times New Roman" w:hAnsi="Times New Roman" w:cs="Times New Roman"/>
                <w:color w:val="auto"/>
                <w:sz w:val="21"/>
                <w:highlight w:val="none"/>
                <w:lang w:val="en-US" w:eastAsia="zh-CN"/>
              </w:rPr>
              <w:t>尾矿库已</w:t>
            </w:r>
            <w:r>
              <w:rPr>
                <w:rFonts w:hint="default" w:ascii="Times New Roman" w:hAnsi="Times New Roman" w:cs="Times New Roman"/>
                <w:color w:val="auto"/>
                <w:sz w:val="21"/>
                <w:highlight w:val="none"/>
              </w:rPr>
              <w:t>储备必要的应急救援器材、设备和物资</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目前</w:t>
            </w:r>
            <w:r>
              <w:rPr>
                <w:rFonts w:hint="default" w:ascii="Times New Roman" w:hAnsi="Times New Roman" w:cs="Times New Roman"/>
                <w:color w:val="auto"/>
                <w:sz w:val="21"/>
                <w:highlight w:val="none"/>
              </w:rPr>
              <w:t>上坝道路、通信、供电及照明线路可靠和畅通。</w:t>
            </w:r>
            <w:r>
              <w:rPr>
                <w:rFonts w:hint="default" w:ascii="Times New Roman" w:hAnsi="Times New Roman" w:cs="Times New Roman"/>
                <w:color w:val="auto"/>
                <w:sz w:val="21"/>
                <w:highlight w:val="none"/>
                <w:lang w:val="en-US" w:eastAsia="zh-CN"/>
              </w:rPr>
              <w:t>尾矿库需严格执行</w:t>
            </w:r>
            <w:r>
              <w:rPr>
                <w:rFonts w:hint="default" w:ascii="Times New Roman" w:hAnsi="Times New Roman" w:cs="Times New Roman"/>
                <w:color w:val="auto"/>
                <w:sz w:val="21"/>
                <w:highlight w:val="none"/>
              </w:rPr>
              <w:t>应急值班、专人巡查和事故信息报告制度，一旦发生险情，</w:t>
            </w:r>
            <w:r>
              <w:rPr>
                <w:rFonts w:hint="default" w:ascii="Times New Roman" w:hAnsi="Times New Roman" w:cs="Times New Roman"/>
                <w:color w:val="auto"/>
                <w:sz w:val="21"/>
                <w:highlight w:val="none"/>
                <w:lang w:val="en-US" w:eastAsia="zh-CN"/>
              </w:rPr>
              <w:t>值班人员可</w:t>
            </w:r>
            <w:r>
              <w:rPr>
                <w:rFonts w:hint="default" w:ascii="Times New Roman" w:hAnsi="Times New Roman" w:cs="Times New Roman"/>
                <w:color w:val="auto"/>
                <w:sz w:val="21"/>
                <w:highlight w:val="none"/>
              </w:rPr>
              <w:t>立即启动应急预案并迅速报告。</w:t>
            </w:r>
            <w:r>
              <w:rPr>
                <w:rFonts w:hint="default" w:ascii="Times New Roman" w:hAnsi="Times New Roman" w:cs="Times New Roman"/>
                <w:color w:val="auto"/>
                <w:sz w:val="21"/>
                <w:highlight w:val="none"/>
                <w:lang w:val="en-US" w:eastAsia="zh-CN"/>
              </w:rPr>
              <w:t>同时做好</w:t>
            </w:r>
            <w:r>
              <w:rPr>
                <w:rFonts w:hint="default" w:ascii="Times New Roman" w:hAnsi="Times New Roman" w:cs="Times New Roman"/>
                <w:color w:val="auto"/>
                <w:sz w:val="21"/>
                <w:highlight w:val="none"/>
              </w:rPr>
              <w:t>与各级人民政府应急预案合理衔接；</w:t>
            </w:r>
            <w:r>
              <w:rPr>
                <w:rFonts w:hint="default" w:ascii="Times New Roman" w:hAnsi="Times New Roman" w:cs="Times New Roman"/>
                <w:color w:val="auto"/>
                <w:sz w:val="21"/>
                <w:highlight w:val="none"/>
                <w:lang w:val="en-US" w:eastAsia="zh-CN"/>
              </w:rPr>
              <w:t>后期运营应</w:t>
            </w:r>
            <w:r>
              <w:rPr>
                <w:rFonts w:hint="default" w:ascii="Times New Roman" w:hAnsi="Times New Roman" w:cs="Times New Roman"/>
                <w:color w:val="auto"/>
                <w:sz w:val="21"/>
                <w:highlight w:val="none"/>
              </w:rPr>
              <w:t>与政府有关部门每年至少联合开展一次应急演练。</w:t>
            </w:r>
            <w:r>
              <w:rPr>
                <w:rFonts w:hint="default" w:ascii="Times New Roman" w:hAnsi="Times New Roman" w:cs="Times New Roman"/>
                <w:color w:val="auto"/>
                <w:sz w:val="21"/>
                <w:highlight w:val="none"/>
                <w:lang w:val="en-US" w:eastAsia="zh-CN"/>
              </w:rPr>
              <w:t>当</w:t>
            </w:r>
            <w:r>
              <w:rPr>
                <w:rFonts w:hint="default" w:ascii="Times New Roman" w:hAnsi="Times New Roman" w:cs="Times New Roman"/>
                <w:color w:val="auto"/>
                <w:sz w:val="21"/>
                <w:highlight w:val="none"/>
              </w:rPr>
              <w:t>发生溃坝、漫顶等尾矿库生产安全事故，应及时向有关部门通报事故信息，参与事故抢救的部门和单位应服从统一指挥，加强协同联动，采取有效的应急救援措施，防止事故扩大和次生灾害的发生，减少人员伤亡和财产损失。事故抢救过程中应当采取必要措施，避免或者减少对环境造成的危害。</w:t>
            </w:r>
          </w:p>
        </w:tc>
        <w:tc>
          <w:tcPr>
            <w:tcW w:w="523" w:type="pct"/>
            <w:noWrap w:val="0"/>
            <w:vAlign w:val="center"/>
          </w:tcPr>
          <w:p w14:paraId="260CC3B4">
            <w:pPr>
              <w:wordWrap w:val="0"/>
              <w:spacing w:line="360" w:lineRule="exact"/>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bl>
    <w:p w14:paraId="3A5E67C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.3.3与《国家安全监管总局等七部门关于印发深入开展尾矿库综合治理行动方案的通知》符合性分析</w:t>
      </w:r>
    </w:p>
    <w:p w14:paraId="09B70260">
      <w:pPr>
        <w:widowControl/>
        <w:ind w:firstLine="480"/>
        <w:rPr>
          <w:rFonts w:hint="default" w:ascii="Times New Roman" w:hAnsi="Times New Roman" w:eastAsia="宋体" w:cs="Times New Roman"/>
          <w:color w:val="auto"/>
          <w:kern w:val="0"/>
          <w:szCs w:val="24"/>
          <w:highlight w:val="none"/>
          <w:lang w:eastAsia="zh-CN" w:bidi="ar"/>
        </w:rPr>
      </w:pPr>
      <w:r>
        <w:rPr>
          <w:rFonts w:hint="default" w:ascii="Times New Roman" w:hAnsi="Times New Roman" w:cs="Times New Roman"/>
          <w:color w:val="auto"/>
          <w:kern w:val="0"/>
          <w:szCs w:val="24"/>
          <w:highlight w:val="none"/>
          <w:lang w:bidi="ar"/>
        </w:rPr>
        <w:t>根据《国家安全监管总局等七部门关于印发深入开展尾矿库综合治理行动方案的通知》（安监总管〔2013〕58号）：</w:t>
      </w:r>
      <w:r>
        <w:rPr>
          <w:rFonts w:hint="default" w:ascii="Times New Roman" w:hAnsi="Times New Roman" w:cs="Times New Roman"/>
          <w:color w:val="auto"/>
          <w:kern w:val="0"/>
          <w:szCs w:val="24"/>
          <w:highlight w:val="none"/>
          <w:lang w:eastAsia="zh-CN" w:bidi="ar"/>
        </w:rPr>
        <w:t>“</w:t>
      </w:r>
      <w:r>
        <w:rPr>
          <w:rFonts w:hint="default" w:ascii="Times New Roman" w:hAnsi="Times New Roman" w:cs="Times New Roman"/>
          <w:color w:val="auto"/>
          <w:kern w:val="0"/>
          <w:szCs w:val="24"/>
          <w:highlight w:val="none"/>
          <w:lang w:bidi="ar"/>
        </w:rPr>
        <w:t>要严格控制新建尾矿库、独立选矿厂建设项目，尤其是库容小于100万立方米、服务年限少于5年的尾矿库建设项目。新建尾矿库必须严格履行建设项目安全设施</w:t>
      </w:r>
      <w:r>
        <w:rPr>
          <w:rFonts w:hint="default" w:ascii="Times New Roman" w:hAnsi="Times New Roman" w:cs="Times New Roman"/>
          <w:color w:val="auto"/>
          <w:kern w:val="0"/>
          <w:szCs w:val="24"/>
          <w:highlight w:val="none"/>
          <w:lang w:eastAsia="zh-CN" w:bidi="ar"/>
        </w:rPr>
        <w:t>“</w:t>
      </w:r>
      <w:r>
        <w:rPr>
          <w:rFonts w:hint="default" w:ascii="Times New Roman" w:hAnsi="Times New Roman" w:cs="Times New Roman"/>
          <w:color w:val="auto"/>
          <w:kern w:val="0"/>
          <w:szCs w:val="24"/>
          <w:highlight w:val="none"/>
          <w:lang w:bidi="ar"/>
        </w:rPr>
        <w:t>三同时</w:t>
      </w:r>
      <w:r>
        <w:rPr>
          <w:rFonts w:hint="default" w:ascii="Times New Roman" w:hAnsi="Times New Roman" w:cs="Times New Roman"/>
          <w:color w:val="auto"/>
          <w:kern w:val="0"/>
          <w:szCs w:val="24"/>
          <w:highlight w:val="none"/>
          <w:lang w:eastAsia="zh-CN" w:bidi="ar"/>
        </w:rPr>
        <w:t>”</w:t>
      </w:r>
      <w:r>
        <w:rPr>
          <w:rFonts w:hint="default" w:ascii="Times New Roman" w:hAnsi="Times New Roman" w:cs="Times New Roman"/>
          <w:color w:val="auto"/>
          <w:kern w:val="0"/>
          <w:szCs w:val="24"/>
          <w:highlight w:val="none"/>
          <w:lang w:bidi="ar"/>
        </w:rPr>
        <w:t>手续；要对新建金属非金属地下矿山开采方案尾矿利用进行论证，尽可能多的将尾矿充填，以减少尾矿排放量；新建五等尾矿库应当优先采用一次性筑坝技术；新建小库（库容在10万立方米以下，下同）和周转库必须采用一次性筑坝方式；新建堆存重金属尾矿库的库底应硬化并防渗；严禁在岩溶发育地区利用天坑建设尾矿库</w:t>
      </w:r>
      <w:r>
        <w:rPr>
          <w:rFonts w:hint="default" w:ascii="Times New Roman" w:hAnsi="Times New Roman" w:cs="Times New Roman"/>
          <w:color w:val="auto"/>
          <w:kern w:val="0"/>
          <w:szCs w:val="24"/>
          <w:highlight w:val="none"/>
          <w:lang w:eastAsia="zh-CN" w:bidi="ar"/>
        </w:rPr>
        <w:t>”</w:t>
      </w:r>
      <w:r>
        <w:rPr>
          <w:rFonts w:hint="default" w:ascii="Times New Roman" w:hAnsi="Times New Roman" w:cs="Times New Roman"/>
          <w:color w:val="auto"/>
          <w:kern w:val="0"/>
          <w:szCs w:val="24"/>
          <w:highlight w:val="none"/>
          <w:lang w:bidi="ar"/>
        </w:rPr>
        <w:t>。</w:t>
      </w:r>
    </w:p>
    <w:p w14:paraId="0D649AC3">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val="en-US" w:eastAsia="zh-CN"/>
        </w:rPr>
        <w:t>本项目</w:t>
      </w:r>
      <w:r>
        <w:rPr>
          <w:rFonts w:hint="default" w:ascii="Times New Roman" w:hAnsi="Times New Roman" w:cs="Times New Roman"/>
          <w:color w:val="auto"/>
          <w:szCs w:val="24"/>
          <w:highlight w:val="none"/>
        </w:rPr>
        <w:t>尾矿库</w:t>
      </w:r>
      <w:r>
        <w:rPr>
          <w:rFonts w:hint="default" w:ascii="Times New Roman" w:hAnsi="Times New Roman" w:cs="Times New Roman"/>
          <w:color w:val="auto"/>
          <w:spacing w:val="0"/>
          <w:sz w:val="24"/>
          <w:highlight w:val="none"/>
          <w:lang w:eastAsia="zh-CN"/>
        </w:rPr>
        <w:t>为</w:t>
      </w:r>
      <w:r>
        <w:rPr>
          <w:rFonts w:hint="default" w:ascii="Times New Roman" w:hAnsi="Times New Roman" w:cs="Times New Roman"/>
          <w:color w:val="auto"/>
          <w:spacing w:val="0"/>
          <w:sz w:val="24"/>
          <w:highlight w:val="none"/>
          <w:lang w:val="en-US" w:eastAsia="zh-CN"/>
        </w:rPr>
        <w:t>四等别平地型尾矿库</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占地面积为</w:t>
      </w:r>
      <w:r>
        <w:rPr>
          <w:rFonts w:hint="default" w:ascii="Times New Roman" w:hAnsi="Times New Roman" w:cs="Times New Roman"/>
          <w:color w:val="auto"/>
          <w:spacing w:val="0"/>
          <w:sz w:val="24"/>
          <w:highlight w:val="none"/>
          <w:lang w:val="en-US" w:eastAsia="zh-CN"/>
        </w:rPr>
        <w:t>26万m</w:t>
      </w:r>
      <w:r>
        <w:rPr>
          <w:rFonts w:hint="default" w:ascii="Times New Roman" w:hAnsi="Times New Roman" w:cs="Times New Roman"/>
          <w:color w:val="auto"/>
          <w:spacing w:val="0"/>
          <w:sz w:val="24"/>
          <w:highlight w:val="none"/>
          <w:vertAlign w:val="superscript"/>
          <w:lang w:val="en-US" w:eastAsia="zh-CN"/>
        </w:rPr>
        <w:t>2</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库坝体为一次性筑坝，四面筑坝</w:t>
      </w:r>
      <w:r>
        <w:rPr>
          <w:rFonts w:hint="default" w:ascii="Times New Roman" w:hAnsi="Times New Roman" w:cs="Times New Roman"/>
          <w:color w:val="auto"/>
          <w:spacing w:val="0"/>
          <w:sz w:val="24"/>
          <w:highlight w:val="none"/>
          <w:lang w:eastAsia="zh-CN"/>
        </w:rPr>
        <w:t>，</w:t>
      </w:r>
      <w:r>
        <w:rPr>
          <w:rFonts w:hint="default" w:cs="Times New Roman"/>
          <w:color w:val="auto"/>
          <w:spacing w:val="0"/>
          <w:sz w:val="24"/>
          <w:highlight w:val="none"/>
          <w:lang w:eastAsia="zh-CN"/>
        </w:rPr>
        <w:t>总库容为130.5万m</w:t>
      </w:r>
      <w:r>
        <w:rPr>
          <w:rFonts w:hint="default" w:cs="Times New Roman"/>
          <w:color w:val="auto"/>
          <w:spacing w:val="0"/>
          <w:sz w:val="24"/>
          <w:highlight w:val="none"/>
          <w:vertAlign w:val="superscript"/>
          <w:lang w:eastAsia="zh-CN"/>
        </w:rPr>
        <w:t>3</w:t>
      </w:r>
      <w:r>
        <w:rPr>
          <w:rFonts w:hint="default" w:cs="Times New Roman"/>
          <w:color w:val="auto"/>
          <w:spacing w:val="0"/>
          <w:sz w:val="24"/>
          <w:highlight w:val="none"/>
          <w:lang w:eastAsia="zh-CN"/>
        </w:rPr>
        <w:t>，有效库容为104.4万m</w:t>
      </w:r>
      <w:r>
        <w:rPr>
          <w:rFonts w:hint="default" w:cs="Times New Roman"/>
          <w:color w:val="auto"/>
          <w:spacing w:val="0"/>
          <w:sz w:val="24"/>
          <w:highlight w:val="none"/>
          <w:vertAlign w:val="superscript"/>
          <w:lang w:eastAsia="zh-CN"/>
        </w:rPr>
        <w:t>3</w:t>
      </w:r>
      <w:r>
        <w:rPr>
          <w:rFonts w:hint="default" w:ascii="Times New Roman" w:hAnsi="Times New Roman" w:cs="Times New Roman"/>
          <w:color w:val="auto"/>
          <w:spacing w:val="0"/>
          <w:sz w:val="24"/>
          <w:highlight w:val="none"/>
          <w:vertAlign w:val="baseline"/>
          <w:lang w:eastAsia="zh-CN"/>
        </w:rPr>
        <w:t>，</w:t>
      </w:r>
      <w:r>
        <w:rPr>
          <w:rFonts w:hint="default" w:ascii="Times New Roman" w:hAnsi="Times New Roman" w:cs="Times New Roman"/>
          <w:color w:val="auto"/>
          <w:spacing w:val="0"/>
          <w:sz w:val="24"/>
          <w:highlight w:val="none"/>
          <w:lang w:val="en-US" w:eastAsia="zh-CN"/>
        </w:rPr>
        <w:t>坝高15m，</w:t>
      </w:r>
      <w:r>
        <w:rPr>
          <w:rFonts w:hint="default" w:cs="Times New Roman"/>
          <w:color w:val="auto"/>
          <w:spacing w:val="0"/>
          <w:sz w:val="24"/>
          <w:highlight w:val="none"/>
          <w:lang w:val="en-US" w:eastAsia="zh-CN"/>
        </w:rPr>
        <w:t>全库采用400g/m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土工布+1.5mmHDPE土工膜+400g/m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土工布的防渗方法</w:t>
      </w:r>
      <w:r>
        <w:rPr>
          <w:rFonts w:hint="default"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rPr>
        <w:t>服务年限为</w:t>
      </w:r>
      <w:r>
        <w:rPr>
          <w:rFonts w:hint="default" w:cs="Times New Roman"/>
          <w:color w:val="auto"/>
          <w:spacing w:val="0"/>
          <w:sz w:val="24"/>
          <w:highlight w:val="none"/>
          <w:lang w:val="en-US" w:eastAsia="zh-CN"/>
        </w:rPr>
        <w:t>25</w:t>
      </w:r>
      <w:r>
        <w:rPr>
          <w:rFonts w:hint="default" w:ascii="Times New Roman" w:hAnsi="Times New Roman" w:cs="Times New Roman"/>
          <w:color w:val="auto"/>
          <w:spacing w:val="0"/>
          <w:sz w:val="24"/>
          <w:highlight w:val="none"/>
          <w:lang w:val="en-US" w:eastAsia="zh-CN"/>
        </w:rPr>
        <w:t>年。</w:t>
      </w:r>
      <w:r>
        <w:rPr>
          <w:rFonts w:hint="default" w:ascii="Times New Roman" w:hAnsi="Times New Roman" w:cs="Times New Roman"/>
          <w:color w:val="auto"/>
          <w:kern w:val="0"/>
          <w:szCs w:val="24"/>
          <w:highlight w:val="none"/>
          <w:lang w:eastAsia="zh-CN" w:bidi="ar"/>
        </w:rPr>
        <w:t>尾矿库</w:t>
      </w:r>
      <w:r>
        <w:rPr>
          <w:rFonts w:hint="default" w:ascii="Times New Roman" w:hAnsi="Times New Roman" w:cs="Times New Roman"/>
          <w:color w:val="auto"/>
          <w:kern w:val="0"/>
          <w:szCs w:val="24"/>
          <w:highlight w:val="none"/>
          <w:lang w:val="en-US" w:eastAsia="zh-CN" w:bidi="ar"/>
        </w:rPr>
        <w:t>建设需严格</w:t>
      </w:r>
      <w:r>
        <w:rPr>
          <w:rFonts w:hint="default" w:ascii="Times New Roman" w:hAnsi="Times New Roman" w:cs="Times New Roman"/>
          <w:color w:val="auto"/>
          <w:kern w:val="0"/>
          <w:szCs w:val="24"/>
          <w:highlight w:val="none"/>
          <w:lang w:eastAsia="zh-CN" w:bidi="ar"/>
        </w:rPr>
        <w:t>履行</w:t>
      </w:r>
      <w:r>
        <w:rPr>
          <w:rFonts w:hint="default" w:ascii="Times New Roman" w:hAnsi="Times New Roman" w:cs="Times New Roman"/>
          <w:color w:val="auto"/>
          <w:highlight w:val="none"/>
        </w:rPr>
        <w:t>安全设施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手续</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szCs w:val="24"/>
          <w:highlight w:val="none"/>
          <w:lang w:bidi="ar"/>
        </w:rPr>
        <w:t>因此，本项目符合</w:t>
      </w:r>
      <w:r>
        <w:rPr>
          <w:rFonts w:hint="default" w:ascii="Times New Roman" w:hAnsi="Times New Roman" w:cs="Times New Roman"/>
          <w:color w:val="auto"/>
          <w:highlight w:val="none"/>
        </w:rPr>
        <w:t>《国家安全监管总局等七部门关于印发深入开展尾矿库综合治理行动方案的通知》</w:t>
      </w:r>
      <w:r>
        <w:rPr>
          <w:rFonts w:hint="default" w:ascii="Times New Roman" w:hAnsi="Times New Roman" w:cs="Times New Roman"/>
          <w:color w:val="auto"/>
          <w:kern w:val="0"/>
          <w:szCs w:val="24"/>
          <w:highlight w:val="none"/>
          <w:lang w:bidi="ar"/>
        </w:rPr>
        <w:t>要求。</w:t>
      </w:r>
    </w:p>
    <w:p w14:paraId="53064A7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.3.4与《关于进一步加强尾矿库监督管理工作的指导意见》符合性分析</w:t>
      </w:r>
    </w:p>
    <w:p w14:paraId="04158726">
      <w:pPr>
        <w:ind w:firstLine="480"/>
        <w:rPr>
          <w:rFonts w:hint="default" w:ascii="Times New Roman" w:hAnsi="Times New Roman" w:eastAsia="宋体" w:cs="Times New Roman"/>
          <w:color w:val="auto"/>
          <w:szCs w:val="24"/>
          <w:highlight w:val="none"/>
          <w:lang w:eastAsia="zh-CN" w:bidi="ar"/>
        </w:rPr>
      </w:pPr>
      <w:r>
        <w:rPr>
          <w:rFonts w:hint="default" w:ascii="Times New Roman" w:hAnsi="Times New Roman" w:cs="Times New Roman"/>
          <w:color w:val="auto"/>
          <w:szCs w:val="24"/>
          <w:highlight w:val="none"/>
          <w:lang w:bidi="ar"/>
        </w:rPr>
        <w:t>根据《关于进一步加强尾矿库监督管理工作的指导意见》（安监总管〔2012〕32号）</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二）严格尾矿库建设项目行政许可工作。严把安全、环保准入关，严格控制新建尾矿库、独立选矿厂建设项目，尤其是库容小于100万立方米、服务年限少于5年的尾矿库建设项目。严格审查尾矿库建设用地条件，不符合土地利用总体规划的，一律不予办理建设用地手续，并依法取缔关闭无证占地非法生产的企业。2011年3月5日《土地复垦条例》实施前已经办理建设用地手续，目前继续使用的尾矿库，造成土地毁损的，土地复垦义务人应当按照规定补充编制土地复垦方案。新建尾矿库的土地复垦义务人应当在办理建设用地申请或相关手续时，随有关报批材料报送土地复垦方案。同时，土地复垦义务人应当将土地复垦费用列入生产成本或建设项目总投资。新建尾矿库必须严格执行环境影响评价制度，并按照环评审批要求修建配套的污染防治设施，未经审批许可不得擅自开工建设，未经</w:t>
      </w:r>
      <w:r>
        <w:rPr>
          <w:rFonts w:hint="default" w:ascii="Times New Roman" w:hAnsi="Times New Roman" w:cs="Times New Roman"/>
          <w:color w:val="auto"/>
          <w:szCs w:val="24"/>
          <w:highlight w:val="none"/>
          <w:lang w:eastAsia="zh-CN" w:bidi="ar"/>
        </w:rPr>
        <w:t>竣工环境保护</w:t>
      </w:r>
      <w:r>
        <w:rPr>
          <w:rFonts w:hint="default" w:ascii="Times New Roman" w:hAnsi="Times New Roman" w:cs="Times New Roman"/>
          <w:color w:val="auto"/>
          <w:szCs w:val="24"/>
          <w:highlight w:val="none"/>
          <w:lang w:bidi="ar"/>
        </w:rPr>
        <w:t>验收不得投入运行或使用。严格安全许可制度，新建金属非金属地下矿山必须对能否采用充填采矿法进行论证并优先推行充填采矿法，新建四、五等尾矿库应当优先采用一次性筑坝方式；对于达不到安全生产条件的，一律不予颁发安全生产许可证。在已建成尾矿库的上游、下游建设生产、生活设施的建设项目，应当经过当地政府相关部门审查同意，未履行相关手续的，由政府组织拆除违规建设的设施。（三）严格落实安全、环保设施</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三同时</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审查制度。各有关部门要对新建、改建、扩建尾矿库执行严格的环评准入和安全、环保设施</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三同时</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制度，严格执行技术规范，加强源头治理。对未执行尾矿库建设项目环境影响评价制度和环保设施</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三同时</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制度，以及自2005年2月以后未执行尾矿库建设项目安全设施</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三同时</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制度的，要责令其限期补办相关手续，并依法进行处罚。对达不到安全环保要求的尾矿库，要责令其限期整改和治理，经整改和治理仍达不到要求的，要依法予以关闭停用</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w:t>
      </w:r>
    </w:p>
    <w:p w14:paraId="1FD7CAF5">
      <w:pPr>
        <w:bidi w:val="0"/>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val="en-US" w:eastAsia="zh-CN"/>
        </w:rPr>
        <w:t>本项目</w:t>
      </w:r>
      <w:r>
        <w:rPr>
          <w:rFonts w:hint="default" w:ascii="Times New Roman" w:hAnsi="Times New Roman" w:cs="Times New Roman"/>
          <w:color w:val="auto"/>
          <w:szCs w:val="24"/>
          <w:highlight w:val="none"/>
        </w:rPr>
        <w:t>尾矿库</w:t>
      </w:r>
      <w:r>
        <w:rPr>
          <w:rFonts w:hint="default" w:ascii="Times New Roman" w:hAnsi="Times New Roman" w:cs="Times New Roman"/>
          <w:color w:val="auto"/>
          <w:spacing w:val="0"/>
          <w:sz w:val="24"/>
          <w:highlight w:val="none"/>
          <w:lang w:eastAsia="zh-CN"/>
        </w:rPr>
        <w:t>为</w:t>
      </w:r>
      <w:r>
        <w:rPr>
          <w:rFonts w:hint="default" w:ascii="Times New Roman" w:hAnsi="Times New Roman" w:cs="Times New Roman"/>
          <w:color w:val="auto"/>
          <w:spacing w:val="0"/>
          <w:sz w:val="24"/>
          <w:highlight w:val="none"/>
          <w:lang w:val="en-US" w:eastAsia="zh-CN"/>
        </w:rPr>
        <w:t>四等别平地型尾矿库</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占地面积为</w:t>
      </w:r>
      <w:r>
        <w:rPr>
          <w:rFonts w:hint="default" w:ascii="Times New Roman" w:hAnsi="Times New Roman" w:cs="Times New Roman"/>
          <w:color w:val="auto"/>
          <w:spacing w:val="0"/>
          <w:sz w:val="24"/>
          <w:highlight w:val="none"/>
          <w:lang w:val="en-US" w:eastAsia="zh-CN"/>
        </w:rPr>
        <w:t>26万m</w:t>
      </w:r>
      <w:r>
        <w:rPr>
          <w:rFonts w:hint="default" w:ascii="Times New Roman" w:hAnsi="Times New Roman" w:cs="Times New Roman"/>
          <w:color w:val="auto"/>
          <w:spacing w:val="0"/>
          <w:sz w:val="24"/>
          <w:highlight w:val="none"/>
          <w:vertAlign w:val="superscript"/>
          <w:lang w:val="en-US" w:eastAsia="zh-CN"/>
        </w:rPr>
        <w:t>2</w:t>
      </w:r>
      <w:r>
        <w:rPr>
          <w:rFonts w:hint="default" w:ascii="Times New Roman" w:hAnsi="Times New Roman" w:cs="Times New Roman"/>
          <w:color w:val="auto"/>
          <w:spacing w:val="0"/>
          <w:sz w:val="24"/>
          <w:highlight w:val="none"/>
          <w:lang w:eastAsia="zh-CN"/>
        </w:rPr>
        <w:t>，</w:t>
      </w:r>
      <w:r>
        <w:rPr>
          <w:rFonts w:hint="default" w:ascii="Times New Roman" w:hAnsi="Times New Roman" w:cs="Times New Roman"/>
          <w:color w:val="auto"/>
          <w:spacing w:val="0"/>
          <w:sz w:val="24"/>
          <w:highlight w:val="none"/>
        </w:rPr>
        <w:t>库坝体为一次性筑坝，四面筑坝</w:t>
      </w:r>
      <w:r>
        <w:rPr>
          <w:rFonts w:hint="default" w:ascii="Times New Roman" w:hAnsi="Times New Roman" w:cs="Times New Roman"/>
          <w:color w:val="auto"/>
          <w:spacing w:val="0"/>
          <w:sz w:val="24"/>
          <w:highlight w:val="none"/>
          <w:lang w:eastAsia="zh-CN"/>
        </w:rPr>
        <w:t>，</w:t>
      </w:r>
      <w:r>
        <w:rPr>
          <w:rFonts w:hint="default" w:cs="Times New Roman"/>
          <w:color w:val="auto"/>
          <w:spacing w:val="0"/>
          <w:sz w:val="24"/>
          <w:highlight w:val="none"/>
          <w:lang w:eastAsia="zh-CN"/>
        </w:rPr>
        <w:t>总库容为130.5万m</w:t>
      </w:r>
      <w:r>
        <w:rPr>
          <w:rFonts w:hint="default" w:cs="Times New Roman"/>
          <w:color w:val="auto"/>
          <w:spacing w:val="0"/>
          <w:sz w:val="24"/>
          <w:highlight w:val="none"/>
          <w:vertAlign w:val="superscript"/>
          <w:lang w:eastAsia="zh-CN"/>
        </w:rPr>
        <w:t>3</w:t>
      </w:r>
      <w:r>
        <w:rPr>
          <w:rFonts w:hint="default" w:cs="Times New Roman"/>
          <w:color w:val="auto"/>
          <w:spacing w:val="0"/>
          <w:sz w:val="24"/>
          <w:highlight w:val="none"/>
          <w:lang w:eastAsia="zh-CN"/>
        </w:rPr>
        <w:t>，有效库容为104.4万m</w:t>
      </w:r>
      <w:r>
        <w:rPr>
          <w:rFonts w:hint="default" w:cs="Times New Roman"/>
          <w:color w:val="auto"/>
          <w:spacing w:val="0"/>
          <w:sz w:val="24"/>
          <w:highlight w:val="none"/>
          <w:vertAlign w:val="superscript"/>
          <w:lang w:eastAsia="zh-CN"/>
        </w:rPr>
        <w:t>3</w:t>
      </w:r>
      <w:r>
        <w:rPr>
          <w:rFonts w:hint="default" w:ascii="Times New Roman" w:hAnsi="Times New Roman" w:cs="Times New Roman"/>
          <w:color w:val="auto"/>
          <w:spacing w:val="0"/>
          <w:sz w:val="24"/>
          <w:highlight w:val="none"/>
          <w:vertAlign w:val="baseline"/>
          <w:lang w:eastAsia="zh-CN"/>
        </w:rPr>
        <w:t>，</w:t>
      </w:r>
      <w:r>
        <w:rPr>
          <w:rFonts w:hint="default" w:ascii="Times New Roman" w:hAnsi="Times New Roman" w:cs="Times New Roman"/>
          <w:color w:val="auto"/>
          <w:spacing w:val="0"/>
          <w:sz w:val="24"/>
          <w:highlight w:val="none"/>
          <w:lang w:val="en-US" w:eastAsia="zh-CN"/>
        </w:rPr>
        <w:t>坝高15m，</w:t>
      </w:r>
      <w:r>
        <w:rPr>
          <w:rFonts w:hint="default" w:cs="Times New Roman"/>
          <w:color w:val="auto"/>
          <w:spacing w:val="0"/>
          <w:sz w:val="24"/>
          <w:highlight w:val="none"/>
          <w:lang w:val="en-US" w:eastAsia="zh-CN"/>
        </w:rPr>
        <w:t>全库采用400g/m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土工布+1.5mmHDPE土工膜+400g/m</w:t>
      </w:r>
      <w:r>
        <w:rPr>
          <w:rFonts w:hint="default" w:cs="Times New Roman"/>
          <w:color w:val="auto"/>
          <w:spacing w:val="0"/>
          <w:sz w:val="24"/>
          <w:highlight w:val="none"/>
          <w:vertAlign w:val="superscript"/>
          <w:lang w:val="en-US" w:eastAsia="zh-CN"/>
        </w:rPr>
        <w:t>2</w:t>
      </w:r>
      <w:r>
        <w:rPr>
          <w:rFonts w:hint="default" w:cs="Times New Roman"/>
          <w:color w:val="auto"/>
          <w:spacing w:val="0"/>
          <w:sz w:val="24"/>
          <w:highlight w:val="none"/>
          <w:lang w:val="en-US" w:eastAsia="zh-CN"/>
        </w:rPr>
        <w:t>土工布的防渗方法</w:t>
      </w:r>
      <w:r>
        <w:rPr>
          <w:rFonts w:hint="default"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rPr>
        <w:t>服务年限为</w:t>
      </w:r>
      <w:r>
        <w:rPr>
          <w:rFonts w:hint="default" w:cs="Times New Roman"/>
          <w:color w:val="auto"/>
          <w:spacing w:val="0"/>
          <w:sz w:val="24"/>
          <w:highlight w:val="none"/>
          <w:lang w:val="en-US" w:eastAsia="zh-CN"/>
        </w:rPr>
        <w:t>25</w:t>
      </w:r>
      <w:r>
        <w:rPr>
          <w:rFonts w:hint="default" w:ascii="Times New Roman" w:hAnsi="Times New Roman" w:cs="Times New Roman"/>
          <w:color w:val="auto"/>
          <w:spacing w:val="0"/>
          <w:sz w:val="24"/>
          <w:highlight w:val="none"/>
          <w:lang w:val="en-US" w:eastAsia="zh-CN"/>
        </w:rPr>
        <w:t>年。</w:t>
      </w:r>
      <w:r>
        <w:rPr>
          <w:rFonts w:hint="default" w:ascii="Times New Roman" w:hAnsi="Times New Roman" w:cs="Times New Roman"/>
          <w:color w:val="auto"/>
          <w:kern w:val="0"/>
          <w:szCs w:val="24"/>
          <w:highlight w:val="none"/>
          <w:lang w:val="en-US" w:eastAsia="zh-CN" w:bidi="ar"/>
        </w:rPr>
        <w:t>选矿厂、尾矿库</w:t>
      </w:r>
      <w:r>
        <w:rPr>
          <w:rFonts w:hint="default" w:ascii="Times New Roman" w:hAnsi="Times New Roman" w:cs="Times New Roman"/>
          <w:color w:val="auto"/>
          <w:szCs w:val="24"/>
          <w:highlight w:val="none"/>
          <w:lang w:bidi="ar"/>
        </w:rPr>
        <w:t>建设符合土地利用总体规划。尾矿库环境影响评价</w:t>
      </w:r>
      <w:r>
        <w:rPr>
          <w:rFonts w:hint="default" w:ascii="Times New Roman" w:hAnsi="Times New Roman" w:cs="Times New Roman"/>
          <w:color w:val="auto"/>
          <w:szCs w:val="24"/>
          <w:highlight w:val="none"/>
          <w:lang w:val="en-US" w:eastAsia="zh-CN" w:bidi="ar"/>
        </w:rPr>
        <w:t>工作正在进行</w:t>
      </w:r>
      <w:r>
        <w:rPr>
          <w:rFonts w:hint="default" w:ascii="Times New Roman" w:hAnsi="Times New Roman" w:cs="Times New Roman"/>
          <w:color w:val="auto"/>
          <w:szCs w:val="24"/>
          <w:highlight w:val="none"/>
          <w:lang w:bidi="ar"/>
        </w:rPr>
        <w:t>，</w:t>
      </w:r>
      <w:r>
        <w:rPr>
          <w:rFonts w:hint="default" w:ascii="Times New Roman" w:hAnsi="Times New Roman" w:cs="Times New Roman"/>
          <w:color w:val="auto"/>
          <w:szCs w:val="24"/>
          <w:highlight w:val="none"/>
          <w:lang w:val="en-US" w:eastAsia="zh-CN" w:bidi="ar"/>
        </w:rPr>
        <w:t>后期建成投运后开展</w:t>
      </w:r>
      <w:r>
        <w:rPr>
          <w:rFonts w:hint="default" w:ascii="Times New Roman" w:hAnsi="Times New Roman" w:cs="Times New Roman"/>
          <w:color w:val="auto"/>
          <w:szCs w:val="24"/>
          <w:highlight w:val="none"/>
          <w:lang w:eastAsia="zh-CN" w:bidi="ar"/>
        </w:rPr>
        <w:t>竣工环境保护</w:t>
      </w:r>
      <w:r>
        <w:rPr>
          <w:rFonts w:hint="default" w:ascii="Times New Roman" w:hAnsi="Times New Roman" w:cs="Times New Roman"/>
          <w:color w:val="auto"/>
          <w:szCs w:val="24"/>
          <w:highlight w:val="none"/>
          <w:lang w:bidi="ar"/>
        </w:rPr>
        <w:t>验收</w:t>
      </w:r>
      <w:r>
        <w:rPr>
          <w:rFonts w:hint="default" w:ascii="Times New Roman" w:hAnsi="Times New Roman" w:cs="Times New Roman"/>
          <w:color w:val="auto"/>
          <w:szCs w:val="24"/>
          <w:highlight w:val="none"/>
          <w:lang w:val="en-US" w:eastAsia="zh-CN" w:bidi="ar"/>
        </w:rPr>
        <w:t>工作，</w:t>
      </w:r>
      <w:r>
        <w:rPr>
          <w:rFonts w:hint="default" w:ascii="Times New Roman" w:hAnsi="Times New Roman" w:cs="Times New Roman"/>
          <w:color w:val="auto"/>
          <w:szCs w:val="24"/>
          <w:highlight w:val="none"/>
          <w:lang w:bidi="ar"/>
        </w:rPr>
        <w:t>尾矿库上游、下游</w:t>
      </w:r>
      <w:r>
        <w:rPr>
          <w:rFonts w:hint="default" w:ascii="Times New Roman" w:hAnsi="Times New Roman" w:cs="Times New Roman"/>
          <w:color w:val="auto"/>
          <w:szCs w:val="24"/>
          <w:highlight w:val="none"/>
          <w:lang w:val="en-US" w:eastAsia="zh-CN" w:bidi="ar"/>
        </w:rPr>
        <w:t>未</w:t>
      </w:r>
      <w:r>
        <w:rPr>
          <w:rFonts w:hint="default" w:ascii="Times New Roman" w:hAnsi="Times New Roman" w:cs="Times New Roman"/>
          <w:color w:val="auto"/>
          <w:szCs w:val="24"/>
          <w:highlight w:val="none"/>
          <w:lang w:bidi="ar"/>
        </w:rPr>
        <w:t>建设生产、生活设施的建设项目。</w:t>
      </w:r>
      <w:r>
        <w:rPr>
          <w:rFonts w:hint="default" w:ascii="Times New Roman" w:hAnsi="Times New Roman" w:cs="Times New Roman"/>
          <w:color w:val="auto"/>
          <w:szCs w:val="24"/>
          <w:highlight w:val="none"/>
          <w:lang w:val="en-US" w:eastAsia="zh-CN" w:bidi="ar"/>
        </w:rPr>
        <w:t>尾矿库后期应</w:t>
      </w:r>
      <w:r>
        <w:rPr>
          <w:rFonts w:hint="default" w:ascii="Times New Roman" w:hAnsi="Times New Roman" w:cs="Times New Roman"/>
          <w:color w:val="auto"/>
          <w:szCs w:val="24"/>
          <w:highlight w:val="none"/>
          <w:lang w:bidi="ar"/>
        </w:rPr>
        <w:t>落实安全、环保设施</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三同时</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审查制度</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val="en-US" w:eastAsia="zh-CN" w:bidi="ar"/>
        </w:rPr>
        <w:t>应</w:t>
      </w:r>
      <w:r>
        <w:rPr>
          <w:rFonts w:hint="default" w:ascii="Times New Roman" w:hAnsi="Times New Roman" w:cs="Times New Roman"/>
          <w:color w:val="auto"/>
          <w:szCs w:val="24"/>
          <w:highlight w:val="none"/>
          <w:lang w:bidi="ar"/>
        </w:rPr>
        <w:t>严格执行技术规范，加强源头治理。</w:t>
      </w:r>
      <w:r>
        <w:rPr>
          <w:rFonts w:hint="default" w:ascii="Times New Roman" w:hAnsi="Times New Roman" w:cs="Times New Roman"/>
          <w:color w:val="auto"/>
          <w:highlight w:val="none"/>
        </w:rPr>
        <w:t>建设单位应在尾矿库闭库时，按照</w:t>
      </w:r>
      <w:r>
        <w:rPr>
          <w:rFonts w:hint="default" w:ascii="Times New Roman" w:hAnsi="Times New Roman" w:cs="Times New Roman"/>
          <w:color w:val="auto"/>
          <w:highlight w:val="none"/>
          <w:lang w:val="en-US" w:eastAsia="zh-CN"/>
        </w:rPr>
        <w:t>土地复垦方案</w:t>
      </w:r>
      <w:r>
        <w:rPr>
          <w:rFonts w:hint="default" w:ascii="Times New Roman" w:hAnsi="Times New Roman" w:cs="Times New Roman"/>
          <w:color w:val="auto"/>
          <w:highlight w:val="none"/>
        </w:rPr>
        <w:t>要求进行生态恢复</w:t>
      </w:r>
      <w:r>
        <w:rPr>
          <w:rFonts w:hint="default" w:ascii="Times New Roman" w:hAnsi="Times New Roman" w:cs="Times New Roman"/>
          <w:color w:val="auto"/>
          <w:highlight w:val="none"/>
          <w:lang w:val="en-US" w:eastAsia="zh-CN"/>
        </w:rPr>
        <w:t>治理</w:t>
      </w:r>
      <w:r>
        <w:rPr>
          <w:rFonts w:hint="default" w:ascii="Times New Roman" w:hAnsi="Times New Roman" w:cs="Times New Roman"/>
          <w:color w:val="auto"/>
          <w:highlight w:val="none"/>
        </w:rPr>
        <w:t>，满足上述规定要求。</w:t>
      </w:r>
    </w:p>
    <w:p w14:paraId="5C4FEA89">
      <w:pPr>
        <w:pStyle w:val="5"/>
        <w:ind w:firstLine="482"/>
        <w:rPr>
          <w:rFonts w:hint="default" w:ascii="Times New Roman" w:hAnsi="Times New Roman" w:cs="Times New Roman"/>
          <w:color w:val="auto"/>
          <w:kern w:val="0"/>
          <w:szCs w:val="22"/>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与《新疆维吾尔自治区大气污染防治条例》符合性分析</w:t>
      </w:r>
    </w:p>
    <w:p w14:paraId="481C34C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根据《新疆维吾尔自治区大气污染防治条例》（2019年1月1日实施）中第三十七条：“各级人民政府应当加强对建设施工、矿产资源开采、物料运输的扬尘和沙尘污染的治理，保持道路清洁、控制</w:t>
      </w:r>
      <w:r>
        <w:rPr>
          <w:rFonts w:hint="default" w:ascii="Times New Roman" w:hAnsi="Times New Roman" w:cs="Times New Roman"/>
          <w:color w:val="auto"/>
          <w:highlight w:val="none"/>
          <w:lang w:eastAsia="zh-CN"/>
        </w:rPr>
        <w:t>堆料</w:t>
      </w:r>
      <w:r>
        <w:rPr>
          <w:rFonts w:hint="default" w:ascii="Times New Roman" w:hAnsi="Times New Roman" w:cs="Times New Roman"/>
          <w:color w:val="auto"/>
          <w:highlight w:val="none"/>
        </w:rPr>
        <w:t>和渣土堆放，科学合理扩大绿地、水面、湿地、地面铺装和防风固沙绿化面积，防治扬尘污染。</w:t>
      </w:r>
    </w:p>
    <w:p w14:paraId="7548C51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本项目选矿</w:t>
      </w:r>
      <w:r>
        <w:rPr>
          <w:rFonts w:hint="default" w:ascii="Times New Roman" w:hAnsi="Times New Roman" w:cs="Times New Roman"/>
          <w:color w:val="auto"/>
          <w:highlight w:val="none"/>
          <w:lang w:eastAsia="zh-CN"/>
        </w:rPr>
        <w:t>工业场地各车间</w:t>
      </w:r>
      <w:r>
        <w:rPr>
          <w:rFonts w:hint="default" w:ascii="Times New Roman" w:hAnsi="Times New Roman" w:cs="Times New Roman"/>
          <w:color w:val="auto"/>
          <w:highlight w:val="none"/>
        </w:rPr>
        <w:t>采用全封闭设计，集中布置，并在主要产尘环节设置了除尘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喷</w:t>
      </w:r>
      <w:r>
        <w:rPr>
          <w:rFonts w:hint="default" w:ascii="Times New Roman" w:hAnsi="Times New Roman" w:cs="Times New Roman"/>
          <w:color w:val="auto"/>
          <w:highlight w:val="none"/>
          <w:lang w:val="en-US" w:eastAsia="zh-CN"/>
        </w:rPr>
        <w:t>淋</w:t>
      </w:r>
      <w:r>
        <w:rPr>
          <w:rFonts w:hint="default" w:ascii="Times New Roman" w:hAnsi="Times New Roman" w:cs="Times New Roman"/>
          <w:color w:val="auto"/>
          <w:highlight w:val="none"/>
        </w:rPr>
        <w:t>等降尘措施，减少了污染物无组织逸散。</w:t>
      </w:r>
    </w:p>
    <w:p w14:paraId="55C6436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选矿工业场地</w:t>
      </w:r>
      <w:r>
        <w:rPr>
          <w:rFonts w:hint="default" w:ascii="Times New Roman" w:hAnsi="Times New Roman" w:cs="Times New Roman"/>
          <w:color w:val="auto"/>
          <w:highlight w:val="none"/>
        </w:rPr>
        <w:t>内运输道路均进行硬化处理，减少车辆扬尘产生。</w:t>
      </w:r>
    </w:p>
    <w:p w14:paraId="46E10A3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（3）本项目</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1座尾矿库，定期</w:t>
      </w:r>
      <w:r>
        <w:rPr>
          <w:rFonts w:hint="default" w:ascii="Times New Roman" w:hAnsi="Times New Roman" w:cs="Times New Roman"/>
          <w:color w:val="auto"/>
          <w:highlight w:val="none"/>
          <w:lang w:eastAsia="zh-CN"/>
        </w:rPr>
        <w:t>采取</w:t>
      </w:r>
      <w:r>
        <w:rPr>
          <w:rFonts w:hint="default" w:ascii="Times New Roman" w:hAnsi="Times New Roman" w:cs="Times New Roman"/>
          <w:color w:val="auto"/>
          <w:highlight w:val="none"/>
        </w:rPr>
        <w:t>洒水降尘</w:t>
      </w:r>
      <w:r>
        <w:rPr>
          <w:rFonts w:hint="default" w:ascii="Times New Roman" w:hAnsi="Times New Roman" w:cs="Times New Roman"/>
          <w:color w:val="auto"/>
          <w:highlight w:val="none"/>
          <w:lang w:eastAsia="zh-CN"/>
        </w:rPr>
        <w:t>等措施</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可有效</w:t>
      </w:r>
      <w:r>
        <w:rPr>
          <w:rFonts w:hint="default" w:ascii="Times New Roman" w:hAnsi="Times New Roman" w:cs="Times New Roman"/>
          <w:color w:val="auto"/>
          <w:highlight w:val="none"/>
        </w:rPr>
        <w:t>减少尾矿</w:t>
      </w:r>
      <w:r>
        <w:rPr>
          <w:rFonts w:hint="default" w:ascii="Times New Roman" w:hAnsi="Times New Roman" w:cs="Times New Roman"/>
          <w:color w:val="auto"/>
          <w:highlight w:val="none"/>
          <w:lang w:eastAsia="zh-CN"/>
        </w:rPr>
        <w:t>库</w:t>
      </w:r>
      <w:r>
        <w:rPr>
          <w:rFonts w:hint="default" w:ascii="Times New Roman" w:hAnsi="Times New Roman" w:cs="Times New Roman"/>
          <w:color w:val="auto"/>
          <w:highlight w:val="none"/>
          <w:lang w:val="en-US" w:eastAsia="zh-CN"/>
        </w:rPr>
        <w:t>干滩</w:t>
      </w:r>
      <w:r>
        <w:rPr>
          <w:rFonts w:hint="default" w:ascii="Times New Roman" w:hAnsi="Times New Roman" w:cs="Times New Roman"/>
          <w:color w:val="auto"/>
          <w:highlight w:val="none"/>
        </w:rPr>
        <w:t>无组织粉尘逸散。</w:t>
      </w:r>
    </w:p>
    <w:p w14:paraId="7B0DB77C">
      <w:pPr>
        <w:bidi w:val="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综上，本项目对污染物的防治措施符合《新疆维吾尔自治区大气污染防治条例》（2019年1月1日实施）的相关要求。</w:t>
      </w:r>
    </w:p>
    <w:p w14:paraId="367DAE21">
      <w:pPr>
        <w:pStyle w:val="5"/>
        <w:ind w:firstLine="482"/>
        <w:rPr>
          <w:rFonts w:hint="default" w:ascii="Times New Roman" w:hAnsi="Times New Roman" w:cs="Times New Roman"/>
          <w:color w:val="auto"/>
          <w:kern w:val="0"/>
          <w:szCs w:val="22"/>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与《新疆维吾尔自治区矿产资源管理条例》符合性分析</w:t>
      </w:r>
    </w:p>
    <w:p w14:paraId="08AB0AF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根据《新疆维吾尔自治区矿产资源管理条例》中</w:t>
      </w:r>
      <w:r>
        <w:rPr>
          <w:rFonts w:hint="default" w:ascii="Times New Roman" w:hAnsi="Times New Roman" w:cs="Times New Roman"/>
          <w:color w:val="auto"/>
          <w:highlight w:val="none"/>
          <w:lang w:eastAsia="zh-CN"/>
        </w:rPr>
        <w:t>第三十六条</w:t>
      </w:r>
      <w:r>
        <w:rPr>
          <w:rFonts w:hint="default" w:ascii="Times New Roman" w:hAnsi="Times New Roman" w:cs="Times New Roman"/>
          <w:color w:val="auto"/>
          <w:highlight w:val="none"/>
        </w:rPr>
        <w:t>：“自治区实行矿山企业矿产开发监督管理年度检查制度。矿产开发监督管理年度检查，按自治区有关规定执行。矿山企业开采回采率、采矿贫化率和选矿回收率应当达到设计要求，并应建立健全年度考核制度，不断提高资源利用率。”</w:t>
      </w:r>
    </w:p>
    <w:p w14:paraId="7662E65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建设单位需</w:t>
      </w:r>
      <w:r>
        <w:rPr>
          <w:rFonts w:hint="default" w:ascii="Times New Roman" w:hAnsi="Times New Roman" w:cs="Times New Roman"/>
          <w:color w:val="auto"/>
          <w:highlight w:val="none"/>
        </w:rPr>
        <w:t>建立健全年度考核制度，</w:t>
      </w:r>
      <w:r>
        <w:rPr>
          <w:rFonts w:hint="default" w:ascii="Times New Roman" w:hAnsi="Times New Roman" w:cs="Times New Roman"/>
          <w:color w:val="auto"/>
          <w:highlight w:val="none"/>
          <w:lang w:val="en-US" w:eastAsia="zh-CN"/>
        </w:rPr>
        <w:t>后期投入生产后将</w:t>
      </w:r>
      <w:r>
        <w:rPr>
          <w:rFonts w:hint="default" w:ascii="Times New Roman" w:hAnsi="Times New Roman" w:cs="Times New Roman"/>
          <w:color w:val="auto"/>
          <w:highlight w:val="none"/>
        </w:rPr>
        <w:t>对选矿回收率进行定期核查，对生产中出现的问题要及时采取相应的措施予以解决，达到设计要求并不断提高资源利用率。因此，本项目建设符合《新疆维吾尔自治区矿产资源管理条例》的要求。</w:t>
      </w:r>
    </w:p>
    <w:p w14:paraId="139F1D01">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与《工业和信息化部关于推进黄金行业转型升级的指导意见》符合性分析</w:t>
      </w:r>
    </w:p>
    <w:p w14:paraId="1CC66CA4">
      <w:pPr>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Cs w:val="24"/>
          <w:highlight w:val="none"/>
        </w:rPr>
        <w:t>2017年1月11日工业和信息化部原材料工业司下发《工业和信息化部关于推进黄金行业转型升级的指导意见》（工信部原</w:t>
      </w:r>
      <w:r>
        <w:rPr>
          <w:rFonts w:hint="default" w:cs="Times New Roman"/>
          <w:color w:val="auto"/>
          <w:kern w:val="0"/>
          <w:szCs w:val="24"/>
          <w:highlight w:val="none"/>
          <w:lang w:eastAsia="zh-CN"/>
        </w:rPr>
        <w:t>〔2017〕10号</w:t>
      </w:r>
      <w:r>
        <w:rPr>
          <w:rFonts w:hint="default" w:ascii="Times New Roman" w:hAnsi="Times New Roman" w:cs="Times New Roman"/>
          <w:color w:val="auto"/>
          <w:kern w:val="0"/>
          <w:szCs w:val="24"/>
          <w:highlight w:val="none"/>
        </w:rPr>
        <w:t>），为促进黄金行业转型，提出以下意见：</w:t>
      </w:r>
    </w:p>
    <w:p w14:paraId="0486555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（1）产量产能储量持续增长。</w:t>
      </w:r>
    </w:p>
    <w:p w14:paraId="72B28C9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十三五”期间，黄金产量年均增长3%左右，到2020年末，黄金产量达到500吨（力争达到550吨），新增黄金产能125吨，淘汰落后产能40吨，黄金年生产能力达到600吨（含进口料生产能力100吨）。黄金开采企业数量从600多家减少到450家左右。扣除黄金生产消耗4000吨，全国新增黄金查明资源储量3000吨，到2020年查明黄金资源储量为13000-14000吨。</w:t>
      </w:r>
    </w:p>
    <w:p w14:paraId="7DE3C11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本项目选矿规模</w:t>
      </w:r>
      <w:r>
        <w:rPr>
          <w:rFonts w:hint="default" w:ascii="Times New Roman" w:hAnsi="Times New Roman" w:cs="Times New Roman"/>
          <w:color w:val="auto"/>
          <w:highlight w:val="none"/>
          <w:lang w:eastAsia="zh-CN"/>
        </w:rPr>
        <w:t>为</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万t/a，</w:t>
      </w:r>
      <w:r>
        <w:rPr>
          <w:rFonts w:hint="default" w:ascii="Times New Roman" w:hAnsi="Times New Roman" w:cs="Times New Roman"/>
          <w:color w:val="auto"/>
          <w:highlight w:val="none"/>
          <w:lang w:val="en-US" w:eastAsia="zh-CN"/>
        </w:rPr>
        <w:t>625t/d，</w:t>
      </w:r>
      <w:r>
        <w:rPr>
          <w:rFonts w:hint="default" w:ascii="Times New Roman" w:hAnsi="Times New Roman" w:cs="Times New Roman"/>
          <w:color w:val="auto"/>
          <w:highlight w:val="none"/>
        </w:rPr>
        <w:t>符合产量产能储量</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rPr>
        <w:t>相关要求。</w:t>
      </w:r>
    </w:p>
    <w:p w14:paraId="0A4F183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（2）科技水平明显提高。</w:t>
      </w:r>
    </w:p>
    <w:p w14:paraId="5EF3E04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复杂及深部矿体开采、低氰提金工艺等多项关键技术研究取得突破，共伴生资源综合利用率达到70%以上。两化融合取得新进展，生产智能化、工艺自动化和管理信息化水平明显提高，基本淘汰落后生产工艺、设备、设施。重点大中型企业建立完善的技术创新体系，研发投入占主营业务收入1.5%以上。</w:t>
      </w:r>
    </w:p>
    <w:p w14:paraId="14284D0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szCs w:val="24"/>
          <w:highlight w:val="none"/>
        </w:rPr>
        <w:t>碎磨工艺流程为“三段一闭路破碎筛分+两段闭路磨矿”，选别工艺流程为“一粗二扫三精浮选+浮选精矿浓缩、压滤脱水”</w:t>
      </w:r>
      <w:r>
        <w:rPr>
          <w:rFonts w:hint="default" w:ascii="Times New Roman" w:hAnsi="Times New Roman" w:cs="Times New Roman"/>
          <w:color w:val="auto"/>
          <w:highlight w:val="none"/>
        </w:rPr>
        <w:t>流程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最终</w:t>
      </w:r>
      <w:r>
        <w:rPr>
          <w:rFonts w:hint="default" w:ascii="Times New Roman" w:hAnsi="Times New Roman" w:cs="Times New Roman"/>
          <w:color w:val="auto"/>
          <w:highlight w:val="none"/>
        </w:rPr>
        <w:t>产出</w:t>
      </w:r>
      <w:r>
        <w:rPr>
          <w:rFonts w:hint="default" w:ascii="Times New Roman" w:hAnsi="Times New Roman" w:cs="Times New Roman"/>
          <w:color w:val="auto"/>
          <w:highlight w:val="none"/>
          <w:lang w:val="en-US" w:eastAsia="zh-CN"/>
        </w:rPr>
        <w:t>金精矿</w:t>
      </w:r>
      <w:r>
        <w:rPr>
          <w:rFonts w:hint="default" w:ascii="Times New Roman" w:hAnsi="Times New Roman" w:cs="Times New Roman"/>
          <w:color w:val="auto"/>
          <w:highlight w:val="none"/>
          <w:lang w:eastAsia="zh-CN"/>
        </w:rPr>
        <w:t>；尾矿采用湿排方式，脱水后经管道</w:t>
      </w:r>
      <w:r>
        <w:rPr>
          <w:rFonts w:hint="default" w:ascii="Times New Roman" w:hAnsi="Times New Roman" w:cs="Times New Roman"/>
          <w:color w:val="auto"/>
          <w:highlight w:val="none"/>
          <w:lang w:val="en-US" w:eastAsia="zh-CN"/>
        </w:rPr>
        <w:t>泵送</w:t>
      </w:r>
      <w:r>
        <w:rPr>
          <w:rFonts w:hint="default" w:ascii="Times New Roman" w:hAnsi="Times New Roman" w:cs="Times New Roman"/>
          <w:color w:val="auto"/>
          <w:highlight w:val="none"/>
          <w:lang w:eastAsia="zh-CN"/>
        </w:rPr>
        <w:t>至尾矿库堆存，</w:t>
      </w:r>
      <w:r>
        <w:rPr>
          <w:rFonts w:hint="default" w:ascii="Times New Roman" w:hAnsi="Times New Roman" w:cs="Times New Roman"/>
          <w:color w:val="auto"/>
          <w:highlight w:val="none"/>
          <w:lang w:val="en-US" w:eastAsia="zh-CN"/>
        </w:rPr>
        <w:t>部分用于回填采坑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未采用</w:t>
      </w:r>
      <w:r>
        <w:rPr>
          <w:rFonts w:hint="default" w:ascii="Times New Roman" w:hAnsi="Times New Roman" w:cs="Times New Roman"/>
          <w:color w:val="auto"/>
          <w:highlight w:val="none"/>
        </w:rPr>
        <w:t>淘汰落后</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生产工艺、设备、设施，因此项目建设符合文件相关要求。</w:t>
      </w:r>
    </w:p>
    <w:p w14:paraId="59C9209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（3）节能环保水平全面提升。</w:t>
      </w:r>
    </w:p>
    <w:p w14:paraId="6C98E4D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企业“三废”排放达到国家排放标准；固体废物综合利用率达到35%以上，水循环利用率达到90%以上；土地复垦率超过60%，</w:t>
      </w:r>
      <w:r>
        <w:rPr>
          <w:rFonts w:hint="default" w:ascii="Times New Roman" w:hAnsi="Times New Roman" w:cs="Times New Roman"/>
          <w:color w:val="auto"/>
          <w:highlight w:val="none"/>
          <w:lang w:eastAsia="zh-CN"/>
        </w:rPr>
        <w:t>项目区</w:t>
      </w:r>
      <w:r>
        <w:rPr>
          <w:rFonts w:hint="default" w:ascii="Times New Roman" w:hAnsi="Times New Roman" w:cs="Times New Roman"/>
          <w:color w:val="auto"/>
          <w:highlight w:val="none"/>
        </w:rPr>
        <w:t>绿化覆盖率达到90%以上；千人伤亡率明显下降。</w:t>
      </w:r>
    </w:p>
    <w:p w14:paraId="60C5740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产生的</w:t>
      </w:r>
      <w:r>
        <w:rPr>
          <w:rFonts w:hint="default" w:ascii="Times New Roman" w:hAnsi="Times New Roman" w:cs="Times New Roman"/>
          <w:color w:val="auto"/>
          <w:highlight w:val="none"/>
        </w:rPr>
        <w:t>“三废”排放能够满足国家排放标准；固体废物及危险废物均能做到综合利用，且利用率达到</w:t>
      </w:r>
      <w:r>
        <w:rPr>
          <w:rFonts w:hint="default" w:ascii="Times New Roman" w:hAnsi="Times New Roman" w:cs="Times New Roman"/>
          <w:color w:val="auto"/>
          <w:highlight w:val="none"/>
          <w:lang w:val="en-US" w:eastAsia="zh-CN"/>
        </w:rPr>
        <w:t>60</w:t>
      </w:r>
      <w:r>
        <w:rPr>
          <w:rFonts w:hint="default" w:ascii="Times New Roman" w:hAnsi="Times New Roman" w:cs="Times New Roman"/>
          <w:color w:val="auto"/>
          <w:highlight w:val="none"/>
        </w:rPr>
        <w:t>%以上；选矿生产废水循环使用，生活污水</w:t>
      </w:r>
      <w:r>
        <w:rPr>
          <w:rFonts w:hint="default" w:ascii="Times New Roman" w:hAnsi="Times New Roman" w:cs="Times New Roman"/>
          <w:color w:val="auto"/>
          <w:highlight w:val="none"/>
          <w:lang w:eastAsia="zh-CN"/>
        </w:rPr>
        <w:t>经地埋式一体化污水处理设备处理后</w:t>
      </w:r>
      <w:r>
        <w:rPr>
          <w:rFonts w:hint="default" w:ascii="Times New Roman" w:hAnsi="Times New Roman" w:cs="Times New Roman"/>
          <w:color w:val="auto"/>
          <w:highlight w:val="none"/>
          <w:lang w:val="en-US" w:eastAsia="zh-CN"/>
        </w:rPr>
        <w:t>回用</w:t>
      </w:r>
      <w:r>
        <w:rPr>
          <w:rFonts w:hint="default" w:ascii="Times New Roman" w:hAnsi="Times New Roman" w:cs="Times New Roman"/>
          <w:color w:val="auto"/>
          <w:highlight w:val="none"/>
        </w:rPr>
        <w:t>，不外排。水循环利用率可以满足90%以上的要求；尾矿库服务期满后应予以闭库封场，并采取土地复垦方案进行生态恢复</w:t>
      </w:r>
      <w:r>
        <w:rPr>
          <w:rFonts w:hint="default" w:ascii="Times New Roman" w:hAnsi="Times New Roman" w:cs="Times New Roman"/>
          <w:color w:val="auto"/>
          <w:highlight w:val="none"/>
          <w:lang w:val="en-US" w:eastAsia="zh-CN"/>
        </w:rPr>
        <w:t>治理</w:t>
      </w:r>
      <w:r>
        <w:rPr>
          <w:rFonts w:hint="default" w:ascii="Times New Roman" w:hAnsi="Times New Roman" w:cs="Times New Roman"/>
          <w:color w:val="auto"/>
          <w:highlight w:val="none"/>
        </w:rPr>
        <w:t>，土地复垦率可以满足60%以上的要求</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绿化覆盖率达到90%以上。因此项目建设符合文件相关要求。</w:t>
      </w:r>
    </w:p>
    <w:p w14:paraId="7BF7E8B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（4）安全生产和职业危害防治全面改善。</w:t>
      </w:r>
    </w:p>
    <w:p w14:paraId="6978097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企业安全生产规模化、机械化、信息化水平大幅提高。工作场所职业危害告知率和警示标识设置率达到95%以上，职业健康保障水平全面提升。</w:t>
      </w:r>
    </w:p>
    <w:p w14:paraId="2AFA457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w:t>
      </w:r>
      <w:r>
        <w:rPr>
          <w:rFonts w:hint="default" w:ascii="Times New Roman" w:hAnsi="Times New Roman" w:cs="Times New Roman"/>
          <w:color w:val="auto"/>
          <w:highlight w:val="none"/>
          <w:lang w:val="en-US" w:eastAsia="zh-CN"/>
        </w:rPr>
        <w:t>间</w:t>
      </w:r>
      <w:r>
        <w:rPr>
          <w:rFonts w:hint="default" w:ascii="Times New Roman" w:hAnsi="Times New Roman" w:cs="Times New Roman"/>
          <w:color w:val="auto"/>
          <w:highlight w:val="none"/>
          <w:lang w:eastAsia="zh-CN"/>
        </w:rPr>
        <w:t>各</w:t>
      </w:r>
      <w:r>
        <w:rPr>
          <w:rFonts w:hint="default" w:ascii="Times New Roman" w:hAnsi="Times New Roman" w:cs="Times New Roman"/>
          <w:color w:val="auto"/>
          <w:highlight w:val="none"/>
        </w:rPr>
        <w:t>车间工作人员</w:t>
      </w:r>
      <w:r>
        <w:rPr>
          <w:rFonts w:hint="default" w:cs="Times New Roman"/>
          <w:color w:val="auto"/>
          <w:highlight w:val="none"/>
          <w:lang w:eastAsia="zh-CN"/>
        </w:rPr>
        <w:t>经过</w:t>
      </w:r>
      <w:r>
        <w:rPr>
          <w:rFonts w:hint="default" w:ascii="Times New Roman" w:hAnsi="Times New Roman" w:cs="Times New Roman"/>
          <w:color w:val="auto"/>
          <w:highlight w:val="none"/>
        </w:rPr>
        <w:t>技术培训后操作规范，选矿厂的各个车间、尾矿库及生活区均需设置相应的警示标识，设置率可以达到95%以</w:t>
      </w:r>
      <w:r>
        <w:rPr>
          <w:rFonts w:hint="default" w:ascii="Times New Roman" w:hAnsi="Times New Roman" w:cs="Times New Roman"/>
          <w:color w:val="auto"/>
          <w:highlight w:val="none"/>
          <w:lang w:eastAsia="zh-CN"/>
        </w:rPr>
        <w:t>上</w:t>
      </w:r>
      <w:r>
        <w:rPr>
          <w:rFonts w:hint="default" w:ascii="Times New Roman" w:hAnsi="Times New Roman" w:cs="Times New Roman"/>
          <w:color w:val="auto"/>
          <w:highlight w:val="none"/>
        </w:rPr>
        <w:t>。因此项目建设符合文件相关要求。</w:t>
      </w:r>
    </w:p>
    <w:p w14:paraId="3F65CCA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（5）改善职工及社区生产条件。</w:t>
      </w:r>
    </w:p>
    <w:p w14:paraId="67C15E5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普遍建立社区磋商和协调工作机制；职工工作环境和居住条件进一步改善，职工收入与企业效益协调增长并向采掘一线职工倾斜。</w:t>
      </w:r>
    </w:p>
    <w:p w14:paraId="2A10ABE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本项目配套建设职工</w:t>
      </w:r>
      <w:r>
        <w:rPr>
          <w:rFonts w:hint="default" w:ascii="Times New Roman" w:hAnsi="Times New Roman" w:cs="Times New Roman"/>
          <w:color w:val="auto"/>
          <w:highlight w:val="none"/>
          <w:lang w:val="en-US" w:eastAsia="zh-CN"/>
        </w:rPr>
        <w:t>办公</w:t>
      </w:r>
      <w:r>
        <w:rPr>
          <w:rFonts w:hint="default" w:ascii="Times New Roman" w:hAnsi="Times New Roman" w:cs="Times New Roman"/>
          <w:color w:val="auto"/>
          <w:highlight w:val="none"/>
        </w:rPr>
        <w:t>生活区，生活区主要包括食堂、</w:t>
      </w:r>
      <w:r>
        <w:rPr>
          <w:rFonts w:hint="default" w:ascii="Times New Roman" w:hAnsi="Times New Roman" w:cs="Times New Roman"/>
          <w:color w:val="auto"/>
          <w:szCs w:val="24"/>
          <w:highlight w:val="none"/>
        </w:rPr>
        <w:t>办公室、宿</w:t>
      </w:r>
      <w:r>
        <w:rPr>
          <w:rFonts w:hint="default" w:ascii="Times New Roman" w:hAnsi="Times New Roman" w:cs="Times New Roman"/>
          <w:color w:val="auto"/>
          <w:szCs w:val="24"/>
          <w:highlight w:val="none"/>
          <w:lang w:eastAsia="zh-CN"/>
        </w:rPr>
        <w:t>舍</w:t>
      </w:r>
      <w:r>
        <w:rPr>
          <w:rFonts w:hint="default" w:ascii="Times New Roman" w:hAnsi="Times New Roman" w:cs="Times New Roman"/>
          <w:color w:val="auto"/>
          <w:szCs w:val="24"/>
          <w:highlight w:val="none"/>
        </w:rPr>
        <w:t>等生活附属设施，居住条件得到改善，生活幸福指数增加。因此项目建设符合文件相关要求。</w:t>
      </w:r>
    </w:p>
    <w:p w14:paraId="1B2C191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与《关于“十四五”大宗固体废弃物综合利用的指导意见》符合性分析</w:t>
      </w:r>
    </w:p>
    <w:p w14:paraId="2D9D3B9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本项目产生的尾矿属于一般工业固体废物，按照</w:t>
      </w:r>
      <w:r>
        <w:rPr>
          <w:rFonts w:hint="default" w:ascii="Times New Roman" w:hAnsi="Times New Roman" w:cs="Times New Roman"/>
          <w:color w:val="auto"/>
          <w:highlight w:val="none"/>
        </w:rPr>
        <w:t>《关于“十四五”大宗固体废弃物综合利用的指导意见》</w:t>
      </w:r>
      <w:r>
        <w:rPr>
          <w:rFonts w:hint="default" w:ascii="Times New Roman" w:hAnsi="Times New Roman" w:cs="Times New Roman"/>
          <w:color w:val="auto"/>
          <w:highlight w:val="none"/>
          <w:lang w:val="en-US" w:eastAsia="zh-CN"/>
        </w:rPr>
        <w:t>指出：</w:t>
      </w:r>
      <w:r>
        <w:rPr>
          <w:rFonts w:hint="default" w:ascii="Times New Roman" w:hAnsi="Times New Roman" w:cs="Times New Roman"/>
          <w:color w:val="auto"/>
          <w:highlight w:val="none"/>
        </w:rPr>
        <w:t>“到2025年，煤矸石、粉煤灰、尾矿</w:t>
      </w:r>
      <w:r>
        <w:rPr>
          <w:rFonts w:hint="default" w:cs="Times New Roman"/>
          <w:color w:val="auto"/>
          <w:highlight w:val="none"/>
          <w:lang w:val="en-US" w:eastAsia="zh-CN"/>
        </w:rPr>
        <w:t xml:space="preserve"> </w:t>
      </w:r>
      <w:r>
        <w:rPr>
          <w:rFonts w:hint="default" w:ascii="Times New Roman" w:hAnsi="Times New Roman" w:cs="Times New Roman"/>
          <w:color w:val="auto"/>
          <w:highlight w:val="none"/>
        </w:rPr>
        <w:t>（共伴生矿）、冶炼渣、工业副产石膏、建筑垃圾、农作物秸秆等大宗固废的综合利用能力显著提升，利用规模不断扩大，新增大宗固废综合利用率达到60%，存量大宗固废有序减少”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建设单位将尾矿综合利用，部分用于回填采坑、其余堆存至尾矿库内，提供尾矿综合利用效率达60%。</w:t>
      </w:r>
      <w:r>
        <w:rPr>
          <w:rFonts w:hint="default" w:ascii="Times New Roman" w:hAnsi="Times New Roman" w:cs="Times New Roman"/>
          <w:color w:val="auto"/>
          <w:highlight w:val="none"/>
        </w:rPr>
        <w:t>本项目主要固体废物为尾矿，通过表3.</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分析可知，本项目建设符合该文件相关要求。</w:t>
      </w:r>
    </w:p>
    <w:p w14:paraId="45542902">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与《关于</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十四五</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大宗固体废弃物综合利用的指导意见》符合性分析</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5251"/>
        <w:gridCol w:w="2503"/>
        <w:gridCol w:w="959"/>
      </w:tblGrid>
      <w:tr w14:paraId="16DCA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111" w:type="pct"/>
            <w:gridSpan w:val="2"/>
            <w:noWrap w:val="0"/>
            <w:vAlign w:val="center"/>
          </w:tcPr>
          <w:p w14:paraId="541435C1">
            <w:pPr>
              <w:spacing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有关规定</w:t>
            </w:r>
          </w:p>
        </w:tc>
        <w:tc>
          <w:tcPr>
            <w:tcW w:w="1365" w:type="pct"/>
            <w:noWrap w:val="0"/>
            <w:vAlign w:val="center"/>
          </w:tcPr>
          <w:p w14:paraId="7BE255D5">
            <w:pPr>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项目情况</w:t>
            </w:r>
          </w:p>
        </w:tc>
        <w:tc>
          <w:tcPr>
            <w:tcW w:w="523" w:type="pct"/>
            <w:noWrap w:val="0"/>
            <w:vAlign w:val="center"/>
          </w:tcPr>
          <w:p w14:paraId="2FF4A7BC">
            <w:pPr>
              <w:spacing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相符性</w:t>
            </w:r>
          </w:p>
        </w:tc>
      </w:tr>
      <w:tr w14:paraId="1D81D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8" w:type="pct"/>
            <w:noWrap w:val="0"/>
            <w:vAlign w:val="center"/>
          </w:tcPr>
          <w:p w14:paraId="44F9938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w:t>
            </w:r>
          </w:p>
        </w:tc>
        <w:tc>
          <w:tcPr>
            <w:tcW w:w="2862" w:type="pct"/>
            <w:noWrap w:val="0"/>
            <w:vAlign w:val="center"/>
          </w:tcPr>
          <w:p w14:paraId="64176C7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依法依规推动已闭库尾矿库生态修复，未经批准不得擅自回采尾矿。</w:t>
            </w:r>
          </w:p>
        </w:tc>
        <w:tc>
          <w:tcPr>
            <w:tcW w:w="1365" w:type="pct"/>
            <w:noWrap w:val="0"/>
            <w:vAlign w:val="center"/>
          </w:tcPr>
          <w:p w14:paraId="47CEEE5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本项目产生尾矿</w:t>
            </w:r>
            <w:r>
              <w:rPr>
                <w:rFonts w:hint="default" w:ascii="Times New Roman" w:hAnsi="Times New Roman" w:cs="Times New Roman"/>
                <w:color w:val="auto"/>
                <w:sz w:val="21"/>
                <w:highlight w:val="none"/>
                <w:lang w:val="en-US" w:eastAsia="zh-CN"/>
              </w:rPr>
              <w:t>部分</w:t>
            </w:r>
            <w:r>
              <w:rPr>
                <w:rFonts w:hint="default" w:ascii="Times New Roman" w:hAnsi="Times New Roman" w:cs="Times New Roman"/>
                <w:color w:val="auto"/>
                <w:sz w:val="21"/>
                <w:highlight w:val="none"/>
              </w:rPr>
              <w:t>用于回填</w:t>
            </w:r>
            <w:r>
              <w:rPr>
                <w:rFonts w:hint="default" w:ascii="Times New Roman" w:hAnsi="Times New Roman" w:cs="Times New Roman"/>
                <w:color w:val="auto"/>
                <w:sz w:val="21"/>
                <w:highlight w:val="none"/>
                <w:lang w:eastAsia="zh-CN"/>
              </w:rPr>
              <w:t>采</w:t>
            </w:r>
            <w:r>
              <w:rPr>
                <w:rFonts w:hint="default" w:ascii="Times New Roman" w:hAnsi="Times New Roman" w:cs="Times New Roman"/>
                <w:color w:val="auto"/>
                <w:sz w:val="21"/>
                <w:highlight w:val="none"/>
                <w:lang w:val="en-US" w:eastAsia="zh-CN"/>
              </w:rPr>
              <w:t>坑</w:t>
            </w:r>
            <w:r>
              <w:rPr>
                <w:rFonts w:hint="default" w:ascii="Times New Roman" w:hAnsi="Times New Roman" w:cs="Times New Roman"/>
                <w:color w:val="auto"/>
                <w:sz w:val="21"/>
                <w:highlight w:val="none"/>
              </w:rPr>
              <w:t>，剩余进入尾矿库堆存，能够做到合理利用</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综合利用率可以达到</w:t>
            </w:r>
            <w:r>
              <w:rPr>
                <w:rFonts w:hint="default" w:ascii="Times New Roman" w:hAnsi="Times New Roman" w:cs="Times New Roman"/>
                <w:color w:val="auto"/>
                <w:sz w:val="21"/>
                <w:highlight w:val="none"/>
                <w:lang w:val="en-US" w:eastAsia="zh-CN"/>
              </w:rPr>
              <w:t>60</w:t>
            </w:r>
            <w:r>
              <w:rPr>
                <w:rFonts w:hint="default" w:ascii="Times New Roman" w:hAnsi="Times New Roman" w:cs="Times New Roman"/>
                <w:color w:val="auto"/>
                <w:sz w:val="21"/>
                <w:highlight w:val="none"/>
              </w:rPr>
              <w:t>%以上。</w:t>
            </w:r>
            <w:r>
              <w:rPr>
                <w:rFonts w:hint="default" w:ascii="Times New Roman" w:hAnsi="Times New Roman" w:cs="Times New Roman"/>
                <w:color w:val="auto"/>
                <w:sz w:val="21"/>
                <w:highlight w:val="none"/>
                <w:lang w:val="en-US" w:eastAsia="zh-CN"/>
              </w:rPr>
              <w:t>服务年限结束后</w:t>
            </w:r>
            <w:r>
              <w:rPr>
                <w:rFonts w:hint="default" w:ascii="Times New Roman" w:hAnsi="Times New Roman" w:cs="Times New Roman"/>
                <w:color w:val="auto"/>
                <w:sz w:val="21"/>
                <w:highlight w:val="none"/>
              </w:rPr>
              <w:t>依法依规推动闭库尾矿库生态修复，未经批准不得擅自回采尾矿。</w:t>
            </w:r>
          </w:p>
        </w:tc>
        <w:tc>
          <w:tcPr>
            <w:tcW w:w="523" w:type="pct"/>
            <w:noWrap w:val="0"/>
            <w:vAlign w:val="center"/>
          </w:tcPr>
          <w:p w14:paraId="4363BDCF">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389B9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8" w:type="pct"/>
            <w:noWrap w:val="0"/>
            <w:vAlign w:val="center"/>
          </w:tcPr>
          <w:p w14:paraId="631652E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建筑垃圾</w:t>
            </w:r>
          </w:p>
        </w:tc>
        <w:tc>
          <w:tcPr>
            <w:tcW w:w="2862" w:type="pct"/>
            <w:noWrap w:val="0"/>
            <w:vAlign w:val="center"/>
          </w:tcPr>
          <w:p w14:paraId="509904C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tc>
        <w:tc>
          <w:tcPr>
            <w:tcW w:w="1365" w:type="pct"/>
            <w:noWrap w:val="0"/>
            <w:vAlign w:val="center"/>
          </w:tcPr>
          <w:p w14:paraId="0E2E263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本项目施工期间产生的建筑垃圾进行分类收集和回收利用，由施工单位收集后堆放于指定地点，由施工</w:t>
            </w:r>
            <w:r>
              <w:rPr>
                <w:rFonts w:hint="default" w:ascii="Times New Roman" w:hAnsi="Times New Roman" w:cs="Times New Roman"/>
                <w:color w:val="auto"/>
                <w:sz w:val="21"/>
                <w:highlight w:val="none"/>
                <w:lang w:eastAsia="zh-CN"/>
              </w:rPr>
              <w:t>单位</w:t>
            </w:r>
            <w:r>
              <w:rPr>
                <w:rFonts w:hint="default" w:ascii="Times New Roman" w:hAnsi="Times New Roman" w:cs="Times New Roman"/>
                <w:color w:val="auto"/>
                <w:sz w:val="21"/>
                <w:highlight w:val="none"/>
              </w:rPr>
              <w:t>统一处理或用于土方平衡、筑路、</w:t>
            </w:r>
            <w:r>
              <w:rPr>
                <w:rFonts w:hint="default" w:ascii="Times New Roman" w:hAnsi="Times New Roman" w:cs="Times New Roman"/>
                <w:color w:val="auto"/>
                <w:sz w:val="21"/>
                <w:highlight w:val="none"/>
                <w:lang w:val="en-US" w:eastAsia="zh-CN"/>
              </w:rPr>
              <w:t>回填</w:t>
            </w:r>
            <w:r>
              <w:rPr>
                <w:rFonts w:hint="default" w:ascii="Times New Roman" w:hAnsi="Times New Roman" w:cs="Times New Roman"/>
                <w:color w:val="auto"/>
                <w:sz w:val="21"/>
                <w:highlight w:val="none"/>
              </w:rPr>
              <w:t>等，提高利用质量、扩大资源化利用。</w:t>
            </w:r>
          </w:p>
        </w:tc>
        <w:tc>
          <w:tcPr>
            <w:tcW w:w="523" w:type="pct"/>
            <w:noWrap w:val="0"/>
            <w:vAlign w:val="center"/>
          </w:tcPr>
          <w:p w14:paraId="06D220F5">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bl>
    <w:p w14:paraId="19F11A0E">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与《黄金行业绿色矿山建设规范》符合性分析</w:t>
      </w:r>
    </w:p>
    <w:p w14:paraId="6F93780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eastAsia="宋体" w:cs="Times New Roman"/>
          <w:color w:val="auto"/>
          <w:szCs w:val="24"/>
          <w:highlight w:val="none"/>
          <w:shd w:val="clear" w:color="auto" w:fill="FFFFFF"/>
        </w:rPr>
        <w:t>国土资源部</w:t>
      </w:r>
      <w:r>
        <w:rPr>
          <w:rFonts w:hint="default" w:ascii="Times New Roman" w:hAnsi="Times New Roman" w:cs="Times New Roman"/>
          <w:color w:val="auto"/>
          <w:szCs w:val="24"/>
          <w:highlight w:val="none"/>
          <w:shd w:val="clear" w:color="auto" w:fill="FFFFFF"/>
        </w:rPr>
        <w:t>2018年6月22日发布的《黄金行业绿色矿山建设规范》（DZ/T0314-2018），与该文件符合性见表3.</w:t>
      </w:r>
      <w:r>
        <w:rPr>
          <w:rFonts w:hint="default" w:ascii="Times New Roman" w:hAnsi="Times New Roman" w:cs="Times New Roman"/>
          <w:color w:val="auto"/>
          <w:szCs w:val="24"/>
          <w:highlight w:val="none"/>
          <w:shd w:val="clear" w:color="auto" w:fill="FFFFFF"/>
          <w:lang w:val="en-US" w:eastAsia="zh-CN"/>
        </w:rPr>
        <w:t>6</w:t>
      </w:r>
      <w:r>
        <w:rPr>
          <w:rFonts w:hint="default" w:ascii="Times New Roman" w:hAnsi="Times New Roman" w:cs="Times New Roman"/>
          <w:color w:val="auto"/>
          <w:szCs w:val="24"/>
          <w:highlight w:val="none"/>
          <w:shd w:val="clear" w:color="auto" w:fill="FFFFFF"/>
        </w:rPr>
        <w:t>-</w:t>
      </w:r>
      <w:r>
        <w:rPr>
          <w:rFonts w:hint="default" w:ascii="Times New Roman" w:hAnsi="Times New Roman" w:cs="Times New Roman"/>
          <w:color w:val="auto"/>
          <w:szCs w:val="24"/>
          <w:highlight w:val="none"/>
          <w:shd w:val="clear" w:color="auto" w:fill="FFFFFF"/>
          <w:lang w:val="en-US" w:eastAsia="zh-CN"/>
        </w:rPr>
        <w:t>7</w:t>
      </w:r>
      <w:r>
        <w:rPr>
          <w:rFonts w:hint="default" w:ascii="Times New Roman" w:hAnsi="Times New Roman" w:cs="Times New Roman"/>
          <w:color w:val="auto"/>
          <w:szCs w:val="24"/>
          <w:highlight w:val="none"/>
          <w:shd w:val="clear" w:color="auto" w:fill="FFFFFF"/>
        </w:rPr>
        <w:t>。</w:t>
      </w:r>
    </w:p>
    <w:p w14:paraId="37BF6D15">
      <w:pPr>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rPr>
        <w:t xml:space="preserve">    与《黄金行业绿色矿山建设规范》符合性分析</w:t>
      </w:r>
      <w:r>
        <w:rPr>
          <w:rFonts w:hint="default" w:ascii="Times New Roman" w:hAnsi="Times New Roman" w:cs="Times New Roman"/>
          <w:b/>
          <w:bCs/>
          <w:color w:val="auto"/>
          <w:highlight w:val="none"/>
          <w:lang w:eastAsia="zh-CN"/>
        </w:rPr>
        <w:t>一览表</w:t>
      </w:r>
    </w:p>
    <w:tbl>
      <w:tblPr>
        <w:tblStyle w:val="34"/>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4193"/>
        <w:gridCol w:w="3509"/>
        <w:gridCol w:w="1018"/>
      </w:tblGrid>
      <w:tr w14:paraId="4AC84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530" w:type="pct"/>
            <w:gridSpan w:val="2"/>
            <w:noWrap w:val="0"/>
            <w:vAlign w:val="center"/>
          </w:tcPr>
          <w:p w14:paraId="1B87227D">
            <w:pPr>
              <w:spacing w:line="360" w:lineRule="exact"/>
              <w:ind w:firstLine="0" w:firstLineChars="0"/>
              <w:jc w:val="center"/>
              <w:rPr>
                <w:rFonts w:hint="default" w:ascii="Times New Roman" w:hAnsi="Times New Roman" w:eastAsia="宋体" w:cs="Times New Roman"/>
                <w:b/>
                <w:bCs/>
                <w:color w:val="auto"/>
                <w:sz w:val="21"/>
                <w:highlight w:val="none"/>
                <w:lang w:eastAsia="zh-CN"/>
              </w:rPr>
            </w:pPr>
            <w:r>
              <w:rPr>
                <w:rFonts w:hint="default" w:ascii="Times New Roman" w:hAnsi="Times New Roman" w:cs="Times New Roman"/>
                <w:b/>
                <w:bCs/>
                <w:color w:val="auto"/>
                <w:sz w:val="21"/>
                <w:highlight w:val="none"/>
                <w:lang w:val="en-US" w:eastAsia="zh-CN"/>
              </w:rPr>
              <w:t>有关规定</w:t>
            </w:r>
          </w:p>
        </w:tc>
        <w:tc>
          <w:tcPr>
            <w:tcW w:w="1913" w:type="pct"/>
            <w:noWrap w:val="0"/>
            <w:vAlign w:val="center"/>
          </w:tcPr>
          <w:p w14:paraId="0B9D2C74">
            <w:pPr>
              <w:spacing w:line="360" w:lineRule="exact"/>
              <w:ind w:firstLine="0" w:firstLineChars="0"/>
              <w:jc w:val="center"/>
              <w:rPr>
                <w:rFonts w:hint="default" w:ascii="Times New Roman" w:hAnsi="Times New Roman" w:eastAsia="宋体"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项目情况</w:t>
            </w:r>
          </w:p>
        </w:tc>
        <w:tc>
          <w:tcPr>
            <w:tcW w:w="555" w:type="pct"/>
            <w:noWrap w:val="0"/>
            <w:vAlign w:val="center"/>
          </w:tcPr>
          <w:p w14:paraId="6BB1C366">
            <w:pPr>
              <w:spacing w:line="360" w:lineRule="exact"/>
              <w:ind w:firstLine="0" w:firstLineChars="0"/>
              <w:jc w:val="center"/>
              <w:rPr>
                <w:rFonts w:hint="default" w:ascii="Times New Roman" w:hAnsi="Times New Roman" w:cs="Times New Roman"/>
                <w:b/>
                <w:bCs/>
                <w:color w:val="auto"/>
                <w:sz w:val="21"/>
                <w:highlight w:val="none"/>
                <w:lang w:val="en-US" w:eastAsia="zh-CN"/>
              </w:rPr>
            </w:pPr>
            <w:r>
              <w:rPr>
                <w:rFonts w:hint="default" w:ascii="Times New Roman" w:hAnsi="Times New Roman" w:cs="Times New Roman"/>
                <w:b/>
                <w:bCs/>
                <w:color w:val="auto"/>
                <w:sz w:val="21"/>
                <w:highlight w:val="none"/>
                <w:lang w:val="en-US" w:eastAsia="zh-CN"/>
              </w:rPr>
              <w:t>相符性</w:t>
            </w:r>
          </w:p>
        </w:tc>
      </w:tr>
      <w:tr w14:paraId="3420D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restart"/>
            <w:noWrap w:val="0"/>
            <w:vAlign w:val="center"/>
          </w:tcPr>
          <w:p w14:paraId="5C1AC3C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项目区</w:t>
            </w:r>
            <w:r>
              <w:rPr>
                <w:rFonts w:hint="default" w:ascii="Times New Roman" w:hAnsi="Times New Roman" w:cs="Times New Roman"/>
                <w:color w:val="auto"/>
                <w:sz w:val="21"/>
                <w:highlight w:val="none"/>
              </w:rPr>
              <w:t>环境</w:t>
            </w:r>
          </w:p>
        </w:tc>
        <w:tc>
          <w:tcPr>
            <w:tcW w:w="2285" w:type="pct"/>
            <w:noWrap w:val="0"/>
            <w:vAlign w:val="center"/>
          </w:tcPr>
          <w:p w14:paraId="2BAA30C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项目区</w:t>
            </w:r>
            <w:r>
              <w:rPr>
                <w:rFonts w:hint="default" w:ascii="Times New Roman" w:hAnsi="Times New Roman" w:cs="Times New Roman"/>
                <w:color w:val="auto"/>
                <w:sz w:val="21"/>
                <w:highlight w:val="none"/>
              </w:rPr>
              <w:t>地面运输、供水、供电、卫生、环保等配套设施齐全；在生产区应设置操作提示牌、说明牌、线路示意图牌等标牌，标牌符合GB/T 13306的规定；在道路交叉口、井口、矿坑、生产车间等需警示安全的区域应设置安全标志，安全标志符合GB 14161的规定。</w:t>
            </w:r>
          </w:p>
        </w:tc>
        <w:tc>
          <w:tcPr>
            <w:tcW w:w="1913" w:type="pct"/>
            <w:noWrap w:val="0"/>
            <w:vAlign w:val="center"/>
          </w:tcPr>
          <w:p w14:paraId="3BD9481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本项目地面运输、供水、供电、卫生、环保等配套设施齐全，生产区</w:t>
            </w:r>
            <w:r>
              <w:rPr>
                <w:rFonts w:hint="default" w:ascii="Times New Roman" w:hAnsi="Times New Roman" w:cs="Times New Roman"/>
                <w:color w:val="auto"/>
                <w:sz w:val="21"/>
                <w:highlight w:val="none"/>
                <w:lang w:val="en-US" w:eastAsia="zh-CN"/>
              </w:rPr>
              <w:t>需</w:t>
            </w:r>
            <w:r>
              <w:rPr>
                <w:rFonts w:hint="default" w:ascii="Times New Roman" w:hAnsi="Times New Roman" w:cs="Times New Roman"/>
                <w:color w:val="auto"/>
                <w:sz w:val="21"/>
                <w:highlight w:val="none"/>
              </w:rPr>
              <w:t>设置操作提示牌、说明牌、线路示意图牌等标牌，对道路交叉口、尾矿库等区域</w:t>
            </w:r>
            <w:r>
              <w:rPr>
                <w:rFonts w:hint="default" w:ascii="Times New Roman" w:hAnsi="Times New Roman" w:cs="Times New Roman"/>
                <w:color w:val="auto"/>
                <w:sz w:val="21"/>
                <w:highlight w:val="none"/>
                <w:lang w:val="en-US" w:eastAsia="zh-CN"/>
              </w:rPr>
              <w:t>需</w:t>
            </w:r>
            <w:r>
              <w:rPr>
                <w:rFonts w:hint="default" w:ascii="Times New Roman" w:hAnsi="Times New Roman" w:cs="Times New Roman"/>
                <w:color w:val="auto"/>
                <w:sz w:val="21"/>
                <w:highlight w:val="none"/>
              </w:rPr>
              <w:t>设置安全标志、提示牌。</w:t>
            </w:r>
          </w:p>
        </w:tc>
        <w:tc>
          <w:tcPr>
            <w:tcW w:w="555" w:type="pct"/>
            <w:noWrap w:val="0"/>
            <w:vAlign w:val="center"/>
          </w:tcPr>
          <w:p w14:paraId="63D5E7F6">
            <w:pPr>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符合</w:t>
            </w:r>
          </w:p>
        </w:tc>
      </w:tr>
      <w:tr w14:paraId="110E4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522DB9D3">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5981F86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矿山生产过程中应采取喷雾、洒水、加设除尘器等措施处置粉尘，保持</w:t>
            </w:r>
            <w:r>
              <w:rPr>
                <w:rFonts w:hint="default" w:ascii="Times New Roman" w:hAnsi="Times New Roman" w:cs="Times New Roman"/>
                <w:color w:val="auto"/>
                <w:sz w:val="21"/>
                <w:highlight w:val="none"/>
                <w:lang w:eastAsia="zh-CN"/>
              </w:rPr>
              <w:t>项目区</w:t>
            </w:r>
            <w:r>
              <w:rPr>
                <w:rFonts w:hint="default" w:ascii="Times New Roman" w:hAnsi="Times New Roman" w:cs="Times New Roman"/>
                <w:color w:val="auto"/>
                <w:sz w:val="21"/>
                <w:highlight w:val="none"/>
              </w:rPr>
              <w:t>环境卫生整洁，工作场所粉尘浓度应符合GBZ 2.1规定的粉尘容许浓度要求。</w:t>
            </w:r>
          </w:p>
        </w:tc>
        <w:tc>
          <w:tcPr>
            <w:tcW w:w="1913" w:type="pct"/>
            <w:noWrap w:val="0"/>
            <w:vAlign w:val="center"/>
          </w:tcPr>
          <w:p w14:paraId="656A3D9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w:t>
            </w:r>
            <w:r>
              <w:rPr>
                <w:rFonts w:hint="default" w:ascii="Times New Roman" w:hAnsi="Times New Roman" w:cs="Times New Roman"/>
                <w:color w:val="auto"/>
                <w:sz w:val="21"/>
                <w:highlight w:val="none"/>
                <w:lang w:val="en-US" w:eastAsia="zh-CN"/>
              </w:rPr>
              <w:t>碎磨系统</w:t>
            </w:r>
            <w:r>
              <w:rPr>
                <w:rFonts w:hint="default" w:ascii="Times New Roman" w:hAnsi="Times New Roman" w:cs="Times New Roman"/>
                <w:color w:val="auto"/>
                <w:sz w:val="21"/>
                <w:highlight w:val="none"/>
              </w:rPr>
              <w:t>采取</w:t>
            </w:r>
            <w:r>
              <w:rPr>
                <w:rFonts w:hint="default" w:ascii="Times New Roman" w:hAnsi="Times New Roman" w:cs="Times New Roman"/>
                <w:color w:val="auto"/>
                <w:sz w:val="21"/>
                <w:highlight w:val="none"/>
                <w:lang w:val="en-US" w:eastAsia="zh-CN"/>
              </w:rPr>
              <w:t>集气罩收集后通过布袋除尘器处理，由15m高排气筒</w:t>
            </w:r>
            <w:r>
              <w:rPr>
                <w:rFonts w:hint="default" w:ascii="Times New Roman" w:hAnsi="Times New Roman" w:cs="Times New Roman"/>
                <w:color w:val="auto"/>
                <w:sz w:val="21"/>
                <w:highlight w:val="none"/>
              </w:rPr>
              <w:t>达标</w:t>
            </w:r>
            <w:r>
              <w:rPr>
                <w:rFonts w:hint="default" w:ascii="Times New Roman" w:hAnsi="Times New Roman" w:cs="Times New Roman"/>
                <w:color w:val="auto"/>
                <w:sz w:val="21"/>
                <w:highlight w:val="none"/>
                <w:lang w:val="en-US" w:eastAsia="zh-CN"/>
              </w:rPr>
              <w:t>排放</w:t>
            </w:r>
            <w:r>
              <w:rPr>
                <w:rFonts w:hint="default" w:ascii="Times New Roman" w:hAnsi="Times New Roman" w:cs="Times New Roman"/>
                <w:color w:val="auto"/>
                <w:sz w:val="21"/>
                <w:highlight w:val="none"/>
              </w:rPr>
              <w:t>；无组织</w:t>
            </w:r>
            <w:r>
              <w:rPr>
                <w:rFonts w:hint="default" w:ascii="Times New Roman" w:hAnsi="Times New Roman" w:cs="Times New Roman"/>
                <w:color w:val="auto"/>
                <w:sz w:val="21"/>
                <w:highlight w:val="none"/>
                <w:lang w:val="en-US" w:eastAsia="zh-CN"/>
              </w:rPr>
              <w:t>废气</w:t>
            </w:r>
            <w:r>
              <w:rPr>
                <w:rFonts w:hint="default" w:ascii="Times New Roman" w:hAnsi="Times New Roman" w:cs="Times New Roman"/>
                <w:color w:val="auto"/>
                <w:sz w:val="21"/>
                <w:highlight w:val="none"/>
              </w:rPr>
              <w:t>采取</w:t>
            </w:r>
            <w:r>
              <w:rPr>
                <w:rFonts w:hint="default" w:ascii="Times New Roman" w:hAnsi="Times New Roman" w:eastAsia="宋体" w:cs="Times New Roman"/>
                <w:color w:val="auto"/>
                <w:spacing w:val="0"/>
                <w:sz w:val="21"/>
                <w:szCs w:val="21"/>
                <w:highlight w:val="none"/>
                <w:lang w:val="en-US" w:eastAsia="zh-CN"/>
              </w:rPr>
              <w:t>机械通风换气、</w:t>
            </w:r>
            <w:r>
              <w:rPr>
                <w:rFonts w:hint="default" w:ascii="Times New Roman" w:hAnsi="Times New Roman" w:cs="Times New Roman"/>
                <w:color w:val="auto"/>
                <w:sz w:val="21"/>
                <w:highlight w:val="none"/>
              </w:rPr>
              <w:t>洒水降尘，降低作业高度等措施，能够满足排放标准的要求。</w:t>
            </w:r>
          </w:p>
        </w:tc>
        <w:tc>
          <w:tcPr>
            <w:tcW w:w="555" w:type="pct"/>
            <w:noWrap w:val="0"/>
            <w:vAlign w:val="center"/>
          </w:tcPr>
          <w:p w14:paraId="4AE260C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511EA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621EF566">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6E7B965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尾矿等固体废弃物外运时应采取防尘措施，氰渣外运时还应采取防雨及防渗（漏）等措施。</w:t>
            </w:r>
          </w:p>
        </w:tc>
        <w:tc>
          <w:tcPr>
            <w:tcW w:w="1913" w:type="pct"/>
            <w:noWrap w:val="0"/>
            <w:vAlign w:val="center"/>
          </w:tcPr>
          <w:p w14:paraId="61581C5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本项目尾矿经管道输送至尾矿库，尾矿库</w:t>
            </w:r>
            <w:r>
              <w:rPr>
                <w:rFonts w:hint="default" w:ascii="Times New Roman" w:hAnsi="Times New Roman" w:cs="Times New Roman"/>
                <w:color w:val="auto"/>
                <w:sz w:val="21"/>
                <w:highlight w:val="none"/>
                <w:lang w:val="en-US" w:eastAsia="zh-CN"/>
              </w:rPr>
              <w:t>干滩</w:t>
            </w:r>
            <w:r>
              <w:rPr>
                <w:rFonts w:hint="default" w:ascii="Times New Roman" w:hAnsi="Times New Roman" w:cs="Times New Roman"/>
                <w:color w:val="auto"/>
                <w:sz w:val="21"/>
                <w:highlight w:val="none"/>
              </w:rPr>
              <w:t>扬尘采取</w:t>
            </w:r>
            <w:r>
              <w:rPr>
                <w:rFonts w:hint="default" w:ascii="Times New Roman" w:hAnsi="Times New Roman" w:cs="Times New Roman"/>
                <w:color w:val="auto"/>
                <w:sz w:val="21"/>
                <w:highlight w:val="none"/>
                <w:lang w:val="en-US" w:eastAsia="zh-CN"/>
              </w:rPr>
              <w:t>洒水降尘措施</w:t>
            </w:r>
            <w:r>
              <w:rPr>
                <w:rFonts w:hint="default" w:ascii="Times New Roman" w:hAnsi="Times New Roman" w:cs="Times New Roman"/>
                <w:color w:val="auto"/>
                <w:sz w:val="21"/>
                <w:highlight w:val="none"/>
              </w:rPr>
              <w:t>可有效减少粉尘排放。尾矿库全库采取防渗措施后对周围环境影响较小。</w:t>
            </w:r>
          </w:p>
        </w:tc>
        <w:tc>
          <w:tcPr>
            <w:tcW w:w="555" w:type="pct"/>
            <w:noWrap w:val="0"/>
            <w:vAlign w:val="center"/>
          </w:tcPr>
          <w:p w14:paraId="06B2DE0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081FC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3669397C">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5D3CE90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应采用合理有效的技术措施对高噪音设备进行降噪处理，工作场所噪声接触限值应符合GBZ 2.2的规定，工业企业厂界噪声排放限值应符合GB 12348的规定，建筑施工场界噪声排放限值应符合GB 12523的规定。</w:t>
            </w:r>
          </w:p>
        </w:tc>
        <w:tc>
          <w:tcPr>
            <w:tcW w:w="1913" w:type="pct"/>
            <w:noWrap w:val="0"/>
            <w:vAlign w:val="center"/>
          </w:tcPr>
          <w:p w14:paraId="28B035CD">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本项目选用装备先进的低噪音设备，采取适当的</w:t>
            </w:r>
            <w:r>
              <w:rPr>
                <w:rFonts w:hint="default" w:ascii="Times New Roman" w:hAnsi="Times New Roman" w:cs="Times New Roman"/>
                <w:color w:val="auto"/>
                <w:sz w:val="21"/>
                <w:highlight w:val="none"/>
                <w:lang w:val="en-US" w:eastAsia="zh-CN"/>
              </w:rPr>
              <w:t>消声、隔声、</w:t>
            </w:r>
            <w:r>
              <w:rPr>
                <w:rFonts w:hint="default" w:ascii="Times New Roman" w:hAnsi="Times New Roman" w:cs="Times New Roman"/>
                <w:color w:val="auto"/>
                <w:sz w:val="21"/>
                <w:highlight w:val="none"/>
              </w:rPr>
              <w:t>隔音罩</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吸声等降噪</w:t>
            </w:r>
            <w:r>
              <w:rPr>
                <w:rFonts w:hint="default" w:ascii="Times New Roman" w:hAnsi="Times New Roman" w:cs="Times New Roman"/>
                <w:color w:val="auto"/>
                <w:sz w:val="21"/>
                <w:highlight w:val="none"/>
              </w:rPr>
              <w:t>措施。工业企业厂界噪声排放限值符合GB12348的规定</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建筑施工场界噪声排放限值应符合GB12523的规定。</w:t>
            </w:r>
          </w:p>
        </w:tc>
        <w:tc>
          <w:tcPr>
            <w:tcW w:w="555" w:type="pct"/>
            <w:noWrap w:val="0"/>
            <w:vAlign w:val="center"/>
          </w:tcPr>
          <w:p w14:paraId="6371FB1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2E8A4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353CF40B">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1A11CA5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项目区</w:t>
            </w:r>
            <w:r>
              <w:rPr>
                <w:rFonts w:hint="default" w:ascii="Times New Roman" w:hAnsi="Times New Roman" w:cs="Times New Roman"/>
                <w:color w:val="auto"/>
                <w:sz w:val="21"/>
                <w:highlight w:val="none"/>
              </w:rPr>
              <w:t>绿化应与周边自然环境和景观相协调，绿化植物搭配合理，</w:t>
            </w:r>
            <w:r>
              <w:rPr>
                <w:rFonts w:hint="default" w:ascii="Times New Roman" w:hAnsi="Times New Roman" w:cs="Times New Roman"/>
                <w:color w:val="auto"/>
                <w:sz w:val="21"/>
                <w:highlight w:val="none"/>
                <w:lang w:eastAsia="zh-CN"/>
              </w:rPr>
              <w:t>项目区</w:t>
            </w:r>
            <w:r>
              <w:rPr>
                <w:rFonts w:hint="default" w:ascii="Times New Roman" w:hAnsi="Times New Roman" w:cs="Times New Roman"/>
                <w:color w:val="auto"/>
                <w:sz w:val="21"/>
                <w:highlight w:val="none"/>
              </w:rPr>
              <w:t>绿化覆盖率应达到100%。</w:t>
            </w:r>
          </w:p>
        </w:tc>
        <w:tc>
          <w:tcPr>
            <w:tcW w:w="1913" w:type="pct"/>
            <w:noWrap w:val="0"/>
            <w:vAlign w:val="center"/>
          </w:tcPr>
          <w:p w14:paraId="7506C0F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项目</w:t>
            </w:r>
            <w:r>
              <w:rPr>
                <w:rFonts w:hint="default" w:ascii="Times New Roman" w:hAnsi="Times New Roman" w:cs="Times New Roman"/>
                <w:color w:val="auto"/>
                <w:sz w:val="21"/>
                <w:highlight w:val="none"/>
                <w:lang w:val="en-US" w:eastAsia="zh-CN"/>
              </w:rPr>
              <w:t>投入生产</w:t>
            </w:r>
            <w:r>
              <w:rPr>
                <w:rFonts w:hint="default" w:ascii="Times New Roman" w:hAnsi="Times New Roman" w:cs="Times New Roman"/>
                <w:color w:val="auto"/>
                <w:sz w:val="21"/>
                <w:highlight w:val="none"/>
              </w:rPr>
              <w:t>后，采取生态保护措施后能够做到与周围环境与景观相协调，绿化覆盖率应达到可绿化区域的100%。</w:t>
            </w:r>
          </w:p>
        </w:tc>
        <w:tc>
          <w:tcPr>
            <w:tcW w:w="555" w:type="pct"/>
            <w:noWrap w:val="0"/>
            <w:vAlign w:val="center"/>
          </w:tcPr>
          <w:p w14:paraId="31BB86E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4C55B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4542CD4C">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69EC3AA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应对已闭库的尾矿库、露天开采矿山的排土场进行复垦及绿化，</w:t>
            </w:r>
            <w:r>
              <w:rPr>
                <w:rFonts w:hint="default" w:ascii="Times New Roman" w:hAnsi="Times New Roman" w:cs="Times New Roman"/>
                <w:color w:val="auto"/>
                <w:sz w:val="21"/>
                <w:highlight w:val="none"/>
                <w:lang w:eastAsia="zh-CN"/>
              </w:rPr>
              <w:t>项目区</w:t>
            </w:r>
            <w:r>
              <w:rPr>
                <w:rFonts w:hint="default" w:ascii="Times New Roman" w:hAnsi="Times New Roman" w:cs="Times New Roman"/>
                <w:color w:val="auto"/>
                <w:sz w:val="21"/>
                <w:highlight w:val="none"/>
              </w:rPr>
              <w:t>专用道路两侧因地制宜设置隔离绿化带。</w:t>
            </w:r>
          </w:p>
        </w:tc>
        <w:tc>
          <w:tcPr>
            <w:tcW w:w="1913" w:type="pct"/>
            <w:noWrap w:val="0"/>
            <w:vAlign w:val="center"/>
          </w:tcPr>
          <w:p w14:paraId="2F80F5F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本项目为新建尾矿库，尾矿库服务期满后</w:t>
            </w:r>
            <w:r>
              <w:rPr>
                <w:rFonts w:hint="default" w:ascii="Times New Roman" w:hAnsi="Times New Roman" w:cs="Times New Roman"/>
                <w:color w:val="auto"/>
                <w:sz w:val="21"/>
                <w:highlight w:val="none"/>
              </w:rPr>
              <w:t>进行闭库，并进行土地复垦及绿化；</w:t>
            </w:r>
            <w:r>
              <w:rPr>
                <w:rFonts w:hint="default" w:ascii="Times New Roman" w:hAnsi="Times New Roman" w:cs="Times New Roman"/>
                <w:color w:val="auto"/>
                <w:sz w:val="21"/>
                <w:highlight w:val="none"/>
                <w:lang w:val="en-US" w:eastAsia="zh-CN"/>
              </w:rPr>
              <w:t>因地制宜</w:t>
            </w:r>
            <w:r>
              <w:rPr>
                <w:rFonts w:hint="default" w:ascii="Times New Roman" w:hAnsi="Times New Roman" w:cs="Times New Roman"/>
                <w:color w:val="auto"/>
                <w:sz w:val="21"/>
                <w:highlight w:val="none"/>
              </w:rPr>
              <w:t>设置隔离绿化带。</w:t>
            </w:r>
          </w:p>
        </w:tc>
        <w:tc>
          <w:tcPr>
            <w:tcW w:w="555" w:type="pct"/>
            <w:noWrap w:val="0"/>
            <w:vAlign w:val="center"/>
          </w:tcPr>
          <w:p w14:paraId="41B3ABA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79494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restart"/>
            <w:noWrap w:val="0"/>
            <w:vAlign w:val="center"/>
          </w:tcPr>
          <w:p w14:paraId="401C3B1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资源开发方式</w:t>
            </w:r>
          </w:p>
        </w:tc>
        <w:tc>
          <w:tcPr>
            <w:tcW w:w="2285" w:type="pct"/>
            <w:noWrap w:val="0"/>
            <w:vAlign w:val="center"/>
          </w:tcPr>
          <w:p w14:paraId="3B3E865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4"/>
                <w:highlight w:val="none"/>
              </w:rPr>
              <w:t>资源开发应与环境保护、资源保护、城乡建设相协调，最大限度减少对自然环境的扰动和破坏，选择资源节约型、环境友好型开发方式。</w:t>
            </w:r>
          </w:p>
        </w:tc>
        <w:tc>
          <w:tcPr>
            <w:tcW w:w="1913" w:type="pct"/>
            <w:noWrap w:val="0"/>
            <w:vAlign w:val="center"/>
          </w:tcPr>
          <w:p w14:paraId="731E41A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项目</w:t>
            </w:r>
            <w:r>
              <w:rPr>
                <w:rFonts w:hint="default" w:ascii="Times New Roman" w:hAnsi="Times New Roman" w:cs="Times New Roman"/>
                <w:color w:val="auto"/>
                <w:sz w:val="21"/>
                <w:highlight w:val="none"/>
                <w:lang w:val="en-US" w:eastAsia="zh-CN"/>
              </w:rPr>
              <w:t>投入生产后</w:t>
            </w:r>
            <w:r>
              <w:rPr>
                <w:rFonts w:hint="default" w:ascii="Times New Roman" w:hAnsi="Times New Roman" w:cs="Times New Roman"/>
                <w:color w:val="auto"/>
                <w:sz w:val="21"/>
                <w:highlight w:val="none"/>
              </w:rPr>
              <w:t>，采取生态环境保护措施后</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做到</w:t>
            </w:r>
            <w:r>
              <w:rPr>
                <w:rFonts w:hint="default" w:ascii="Times New Roman" w:hAnsi="Times New Roman" w:cs="Times New Roman"/>
                <w:color w:val="auto"/>
                <w:sz w:val="21"/>
                <w:highlight w:val="none"/>
              </w:rPr>
              <w:t>与周围生境</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景观相互协调。</w:t>
            </w:r>
          </w:p>
        </w:tc>
        <w:tc>
          <w:tcPr>
            <w:tcW w:w="555" w:type="pct"/>
            <w:noWrap w:val="0"/>
            <w:vAlign w:val="center"/>
          </w:tcPr>
          <w:p w14:paraId="54C4399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79AAF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14758D8D">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2573FD0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4"/>
                <w:highlight w:val="none"/>
              </w:rPr>
              <w:t>根据矿体赋存条件、矿石性质和</w:t>
            </w:r>
            <w:r>
              <w:rPr>
                <w:rFonts w:hint="default" w:ascii="Times New Roman" w:hAnsi="Times New Roman" w:cs="Times New Roman"/>
                <w:color w:val="auto"/>
                <w:sz w:val="21"/>
                <w:szCs w:val="24"/>
                <w:highlight w:val="none"/>
                <w:lang w:eastAsia="zh-CN"/>
              </w:rPr>
              <w:t>项目区</w:t>
            </w:r>
            <w:r>
              <w:rPr>
                <w:rFonts w:hint="default" w:ascii="Times New Roman" w:hAnsi="Times New Roman" w:cs="Times New Roman"/>
                <w:color w:val="auto"/>
                <w:sz w:val="21"/>
                <w:szCs w:val="24"/>
                <w:highlight w:val="none"/>
              </w:rPr>
              <w:t>生态环境等特征，因地制宜选择采选工艺。优先选择对</w:t>
            </w:r>
            <w:r>
              <w:rPr>
                <w:rFonts w:hint="default" w:ascii="Times New Roman" w:hAnsi="Times New Roman" w:cs="Times New Roman"/>
                <w:color w:val="auto"/>
                <w:sz w:val="21"/>
                <w:szCs w:val="24"/>
                <w:highlight w:val="none"/>
                <w:lang w:eastAsia="zh-CN"/>
              </w:rPr>
              <w:t>项目区</w:t>
            </w:r>
            <w:r>
              <w:rPr>
                <w:rFonts w:hint="default" w:ascii="Times New Roman" w:hAnsi="Times New Roman" w:cs="Times New Roman"/>
                <w:color w:val="auto"/>
                <w:sz w:val="21"/>
                <w:szCs w:val="24"/>
                <w:highlight w:val="none"/>
              </w:rPr>
              <w:t>生态扰动和影响小、资源利用率高、废物产生量小、水重复利用率高的采、选工艺技术与装备，符合清洁生产要求。</w:t>
            </w:r>
          </w:p>
        </w:tc>
        <w:tc>
          <w:tcPr>
            <w:tcW w:w="1913" w:type="pct"/>
            <w:noWrap w:val="0"/>
            <w:vAlign w:val="center"/>
          </w:tcPr>
          <w:p w14:paraId="51A991A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本项目采用碎磨</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浮选的选矿</w:t>
            </w:r>
            <w:r>
              <w:rPr>
                <w:rFonts w:hint="default" w:ascii="Times New Roman" w:hAnsi="Times New Roman" w:cs="Times New Roman"/>
                <w:color w:val="auto"/>
                <w:sz w:val="21"/>
                <w:highlight w:val="none"/>
              </w:rPr>
              <w:t>工艺</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szCs w:val="24"/>
                <w:highlight w:val="none"/>
              </w:rPr>
              <w:t>选择对生态扰动和影响小、资源利用率高、废物产生量小、水重复利用率高的采、选工艺技术与装备，</w:t>
            </w:r>
            <w:r>
              <w:rPr>
                <w:rFonts w:hint="default" w:ascii="Times New Roman" w:hAnsi="Times New Roman" w:cs="Times New Roman"/>
                <w:color w:val="auto"/>
                <w:sz w:val="21"/>
                <w:highlight w:val="none"/>
              </w:rPr>
              <w:t>能够满足清洁生产要求</w:t>
            </w:r>
            <w:r>
              <w:rPr>
                <w:rFonts w:hint="default" w:ascii="Times New Roman" w:hAnsi="Times New Roman" w:cs="Times New Roman"/>
                <w:color w:val="auto"/>
                <w:sz w:val="21"/>
                <w:highlight w:val="none"/>
                <w:lang w:eastAsia="zh-CN"/>
              </w:rPr>
              <w:t>。</w:t>
            </w:r>
          </w:p>
        </w:tc>
        <w:tc>
          <w:tcPr>
            <w:tcW w:w="555" w:type="pct"/>
            <w:noWrap w:val="0"/>
            <w:vAlign w:val="center"/>
          </w:tcPr>
          <w:p w14:paraId="67B23AE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58C7B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696D9629">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5108CF67">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a）宜采用环保型浮选、提金药剂进行生产；新建、改扩建矿山禁止采用小型独立氰化工艺、小型火法冶炼工艺、小型独立堆浸工艺等国家明文规定的限制和淘汰类技术。b）对复杂的含砷、含硫、微细包裹型金精矿</w:t>
            </w:r>
            <w:r>
              <w:rPr>
                <w:rFonts w:hint="default" w:ascii="Times New Roman" w:hAnsi="Times New Roman" w:cs="Times New Roman"/>
                <w:color w:val="auto"/>
                <w:sz w:val="21"/>
                <w:szCs w:val="24"/>
                <w:highlight w:val="none"/>
                <w:lang w:eastAsia="zh-CN"/>
              </w:rPr>
              <w:t>（</w:t>
            </w:r>
            <w:r>
              <w:rPr>
                <w:rFonts w:hint="default" w:ascii="Times New Roman" w:hAnsi="Times New Roman" w:cs="Times New Roman"/>
                <w:color w:val="auto"/>
                <w:sz w:val="21"/>
                <w:szCs w:val="24"/>
                <w:highlight w:val="none"/>
              </w:rPr>
              <w:t>或含金矿石</w:t>
            </w:r>
            <w:r>
              <w:rPr>
                <w:rFonts w:hint="default" w:ascii="Times New Roman" w:hAnsi="Times New Roman" w:cs="Times New Roman"/>
                <w:color w:val="auto"/>
                <w:sz w:val="21"/>
                <w:szCs w:val="24"/>
                <w:highlight w:val="none"/>
                <w:lang w:eastAsia="zh-CN"/>
              </w:rPr>
              <w:t>）</w:t>
            </w:r>
            <w:r>
              <w:rPr>
                <w:rFonts w:hint="default" w:ascii="Times New Roman" w:hAnsi="Times New Roman" w:cs="Times New Roman"/>
                <w:color w:val="auto"/>
                <w:sz w:val="21"/>
                <w:szCs w:val="24"/>
                <w:highlight w:val="none"/>
              </w:rPr>
              <w:t>宜采用原矿焙烧、生物氧化、热压氧化等工艺进行预处理。c）应根据不同的矿石性质，选择合理的选冶工艺，提高选矿（冶）回收率。选矿（冶）回收率指标应符合附录A要求。d）应对低品位资源进行技术经济论证，对于技术经济可行的，应进行合理利用，提高资源回收率。</w:t>
            </w:r>
          </w:p>
        </w:tc>
        <w:tc>
          <w:tcPr>
            <w:tcW w:w="1913" w:type="pct"/>
            <w:noWrap w:val="0"/>
            <w:vAlign w:val="center"/>
          </w:tcPr>
          <w:p w14:paraId="5115746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w:t>
            </w:r>
            <w:r>
              <w:rPr>
                <w:rFonts w:hint="default" w:ascii="Times New Roman" w:hAnsi="Times New Roman" w:cs="Times New Roman"/>
                <w:color w:val="auto"/>
                <w:sz w:val="21"/>
                <w:highlight w:val="none"/>
                <w:lang w:val="en-US" w:eastAsia="zh-CN"/>
              </w:rPr>
              <w:t>采用</w:t>
            </w:r>
            <w:r>
              <w:rPr>
                <w:rFonts w:hint="default" w:ascii="Times New Roman" w:hAnsi="Times New Roman" w:cs="Times New Roman"/>
                <w:color w:val="auto"/>
                <w:sz w:val="21"/>
                <w:highlight w:val="none"/>
              </w:rPr>
              <w:t>碎磨</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浮选的选矿</w:t>
            </w:r>
            <w:r>
              <w:rPr>
                <w:rFonts w:hint="default" w:ascii="Times New Roman" w:hAnsi="Times New Roman" w:cs="Times New Roman"/>
                <w:color w:val="auto"/>
                <w:sz w:val="21"/>
                <w:highlight w:val="none"/>
              </w:rPr>
              <w:t>工艺</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不涉及冶炼工艺。采用环保型</w:t>
            </w:r>
            <w:r>
              <w:rPr>
                <w:rFonts w:hint="default" w:ascii="Times New Roman" w:hAnsi="Times New Roman" w:cs="Times New Roman"/>
                <w:color w:val="auto"/>
                <w:sz w:val="21"/>
                <w:szCs w:val="24"/>
                <w:highlight w:val="none"/>
              </w:rPr>
              <w:t>浮选、提金药剂</w:t>
            </w:r>
            <w:r>
              <w:rPr>
                <w:rFonts w:hint="default" w:ascii="Times New Roman" w:hAnsi="Times New Roman" w:cs="Times New Roman"/>
                <w:color w:val="auto"/>
                <w:sz w:val="21"/>
                <w:highlight w:val="none"/>
              </w:rPr>
              <w:t>，不属于</w:t>
            </w:r>
            <w:r>
              <w:rPr>
                <w:rFonts w:hint="default" w:ascii="Times New Roman" w:hAnsi="Times New Roman" w:cs="Times New Roman"/>
                <w:color w:val="auto"/>
                <w:sz w:val="21"/>
                <w:szCs w:val="24"/>
                <w:highlight w:val="none"/>
              </w:rPr>
              <w:t>国家明文规定的限制和淘汰类技术。</w:t>
            </w:r>
          </w:p>
        </w:tc>
        <w:tc>
          <w:tcPr>
            <w:tcW w:w="555" w:type="pct"/>
            <w:noWrap w:val="0"/>
            <w:vAlign w:val="center"/>
          </w:tcPr>
          <w:p w14:paraId="425860E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55FE8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195E135C">
            <w:pPr>
              <w:spacing w:line="360" w:lineRule="exact"/>
              <w:ind w:firstLine="0" w:firstLineChars="0"/>
              <w:rPr>
                <w:rFonts w:hint="default" w:ascii="Times New Roman" w:hAnsi="Times New Roman" w:cs="Times New Roman"/>
                <w:color w:val="auto"/>
                <w:sz w:val="21"/>
                <w:highlight w:val="none"/>
              </w:rPr>
            </w:pPr>
          </w:p>
        </w:tc>
        <w:tc>
          <w:tcPr>
            <w:tcW w:w="2285" w:type="pct"/>
            <w:noWrap w:val="0"/>
            <w:vAlign w:val="center"/>
          </w:tcPr>
          <w:p w14:paraId="26455AEA">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闭坑</w:t>
            </w:r>
            <w:r>
              <w:rPr>
                <w:rFonts w:hint="default" w:ascii="Times New Roman" w:hAnsi="Times New Roman" w:cs="Times New Roman"/>
                <w:color w:val="auto"/>
                <w:sz w:val="21"/>
                <w:szCs w:val="24"/>
                <w:highlight w:val="none"/>
                <w:lang w:eastAsia="zh-CN"/>
              </w:rPr>
              <w:t>项目区</w:t>
            </w:r>
            <w:r>
              <w:rPr>
                <w:rFonts w:hint="default" w:ascii="Times New Roman" w:hAnsi="Times New Roman" w:cs="Times New Roman"/>
                <w:color w:val="auto"/>
                <w:sz w:val="21"/>
                <w:szCs w:val="24"/>
                <w:highlight w:val="none"/>
              </w:rPr>
              <w:t>（采区）压占、毁损土地及闭库的尾矿库应在三年内进行土地复垦，土地复垦质量应符合TD/T1036的规定。</w:t>
            </w:r>
          </w:p>
        </w:tc>
        <w:tc>
          <w:tcPr>
            <w:tcW w:w="1913" w:type="pct"/>
            <w:noWrap w:val="0"/>
            <w:vAlign w:val="center"/>
          </w:tcPr>
          <w:p w14:paraId="5AE68C1F">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w:t>
            </w:r>
            <w:r>
              <w:rPr>
                <w:rFonts w:hint="default" w:ascii="Times New Roman" w:hAnsi="Times New Roman" w:cs="Times New Roman"/>
                <w:color w:val="auto"/>
                <w:sz w:val="21"/>
                <w:highlight w:val="none"/>
                <w:lang w:eastAsia="zh-CN"/>
              </w:rPr>
              <w:t>服务期满后</w:t>
            </w:r>
            <w:r>
              <w:rPr>
                <w:rFonts w:hint="default" w:ascii="Times New Roman" w:hAnsi="Times New Roman" w:cs="Times New Roman"/>
                <w:color w:val="auto"/>
                <w:sz w:val="21"/>
                <w:highlight w:val="none"/>
              </w:rPr>
              <w:t>应在三年内进行土地复垦，土地复垦质量应符合TD/T 1036的规定。</w:t>
            </w:r>
          </w:p>
        </w:tc>
        <w:tc>
          <w:tcPr>
            <w:tcW w:w="555" w:type="pct"/>
            <w:noWrap w:val="0"/>
            <w:vAlign w:val="center"/>
          </w:tcPr>
          <w:p w14:paraId="2E9414D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065CB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28B973AC">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12131FF7">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应建立环境监测与灾害应急预警机制，设置专门机构，配备专职管理人员和监测人员，开展环境与地质灾害监测工作</w:t>
            </w:r>
          </w:p>
        </w:tc>
        <w:tc>
          <w:tcPr>
            <w:tcW w:w="1913" w:type="pct"/>
            <w:noWrap w:val="0"/>
            <w:vAlign w:val="center"/>
          </w:tcPr>
          <w:p w14:paraId="083CB5E7">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szCs w:val="24"/>
                <w:highlight w:val="none"/>
                <w:lang w:val="en-US" w:eastAsia="zh-CN"/>
              </w:rPr>
              <w:t>建设单位需</w:t>
            </w:r>
            <w:r>
              <w:rPr>
                <w:rFonts w:hint="default" w:ascii="Times New Roman" w:hAnsi="Times New Roman" w:cs="Times New Roman"/>
                <w:color w:val="auto"/>
                <w:sz w:val="21"/>
                <w:szCs w:val="24"/>
                <w:highlight w:val="none"/>
              </w:rPr>
              <w:t>建立环境监测与灾害应急预警机制，设置专门机构，配备专职管理人员和监测人员，开展环境与地质灾害监测工作</w:t>
            </w:r>
            <w:r>
              <w:rPr>
                <w:rFonts w:hint="default" w:ascii="Times New Roman" w:hAnsi="Times New Roman" w:cs="Times New Roman"/>
                <w:color w:val="auto"/>
                <w:sz w:val="21"/>
                <w:szCs w:val="24"/>
                <w:highlight w:val="none"/>
                <w:lang w:eastAsia="zh-CN"/>
              </w:rPr>
              <w:t>。</w:t>
            </w:r>
          </w:p>
        </w:tc>
        <w:tc>
          <w:tcPr>
            <w:tcW w:w="555" w:type="pct"/>
            <w:noWrap w:val="0"/>
            <w:vAlign w:val="center"/>
          </w:tcPr>
          <w:p w14:paraId="421105CC">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highlight w:val="none"/>
                <w:lang w:val="en-US" w:eastAsia="zh-CN"/>
              </w:rPr>
              <w:t>符合</w:t>
            </w:r>
          </w:p>
        </w:tc>
      </w:tr>
      <w:tr w14:paraId="57C18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restart"/>
            <w:noWrap w:val="0"/>
            <w:vAlign w:val="center"/>
          </w:tcPr>
          <w:p w14:paraId="02948A8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资源综合利用</w:t>
            </w:r>
          </w:p>
        </w:tc>
        <w:tc>
          <w:tcPr>
            <w:tcW w:w="2285" w:type="pct"/>
            <w:noWrap w:val="0"/>
            <w:vAlign w:val="center"/>
          </w:tcPr>
          <w:p w14:paraId="06C7641F">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应对采选活动产生的废石、尾矿及氰渣等固体废弃物进行可利用性评价，并分类合理利用。</w:t>
            </w:r>
          </w:p>
        </w:tc>
        <w:tc>
          <w:tcPr>
            <w:tcW w:w="1913" w:type="pct"/>
            <w:noWrap w:val="0"/>
            <w:vAlign w:val="center"/>
          </w:tcPr>
          <w:p w14:paraId="45FE114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本项目尾矿经管道输送至尾矿库内，</w:t>
            </w:r>
            <w:r>
              <w:rPr>
                <w:rFonts w:hint="default" w:ascii="Times New Roman" w:hAnsi="Times New Roman" w:cs="Times New Roman"/>
                <w:color w:val="auto"/>
                <w:sz w:val="21"/>
                <w:highlight w:val="none"/>
                <w:lang w:val="en-US" w:eastAsia="zh-CN"/>
              </w:rPr>
              <w:t>部分用于</w:t>
            </w:r>
            <w:r>
              <w:rPr>
                <w:rFonts w:hint="default" w:ascii="Times New Roman" w:hAnsi="Times New Roman" w:cs="Times New Roman"/>
                <w:color w:val="auto"/>
                <w:sz w:val="21"/>
                <w:highlight w:val="none"/>
              </w:rPr>
              <w:t>回填</w:t>
            </w:r>
            <w:r>
              <w:rPr>
                <w:rFonts w:hint="default" w:ascii="Times New Roman" w:hAnsi="Times New Roman" w:cs="Times New Roman"/>
                <w:color w:val="auto"/>
                <w:sz w:val="21"/>
                <w:highlight w:val="none"/>
                <w:lang w:eastAsia="zh-CN"/>
              </w:rPr>
              <w:t>采</w:t>
            </w:r>
            <w:r>
              <w:rPr>
                <w:rFonts w:hint="default" w:ascii="Times New Roman" w:hAnsi="Times New Roman" w:cs="Times New Roman"/>
                <w:color w:val="auto"/>
                <w:sz w:val="21"/>
                <w:highlight w:val="none"/>
                <w:lang w:val="en-US" w:eastAsia="zh-CN"/>
              </w:rPr>
              <w:t>坑</w:t>
            </w:r>
            <w:r>
              <w:rPr>
                <w:rFonts w:hint="default" w:ascii="Times New Roman" w:hAnsi="Times New Roman" w:cs="Times New Roman"/>
                <w:color w:val="auto"/>
                <w:sz w:val="21"/>
                <w:highlight w:val="none"/>
              </w:rPr>
              <w:t>，其余堆存至尾矿库内。</w:t>
            </w:r>
          </w:p>
        </w:tc>
        <w:tc>
          <w:tcPr>
            <w:tcW w:w="555" w:type="pct"/>
            <w:noWrap w:val="0"/>
            <w:vAlign w:val="center"/>
          </w:tcPr>
          <w:p w14:paraId="45F7E5D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28C63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318DA7CB">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6C91528F">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矿山尾矿利用率不低于20%；矿山（采用堆浸工艺除外）氰渣利用率不低于15%。</w:t>
            </w:r>
          </w:p>
        </w:tc>
        <w:tc>
          <w:tcPr>
            <w:tcW w:w="1913" w:type="pct"/>
            <w:noWrap w:val="0"/>
            <w:vAlign w:val="center"/>
          </w:tcPr>
          <w:p w14:paraId="0CA08BB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本项目</w:t>
            </w:r>
            <w:r>
              <w:rPr>
                <w:rFonts w:hint="default" w:ascii="Times New Roman" w:hAnsi="Times New Roman" w:cs="Times New Roman"/>
                <w:color w:val="auto"/>
                <w:sz w:val="21"/>
                <w:highlight w:val="none"/>
              </w:rPr>
              <w:t>尾矿利用率能够达到</w:t>
            </w:r>
            <w:r>
              <w:rPr>
                <w:rFonts w:hint="default" w:ascii="Times New Roman" w:hAnsi="Times New Roman" w:cs="Times New Roman"/>
                <w:color w:val="auto"/>
                <w:sz w:val="21"/>
                <w:highlight w:val="none"/>
                <w:lang w:val="en-US" w:eastAsia="zh-CN"/>
              </w:rPr>
              <w:t>6</w:t>
            </w:r>
            <w:r>
              <w:rPr>
                <w:rFonts w:hint="default" w:ascii="Times New Roman" w:hAnsi="Times New Roman" w:cs="Times New Roman"/>
                <w:color w:val="auto"/>
                <w:sz w:val="21"/>
                <w:highlight w:val="none"/>
              </w:rPr>
              <w:t>0%。</w:t>
            </w:r>
          </w:p>
        </w:tc>
        <w:tc>
          <w:tcPr>
            <w:tcW w:w="555" w:type="pct"/>
            <w:noWrap w:val="0"/>
            <w:vAlign w:val="center"/>
          </w:tcPr>
          <w:p w14:paraId="152B1F6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14565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26223802">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6A7D677A">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选矿过程产生的废水应循环重复利用，选矿废水循环利用率不低于85%。干旱地区的选矿废水循环利用率应达到100%。</w:t>
            </w:r>
          </w:p>
        </w:tc>
        <w:tc>
          <w:tcPr>
            <w:tcW w:w="1913" w:type="pct"/>
            <w:noWrap w:val="0"/>
            <w:vAlign w:val="center"/>
          </w:tcPr>
          <w:p w14:paraId="5536743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本项目</w:t>
            </w:r>
            <w:r>
              <w:rPr>
                <w:rFonts w:hint="default" w:ascii="Times New Roman" w:hAnsi="Times New Roman" w:cs="Times New Roman"/>
                <w:color w:val="auto"/>
                <w:sz w:val="21"/>
                <w:highlight w:val="none"/>
              </w:rPr>
              <w:t>选矿过程中生产废水循环使用，不外排，水循环利用率能够做到100%。</w:t>
            </w:r>
          </w:p>
        </w:tc>
        <w:tc>
          <w:tcPr>
            <w:tcW w:w="555" w:type="pct"/>
            <w:noWrap w:val="0"/>
            <w:vAlign w:val="center"/>
          </w:tcPr>
          <w:p w14:paraId="0BE5F6C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44120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restart"/>
            <w:noWrap w:val="0"/>
            <w:vAlign w:val="center"/>
          </w:tcPr>
          <w:p w14:paraId="19E5ABC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节能减排</w:t>
            </w:r>
          </w:p>
        </w:tc>
        <w:tc>
          <w:tcPr>
            <w:tcW w:w="2285" w:type="pct"/>
            <w:noWrap w:val="0"/>
            <w:vAlign w:val="center"/>
          </w:tcPr>
          <w:p w14:paraId="4BEB5FE5">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应通过综合评价资源、能耗、经济和环境，合理确定开采方式，降低采矿能耗；选矿工艺流程宜采用“联合选矿”，遵循“多碎少磨”等原则，提高生产效率，降低选矿能耗。</w:t>
            </w:r>
          </w:p>
        </w:tc>
        <w:tc>
          <w:tcPr>
            <w:tcW w:w="1913" w:type="pct"/>
            <w:noWrap w:val="0"/>
            <w:vAlign w:val="center"/>
          </w:tcPr>
          <w:p w14:paraId="57DDB70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w:t>
            </w:r>
            <w:r>
              <w:rPr>
                <w:rFonts w:hint="default" w:ascii="Times New Roman" w:hAnsi="Times New Roman" w:cs="Times New Roman"/>
                <w:color w:val="auto"/>
                <w:sz w:val="21"/>
                <w:highlight w:val="none"/>
                <w:lang w:val="en-US" w:eastAsia="zh-CN"/>
              </w:rPr>
              <w:t>采用</w:t>
            </w:r>
            <w:r>
              <w:rPr>
                <w:rFonts w:hint="default" w:ascii="Times New Roman" w:hAnsi="Times New Roman" w:cs="Times New Roman"/>
                <w:color w:val="auto"/>
                <w:sz w:val="21"/>
                <w:highlight w:val="none"/>
              </w:rPr>
              <w:t>碎磨</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浮选的选矿</w:t>
            </w:r>
            <w:r>
              <w:rPr>
                <w:rFonts w:hint="default" w:ascii="Times New Roman" w:hAnsi="Times New Roman" w:cs="Times New Roman"/>
                <w:color w:val="auto"/>
                <w:sz w:val="21"/>
                <w:highlight w:val="none"/>
              </w:rPr>
              <w:t>工艺，</w:t>
            </w:r>
            <w:r>
              <w:rPr>
                <w:rFonts w:hint="default" w:ascii="Times New Roman" w:hAnsi="Times New Roman" w:cs="Times New Roman"/>
                <w:color w:val="auto"/>
                <w:sz w:val="21"/>
                <w:highlight w:val="none"/>
                <w:lang w:val="en-US" w:eastAsia="zh-CN"/>
              </w:rPr>
              <w:t>最终</w:t>
            </w:r>
            <w:r>
              <w:rPr>
                <w:rFonts w:hint="default" w:ascii="Times New Roman" w:hAnsi="Times New Roman" w:cs="Times New Roman"/>
                <w:color w:val="auto"/>
                <w:sz w:val="21"/>
                <w:highlight w:val="none"/>
              </w:rPr>
              <w:t>产出</w:t>
            </w:r>
            <w:r>
              <w:rPr>
                <w:rFonts w:hint="default" w:ascii="Times New Roman" w:hAnsi="Times New Roman" w:cs="Times New Roman"/>
                <w:color w:val="auto"/>
                <w:sz w:val="21"/>
                <w:highlight w:val="none"/>
                <w:lang w:val="en-US" w:eastAsia="zh-CN"/>
              </w:rPr>
              <w:t>金精矿</w:t>
            </w:r>
            <w:r>
              <w:rPr>
                <w:rFonts w:hint="default" w:ascii="Times New Roman" w:hAnsi="Times New Roman" w:cs="Times New Roman"/>
                <w:color w:val="auto"/>
                <w:sz w:val="21"/>
                <w:highlight w:val="none"/>
              </w:rPr>
              <w:t>。</w:t>
            </w:r>
          </w:p>
        </w:tc>
        <w:tc>
          <w:tcPr>
            <w:tcW w:w="555" w:type="pct"/>
            <w:noWrap w:val="0"/>
            <w:vAlign w:val="center"/>
          </w:tcPr>
          <w:p w14:paraId="3C2770F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3DE11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514C3767">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2D6CCA3D">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矿山生产过程产生的废石、尾矿及氰渣应有专用贮存、处置场所，其建设、运行和监督管理应符合GB 18599的规定。宜对尾矿进行干式排放，减少尾矿库占地面积。矿山生活垃圾应集中、无害化处置。固体废弃物的处置率应达到100%。</w:t>
            </w:r>
          </w:p>
        </w:tc>
        <w:tc>
          <w:tcPr>
            <w:tcW w:w="1913" w:type="pct"/>
            <w:noWrap w:val="0"/>
            <w:vAlign w:val="center"/>
          </w:tcPr>
          <w:p w14:paraId="1BFDB38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本项目尾矿经管道输送至尾矿库内，</w:t>
            </w:r>
            <w:r>
              <w:rPr>
                <w:rFonts w:hint="default" w:ascii="Times New Roman" w:hAnsi="Times New Roman" w:cs="Times New Roman"/>
                <w:color w:val="auto"/>
                <w:sz w:val="21"/>
                <w:szCs w:val="24"/>
                <w:highlight w:val="none"/>
              </w:rPr>
              <w:t>尾矿有专用贮存、处置场所，其建设、运行和监督管理符合GB18599的规定。矿山生活垃圾集中、无害化处置。固体废弃物的处置率应达到100%。</w:t>
            </w:r>
          </w:p>
        </w:tc>
        <w:tc>
          <w:tcPr>
            <w:tcW w:w="555" w:type="pct"/>
            <w:noWrap w:val="0"/>
            <w:vAlign w:val="center"/>
          </w:tcPr>
          <w:p w14:paraId="6810563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r w14:paraId="1EB99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4C22A1F5">
            <w:pPr>
              <w:spacing w:line="360" w:lineRule="exact"/>
              <w:ind w:firstLine="0" w:firstLineChars="0"/>
              <w:jc w:val="center"/>
              <w:rPr>
                <w:rFonts w:hint="default" w:ascii="Times New Roman" w:hAnsi="Times New Roman" w:cs="Times New Roman"/>
                <w:color w:val="auto"/>
                <w:sz w:val="21"/>
                <w:highlight w:val="none"/>
              </w:rPr>
            </w:pPr>
          </w:p>
        </w:tc>
        <w:tc>
          <w:tcPr>
            <w:tcW w:w="2285" w:type="pct"/>
            <w:noWrap w:val="0"/>
            <w:vAlign w:val="center"/>
          </w:tcPr>
          <w:p w14:paraId="6A162562">
            <w:pPr>
              <w:spacing w:line="360" w:lineRule="exact"/>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采、选过程中产生的废水应合理处置，实现达标排放。</w:t>
            </w:r>
            <w:r>
              <w:rPr>
                <w:rFonts w:hint="default" w:ascii="Times New Roman" w:hAnsi="Times New Roman" w:cs="Times New Roman"/>
                <w:color w:val="auto"/>
                <w:sz w:val="21"/>
                <w:szCs w:val="24"/>
                <w:highlight w:val="none"/>
                <w:lang w:eastAsia="zh-CN"/>
              </w:rPr>
              <w:t>项目区</w:t>
            </w:r>
            <w:r>
              <w:rPr>
                <w:rFonts w:hint="default" w:ascii="Times New Roman" w:hAnsi="Times New Roman" w:cs="Times New Roman"/>
                <w:color w:val="auto"/>
                <w:sz w:val="21"/>
                <w:szCs w:val="24"/>
                <w:highlight w:val="none"/>
              </w:rPr>
              <w:t>生活污水应处置达标，处置后的水应符合GB 8978的规定，宜回用于</w:t>
            </w:r>
            <w:r>
              <w:rPr>
                <w:rFonts w:hint="default" w:ascii="Times New Roman" w:hAnsi="Times New Roman" w:cs="Times New Roman"/>
                <w:color w:val="auto"/>
                <w:sz w:val="21"/>
                <w:szCs w:val="24"/>
                <w:highlight w:val="none"/>
                <w:lang w:eastAsia="zh-CN"/>
              </w:rPr>
              <w:t>项目区</w:t>
            </w:r>
            <w:r>
              <w:rPr>
                <w:rFonts w:hint="default" w:ascii="Times New Roman" w:hAnsi="Times New Roman" w:cs="Times New Roman"/>
                <w:color w:val="auto"/>
                <w:sz w:val="21"/>
                <w:szCs w:val="24"/>
                <w:highlight w:val="none"/>
              </w:rPr>
              <w:t>绿化或达标排放。</w:t>
            </w:r>
          </w:p>
        </w:tc>
        <w:tc>
          <w:tcPr>
            <w:tcW w:w="1913" w:type="pct"/>
            <w:noWrap w:val="0"/>
            <w:vAlign w:val="center"/>
          </w:tcPr>
          <w:p w14:paraId="495FBD32">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本项目</w:t>
            </w:r>
            <w:r>
              <w:rPr>
                <w:rFonts w:hint="default" w:ascii="Times New Roman" w:hAnsi="Times New Roman" w:cs="Times New Roman"/>
                <w:color w:val="auto"/>
                <w:sz w:val="21"/>
                <w:highlight w:val="none"/>
              </w:rPr>
              <w:t>选矿废水循环使用不外排；生活污水处置后的水应符合GB8978的规定</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经处理达标后用于项目区绿化</w:t>
            </w:r>
            <w:r>
              <w:rPr>
                <w:rFonts w:hint="default" w:ascii="Times New Roman" w:hAnsi="Times New Roman" w:cs="Times New Roman"/>
                <w:color w:val="auto"/>
                <w:sz w:val="21"/>
                <w:highlight w:val="none"/>
                <w:lang w:eastAsia="zh-CN"/>
              </w:rPr>
              <w:t>。</w:t>
            </w:r>
          </w:p>
        </w:tc>
        <w:tc>
          <w:tcPr>
            <w:tcW w:w="555" w:type="pct"/>
            <w:noWrap w:val="0"/>
            <w:vAlign w:val="center"/>
          </w:tcPr>
          <w:p w14:paraId="2D48FF9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符合</w:t>
            </w:r>
          </w:p>
        </w:tc>
      </w:tr>
    </w:tbl>
    <w:p w14:paraId="56ABBC5A">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与《关于加强沙区建设项目环境影响评价工作的通知》符合性分析</w:t>
      </w:r>
    </w:p>
    <w:p w14:paraId="4AB14A1D">
      <w:pPr>
        <w:ind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eastAsia="zh-CN" w:bidi="ar"/>
        </w:rPr>
        <w:t>新疆维吾尔自治区</w:t>
      </w:r>
      <w:r>
        <w:rPr>
          <w:rFonts w:hint="default" w:ascii="Times New Roman" w:hAnsi="Times New Roman" w:cs="Times New Roman"/>
          <w:color w:val="auto"/>
          <w:szCs w:val="24"/>
          <w:highlight w:val="none"/>
          <w:lang w:bidi="ar"/>
        </w:rPr>
        <w:t>生态环境厅2020年9月4日出具的《</w:t>
      </w:r>
      <w:r>
        <w:rPr>
          <w:rFonts w:hint="default" w:ascii="Times New Roman" w:hAnsi="Times New Roman" w:cs="Times New Roman"/>
          <w:color w:val="auto"/>
          <w:highlight w:val="none"/>
        </w:rPr>
        <w:t>关于加强沙区建设项目环境影响评价工作的通知</w:t>
      </w:r>
      <w:r>
        <w:rPr>
          <w:rFonts w:hint="default" w:ascii="Times New Roman" w:hAnsi="Times New Roman" w:cs="Times New Roman"/>
          <w:color w:val="auto"/>
          <w:szCs w:val="24"/>
          <w:highlight w:val="none"/>
          <w:lang w:bidi="ar"/>
        </w:rPr>
        <w:t>》（新环环评发</w:t>
      </w:r>
      <w:r>
        <w:rPr>
          <w:rFonts w:hint="default" w:ascii="Times New Roman" w:hAnsi="Times New Roman" w:eastAsia="宋体" w:cs="Times New Roman"/>
          <w:color w:val="auto"/>
          <w:szCs w:val="24"/>
          <w:highlight w:val="none"/>
          <w:lang w:bidi="ar"/>
        </w:rPr>
        <w:t>〔</w:t>
      </w:r>
      <w:r>
        <w:rPr>
          <w:rFonts w:hint="default" w:ascii="Times New Roman" w:hAnsi="Times New Roman" w:cs="Times New Roman"/>
          <w:color w:val="auto"/>
          <w:szCs w:val="24"/>
          <w:highlight w:val="none"/>
          <w:lang w:bidi="ar"/>
        </w:rPr>
        <w:t>2020</w:t>
      </w:r>
      <w:r>
        <w:rPr>
          <w:rFonts w:hint="default" w:ascii="Times New Roman" w:hAnsi="Times New Roman" w:eastAsia="宋体" w:cs="Times New Roman"/>
          <w:color w:val="auto"/>
          <w:szCs w:val="24"/>
          <w:highlight w:val="none"/>
          <w:lang w:bidi="ar"/>
        </w:rPr>
        <w:t>〕</w:t>
      </w:r>
      <w:r>
        <w:rPr>
          <w:rFonts w:hint="default" w:ascii="Times New Roman" w:hAnsi="Times New Roman" w:cs="Times New Roman"/>
          <w:color w:val="auto"/>
          <w:szCs w:val="24"/>
          <w:highlight w:val="none"/>
          <w:lang w:bidi="ar"/>
        </w:rPr>
        <w:t>138号）指出：</w:t>
      </w:r>
    </w:p>
    <w:p w14:paraId="55FD7080">
      <w:pPr>
        <w:ind w:left="480" w:leftChars="200" w:firstLine="0" w:firstLineChars="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（一）加强环评文件受理阶段的审查</w:t>
      </w:r>
    </w:p>
    <w:p w14:paraId="0DFEAEED">
      <w:pPr>
        <w:ind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按照《中华人民共和国防沙治沙法》要求</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加强涉及沙区的建设项目环评文件受理审查，对于没有防沙治沙内容的建设项目环评文件不予受理。</w:t>
      </w:r>
    </w:p>
    <w:p w14:paraId="0042C976">
      <w:pPr>
        <w:ind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（二）强化技术评估阶段环评文件质量把关</w:t>
      </w:r>
    </w:p>
    <w:p w14:paraId="35554E9B">
      <w:pPr>
        <w:ind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对于受理的涉及沙区的建设项目环评文件，严格按照《环境影响评价技术导则</w:t>
      </w:r>
      <w:r>
        <w:rPr>
          <w:rFonts w:hint="default" w:ascii="Times New Roman" w:hAnsi="Times New Roman" w:cs="Times New Roman"/>
          <w:color w:val="auto"/>
          <w:szCs w:val="24"/>
          <w:highlight w:val="none"/>
          <w:lang w:val="en-US" w:eastAsia="zh-CN" w:bidi="ar"/>
        </w:rPr>
        <w:t xml:space="preserve"> </w:t>
      </w:r>
      <w:r>
        <w:rPr>
          <w:rFonts w:hint="default" w:ascii="Times New Roman" w:hAnsi="Times New Roman" w:cs="Times New Roman"/>
          <w:color w:val="auto"/>
          <w:szCs w:val="24"/>
          <w:highlight w:val="none"/>
          <w:lang w:bidi="ar"/>
        </w:rPr>
        <w:t>生态影响》</w:t>
      </w:r>
      <w:r>
        <w:rPr>
          <w:rFonts w:hint="default" w:ascii="Times New Roman" w:hAnsi="Times New Roman" w:cs="Times New Roman"/>
          <w:color w:val="auto"/>
          <w:szCs w:val="24"/>
          <w:highlight w:val="none"/>
          <w:lang w:val="en-US" w:eastAsia="zh-CN" w:bidi="ar"/>
        </w:rPr>
        <w:t>（</w:t>
      </w:r>
      <w:r>
        <w:rPr>
          <w:rFonts w:hint="default" w:ascii="Times New Roman" w:hAnsi="Times New Roman" w:cs="Times New Roman"/>
          <w:color w:val="auto"/>
          <w:szCs w:val="24"/>
          <w:highlight w:val="none"/>
          <w:lang w:bidi="ar"/>
        </w:rPr>
        <w:t>HJ19-20</w:t>
      </w:r>
      <w:r>
        <w:rPr>
          <w:rFonts w:hint="default" w:cs="Times New Roman"/>
          <w:color w:val="auto"/>
          <w:szCs w:val="24"/>
          <w:highlight w:val="none"/>
          <w:lang w:val="en-US" w:eastAsia="zh-CN" w:bidi="ar"/>
        </w:rPr>
        <w:t>22</w:t>
      </w:r>
      <w:r>
        <w:rPr>
          <w:rFonts w:hint="default" w:ascii="Times New Roman" w:hAnsi="Times New Roman" w:cs="Times New Roman"/>
          <w:color w:val="auto"/>
          <w:szCs w:val="24"/>
          <w:highlight w:val="none"/>
          <w:lang w:val="en-US" w:eastAsia="zh-CN" w:bidi="ar"/>
        </w:rPr>
        <w:t>）</w:t>
      </w:r>
      <w:r>
        <w:rPr>
          <w:rFonts w:hint="default" w:ascii="Times New Roman" w:hAnsi="Times New Roman" w:cs="Times New Roman"/>
          <w:color w:val="auto"/>
          <w:szCs w:val="24"/>
          <w:highlight w:val="none"/>
          <w:lang w:bidi="ar"/>
        </w:rPr>
        <w:t>要求，强化建设项目的环境可行性、环境影响分析预测评估的可靠性和防沙治沙生态环境保护措施的可行性、有效性评估。</w:t>
      </w:r>
    </w:p>
    <w:p w14:paraId="2B3F9C8B">
      <w:pPr>
        <w:ind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（三）严格沙区建设项目环评文件审批</w:t>
      </w:r>
    </w:p>
    <w:p w14:paraId="0DBA34AE">
      <w:pPr>
        <w:ind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对于位于沙化土地封禁保护区范围内或者超过生态环境承载能力或对沙区生态环境可能造成重大影响的建设项目</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不予批准其环评文件，从源头预防环境污染和生态破坏。</w:t>
      </w:r>
    </w:p>
    <w:p w14:paraId="1643C043">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eastAsia="zh-CN" w:bidi="ar"/>
        </w:rPr>
        <w:t>建设单位根据</w:t>
      </w:r>
      <w:r>
        <w:rPr>
          <w:rFonts w:hint="default" w:ascii="Times New Roman" w:hAnsi="Times New Roman" w:cs="Times New Roman"/>
          <w:color w:val="auto"/>
          <w:szCs w:val="24"/>
          <w:highlight w:val="none"/>
          <w:lang w:bidi="ar"/>
        </w:rPr>
        <w:t>建立健全年度考核制度，对选矿回收率进行定期核查</w:t>
      </w:r>
      <w:r>
        <w:rPr>
          <w:rFonts w:hint="default" w:ascii="Times New Roman" w:hAnsi="Times New Roman" w:cs="Times New Roman"/>
          <w:color w:val="auto"/>
          <w:kern w:val="10"/>
          <w:szCs w:val="24"/>
          <w:highlight w:val="none"/>
          <w:lang w:bidi="ar"/>
        </w:rPr>
        <w:t>，对生产中出现的问题要及时采取相应的措施予以解决，达到设计要求并</w:t>
      </w:r>
      <w:r>
        <w:rPr>
          <w:rFonts w:hint="default" w:ascii="Times New Roman" w:hAnsi="Times New Roman" w:cs="Times New Roman"/>
          <w:color w:val="auto"/>
          <w:szCs w:val="24"/>
          <w:highlight w:val="none"/>
          <w:lang w:bidi="ar"/>
        </w:rPr>
        <w:t>不断提高资源利用率</w:t>
      </w:r>
      <w:r>
        <w:rPr>
          <w:rFonts w:hint="default" w:ascii="Times New Roman" w:hAnsi="Times New Roman" w:cs="Times New Roman"/>
          <w:color w:val="auto"/>
          <w:kern w:val="10"/>
          <w:szCs w:val="24"/>
          <w:highlight w:val="none"/>
          <w:lang w:bidi="ar"/>
        </w:rPr>
        <w:t>。因此，本项目建设符合《新疆维吾尔自治区矿产资源管理条例》的要求。</w:t>
      </w:r>
    </w:p>
    <w:p w14:paraId="4E7DC231">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kern w:val="0"/>
          <w:szCs w:val="24"/>
          <w:highlight w:val="none"/>
        </w:rPr>
        <w:t>根据《新疆第</w:t>
      </w:r>
      <w:r>
        <w:rPr>
          <w:rFonts w:hint="default" w:ascii="Times New Roman" w:hAnsi="Times New Roman" w:cs="Times New Roman"/>
          <w:color w:val="auto"/>
          <w:kern w:val="0"/>
          <w:szCs w:val="24"/>
          <w:highlight w:val="none"/>
          <w:lang w:val="en-US" w:eastAsia="zh-CN"/>
        </w:rPr>
        <w:t>六</w:t>
      </w:r>
      <w:r>
        <w:rPr>
          <w:rFonts w:hint="default" w:ascii="Times New Roman" w:hAnsi="Times New Roman" w:cs="Times New Roman"/>
          <w:color w:val="auto"/>
          <w:kern w:val="0"/>
          <w:szCs w:val="24"/>
          <w:highlight w:val="none"/>
        </w:rPr>
        <w:t>次沙化监测</w:t>
      </w:r>
      <w:r>
        <w:rPr>
          <w:rFonts w:hint="default" w:ascii="Times New Roman" w:hAnsi="Times New Roman" w:cs="Times New Roman"/>
          <w:color w:val="auto"/>
          <w:kern w:val="0"/>
          <w:szCs w:val="24"/>
          <w:highlight w:val="none"/>
          <w:lang w:val="en-US" w:eastAsia="zh-CN"/>
        </w:rPr>
        <w:t>报告</w:t>
      </w:r>
      <w:r>
        <w:rPr>
          <w:rFonts w:hint="default" w:ascii="Times New Roman" w:hAnsi="Times New Roman" w:cs="Times New Roman"/>
          <w:color w:val="auto"/>
          <w:kern w:val="0"/>
          <w:szCs w:val="24"/>
          <w:highlight w:val="none"/>
        </w:rPr>
        <w:t>》，项目区周围没有沙漠、沙化荒漠存在，因此属于非沙化土地。</w:t>
      </w:r>
    </w:p>
    <w:p w14:paraId="1460078C">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与《新疆维吾尔自治区环境保护条例》符合性分析</w:t>
      </w:r>
    </w:p>
    <w:p w14:paraId="175DE5B0">
      <w:pPr>
        <w:ind w:firstLine="480"/>
        <w:rPr>
          <w:rFonts w:hint="default"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lang w:bidi="ar"/>
        </w:rPr>
        <w:t>《新疆维吾尔自治区环境保护条例》第三十条规定</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任何单位和个人不得在水源涵养区、饮用水水源保护区内和河流、湖泊、水库周围建设重化工、涉重金属等工业污染项目；对已建成的工业污染项目，当地人民政府应当组织限期搬迁。</w:t>
      </w:r>
      <w:r>
        <w:rPr>
          <w:rFonts w:hint="default" w:ascii="Times New Roman" w:hAnsi="Times New Roman" w:cs="Times New Roman"/>
          <w:color w:val="auto"/>
          <w:szCs w:val="24"/>
          <w:highlight w:val="none"/>
          <w:lang w:eastAsia="zh-CN" w:bidi="ar"/>
        </w:rPr>
        <w:t>”</w:t>
      </w:r>
    </w:p>
    <w:p w14:paraId="570FF7E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val="en-US" w:eastAsia="zh-CN"/>
        </w:rPr>
        <w:t>富蕴</w:t>
      </w:r>
      <w:r>
        <w:rPr>
          <w:rFonts w:hint="default" w:ascii="Times New Roman" w:hAnsi="Times New Roman" w:cs="Times New Roman"/>
          <w:color w:val="auto"/>
          <w:highlight w:val="none"/>
        </w:rPr>
        <w:t>县城东南144°方位</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40km处，行政区划属于富蕴县喀拉通克镇管辖，</w:t>
      </w:r>
      <w:r>
        <w:rPr>
          <w:rFonts w:hint="default" w:ascii="Times New Roman" w:hAnsi="Times New Roman" w:cs="Times New Roman"/>
          <w:color w:val="auto"/>
          <w:highlight w:val="none"/>
          <w:lang w:val="en-US" w:eastAsia="zh-CN"/>
        </w:rPr>
        <w:t>土地利用</w:t>
      </w:r>
      <w:r>
        <w:rPr>
          <w:rFonts w:hint="default" w:ascii="Times New Roman" w:hAnsi="Times New Roman" w:cs="Times New Roman"/>
          <w:color w:val="auto"/>
          <w:highlight w:val="none"/>
        </w:rPr>
        <w:t>性质为</w:t>
      </w:r>
      <w:r>
        <w:rPr>
          <w:rFonts w:hint="default" w:ascii="Times New Roman" w:hAnsi="Times New Roman" w:cs="Times New Roman"/>
          <w:color w:val="auto"/>
          <w:sz w:val="24"/>
          <w:szCs w:val="24"/>
          <w:highlight w:val="none"/>
          <w:lang w:val="en-US" w:eastAsia="zh-CN"/>
        </w:rPr>
        <w:t>天然牧草地</w:t>
      </w:r>
      <w:r>
        <w:rPr>
          <w:rFonts w:hint="default" w:ascii="Times New Roman" w:hAnsi="Times New Roman" w:cs="Times New Roman"/>
          <w:color w:val="auto"/>
          <w:highlight w:val="none"/>
        </w:rPr>
        <w:t>，不在水源涵养区、饮用水水源保护区内，符合《新疆维吾尔自治区环境保护条例》的相关要求。</w:t>
      </w:r>
    </w:p>
    <w:p w14:paraId="4F740545">
      <w:pPr>
        <w:pStyle w:val="5"/>
        <w:ind w:firstLine="542"/>
        <w:rPr>
          <w:rFonts w:hint="default" w:ascii="Times New Roman" w:hAnsi="Times New Roman" w:eastAsia="宋体" w:cs="Times New Roman"/>
          <w:b/>
          <w:bCs/>
          <w:color w:val="auto"/>
          <w:highlight w:val="none"/>
          <w:lang w:val="en-US" w:eastAsia="zh-CN"/>
        </w:rPr>
      </w:pPr>
      <w:bookmarkStart w:id="548" w:name="_Toc29769"/>
      <w:r>
        <w:rPr>
          <w:rFonts w:hint="default" w:ascii="Times New Roman" w:hAnsi="Times New Roman" w:eastAsia="宋体" w:cs="Times New Roman"/>
          <w:b/>
          <w:bCs/>
          <w:color w:val="auto"/>
          <w:highlight w:val="none"/>
          <w:lang w:val="en-US" w:eastAsia="zh-CN"/>
        </w:rPr>
        <w:t>3.</w:t>
      </w:r>
      <w:r>
        <w:rPr>
          <w:rFonts w:hint="default" w:ascii="Times New Roman" w:hAnsi="Times New Roman"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.3.12与《中华人民共和国河道管理条例》的符合性分析</w:t>
      </w:r>
    </w:p>
    <w:p w14:paraId="5A620C82">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color w:val="auto"/>
          <w:kern w:val="10"/>
          <w:sz w:val="24"/>
          <w:szCs w:val="24"/>
          <w:highlight w:val="none"/>
          <w:lang w:val="en-US" w:eastAsia="zh-CN"/>
        </w:rPr>
      </w:pPr>
      <w:r>
        <w:rPr>
          <w:rFonts w:hint="default" w:ascii="Times New Roman" w:hAnsi="Times New Roman" w:eastAsia="宋体" w:cs="Times New Roman"/>
          <w:color w:val="auto"/>
          <w:kern w:val="10"/>
          <w:sz w:val="24"/>
          <w:szCs w:val="24"/>
          <w:highlight w:val="none"/>
          <w:lang w:val="en-US" w:eastAsia="zh-CN"/>
        </w:rPr>
        <w:t>根据国务院令第698号《中华人民共和国河道管理条例》（2018年第四次修订）</w:t>
      </w:r>
      <w:r>
        <w:rPr>
          <w:rFonts w:hint="default" w:ascii="Times New Roman" w:hAnsi="Times New Roman" w:cs="Times New Roman"/>
          <w:color w:val="auto"/>
          <w:kern w:val="10"/>
          <w:sz w:val="24"/>
          <w:szCs w:val="24"/>
          <w:highlight w:val="none"/>
          <w:lang w:val="en-US" w:eastAsia="zh-CN"/>
        </w:rPr>
        <w:t>可知，“</w:t>
      </w:r>
      <w:r>
        <w:rPr>
          <w:rFonts w:hint="default" w:ascii="Times New Roman" w:hAnsi="Times New Roman" w:eastAsia="宋体" w:cs="Times New Roman"/>
          <w:color w:val="auto"/>
          <w:kern w:val="10"/>
          <w:sz w:val="24"/>
          <w:szCs w:val="24"/>
          <w:highlight w:val="none"/>
          <w:lang w:val="en-US" w:eastAsia="zh-CN"/>
        </w:rPr>
        <w:t>第二条：本条例适用于中华人民共和国领域内的河道（包括湖泊、人工水道、行洪区、蓄洪区、滞洪区）。</w:t>
      </w:r>
      <w:r>
        <w:rPr>
          <w:rFonts w:hint="default" w:ascii="Times New Roman" w:hAnsi="Times New Roman" w:cs="Times New Roman"/>
          <w:color w:val="auto"/>
          <w:kern w:val="10"/>
          <w:sz w:val="24"/>
          <w:szCs w:val="24"/>
          <w:highlight w:val="none"/>
          <w:lang w:val="en-US" w:eastAsia="zh-CN"/>
        </w:rPr>
        <w:t>第二十四条：在堤防和护堤地，禁止建房、放牧、开渠、打井、挖窖、葬坟、晒粮、存放物料、开采地下资源、进行考古发掘以及开展集市贸易活动”。</w:t>
      </w:r>
    </w:p>
    <w:p w14:paraId="73DD657C">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kern w:val="10"/>
          <w:sz w:val="24"/>
          <w:szCs w:val="24"/>
          <w:highlight w:val="none"/>
          <w:lang w:val="en-US" w:eastAsia="zh-CN"/>
        </w:rPr>
      </w:pPr>
      <w:r>
        <w:rPr>
          <w:rFonts w:hint="default" w:ascii="Times New Roman" w:hAnsi="Times New Roman" w:eastAsia="宋体" w:cs="Times New Roman"/>
          <w:color w:val="auto"/>
          <w:kern w:val="10"/>
          <w:sz w:val="24"/>
          <w:szCs w:val="24"/>
          <w:highlight w:val="none"/>
          <w:lang w:val="en-US" w:eastAsia="zh-CN"/>
        </w:rPr>
        <w:t>本项目</w:t>
      </w:r>
      <w:r>
        <w:rPr>
          <w:rFonts w:hint="default" w:ascii="Times New Roman" w:hAnsi="Times New Roman" w:cs="Times New Roman"/>
          <w:color w:val="auto"/>
          <w:kern w:val="10"/>
          <w:sz w:val="24"/>
          <w:szCs w:val="24"/>
          <w:highlight w:val="none"/>
          <w:lang w:val="en-US" w:eastAsia="zh-CN"/>
        </w:rPr>
        <w:t>周边3km范围内无地表水体分布，因此本项目的建设符合</w:t>
      </w:r>
      <w:r>
        <w:rPr>
          <w:rFonts w:hint="default" w:ascii="Times New Roman" w:hAnsi="Times New Roman" w:eastAsia="宋体" w:cs="Times New Roman"/>
          <w:color w:val="auto"/>
          <w:kern w:val="10"/>
          <w:sz w:val="24"/>
          <w:szCs w:val="24"/>
          <w:highlight w:val="none"/>
          <w:lang w:val="en-US" w:eastAsia="zh-CN"/>
        </w:rPr>
        <w:t>《中华人民共和国河道管理条例》</w:t>
      </w:r>
      <w:r>
        <w:rPr>
          <w:rFonts w:hint="default" w:ascii="Times New Roman" w:hAnsi="Times New Roman" w:cs="Times New Roman"/>
          <w:color w:val="auto"/>
          <w:kern w:val="10"/>
          <w:sz w:val="24"/>
          <w:szCs w:val="24"/>
          <w:highlight w:val="none"/>
          <w:lang w:val="en-US" w:eastAsia="zh-CN"/>
        </w:rPr>
        <w:t>相关要求。</w:t>
      </w:r>
    </w:p>
    <w:p w14:paraId="351BDF36">
      <w:pPr>
        <w:pStyle w:val="5"/>
        <w:ind w:firstLine="542"/>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w:t>
      </w:r>
      <w:r>
        <w:rPr>
          <w:rFonts w:hint="default" w:ascii="Times New Roman" w:hAnsi="Times New Roman"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.3.13与《国务院关于印发&lt;空气质量持续改善行动计划&gt;的通知》（国发〔2023〕24号）的符合性分析</w:t>
      </w:r>
    </w:p>
    <w:p w14:paraId="67FA8ED2">
      <w:pPr>
        <w:ind w:firstLine="480"/>
        <w:rPr>
          <w:rFonts w:hint="default" w:ascii="Times New Roman" w:hAnsi="Times New Roman" w:cs="Times New Roman"/>
          <w:color w:val="auto"/>
          <w:szCs w:val="24"/>
          <w:highlight w:val="none"/>
          <w:lang w:val="en-US" w:eastAsia="zh-CN" w:bidi="ar"/>
        </w:rPr>
      </w:pPr>
      <w:r>
        <w:rPr>
          <w:rFonts w:hint="default" w:ascii="Times New Roman" w:hAnsi="Times New Roman" w:cs="Times New Roman"/>
          <w:color w:val="auto"/>
          <w:szCs w:val="24"/>
          <w:highlight w:val="none"/>
          <w:lang w:val="en-US" w:eastAsia="zh-CN" w:bidi="ar"/>
        </w:rPr>
        <w:t>国务院于2023</w:t>
      </w:r>
      <w:r>
        <w:rPr>
          <w:rFonts w:hint="default" w:ascii="Times New Roman" w:hAnsi="Times New Roman" w:cs="Times New Roman"/>
          <w:color w:val="auto"/>
          <w:szCs w:val="24"/>
          <w:highlight w:val="none"/>
          <w:lang w:bidi="ar"/>
        </w:rPr>
        <w:t>年</w:t>
      </w:r>
      <w:r>
        <w:rPr>
          <w:rFonts w:hint="default" w:ascii="Times New Roman" w:hAnsi="Times New Roman" w:cs="Times New Roman"/>
          <w:color w:val="auto"/>
          <w:szCs w:val="24"/>
          <w:highlight w:val="none"/>
          <w:lang w:val="en-US" w:eastAsia="zh-CN" w:bidi="ar"/>
        </w:rPr>
        <w:t>11</w:t>
      </w:r>
      <w:r>
        <w:rPr>
          <w:rFonts w:hint="default" w:ascii="Times New Roman" w:hAnsi="Times New Roman" w:cs="Times New Roman"/>
          <w:color w:val="auto"/>
          <w:szCs w:val="24"/>
          <w:highlight w:val="none"/>
          <w:lang w:bidi="ar"/>
        </w:rPr>
        <w:t>月</w:t>
      </w:r>
      <w:r>
        <w:rPr>
          <w:rFonts w:hint="default" w:ascii="Times New Roman" w:hAnsi="Times New Roman" w:cs="Times New Roman"/>
          <w:color w:val="auto"/>
          <w:szCs w:val="24"/>
          <w:highlight w:val="none"/>
          <w:lang w:val="en-US" w:eastAsia="zh-CN" w:bidi="ar"/>
        </w:rPr>
        <w:t>30</w:t>
      </w:r>
      <w:r>
        <w:rPr>
          <w:rFonts w:hint="default" w:ascii="Times New Roman" w:hAnsi="Times New Roman" w:cs="Times New Roman"/>
          <w:color w:val="auto"/>
          <w:szCs w:val="24"/>
          <w:highlight w:val="none"/>
          <w:lang w:bidi="ar"/>
        </w:rPr>
        <w:t>日出具的《</w:t>
      </w:r>
      <w:r>
        <w:rPr>
          <w:rFonts w:hint="default" w:ascii="Times New Roman" w:hAnsi="Times New Roman" w:cs="Times New Roman"/>
          <w:color w:val="auto"/>
          <w:szCs w:val="24"/>
          <w:highlight w:val="none"/>
          <w:lang w:val="en-US" w:eastAsia="zh-CN" w:bidi="ar"/>
        </w:rPr>
        <w:t>国务院</w:t>
      </w:r>
      <w:r>
        <w:rPr>
          <w:rFonts w:hint="default" w:ascii="Times New Roman" w:hAnsi="Times New Roman" w:cs="Times New Roman"/>
          <w:color w:val="auto"/>
          <w:highlight w:val="none"/>
        </w:rPr>
        <w:t>关于</w:t>
      </w:r>
      <w:r>
        <w:rPr>
          <w:rFonts w:hint="default" w:ascii="Times New Roman" w:hAnsi="Times New Roman" w:cs="Times New Roman"/>
          <w:color w:val="auto"/>
          <w:highlight w:val="none"/>
          <w:lang w:val="en-US" w:eastAsia="zh-CN"/>
        </w:rPr>
        <w:t>印发&lt;空气质量持续改善行动计划&gt;的通知》（国发〔2023〕24号）</w:t>
      </w:r>
      <w:r>
        <w:rPr>
          <w:rFonts w:hint="default" w:ascii="Times New Roman" w:hAnsi="Times New Roman" w:cs="Times New Roman"/>
          <w:color w:val="auto"/>
          <w:szCs w:val="24"/>
          <w:highlight w:val="none"/>
          <w:lang w:bidi="ar"/>
        </w:rPr>
        <w:t>指出：</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推进矿山生态环境综合整治。新建矿山原则上要同步建设铁路专用线或采用其他清洁运输方式。到2025年，</w:t>
      </w:r>
      <w:r>
        <w:rPr>
          <w:rFonts w:hint="default" w:ascii="Times New Roman" w:hAnsi="Times New Roman" w:cs="Times New Roman"/>
          <w:color w:val="auto"/>
          <w:szCs w:val="24"/>
          <w:highlight w:val="none"/>
          <w:lang w:val="en-US" w:eastAsia="zh-CN" w:bidi="ar"/>
        </w:rPr>
        <w:t>京津冀</w:t>
      </w:r>
      <w:r>
        <w:rPr>
          <w:rFonts w:hint="default" w:ascii="Times New Roman" w:hAnsi="Times New Roman" w:cs="Times New Roman"/>
          <w:color w:val="auto"/>
          <w:szCs w:val="24"/>
          <w:highlight w:val="none"/>
          <w:lang w:bidi="ar"/>
        </w:rPr>
        <w:t>及周边地区原则上不再新建露天矿山</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省级矿产资源规划确定的重点开采区或经安全论证不宜采用地下开采方式的除外</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。对限期整改仍不达标的矿山，根据安全生产、水土保持、生态环境等要求依法关闭</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val="en-US" w:eastAsia="zh-CN" w:bidi="ar"/>
        </w:rPr>
        <w:t>本项目选矿厂及尾矿库按照矿产资源开发利用与生态保护修复方案开展生态环境综合整治，因此本项目符合《国务院关于印发&lt;空气质量持续改善行动计划&gt;的通知》（国发〔2023〕24号）。</w:t>
      </w:r>
    </w:p>
    <w:p w14:paraId="60AA0746">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3.6.3.14与《尾矿污染环境防治管理办法》（部令第26号）符合性分析</w:t>
      </w:r>
    </w:p>
    <w:p w14:paraId="7E72C2A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态环境部于2022年4月6日发布了《尾矿污染环境防治管理办法》（部令第26号），本项目建设内容包括尾矿库，并配套建设防渗、渗滤液收集、废水处理、环境监测、环境应急等污染防治设施。建设单位在后期运营过程中应当建立健全尾矿产生、贮存、运输、综合利用等全过程的污染防治责任制度，确定承担污染防治工作的部门和专职技术人员，明确单位负责人和相关人员的责任；建立尾矿环境管理台账，在尾矿环境管理台账中如实记录生产运营中产生尾矿的种类、数量、流向、贮存、综合利用等信息，如实记录尾矿库的污染防治设施建设和运行情况、环境监测情况、污染隐患排查治理情况、突发环境事件应急预案及其落实情况等信息，尾矿环境管理台账保存期限不得少于五年，其中尾矿库运营、管理单位的环境管理台账信息应当永久保存。综上所述，本项目符合《尾矿污染环境防治管理办法》（部令第26号）。</w:t>
      </w:r>
    </w:p>
    <w:p w14:paraId="1C6E7F57">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3.6.3.15与《土壤污染源头防控行动计划》（环土壤</w:t>
      </w:r>
      <w:r>
        <w:rPr>
          <w:rFonts w:hint="default" w:cs="Times New Roman"/>
          <w:color w:val="auto"/>
          <w:highlight w:val="none"/>
          <w:lang w:val="en-US" w:eastAsia="zh-CN"/>
        </w:rPr>
        <w:t>〔2024〕80号</w:t>
      </w:r>
      <w:r>
        <w:rPr>
          <w:rFonts w:hint="default" w:ascii="Times New Roman" w:hAnsi="Times New Roman" w:cs="Times New Roman"/>
          <w:color w:val="auto"/>
          <w:highlight w:val="none"/>
          <w:lang w:val="en-US" w:eastAsia="zh-CN"/>
        </w:rPr>
        <w:t>）符合性分析</w:t>
      </w:r>
    </w:p>
    <w:p w14:paraId="64D4734F">
      <w:pPr>
        <w:bidi w:val="0"/>
        <w:rPr>
          <w:rFonts w:hint="default" w:ascii="Times New Roman" w:hAnsi="Times New Roman" w:cs="Times New Roman"/>
          <w:color w:val="auto"/>
          <w:szCs w:val="24"/>
          <w:highlight w:val="none"/>
          <w:lang w:val="en-US" w:eastAsia="zh-CN" w:bidi="ar"/>
        </w:rPr>
      </w:pPr>
      <w:r>
        <w:rPr>
          <w:rFonts w:hint="default" w:ascii="Times New Roman" w:hAnsi="Times New Roman" w:cs="Times New Roman"/>
          <w:color w:val="auto"/>
          <w:highlight w:val="none"/>
          <w:lang w:val="en-US" w:eastAsia="zh-CN"/>
        </w:rPr>
        <w:t>2024年11月6日发布了《土壤污染源头防控行动计划》（环土壤</w:t>
      </w:r>
      <w:r>
        <w:rPr>
          <w:rFonts w:hint="default" w:cs="Times New Roman"/>
          <w:color w:val="auto"/>
          <w:highlight w:val="none"/>
          <w:lang w:val="en-US" w:eastAsia="zh-CN"/>
        </w:rPr>
        <w:t>〔2024〕80号</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szCs w:val="24"/>
          <w:highlight w:val="none"/>
          <w:lang w:bidi="ar"/>
        </w:rPr>
        <w:t>指出：</w:t>
      </w:r>
      <w:r>
        <w:rPr>
          <w:rFonts w:hint="default" w:ascii="Times New Roman" w:hAnsi="Times New Roman" w:cs="Times New Roman"/>
          <w:color w:val="auto"/>
          <w:szCs w:val="24"/>
          <w:highlight w:val="none"/>
          <w:lang w:eastAsia="zh-CN" w:bidi="ar"/>
        </w:rPr>
        <w:t>“减少涉重金属废气排放。持续高质量推进钢铁、水泥焦化行业和燃煤锅炉企业超低排放改造工作，推动已完成超低排放改造的企业及时变更排污许可证。开展重点行业大气污染物排放标准制修订。内蒙古、江西、河南、湖北、湖南、广东、广西、四川、贵州、云南、陕西、甘肃、新疆等省（区）矿产资源开发活动集中的区域继续执行重点污染物特别排放限值。推动上述省（区）以外的省级人民政府划定执行颗粒物特别排放限值的区域，</w:t>
      </w:r>
      <w:r>
        <w:rPr>
          <w:rFonts w:hint="default" w:ascii="Times New Roman" w:hAnsi="Times New Roman" w:cs="Times New Roman"/>
          <w:b/>
          <w:bCs/>
          <w:color w:val="auto"/>
          <w:szCs w:val="24"/>
          <w:highlight w:val="none"/>
          <w:lang w:eastAsia="zh-CN" w:bidi="ar"/>
        </w:rPr>
        <w:t>重点</w:t>
      </w:r>
      <w:r>
        <w:rPr>
          <w:rFonts w:hint="default" w:cs="Times New Roman"/>
          <w:b/>
          <w:bCs/>
          <w:color w:val="auto"/>
          <w:szCs w:val="24"/>
          <w:highlight w:val="none"/>
          <w:lang w:eastAsia="zh-CN" w:bidi="ar"/>
        </w:rPr>
        <w:t>聚焦</w:t>
      </w:r>
      <w:r>
        <w:rPr>
          <w:rFonts w:hint="default" w:ascii="Times New Roman" w:hAnsi="Times New Roman" w:cs="Times New Roman"/>
          <w:b/>
          <w:bCs/>
          <w:color w:val="auto"/>
          <w:szCs w:val="24"/>
          <w:highlight w:val="none"/>
          <w:lang w:eastAsia="zh-CN" w:bidi="ar"/>
        </w:rPr>
        <w:t>有色金属矿产资源开发活动集中区域和受污染耕地安全利用、严格管控任务较重区域。</w:t>
      </w:r>
      <w:r>
        <w:rPr>
          <w:rFonts w:hint="default" w:ascii="Times New Roman" w:hAnsi="Times New Roman" w:cs="Times New Roman"/>
          <w:color w:val="auto"/>
          <w:szCs w:val="24"/>
          <w:highlight w:val="none"/>
          <w:lang w:eastAsia="zh-CN" w:bidi="ar"/>
        </w:rPr>
        <w:t>在受污染耕地集中地区，耕地土壤重金属含量呈上升趋势的地区，经排查主要由大气污染源造成的，采取相应的污染源头管控措施。推动</w:t>
      </w:r>
      <w:r>
        <w:rPr>
          <w:rFonts w:hint="default" w:ascii="Times New Roman" w:hAnsi="Times New Roman" w:cs="Times New Roman"/>
          <w:b/>
          <w:bCs/>
          <w:color w:val="auto"/>
          <w:szCs w:val="24"/>
          <w:highlight w:val="none"/>
          <w:lang w:eastAsia="zh-CN" w:bidi="ar"/>
        </w:rPr>
        <w:t>有色金属矿采选</w:t>
      </w:r>
      <w:r>
        <w:rPr>
          <w:rFonts w:hint="default" w:ascii="Times New Roman" w:hAnsi="Times New Roman" w:cs="Times New Roman"/>
          <w:color w:val="auto"/>
          <w:szCs w:val="24"/>
          <w:highlight w:val="none"/>
          <w:lang w:eastAsia="zh-CN" w:bidi="ar"/>
        </w:rPr>
        <w:t>、冶炼行业颗粒物深度治理实施颗粒物治理升级改造工程，加强除尘工艺废气、生产车间低空逸散烟气收集处理”，</w:t>
      </w:r>
      <w:r>
        <w:rPr>
          <w:rFonts w:hint="default" w:ascii="Times New Roman" w:hAnsi="Times New Roman" w:cs="Times New Roman"/>
          <w:color w:val="auto"/>
          <w:szCs w:val="24"/>
          <w:highlight w:val="none"/>
          <w:lang w:val="en-US" w:eastAsia="zh-CN" w:bidi="ar"/>
        </w:rPr>
        <w:t>本项目选矿车间产生的粉尘</w:t>
      </w:r>
      <w:r>
        <w:rPr>
          <w:rFonts w:hint="default" w:ascii="Times New Roman" w:hAnsi="Times New Roman" w:cs="Times New Roman"/>
          <w:color w:val="auto"/>
          <w:kern w:val="0"/>
          <w:highlight w:val="none"/>
        </w:rPr>
        <w:t>收集后经</w:t>
      </w:r>
      <w:r>
        <w:rPr>
          <w:rFonts w:hint="default" w:ascii="Times New Roman" w:hAnsi="Times New Roman" w:cs="Times New Roman"/>
          <w:color w:val="auto"/>
          <w:kern w:val="0"/>
          <w:highlight w:val="none"/>
          <w:lang w:val="en-US" w:eastAsia="zh-CN"/>
        </w:rPr>
        <w:t>布袋</w:t>
      </w:r>
      <w:r>
        <w:rPr>
          <w:rFonts w:hint="default" w:ascii="Times New Roman" w:hAnsi="Times New Roman" w:cs="Times New Roman"/>
          <w:color w:val="auto"/>
          <w:kern w:val="0"/>
          <w:highlight w:val="none"/>
          <w:lang w:eastAsia="zh-CN"/>
        </w:rPr>
        <w:t>除尘器</w:t>
      </w:r>
      <w:r>
        <w:rPr>
          <w:rFonts w:hint="default" w:ascii="Times New Roman" w:hAnsi="Times New Roman" w:cs="Times New Roman"/>
          <w:color w:val="auto"/>
          <w:kern w:val="0"/>
          <w:highlight w:val="none"/>
        </w:rPr>
        <w:t>处理达标后通过15m高排气筒排放</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后期运营时应</w:t>
      </w:r>
      <w:r>
        <w:rPr>
          <w:rFonts w:hint="default" w:ascii="Times New Roman" w:hAnsi="Times New Roman" w:cs="Times New Roman"/>
          <w:color w:val="auto"/>
          <w:szCs w:val="24"/>
          <w:highlight w:val="none"/>
          <w:lang w:val="en-US" w:eastAsia="zh-CN" w:bidi="ar"/>
        </w:rPr>
        <w:t>加强除尘工艺废气、生产车间低空逸散烟气收集处理，开展土壤定期监测工作，因此本项目符合《土壤污染源头防控行动计划》（环土壤</w:t>
      </w:r>
      <w:r>
        <w:rPr>
          <w:rFonts w:hint="default" w:cs="Times New Roman"/>
          <w:color w:val="auto"/>
          <w:szCs w:val="24"/>
          <w:highlight w:val="none"/>
          <w:lang w:val="en-US" w:eastAsia="zh-CN" w:bidi="ar"/>
        </w:rPr>
        <w:t>〔2024〕80号</w:t>
      </w:r>
      <w:r>
        <w:rPr>
          <w:rFonts w:hint="default" w:ascii="Times New Roman" w:hAnsi="Times New Roman" w:cs="Times New Roman"/>
          <w:color w:val="auto"/>
          <w:szCs w:val="24"/>
          <w:highlight w:val="none"/>
          <w:lang w:val="en-US" w:eastAsia="zh-CN" w:bidi="ar"/>
        </w:rPr>
        <w:t>）。</w:t>
      </w:r>
    </w:p>
    <w:p w14:paraId="7E206EF2">
      <w:pPr>
        <w:pStyle w:val="5"/>
        <w:ind w:firstLine="542"/>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3.6.2.16与《新疆维吾尔自治区主体功能区规划》的符合性分析</w:t>
      </w:r>
    </w:p>
    <w:p w14:paraId="4B9DD01B">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新疆维吾尔自治区主体功能区规划》中提出：主体功能区与能源和矿产资源开发的关系。一些能源和矿产资源富集的区域往往同时是生态脆弱或生态重要的区域，被划分为限制进行大规模高强度工业化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点上开发、面上保护</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p>
    <w:p w14:paraId="710143A0">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时加强对矿产开发区迹地的生态修复。</w:t>
      </w:r>
    </w:p>
    <w:p w14:paraId="4305B117">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14:paraId="6542A046">
      <w:pPr>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禁止开发区域是指依法设立的各级各类自然文化资源保护区域，以及其他禁止进行工业化城镇化开发、需要特殊保护的重点生态功能区。国家层面的禁止开发区域包括国家级自然保护区、世界文化自然遗产、国家级风景名胜区、国家森林公园、国家地质公园。省级层面的禁止开发区域，包括省级及以下各级各类自然文化资源保护区域、重要水源地、重要湿地以及其他省级人民政府根据需要确定的禁止开发区域。</w:t>
      </w:r>
    </w:p>
    <w:p w14:paraId="2A16D5CF">
      <w:pPr>
        <w:bidi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本工程</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金矿选矿项目</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项目区位于</w:t>
      </w:r>
      <w:r>
        <w:rPr>
          <w:rFonts w:hint="default" w:cs="Times New Roman"/>
          <w:color w:val="auto"/>
          <w:sz w:val="24"/>
          <w:highlight w:val="none"/>
          <w:lang w:val="en-US" w:eastAsia="zh-CN"/>
        </w:rPr>
        <w:t>富蕴县</w:t>
      </w:r>
      <w:r>
        <w:rPr>
          <w:rFonts w:hint="default" w:ascii="Times New Roman" w:hAnsi="Times New Roman" w:cs="Times New Roman"/>
          <w:color w:val="auto"/>
          <w:sz w:val="24"/>
          <w:highlight w:val="none"/>
          <w:lang w:val="en-US" w:eastAsia="zh-CN"/>
        </w:rPr>
        <w:t>境内</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项目区不涉及国家级自然保护区、世界文化自然遗产、国家级风景名胜区、国家森林公园、国家地质公园等禁止开发区域，项目区位于新疆</w:t>
      </w:r>
      <w:r>
        <w:rPr>
          <w:rFonts w:hint="default" w:ascii="Times New Roman" w:hAnsi="Times New Roman" w:cs="Times New Roman"/>
          <w:color w:val="auto"/>
          <w:sz w:val="24"/>
          <w:highlight w:val="none"/>
        </w:rPr>
        <w:t>重点生态功能区</w:t>
      </w:r>
      <w:r>
        <w:rPr>
          <w:rFonts w:hint="default" w:ascii="Times New Roman" w:hAnsi="Times New Roman" w:cs="Times New Roman"/>
          <w:color w:val="auto"/>
          <w:sz w:val="24"/>
          <w:highlight w:val="none"/>
          <w:lang w:eastAsia="zh-CN"/>
        </w:rPr>
        <w:t>，属于限制开发区域</w:t>
      </w:r>
      <w:r>
        <w:rPr>
          <w:rFonts w:hint="default" w:ascii="Times New Roman" w:hAnsi="Times New Roman" w:cs="Times New Roman"/>
          <w:color w:val="auto"/>
          <w:sz w:val="24"/>
          <w:highlight w:val="none"/>
          <w:lang w:val="en-US" w:eastAsia="zh-CN"/>
        </w:rPr>
        <w:t>，在项目区实施“点上开发、面上保护”的措施，通过采取生态环境保护修复措施</w:t>
      </w:r>
      <w:r>
        <w:rPr>
          <w:rFonts w:hint="default" w:ascii="Times New Roman" w:hAnsi="Times New Roman" w:cs="Times New Roman"/>
          <w:color w:val="auto"/>
          <w:sz w:val="24"/>
          <w:highlight w:val="none"/>
          <w:lang w:val="zh-TW"/>
        </w:rPr>
        <w:t>尽可能减少对生态环境的扰动和破坏，</w:t>
      </w:r>
      <w:r>
        <w:rPr>
          <w:rFonts w:hint="default" w:ascii="Times New Roman" w:hAnsi="Times New Roman" w:cs="Times New Roman"/>
          <w:color w:val="auto"/>
          <w:sz w:val="24"/>
          <w:highlight w:val="none"/>
          <w:lang w:val="en-US" w:eastAsia="zh-CN"/>
        </w:rPr>
        <w:t>将</w:t>
      </w:r>
      <w:r>
        <w:rPr>
          <w:rFonts w:hint="default" w:ascii="Times New Roman" w:hAnsi="Times New Roman" w:cs="Times New Roman"/>
          <w:color w:val="auto"/>
          <w:sz w:val="24"/>
          <w:highlight w:val="none"/>
          <w:lang w:val="zh-TW"/>
        </w:rPr>
        <w:t>其开发强度控制在规划目标之内</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符合《新疆维吾尔自治区主体功能区规划》中的相关开发管制原则要求。</w:t>
      </w:r>
    </w:p>
    <w:p w14:paraId="467D0A9F">
      <w:pPr>
        <w:pStyle w:val="5"/>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3.6.2.17与《固体废物综合治理行动计划》符合性分析</w:t>
      </w:r>
    </w:p>
    <w:p w14:paraId="036E67E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2026年1月4日，国务院印发《固体废物综合治理行动计划》（国发﹝2025﹞14号），文件中要求：加强工业固体废物源头减量。严格落实产业、环保、节能等政策，依法依规淘汰落后产能。强化工业园区固体废物源头管控。大力推行绿色设计，支持企业改进生产工艺和装备，强化工业生产精细化管控，降低固体废物产生强度。推动重有色金属矿采选一体化建设，促进尾矿就近充填回填，原则上不再批准建设无自建矿山、无配套尾矿利用处置设施的选矿项目。推动重点行业固体废物产生量与综合消纳量逐步实现动态平衡。</w:t>
      </w:r>
    </w:p>
    <w:p w14:paraId="30730167">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本项目为金矿选矿项目，与采矿项目一同建设，属于采选</w:t>
      </w:r>
      <w:r>
        <w:rPr>
          <w:rFonts w:hint="default" w:cs="Times New Roman"/>
          <w:color w:val="auto"/>
          <w:highlight w:val="none"/>
          <w:lang w:val="en-US" w:eastAsia="zh-CN"/>
        </w:rPr>
        <w:t>一体化</w:t>
      </w:r>
      <w:r>
        <w:rPr>
          <w:rFonts w:hint="default" w:ascii="Times New Roman" w:hAnsi="Times New Roman" w:eastAsia="宋体" w:cs="Times New Roman"/>
          <w:color w:val="auto"/>
          <w:highlight w:val="none"/>
          <w:lang w:val="en-US" w:eastAsia="zh-CN"/>
        </w:rPr>
        <w:t>建设项目。同时本项目利用尾砂充填井下采空区，属于有自建矿山及尾矿利用处置设施的选矿项目，另外本项目产生的其他固体废物均能合理处置。因此本项目符合</w:t>
      </w:r>
      <w:r>
        <w:rPr>
          <w:rFonts w:hint="default" w:ascii="Times New Roman" w:hAnsi="Times New Roman" w:cs="Times New Roman"/>
          <w:color w:val="auto"/>
          <w:highlight w:val="none"/>
          <w:lang w:val="en-US" w:eastAsia="zh-CN"/>
        </w:rPr>
        <w:t>《固体废物综合治理行动计划》的相关要求。</w:t>
      </w:r>
    </w:p>
    <w:p w14:paraId="2FEC0112">
      <w:pPr>
        <w:pStyle w:val="4"/>
        <w:numPr>
          <w:ilvl w:val="0"/>
          <w:numId w:val="0"/>
        </w:numPr>
        <w:bidi w:val="0"/>
        <w:ind w:leftChars="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.4与</w:t>
      </w:r>
      <w:r>
        <w:rPr>
          <w:rFonts w:hint="default" w:cs="Times New Roman"/>
          <w:color w:val="auto"/>
          <w:highlight w:val="none"/>
          <w:lang w:val="en-US" w:eastAsia="zh-CN"/>
        </w:rPr>
        <w:t>生态环境分区管控</w:t>
      </w:r>
      <w:r>
        <w:rPr>
          <w:rFonts w:hint="default" w:ascii="Times New Roman" w:hAnsi="Times New Roman" w:cs="Times New Roman"/>
          <w:color w:val="auto"/>
          <w:highlight w:val="none"/>
        </w:rPr>
        <w:t>符合性分析</w:t>
      </w:r>
      <w:bookmarkEnd w:id="548"/>
    </w:p>
    <w:p w14:paraId="05AA6A1F">
      <w:pPr>
        <w:pStyle w:val="5"/>
        <w:ind w:firstLine="482"/>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eastAsia="zh-CN"/>
        </w:rPr>
        <w:t>与</w:t>
      </w:r>
      <w:r>
        <w:rPr>
          <w:rFonts w:hint="default" w:ascii="Times New Roman" w:hAnsi="Times New Roman" w:cs="Times New Roman"/>
          <w:color w:val="auto"/>
          <w:highlight w:val="none"/>
        </w:rPr>
        <w:t>《新疆维吾尔自治区生态环境分区管控动态更新成果》</w:t>
      </w:r>
      <w:r>
        <w:rPr>
          <w:rFonts w:hint="default" w:ascii="Times New Roman" w:hAnsi="Times New Roman" w:cs="Times New Roman"/>
          <w:color w:val="auto"/>
          <w:highlight w:val="none"/>
          <w:lang w:eastAsia="zh-CN"/>
        </w:rPr>
        <w:t>符合性分析</w:t>
      </w:r>
    </w:p>
    <w:p w14:paraId="75A2BF1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kern w:val="10"/>
          <w:sz w:val="24"/>
          <w:szCs w:val="24"/>
          <w:highlight w:val="none"/>
          <w:lang w:val="en-US" w:eastAsia="zh-CN"/>
        </w:rPr>
      </w:pPr>
      <w:r>
        <w:rPr>
          <w:rFonts w:hint="default" w:ascii="Times New Roman" w:hAnsi="Times New Roman" w:eastAsia="宋体" w:cs="Times New Roman"/>
          <w:color w:val="auto"/>
          <w:sz w:val="24"/>
          <w:szCs w:val="24"/>
          <w:highlight w:val="none"/>
          <w:shd w:val="clear" w:color="auto" w:fill="auto"/>
        </w:rPr>
        <w:t>202</w:t>
      </w:r>
      <w:r>
        <w:rPr>
          <w:rFonts w:hint="default"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rPr>
        <w:t>年</w:t>
      </w:r>
      <w:r>
        <w:rPr>
          <w:rFonts w:hint="default" w:ascii="Times New Roman" w:hAnsi="Times New Roman" w:eastAsia="宋体" w:cs="Times New Roman"/>
          <w:color w:val="auto"/>
          <w:sz w:val="24"/>
          <w:szCs w:val="24"/>
          <w:highlight w:val="none"/>
          <w:shd w:val="clear" w:color="auto" w:fill="auto"/>
          <w:lang w:val="en-US" w:eastAsia="zh-CN"/>
        </w:rPr>
        <w:t>11</w:t>
      </w:r>
      <w:r>
        <w:rPr>
          <w:rFonts w:hint="default" w:ascii="Times New Roman" w:hAnsi="Times New Roman" w:eastAsia="宋体" w:cs="Times New Roman"/>
          <w:color w:val="auto"/>
          <w:sz w:val="24"/>
          <w:szCs w:val="24"/>
          <w:highlight w:val="none"/>
          <w:shd w:val="clear" w:color="auto" w:fill="auto"/>
        </w:rPr>
        <w:t>月</w:t>
      </w:r>
      <w:r>
        <w:rPr>
          <w:rFonts w:hint="default" w:ascii="Times New Roman" w:hAnsi="Times New Roman" w:eastAsia="宋体" w:cs="Times New Roman"/>
          <w:color w:val="auto"/>
          <w:sz w:val="24"/>
          <w:szCs w:val="24"/>
          <w:highlight w:val="none"/>
          <w:shd w:val="clear" w:color="auto" w:fill="auto"/>
          <w:lang w:val="en-US" w:eastAsia="zh-CN"/>
        </w:rPr>
        <w:t>18</w:t>
      </w:r>
      <w:r>
        <w:rPr>
          <w:rFonts w:hint="default" w:ascii="Times New Roman" w:hAnsi="Times New Roman" w:eastAsia="宋体" w:cs="Times New Roman"/>
          <w:color w:val="auto"/>
          <w:sz w:val="24"/>
          <w:szCs w:val="24"/>
          <w:highlight w:val="none"/>
          <w:shd w:val="clear" w:color="auto" w:fill="auto"/>
        </w:rPr>
        <w:t>日，新疆维吾尔自治区人民政府以新</w:t>
      </w:r>
      <w:r>
        <w:rPr>
          <w:rFonts w:hint="default" w:ascii="Times New Roman" w:hAnsi="Times New Roman" w:eastAsia="宋体" w:cs="Times New Roman"/>
          <w:color w:val="auto"/>
          <w:sz w:val="24"/>
          <w:szCs w:val="24"/>
          <w:highlight w:val="none"/>
          <w:shd w:val="clear" w:color="auto" w:fill="auto"/>
          <w:lang w:val="en-US" w:eastAsia="zh-CN"/>
        </w:rPr>
        <w:t>环环评</w:t>
      </w:r>
      <w:r>
        <w:rPr>
          <w:rFonts w:hint="default" w:ascii="Times New Roman" w:hAnsi="Times New Roman" w:eastAsia="宋体" w:cs="Times New Roman"/>
          <w:color w:val="auto"/>
          <w:sz w:val="24"/>
          <w:szCs w:val="24"/>
          <w:highlight w:val="none"/>
          <w:shd w:val="clear" w:color="auto" w:fill="auto"/>
        </w:rPr>
        <w:t>发</w:t>
      </w:r>
      <w:r>
        <w:rPr>
          <w:rFonts w:hint="default" w:ascii="Times New Roman" w:hAnsi="Times New Roman" w:eastAsia="宋体" w:cs="Times New Roman"/>
          <w:color w:val="auto"/>
          <w:sz w:val="24"/>
          <w:szCs w:val="24"/>
          <w:highlight w:val="none"/>
          <w:shd w:val="clear" w:color="auto" w:fill="auto"/>
          <w:lang w:eastAsia="zh-CN"/>
        </w:rPr>
        <w:t>〔2024〕157号</w:t>
      </w:r>
      <w:r>
        <w:rPr>
          <w:rFonts w:hint="default" w:ascii="Times New Roman" w:hAnsi="Times New Roman" w:eastAsia="宋体" w:cs="Times New Roman"/>
          <w:color w:val="auto"/>
          <w:sz w:val="24"/>
          <w:szCs w:val="24"/>
          <w:highlight w:val="none"/>
          <w:shd w:val="clear" w:color="auto" w:fill="auto"/>
        </w:rPr>
        <w:t>文印发了关于《新疆维吾尔自治区生态环境分区管控动态更新成果的通知》，</w:t>
      </w:r>
      <w:r>
        <w:rPr>
          <w:rFonts w:hint="default" w:ascii="Times New Roman" w:hAnsi="Times New Roman" w:cs="Times New Roman"/>
          <w:color w:val="auto"/>
          <w:kern w:val="0"/>
          <w:sz w:val="24"/>
          <w:szCs w:val="24"/>
          <w:highlight w:val="none"/>
          <w:lang w:val="en-US" w:eastAsia="zh-CN" w:bidi="ar"/>
        </w:rPr>
        <w:t>根据《通知》，新疆维吾尔自治区按照管控要求，划定优先保护单元、重点管控单元、一般管控单元三类，实施分类管控。优先保护单元共925个，重点管控单元共713个，一般管控单元共139个。</w:t>
      </w:r>
    </w:p>
    <w:p w14:paraId="084E89E7">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kern w:val="10"/>
          <w:sz w:val="24"/>
          <w:szCs w:val="24"/>
          <w:highlight w:val="none"/>
          <w:lang w:val="en-US" w:eastAsia="zh-CN"/>
        </w:rPr>
      </w:pPr>
      <w:r>
        <w:rPr>
          <w:rFonts w:hint="default" w:ascii="Times New Roman" w:hAnsi="Times New Roman" w:eastAsia="宋体" w:cs="Times New Roman"/>
          <w:color w:val="auto"/>
          <w:kern w:val="10"/>
          <w:sz w:val="24"/>
          <w:szCs w:val="24"/>
          <w:highlight w:val="none"/>
          <w:lang w:val="en-US" w:eastAsia="zh-CN"/>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w:t>
      </w:r>
    </w:p>
    <w:p w14:paraId="4D0A2B3F">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kern w:val="10"/>
          <w:sz w:val="24"/>
          <w:szCs w:val="24"/>
          <w:highlight w:val="none"/>
          <w:lang w:val="en-US" w:eastAsia="zh-CN"/>
        </w:rPr>
      </w:pPr>
      <w:r>
        <w:rPr>
          <w:rFonts w:hint="default" w:ascii="Times New Roman" w:hAnsi="Times New Roman" w:eastAsia="宋体" w:cs="Times New Roman"/>
          <w:color w:val="auto"/>
          <w:kern w:val="10"/>
          <w:sz w:val="24"/>
          <w:szCs w:val="24"/>
          <w:highlight w:val="none"/>
          <w:lang w:val="en-US" w:eastAsia="zh-CN"/>
        </w:rPr>
        <w:t>重点管控单元主要包括城镇建成区、工业园区和开发强度大、污染物排放强度高的工业聚集区等。要着力优化空间布局，不断提升资源利用效率，有针对性地加强污染物排放管控和环境风险防控，解决生态环境质量不达标、生态环境风险高等问题。</w:t>
      </w:r>
    </w:p>
    <w:p w14:paraId="3190C046">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kern w:val="10"/>
          <w:sz w:val="24"/>
          <w:szCs w:val="24"/>
          <w:highlight w:val="none"/>
          <w:lang w:val="en-US" w:eastAsia="zh-CN"/>
        </w:rPr>
      </w:pPr>
      <w:bookmarkStart w:id="549" w:name="OLE_LINK250"/>
      <w:r>
        <w:rPr>
          <w:rFonts w:hint="default" w:ascii="Times New Roman" w:hAnsi="Times New Roman" w:eastAsia="宋体" w:cs="Times New Roman"/>
          <w:color w:val="auto"/>
          <w:kern w:val="10"/>
          <w:sz w:val="24"/>
          <w:szCs w:val="24"/>
          <w:highlight w:val="none"/>
          <w:lang w:val="en-US" w:eastAsia="zh-CN"/>
        </w:rPr>
        <w:t>一般管控单元主要包括优先保护单元和重点管控单元之外的其他区域。一般管控单元以沙漠、荒漠、戈壁、一般农业生产等为主的管控单元，主要落实生态环境保护基本要求，推动区域环境质量持续改善。</w:t>
      </w:r>
    </w:p>
    <w:p w14:paraId="0AE1E652">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不在划定的红线范围内，距离</w:t>
      </w:r>
      <w:r>
        <w:rPr>
          <w:rFonts w:hint="default" w:ascii="Times New Roman" w:hAnsi="Times New Roman" w:cs="Times New Roman"/>
          <w:color w:val="auto"/>
          <w:sz w:val="24"/>
          <w:szCs w:val="24"/>
          <w:highlight w:val="none"/>
          <w:lang w:val="en-US" w:eastAsia="zh-CN"/>
        </w:rPr>
        <w:t>红线区</w:t>
      </w:r>
      <w:r>
        <w:rPr>
          <w:rFonts w:hint="default" w:ascii="Times New Roman" w:hAnsi="Times New Roman" w:eastAsia="宋体" w:cs="Times New Roman"/>
          <w:color w:val="auto"/>
          <w:sz w:val="24"/>
          <w:szCs w:val="24"/>
          <w:highlight w:val="none"/>
          <w:lang w:val="en-US" w:eastAsia="zh-CN"/>
        </w:rPr>
        <w:t>最近</w:t>
      </w:r>
      <w:r>
        <w:rPr>
          <w:rFonts w:hint="default" w:ascii="Times New Roman" w:hAnsi="Times New Roman" w:cs="Times New Roman"/>
          <w:color w:val="auto"/>
          <w:sz w:val="24"/>
          <w:szCs w:val="24"/>
          <w:highlight w:val="none"/>
          <w:lang w:val="en-US" w:eastAsia="zh-CN"/>
        </w:rPr>
        <w:t>为3.</w:t>
      </w:r>
      <w:r>
        <w:rPr>
          <w:rFonts w:hint="default" w:cs="Times New Roman"/>
          <w:color w:val="auto"/>
          <w:sz w:val="24"/>
          <w:szCs w:val="24"/>
          <w:highlight w:val="none"/>
          <w:lang w:val="en-US" w:eastAsia="zh-CN"/>
        </w:rPr>
        <w:t>68</w:t>
      </w:r>
      <w:r>
        <w:rPr>
          <w:rFonts w:hint="default" w:ascii="Times New Roman" w:hAnsi="Times New Roman" w:cs="Times New Roman"/>
          <w:color w:val="auto"/>
          <w:sz w:val="24"/>
          <w:szCs w:val="24"/>
          <w:highlight w:val="none"/>
          <w:lang w:val="en-US" w:eastAsia="zh-CN"/>
        </w:rPr>
        <w:t>km，详见图2.8-2</w:t>
      </w:r>
      <w:r>
        <w:rPr>
          <w:rFonts w:hint="default" w:ascii="Times New Roman" w:hAnsi="Times New Roman" w:eastAsia="宋体" w:cs="Times New Roman"/>
          <w:color w:val="auto"/>
          <w:sz w:val="24"/>
          <w:szCs w:val="24"/>
          <w:highlight w:val="none"/>
          <w:lang w:eastAsia="zh-Hans"/>
        </w:rPr>
        <w:t>。</w:t>
      </w:r>
      <w:bookmarkStart w:id="550" w:name="OLE_LINK251"/>
    </w:p>
    <w:bookmarkEnd w:id="550"/>
    <w:p w14:paraId="790AD1E3">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（2）环境质量底线</w:t>
      </w:r>
    </w:p>
    <w:p w14:paraId="02C97039">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环境质量底线就是只能改善不能恶</w:t>
      </w:r>
      <w:bookmarkEnd w:id="549"/>
      <w:r>
        <w:rPr>
          <w:rFonts w:hint="default" w:ascii="Times New Roman" w:hAnsi="Times New Roman" w:eastAsia="宋体" w:cs="Times New Roman"/>
          <w:color w:val="auto"/>
          <w:sz w:val="24"/>
          <w:szCs w:val="24"/>
          <w:highlight w:val="none"/>
          <w:lang w:val="en-US" w:eastAsia="zh-CN"/>
        </w:rPr>
        <w:t>化。大气环境质量底线就是在符合大气环境区域功能区划和大气环境管理的基础上，确保大气污染物排放不对区域功能区划造成影响，污染物排放总量低于大气环境容量。</w:t>
      </w:r>
    </w:p>
    <w:p w14:paraId="5F33E4A4">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本工程在运营期大气污染物全部实现达标排放，预测落地浓度叠加现状结果后满足相应标准因此本工程的建设不会对区域环境质量造成大的影响。</w:t>
      </w:r>
    </w:p>
    <w:p w14:paraId="5A975E0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本工程生产废水全部回用于生产，生活污水配套地埋式一体化设施处理后综合利用</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不直接排入外环境水体，不会影响区域水环境质量。</w:t>
      </w:r>
    </w:p>
    <w:p w14:paraId="277802C0">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本工程产生的尾矿部分用于回填釆坑，剩余堆放至尾矿库，生活垃圾</w:t>
      </w:r>
      <w:r>
        <w:rPr>
          <w:rFonts w:hint="default" w:ascii="Times New Roman" w:hAnsi="Times New Roman" w:cs="Times New Roman"/>
          <w:color w:val="auto"/>
          <w:sz w:val="24"/>
          <w:szCs w:val="24"/>
          <w:highlight w:val="none"/>
          <w:lang w:val="en-US" w:eastAsia="zh-CN"/>
        </w:rPr>
        <w:t>定期</w:t>
      </w:r>
      <w:r>
        <w:rPr>
          <w:rFonts w:hint="default" w:ascii="Times New Roman" w:hAnsi="Times New Roman" w:eastAsia="宋体" w:cs="Times New Roman"/>
          <w:color w:val="auto"/>
          <w:sz w:val="24"/>
          <w:szCs w:val="24"/>
          <w:highlight w:val="none"/>
          <w:lang w:val="en-US" w:eastAsia="zh-CN"/>
        </w:rPr>
        <w:t>拉运至</w:t>
      </w:r>
      <w:r>
        <w:rPr>
          <w:rFonts w:hint="default" w:ascii="Times New Roman" w:hAnsi="Times New Roman" w:cs="Times New Roman"/>
          <w:color w:val="auto"/>
          <w:sz w:val="24"/>
          <w:szCs w:val="24"/>
          <w:highlight w:val="none"/>
          <w:lang w:val="en-US" w:eastAsia="zh-CN"/>
        </w:rPr>
        <w:t>喀拉通克镇</w:t>
      </w:r>
      <w:r>
        <w:rPr>
          <w:rFonts w:hint="default" w:ascii="Times New Roman" w:hAnsi="Times New Roman" w:eastAsia="宋体" w:cs="Times New Roman"/>
          <w:color w:val="auto"/>
          <w:sz w:val="24"/>
          <w:szCs w:val="24"/>
          <w:highlight w:val="none"/>
          <w:lang w:val="en-US" w:eastAsia="zh-CN"/>
        </w:rPr>
        <w:t>进行处理，固废妥善处理，不乱排乱放，危险废物委托</w:t>
      </w:r>
      <w:r>
        <w:rPr>
          <w:rFonts w:hint="default" w:ascii="Times New Roman" w:hAnsi="Times New Roman" w:cs="Times New Roman"/>
          <w:color w:val="auto"/>
          <w:sz w:val="24"/>
          <w:szCs w:val="24"/>
          <w:highlight w:val="none"/>
          <w:lang w:val="en-US" w:eastAsia="zh-CN"/>
        </w:rPr>
        <w:t>有危废</w:t>
      </w:r>
      <w:r>
        <w:rPr>
          <w:rFonts w:hint="default" w:ascii="Times New Roman" w:hAnsi="Times New Roman" w:eastAsia="宋体" w:cs="Times New Roman"/>
          <w:color w:val="auto"/>
          <w:sz w:val="24"/>
          <w:szCs w:val="24"/>
          <w:highlight w:val="none"/>
          <w:lang w:val="en-US" w:eastAsia="zh-CN"/>
        </w:rPr>
        <w:t>处置</w:t>
      </w:r>
      <w:r>
        <w:rPr>
          <w:rFonts w:hint="default" w:ascii="Times New Roman" w:hAnsi="Times New Roman" w:cs="Times New Roman"/>
          <w:color w:val="auto"/>
          <w:sz w:val="24"/>
          <w:szCs w:val="24"/>
          <w:highlight w:val="none"/>
          <w:lang w:val="en-US" w:eastAsia="zh-CN"/>
        </w:rPr>
        <w:t>资质的单位处置</w:t>
      </w:r>
      <w:r>
        <w:rPr>
          <w:rFonts w:hint="default" w:ascii="Times New Roman" w:hAnsi="Times New Roman" w:eastAsia="宋体" w:cs="Times New Roman"/>
          <w:color w:val="auto"/>
          <w:sz w:val="24"/>
          <w:szCs w:val="24"/>
          <w:highlight w:val="none"/>
          <w:lang w:val="en-US" w:eastAsia="zh-CN"/>
        </w:rPr>
        <w:t>。上述措施能确保拟建项目污染物对环境质量的影响降到最小，不突破所在区域环境质量底线。</w:t>
      </w:r>
    </w:p>
    <w:p w14:paraId="79A8F15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（3）资源利用上线</w:t>
      </w:r>
    </w:p>
    <w:p w14:paraId="4644EAE8">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本工程为</w:t>
      </w:r>
      <w:r>
        <w:rPr>
          <w:rFonts w:hint="default" w:ascii="Times New Roman" w:hAnsi="Times New Roman" w:cs="Times New Roman"/>
          <w:color w:val="auto"/>
          <w:sz w:val="24"/>
          <w:szCs w:val="24"/>
          <w:highlight w:val="none"/>
          <w:lang w:val="en-US" w:eastAsia="zh-CN"/>
        </w:rPr>
        <w:t>金</w:t>
      </w:r>
      <w:r>
        <w:rPr>
          <w:rFonts w:hint="default" w:ascii="Times New Roman" w:hAnsi="Times New Roman" w:eastAsia="宋体" w:cs="Times New Roman"/>
          <w:color w:val="auto"/>
          <w:sz w:val="24"/>
          <w:szCs w:val="24"/>
          <w:highlight w:val="none"/>
          <w:lang w:val="en-US" w:eastAsia="zh-CN"/>
        </w:rPr>
        <w:t>矿选矿项目，在开发时严格按照可研设计进行选矿，不对资源的过度开发，符合资源利用的政策导向。</w:t>
      </w:r>
    </w:p>
    <w:p w14:paraId="31C561D0">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（4）环境准入清单</w:t>
      </w:r>
    </w:p>
    <w:p w14:paraId="385BD973">
      <w:pPr>
        <w:ind w:firstLine="480"/>
        <w:rPr>
          <w:rFonts w:hint="default" w:ascii="Times New Roman" w:hAnsi="Times New Roman" w:eastAsia="宋体" w:cs="Times New Roman"/>
          <w:color w:val="auto"/>
          <w:kern w:val="1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w:t>
      </w:r>
      <w:r>
        <w:rPr>
          <w:rFonts w:hint="default" w:ascii="Times New Roman" w:hAnsi="Times New Roman" w:eastAsia="宋体" w:cs="Times New Roman"/>
          <w:color w:val="auto"/>
          <w:kern w:val="10"/>
          <w:sz w:val="24"/>
          <w:szCs w:val="24"/>
          <w:highlight w:val="none"/>
          <w:lang w:val="en-US" w:eastAsia="zh-CN"/>
        </w:rPr>
        <w:t>程与自治区生态环境分区管控方案符合性分析见下表。</w:t>
      </w:r>
    </w:p>
    <w:p w14:paraId="675138E6">
      <w:pPr>
        <w:ind w:firstLine="0" w:firstLineChars="0"/>
        <w:jc w:val="center"/>
        <w:rPr>
          <w:rFonts w:hint="default" w:ascii="Times New Roman" w:hAnsi="Times New Roman" w:cs="Times New Roman"/>
          <w:b/>
          <w:bCs/>
          <w:color w:val="auto"/>
          <w:highlight w:val="none"/>
        </w:rPr>
      </w:pPr>
      <w:bookmarkStart w:id="551" w:name="_Toc25204_WPSOffice_Level2"/>
    </w:p>
    <w:p w14:paraId="243159C3">
      <w:pPr>
        <w:ind w:firstLine="0" w:firstLineChars="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rPr>
        <w:t>表3.</w:t>
      </w: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 xml:space="preserve">8    </w:t>
      </w:r>
      <w:r>
        <w:rPr>
          <w:rFonts w:hint="default" w:ascii="Times New Roman" w:hAnsi="Times New Roman" w:cs="Times New Roman"/>
          <w:b/>
          <w:bCs/>
          <w:color w:val="auto"/>
          <w:highlight w:val="none"/>
          <w:lang w:eastAsia="zh-CN"/>
        </w:rPr>
        <w:t>与</w:t>
      </w:r>
      <w:r>
        <w:rPr>
          <w:rFonts w:hint="default" w:ascii="Times New Roman" w:hAnsi="Times New Roman" w:cs="Times New Roman"/>
          <w:b/>
          <w:bCs/>
          <w:color w:val="auto"/>
          <w:highlight w:val="none"/>
        </w:rPr>
        <w:t>自治区生态环境分区管控方案</w:t>
      </w:r>
      <w:r>
        <w:rPr>
          <w:rFonts w:hint="default" w:ascii="Times New Roman" w:hAnsi="Times New Roman" w:cs="Times New Roman"/>
          <w:b/>
          <w:bCs/>
          <w:color w:val="auto"/>
          <w:highlight w:val="none"/>
          <w:lang w:eastAsia="zh-CN"/>
        </w:rPr>
        <w:t>符合性分析</w:t>
      </w:r>
      <w:bookmarkEnd w:id="551"/>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907"/>
        <w:gridCol w:w="6454"/>
        <w:gridCol w:w="1085"/>
      </w:tblGrid>
      <w:tr w14:paraId="0406E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91" w:type="pct"/>
            <w:gridSpan w:val="2"/>
            <w:noWrap w:val="0"/>
            <w:vAlign w:val="center"/>
          </w:tcPr>
          <w:p w14:paraId="2ECBC8D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15"/>
                <w:sz w:val="21"/>
                <w:szCs w:val="21"/>
                <w:highlight w:val="none"/>
                <w:vertAlign w:val="baseline"/>
              </w:rPr>
            </w:pPr>
            <w:r>
              <w:rPr>
                <w:rFonts w:hint="default" w:ascii="Times New Roman" w:hAnsi="Times New Roman" w:eastAsia="宋体" w:cs="Times New Roman"/>
                <w:b/>
                <w:bCs/>
                <w:color w:val="auto"/>
                <w:spacing w:val="-1"/>
                <w:sz w:val="21"/>
                <w:szCs w:val="21"/>
                <w:highlight w:val="none"/>
              </w:rPr>
              <w:t>管控维度</w:t>
            </w:r>
          </w:p>
        </w:tc>
        <w:tc>
          <w:tcPr>
            <w:tcW w:w="3517" w:type="pct"/>
            <w:noWrap w:val="0"/>
            <w:vAlign w:val="center"/>
          </w:tcPr>
          <w:p w14:paraId="026B16A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15"/>
                <w:sz w:val="21"/>
                <w:szCs w:val="21"/>
                <w:highlight w:val="none"/>
                <w:vertAlign w:val="baseline"/>
              </w:rPr>
            </w:pPr>
            <w:r>
              <w:rPr>
                <w:rFonts w:hint="default" w:ascii="Times New Roman" w:hAnsi="Times New Roman" w:eastAsia="宋体" w:cs="Times New Roman"/>
                <w:b/>
                <w:bCs/>
                <w:color w:val="auto"/>
                <w:spacing w:val="-6"/>
                <w:sz w:val="21"/>
                <w:szCs w:val="21"/>
                <w:highlight w:val="none"/>
              </w:rPr>
              <w:t>管控要求</w:t>
            </w:r>
          </w:p>
        </w:tc>
        <w:tc>
          <w:tcPr>
            <w:tcW w:w="591" w:type="pct"/>
            <w:noWrap w:val="0"/>
            <w:vAlign w:val="center"/>
          </w:tcPr>
          <w:p w14:paraId="00FB169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15"/>
                <w:sz w:val="21"/>
                <w:szCs w:val="21"/>
                <w:highlight w:val="none"/>
                <w:vertAlign w:val="baseline"/>
              </w:rPr>
            </w:pPr>
            <w:r>
              <w:rPr>
                <w:rFonts w:hint="default" w:ascii="Times New Roman" w:hAnsi="Times New Roman" w:eastAsia="宋体" w:cs="Times New Roman"/>
                <w:b/>
                <w:bCs/>
                <w:color w:val="auto"/>
                <w:spacing w:val="-6"/>
                <w:sz w:val="21"/>
                <w:szCs w:val="21"/>
                <w:highlight w:val="none"/>
                <w:lang w:val="en-US" w:eastAsia="zh-CN"/>
              </w:rPr>
              <w:t>本项目</w:t>
            </w:r>
          </w:p>
        </w:tc>
      </w:tr>
      <w:tr w14:paraId="64A3C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0D011696">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1"/>
                <w:sz w:val="21"/>
                <w:szCs w:val="21"/>
                <w:highlight w:val="none"/>
              </w:rPr>
              <w:t>A1</w:t>
            </w:r>
          </w:p>
          <w:p w14:paraId="06961DD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1"/>
                <w:sz w:val="21"/>
                <w:szCs w:val="21"/>
                <w:highlight w:val="none"/>
              </w:rPr>
              <w:t>空</w:t>
            </w:r>
            <w:r>
              <w:rPr>
                <w:rFonts w:hint="default" w:ascii="Times New Roman" w:hAnsi="Times New Roman" w:eastAsia="宋体" w:cs="Times New Roman"/>
                <w:b w:val="0"/>
                <w:bCs w:val="0"/>
                <w:color w:val="auto"/>
                <w:spacing w:val="6"/>
                <w:sz w:val="21"/>
                <w:szCs w:val="21"/>
                <w:highlight w:val="none"/>
              </w:rPr>
              <w:t>间布</w:t>
            </w:r>
            <w:r>
              <w:rPr>
                <w:rFonts w:hint="default" w:ascii="Times New Roman" w:hAnsi="Times New Roman" w:eastAsia="宋体" w:cs="Times New Roman"/>
                <w:b w:val="0"/>
                <w:bCs w:val="0"/>
                <w:color w:val="auto"/>
                <w:spacing w:val="10"/>
                <w:sz w:val="21"/>
                <w:szCs w:val="21"/>
                <w:highlight w:val="none"/>
              </w:rPr>
              <w:t>局约</w:t>
            </w:r>
            <w:r>
              <w:rPr>
                <w:rFonts w:hint="default" w:ascii="Times New Roman" w:hAnsi="Times New Roman" w:eastAsia="宋体" w:cs="Times New Roman"/>
                <w:b w:val="0"/>
                <w:bCs w:val="0"/>
                <w:color w:val="auto"/>
                <w:sz w:val="21"/>
                <w:szCs w:val="21"/>
                <w:highlight w:val="none"/>
              </w:rPr>
              <w:t>束</w:t>
            </w:r>
          </w:p>
        </w:tc>
        <w:tc>
          <w:tcPr>
            <w:tcW w:w="494" w:type="pct"/>
            <w:vMerge w:val="restart"/>
            <w:noWrap w:val="0"/>
            <w:vAlign w:val="center"/>
          </w:tcPr>
          <w:p w14:paraId="1398541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A1.1</w:t>
            </w:r>
          </w:p>
          <w:p w14:paraId="3128D2F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3"/>
                <w:sz w:val="21"/>
                <w:szCs w:val="21"/>
                <w:highlight w:val="none"/>
              </w:rPr>
              <w:t>禁止开发</w:t>
            </w:r>
            <w:r>
              <w:rPr>
                <w:rFonts w:hint="default" w:ascii="Times New Roman" w:hAnsi="Times New Roman" w:eastAsia="宋体" w:cs="Times New Roman"/>
                <w:b w:val="0"/>
                <w:bCs w:val="0"/>
                <w:color w:val="auto"/>
                <w:spacing w:val="6"/>
                <w:sz w:val="21"/>
                <w:szCs w:val="21"/>
                <w:highlight w:val="none"/>
              </w:rPr>
              <w:t>建设的</w:t>
            </w:r>
            <w:r>
              <w:rPr>
                <w:rFonts w:hint="default" w:ascii="Times New Roman" w:hAnsi="Times New Roman" w:eastAsia="宋体" w:cs="Times New Roman"/>
                <w:b w:val="0"/>
                <w:bCs w:val="0"/>
                <w:color w:val="auto"/>
                <w:spacing w:val="8"/>
                <w:sz w:val="21"/>
                <w:szCs w:val="21"/>
                <w:highlight w:val="none"/>
              </w:rPr>
              <w:t>活动</w:t>
            </w:r>
          </w:p>
        </w:tc>
        <w:tc>
          <w:tcPr>
            <w:tcW w:w="3517" w:type="pct"/>
            <w:noWrap w:val="0"/>
            <w:vAlign w:val="center"/>
          </w:tcPr>
          <w:p w14:paraId="5B2D8402">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3"/>
                <w:sz w:val="21"/>
                <w:szCs w:val="21"/>
                <w:highlight w:val="none"/>
              </w:rPr>
              <w:t>〔A1.1-1〕禁止新建、扩建《产业结构调整指导目录</w:t>
            </w:r>
            <w:r>
              <w:rPr>
                <w:rFonts w:hint="default" w:ascii="Times New Roman" w:hAnsi="Times New Roman" w:cs="Times New Roman"/>
                <w:b w:val="0"/>
                <w:bCs w:val="0"/>
                <w:color w:val="auto"/>
                <w:spacing w:val="3"/>
                <w:sz w:val="21"/>
                <w:szCs w:val="21"/>
                <w:highlight w:val="none"/>
                <w:lang w:eastAsia="zh-CN"/>
              </w:rPr>
              <w:t>（</w:t>
            </w:r>
            <w:r>
              <w:rPr>
                <w:rFonts w:hint="default" w:ascii="Times New Roman" w:hAnsi="Times New Roman" w:eastAsia="宋体" w:cs="Times New Roman"/>
                <w:b w:val="0"/>
                <w:bCs w:val="0"/>
                <w:color w:val="auto"/>
                <w:spacing w:val="3"/>
                <w:sz w:val="21"/>
                <w:szCs w:val="21"/>
                <w:highlight w:val="none"/>
              </w:rPr>
              <w:t>2024年本</w:t>
            </w:r>
            <w:r>
              <w:rPr>
                <w:rFonts w:hint="default" w:ascii="Times New Roman" w:hAnsi="Times New Roman" w:cs="Times New Roman"/>
                <w:b w:val="0"/>
                <w:bCs w:val="0"/>
                <w:color w:val="auto"/>
                <w:spacing w:val="3"/>
                <w:sz w:val="21"/>
                <w:szCs w:val="21"/>
                <w:highlight w:val="none"/>
                <w:lang w:eastAsia="zh-CN"/>
              </w:rPr>
              <w:t>）</w:t>
            </w:r>
            <w:r>
              <w:rPr>
                <w:rFonts w:hint="default" w:ascii="Times New Roman" w:hAnsi="Times New Roman" w:eastAsia="宋体" w:cs="Times New Roman"/>
                <w:b w:val="0"/>
                <w:bCs w:val="0"/>
                <w:color w:val="auto"/>
                <w:spacing w:val="3"/>
                <w:sz w:val="21"/>
                <w:szCs w:val="21"/>
                <w:highlight w:val="none"/>
              </w:rPr>
              <w:t>》</w:t>
            </w:r>
            <w:r>
              <w:rPr>
                <w:rFonts w:hint="default" w:ascii="Times New Roman" w:hAnsi="Times New Roman" w:eastAsia="宋体" w:cs="Times New Roman"/>
                <w:b w:val="0"/>
                <w:bCs w:val="0"/>
                <w:color w:val="auto"/>
                <w:sz w:val="21"/>
                <w:szCs w:val="21"/>
                <w:highlight w:val="none"/>
              </w:rPr>
              <w:t>中淘汰类项目。禁止引入《市场准入负面清单</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2022年版</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》禁止准</w:t>
            </w:r>
            <w:r>
              <w:rPr>
                <w:rFonts w:hint="default" w:ascii="Times New Roman" w:hAnsi="Times New Roman" w:eastAsia="宋体" w:cs="Times New Roman"/>
                <w:b w:val="0"/>
                <w:bCs w:val="0"/>
                <w:color w:val="auto"/>
                <w:spacing w:val="17"/>
                <w:sz w:val="21"/>
                <w:szCs w:val="21"/>
                <w:highlight w:val="none"/>
              </w:rPr>
              <w:t>入类事项</w:t>
            </w:r>
          </w:p>
        </w:tc>
        <w:tc>
          <w:tcPr>
            <w:tcW w:w="591" w:type="pct"/>
            <w:vMerge w:val="restart"/>
            <w:noWrap w:val="0"/>
            <w:vAlign w:val="center"/>
          </w:tcPr>
          <w:p w14:paraId="7F58DED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本项目符合国家产业政策；</w:t>
            </w:r>
          </w:p>
          <w:p w14:paraId="2FB06A0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项目选址于</w:t>
            </w:r>
            <w:r>
              <w:rPr>
                <w:rFonts w:hint="default" w:ascii="Times New Roman" w:hAnsi="Times New Roman" w:cs="Times New Roman"/>
                <w:b w:val="0"/>
                <w:bCs w:val="0"/>
                <w:color w:val="auto"/>
                <w:spacing w:val="-6"/>
                <w:sz w:val="21"/>
                <w:szCs w:val="21"/>
                <w:highlight w:val="none"/>
                <w:lang w:val="en-US" w:eastAsia="zh-CN"/>
              </w:rPr>
              <w:t>阿勒泰地区富蕴</w:t>
            </w:r>
            <w:r>
              <w:rPr>
                <w:rFonts w:hint="default" w:ascii="Times New Roman" w:hAnsi="Times New Roman" w:eastAsia="宋体" w:cs="Times New Roman"/>
                <w:b w:val="0"/>
                <w:bCs w:val="0"/>
                <w:color w:val="auto"/>
                <w:spacing w:val="-6"/>
                <w:sz w:val="21"/>
                <w:szCs w:val="21"/>
                <w:highlight w:val="none"/>
                <w:lang w:val="en-US" w:eastAsia="zh-CN"/>
              </w:rPr>
              <w:t>县，不</w:t>
            </w:r>
            <w:r>
              <w:rPr>
                <w:rFonts w:hint="default" w:ascii="Times New Roman" w:hAnsi="Times New Roman" w:cs="Times New Roman"/>
                <w:b w:val="0"/>
                <w:bCs w:val="0"/>
                <w:color w:val="auto"/>
                <w:spacing w:val="-6"/>
                <w:sz w:val="21"/>
                <w:szCs w:val="21"/>
                <w:highlight w:val="none"/>
                <w:lang w:val="en-US" w:eastAsia="zh-CN"/>
              </w:rPr>
              <w:t>在</w:t>
            </w:r>
            <w:r>
              <w:rPr>
                <w:rFonts w:hint="default" w:ascii="Times New Roman" w:hAnsi="Times New Roman" w:eastAsia="宋体" w:cs="Times New Roman"/>
                <w:b w:val="0"/>
                <w:bCs w:val="0"/>
                <w:color w:val="auto"/>
                <w:spacing w:val="-6"/>
                <w:sz w:val="21"/>
                <w:szCs w:val="21"/>
                <w:highlight w:val="none"/>
                <w:lang w:val="en-US" w:eastAsia="zh-CN"/>
              </w:rPr>
              <w:t>禁止建设区域内</w:t>
            </w:r>
          </w:p>
        </w:tc>
      </w:tr>
      <w:tr w14:paraId="0C644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CA7E93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3C5FDB3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56C2C7B7">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〔A1.1-2〕禁止建设不符合国家和自治区环境保护标</w:t>
            </w:r>
            <w:r>
              <w:rPr>
                <w:rFonts w:hint="default" w:ascii="Times New Roman" w:hAnsi="Times New Roman" w:eastAsia="宋体" w:cs="Times New Roman"/>
                <w:b w:val="0"/>
                <w:bCs w:val="0"/>
                <w:color w:val="auto"/>
                <w:spacing w:val="3"/>
                <w:sz w:val="21"/>
                <w:szCs w:val="21"/>
                <w:highlight w:val="none"/>
              </w:rPr>
              <w:t>准的项目</w:t>
            </w:r>
          </w:p>
        </w:tc>
        <w:tc>
          <w:tcPr>
            <w:tcW w:w="591" w:type="pct"/>
            <w:vMerge w:val="continue"/>
            <w:noWrap w:val="0"/>
            <w:vAlign w:val="center"/>
          </w:tcPr>
          <w:p w14:paraId="139B64D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579F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397" w:type="pct"/>
            <w:vMerge w:val="continue"/>
            <w:noWrap w:val="0"/>
            <w:vAlign w:val="center"/>
          </w:tcPr>
          <w:p w14:paraId="17DFDD0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E4C290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16C06B7F">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〔A1.1-3〕禁止在饮用水水源保护区、风景名胜区、自然保护区的</w:t>
            </w:r>
            <w:r>
              <w:rPr>
                <w:rFonts w:hint="default" w:ascii="Times New Roman" w:hAnsi="Times New Roman" w:eastAsia="宋体" w:cs="Times New Roman"/>
                <w:b w:val="0"/>
                <w:bCs w:val="0"/>
                <w:color w:val="auto"/>
                <w:spacing w:val="1"/>
                <w:sz w:val="21"/>
                <w:szCs w:val="21"/>
                <w:highlight w:val="none"/>
              </w:rPr>
              <w:t>核心区和缓冲区、城镇居民区、文化教育科</w:t>
            </w:r>
            <w:r>
              <w:rPr>
                <w:rFonts w:hint="default" w:ascii="Times New Roman" w:hAnsi="Times New Roman" w:eastAsia="宋体" w:cs="Times New Roman"/>
                <w:b w:val="0"/>
                <w:bCs w:val="0"/>
                <w:color w:val="auto"/>
                <w:sz w:val="21"/>
                <w:szCs w:val="21"/>
                <w:highlight w:val="none"/>
              </w:rPr>
              <w:t>学研究区等人口集中区</w:t>
            </w:r>
            <w:r>
              <w:rPr>
                <w:rFonts w:hint="default" w:ascii="Times New Roman" w:hAnsi="Times New Roman" w:eastAsia="宋体" w:cs="Times New Roman"/>
                <w:b w:val="0"/>
                <w:bCs w:val="0"/>
                <w:color w:val="auto"/>
                <w:spacing w:val="-1"/>
                <w:sz w:val="21"/>
                <w:szCs w:val="21"/>
                <w:highlight w:val="none"/>
              </w:rPr>
              <w:t>域以及法律、法规规定的其他禁止养殖区域建设畜禽养殖场、养殖小区</w:t>
            </w:r>
          </w:p>
        </w:tc>
        <w:tc>
          <w:tcPr>
            <w:tcW w:w="591" w:type="pct"/>
            <w:vMerge w:val="continue"/>
            <w:noWrap w:val="0"/>
            <w:vAlign w:val="center"/>
          </w:tcPr>
          <w:p w14:paraId="1B03096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5596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B1F1B4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87E32C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FB8734E">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1"/>
                <w:sz w:val="21"/>
                <w:szCs w:val="21"/>
                <w:highlight w:val="none"/>
              </w:rPr>
              <w:t>〔A1.1-4〕禁止在水源涵养区、地下水源、饮用水源、自然</w:t>
            </w:r>
            <w:r>
              <w:rPr>
                <w:rFonts w:hint="default" w:ascii="Times New Roman" w:hAnsi="Times New Roman" w:eastAsia="宋体" w:cs="Times New Roman"/>
                <w:b w:val="0"/>
                <w:bCs w:val="0"/>
                <w:color w:val="auto"/>
                <w:spacing w:val="-2"/>
                <w:sz w:val="21"/>
                <w:szCs w:val="21"/>
                <w:highlight w:val="none"/>
              </w:rPr>
              <w:t>保护区、</w:t>
            </w:r>
            <w:r>
              <w:rPr>
                <w:rFonts w:hint="default" w:ascii="Times New Roman" w:hAnsi="Times New Roman" w:eastAsia="宋体" w:cs="Times New Roman"/>
                <w:b w:val="0"/>
                <w:bCs w:val="0"/>
                <w:color w:val="auto"/>
                <w:spacing w:val="-3"/>
                <w:sz w:val="21"/>
                <w:szCs w:val="21"/>
                <w:highlight w:val="none"/>
              </w:rPr>
              <w:t>风景名胜区、森林公园、重要湿地及人群密集区等生态敏感区域内</w:t>
            </w:r>
            <w:r>
              <w:rPr>
                <w:rFonts w:hint="default" w:ascii="Times New Roman" w:hAnsi="Times New Roman" w:eastAsia="宋体" w:cs="Times New Roman"/>
                <w:b w:val="0"/>
                <w:bCs w:val="0"/>
                <w:color w:val="auto"/>
                <w:spacing w:val="-4"/>
                <w:sz w:val="21"/>
                <w:szCs w:val="21"/>
                <w:highlight w:val="none"/>
              </w:rPr>
              <w:t>进行煤炭、石油、天然气开发</w:t>
            </w:r>
          </w:p>
        </w:tc>
        <w:tc>
          <w:tcPr>
            <w:tcW w:w="591" w:type="pct"/>
            <w:vMerge w:val="continue"/>
            <w:noWrap w:val="0"/>
            <w:vAlign w:val="center"/>
          </w:tcPr>
          <w:p w14:paraId="1C78CCD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1B27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44211C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2638AAD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2C37FED">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〔A1.1-5〕禁止下列破坏湿地及其生态功能的行为：</w:t>
            </w:r>
          </w:p>
          <w:p w14:paraId="4F040C81">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一</w:t>
            </w:r>
            <w:r>
              <w:rPr>
                <w:rFonts w:hint="default" w:ascii="Times New Roman" w:hAnsi="Times New Roman" w:eastAsia="宋体"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开</w:t>
            </w:r>
            <w:r>
              <w:rPr>
                <w:rFonts w:hint="default" w:ascii="Times New Roman" w:hAnsi="Times New Roman" w:eastAsia="宋体"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围</w:t>
            </w:r>
            <w:r>
              <w:rPr>
                <w:rFonts w:hint="default" w:ascii="Times New Roman" w:hAnsi="Times New Roman" w:eastAsia="宋体"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垦、排干自然湿地，永久性截断自然湿地水源；</w:t>
            </w:r>
            <w:r>
              <w:rPr>
                <w:rFonts w:hint="default" w:ascii="Times New Roman" w:hAnsi="Times New Roman" w:eastAsia="宋体" w:cs="Times New Roman"/>
                <w:b w:val="0"/>
                <w:bCs w:val="0"/>
                <w:color w:val="auto"/>
                <w:spacing w:val="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二</w:t>
            </w:r>
            <w:r>
              <w:rPr>
                <w:rFonts w:hint="default" w:ascii="Times New Roman" w:hAnsi="Times New Roman" w:eastAsia="宋体" w:cs="Times New Roman"/>
                <w:b w:val="0"/>
                <w:bCs w:val="0"/>
                <w:color w:val="auto"/>
                <w:spacing w:val="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擅自填埋自然湿地，擅自采砂、采矿、取土；</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三</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排放不符合水污染物排放标准的工业废水、生活污水及其他</w:t>
            </w:r>
            <w:r>
              <w:rPr>
                <w:rFonts w:hint="default" w:ascii="Times New Roman" w:hAnsi="Times New Roman" w:eastAsia="宋体" w:cs="Times New Roman"/>
                <w:b w:val="0"/>
                <w:bCs w:val="0"/>
                <w:color w:val="auto"/>
                <w:spacing w:val="4"/>
                <w:sz w:val="21"/>
                <w:szCs w:val="21"/>
                <w:highlight w:val="none"/>
              </w:rPr>
              <w:t>污染湿地的废水、污水，倾倒、堆放、丢弃、遗撒固体废物；</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四</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过度放牧或者滥采野生植物，过度捕捞或者灭绝式捕捞，过</w:t>
            </w:r>
            <w:r>
              <w:rPr>
                <w:rFonts w:hint="default" w:ascii="Times New Roman" w:hAnsi="Times New Roman" w:eastAsia="宋体" w:cs="Times New Roman"/>
                <w:b w:val="0"/>
                <w:bCs w:val="0"/>
                <w:color w:val="auto"/>
                <w:spacing w:val="5"/>
                <w:sz w:val="21"/>
                <w:szCs w:val="21"/>
                <w:highlight w:val="none"/>
              </w:rPr>
              <w:t>度施肥、投药、投放饵料等污染湿地的种植养殖行</w:t>
            </w:r>
            <w:r>
              <w:rPr>
                <w:rFonts w:hint="default" w:ascii="Times New Roman" w:hAnsi="Times New Roman" w:eastAsia="宋体" w:cs="Times New Roman"/>
                <w:b w:val="0"/>
                <w:bCs w:val="0"/>
                <w:color w:val="auto"/>
                <w:spacing w:val="4"/>
                <w:sz w:val="21"/>
                <w:szCs w:val="21"/>
                <w:highlight w:val="none"/>
              </w:rPr>
              <w:t>为；</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五</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其他破坏湿地及其生态功能的行为</w:t>
            </w:r>
          </w:p>
        </w:tc>
        <w:tc>
          <w:tcPr>
            <w:tcW w:w="591" w:type="pct"/>
            <w:vMerge w:val="continue"/>
            <w:noWrap w:val="0"/>
            <w:vAlign w:val="center"/>
          </w:tcPr>
          <w:p w14:paraId="26188C1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15F3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954FF1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C72A1E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BEE4A86">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〔A1.1-6〕禁止在自治区行政区域内引进能</w:t>
            </w:r>
            <w:r>
              <w:rPr>
                <w:rFonts w:hint="default" w:ascii="Times New Roman" w:hAnsi="Times New Roman" w:eastAsia="宋体"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水</w:t>
            </w:r>
            <w:r>
              <w:rPr>
                <w:rFonts w:hint="default" w:ascii="Times New Roman" w:hAnsi="Times New Roman" w:eastAsia="宋体"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耗不符合相关国</w:t>
            </w:r>
            <w:r>
              <w:rPr>
                <w:rFonts w:hint="default" w:ascii="Times New Roman" w:hAnsi="Times New Roman" w:eastAsia="宋体" w:cs="Times New Roman"/>
                <w:b w:val="0"/>
                <w:bCs w:val="0"/>
                <w:color w:val="auto"/>
                <w:sz w:val="21"/>
                <w:szCs w:val="21"/>
                <w:highlight w:val="none"/>
              </w:rPr>
              <w:t>家标准中准入值要求且污染物排放和环境风险防控不符合国家</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地方</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标准及有关产业准入条件的高污染</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排放</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、高能</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耗、高</w:t>
            </w:r>
            <w:r>
              <w:rPr>
                <w:rFonts w:hint="default" w:ascii="Times New Roman" w:hAnsi="Times New Roman" w:eastAsia="宋体" w:cs="Times New Roman"/>
                <w:b w:val="0"/>
                <w:bCs w:val="0"/>
                <w:color w:val="auto"/>
                <w:spacing w:val="-1"/>
                <w:sz w:val="21"/>
                <w:szCs w:val="21"/>
                <w:highlight w:val="none"/>
              </w:rPr>
              <w:t>环境风险的工业项目</w:t>
            </w:r>
          </w:p>
        </w:tc>
        <w:tc>
          <w:tcPr>
            <w:tcW w:w="591" w:type="pct"/>
            <w:vMerge w:val="continue"/>
            <w:noWrap w:val="0"/>
            <w:vAlign w:val="center"/>
          </w:tcPr>
          <w:p w14:paraId="0652659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76B6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0AA634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7992A70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768D4D46">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2"/>
                <w:sz w:val="21"/>
                <w:szCs w:val="21"/>
                <w:highlight w:val="none"/>
              </w:rPr>
            </w:pPr>
            <w:r>
              <w:rPr>
                <w:rFonts w:hint="default" w:ascii="Times New Roman" w:hAnsi="Times New Roman" w:eastAsia="宋体" w:cs="Times New Roman"/>
                <w:b w:val="0"/>
                <w:bCs w:val="0"/>
                <w:color w:val="auto"/>
                <w:spacing w:val="4"/>
                <w:sz w:val="21"/>
                <w:szCs w:val="21"/>
                <w:highlight w:val="none"/>
              </w:rPr>
              <w:t>〔A1.1-7〕①坚决遏制高耗能高排放低水平项目盲目发展。严把高</w:t>
            </w:r>
            <w:r>
              <w:rPr>
                <w:rFonts w:hint="default" w:ascii="Times New Roman" w:hAnsi="Times New Roman" w:eastAsia="宋体" w:cs="Times New Roman"/>
                <w:b w:val="0"/>
                <w:bCs w:val="0"/>
                <w:color w:val="auto"/>
                <w:sz w:val="21"/>
                <w:szCs w:val="21"/>
                <w:highlight w:val="none"/>
              </w:rPr>
              <w:t>耗能高排放低水平项目准入关口，严格落实污染物排放区域削减要求，对不符合规定的项目坚决停批停建。依法依规淘汰落后产能和</w:t>
            </w:r>
            <w:r>
              <w:rPr>
                <w:rFonts w:hint="default" w:ascii="Times New Roman" w:hAnsi="Times New Roman" w:eastAsia="宋体" w:cs="Times New Roman"/>
                <w:b w:val="0"/>
                <w:bCs w:val="0"/>
                <w:color w:val="auto"/>
                <w:spacing w:val="-2"/>
                <w:sz w:val="21"/>
                <w:szCs w:val="21"/>
                <w:highlight w:val="none"/>
              </w:rPr>
              <w:t>化解过剩产能。②重点行业企业纳入重污染天气绩效分级，制定“一</w:t>
            </w:r>
            <w:r>
              <w:rPr>
                <w:rFonts w:hint="default" w:ascii="Times New Roman" w:hAnsi="Times New Roman" w:eastAsia="宋体" w:cs="Times New Roman"/>
                <w:b w:val="0"/>
                <w:bCs w:val="0"/>
                <w:color w:val="auto"/>
                <w:sz w:val="21"/>
                <w:szCs w:val="21"/>
                <w:highlight w:val="none"/>
              </w:rPr>
              <w:t>厂一策”应急减排清单，实现应纳尽纳；引导重点企业在秋冬季安</w:t>
            </w:r>
            <w:r>
              <w:rPr>
                <w:rFonts w:hint="default" w:ascii="Times New Roman" w:hAnsi="Times New Roman" w:eastAsia="宋体" w:cs="Times New Roman"/>
                <w:b w:val="0"/>
                <w:bCs w:val="0"/>
                <w:color w:val="auto"/>
                <w:spacing w:val="-2"/>
                <w:sz w:val="21"/>
                <w:szCs w:val="21"/>
                <w:highlight w:val="none"/>
              </w:rPr>
              <w:t>排停产检修计划，减少冬季和采暖期排放。推进重点行业深度治理，</w:t>
            </w:r>
            <w:r>
              <w:rPr>
                <w:rFonts w:hint="default" w:ascii="Times New Roman" w:hAnsi="Times New Roman" w:eastAsia="宋体" w:cs="Times New Roman"/>
                <w:b w:val="0"/>
                <w:bCs w:val="0"/>
                <w:color w:val="auto"/>
                <w:spacing w:val="-1"/>
                <w:sz w:val="21"/>
                <w:szCs w:val="21"/>
                <w:highlight w:val="none"/>
              </w:rPr>
              <w:t>实施全工况脱硫脱硝提标改造，加大无组织排放治理</w:t>
            </w:r>
            <w:r>
              <w:rPr>
                <w:rFonts w:hint="default" w:ascii="Times New Roman" w:hAnsi="Times New Roman" w:eastAsia="宋体" w:cs="Times New Roman"/>
                <w:b w:val="0"/>
                <w:bCs w:val="0"/>
                <w:color w:val="auto"/>
                <w:spacing w:val="-2"/>
                <w:sz w:val="21"/>
                <w:szCs w:val="21"/>
                <w:highlight w:val="none"/>
              </w:rPr>
              <w:t>力度，深度开</w:t>
            </w:r>
            <w:r>
              <w:rPr>
                <w:rFonts w:hint="default" w:ascii="Times New Roman" w:hAnsi="Times New Roman" w:eastAsia="宋体" w:cs="Times New Roman"/>
                <w:b w:val="0"/>
                <w:bCs w:val="0"/>
                <w:color w:val="auto"/>
                <w:spacing w:val="2"/>
                <w:sz w:val="21"/>
                <w:szCs w:val="21"/>
                <w:highlight w:val="none"/>
              </w:rPr>
              <w:t>展工业炉窑综合整治，全面提升电解铝、活性炭、硅冶炼、纯碱、</w:t>
            </w:r>
            <w:r>
              <w:rPr>
                <w:rFonts w:hint="default" w:ascii="Times New Roman" w:hAnsi="Times New Roman" w:eastAsia="宋体" w:cs="Times New Roman"/>
                <w:b w:val="0"/>
                <w:bCs w:val="0"/>
                <w:color w:val="auto"/>
                <w:spacing w:val="-2"/>
                <w:sz w:val="21"/>
                <w:szCs w:val="21"/>
                <w:highlight w:val="none"/>
              </w:rPr>
              <w:t>电石、聚氯乙烯、石化等行业污染治理</w:t>
            </w:r>
          </w:p>
          <w:p w14:paraId="6F035FCB">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2"/>
                <w:sz w:val="21"/>
                <w:szCs w:val="21"/>
                <w:highlight w:val="none"/>
              </w:rPr>
              <w:t>水平</w:t>
            </w:r>
          </w:p>
        </w:tc>
        <w:tc>
          <w:tcPr>
            <w:tcW w:w="591" w:type="pct"/>
            <w:vMerge w:val="continue"/>
            <w:noWrap w:val="0"/>
            <w:vAlign w:val="center"/>
          </w:tcPr>
          <w:p w14:paraId="5AE6208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510A3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8307A2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3E1BB48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3887CFA0">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11"/>
                <w:sz w:val="21"/>
                <w:szCs w:val="21"/>
                <w:highlight w:val="none"/>
              </w:rPr>
            </w:pPr>
            <w:r>
              <w:rPr>
                <w:rFonts w:hint="default" w:ascii="Times New Roman" w:hAnsi="Times New Roman" w:eastAsia="宋体" w:cs="Times New Roman"/>
                <w:color w:val="auto"/>
                <w:spacing w:val="1"/>
                <w:sz w:val="21"/>
                <w:szCs w:val="21"/>
                <w:highlight w:val="none"/>
              </w:rPr>
              <w:t>〔A1.1-8〕严格执行危险化学品“禁限控”目录，新建危险化学品</w:t>
            </w:r>
            <w:r>
              <w:rPr>
                <w:rFonts w:hint="default" w:ascii="Times New Roman" w:hAnsi="Times New Roman" w:eastAsia="宋体" w:cs="Times New Roman"/>
                <w:color w:val="auto"/>
                <w:spacing w:val="-1"/>
                <w:sz w:val="21"/>
                <w:szCs w:val="21"/>
                <w:highlight w:val="none"/>
              </w:rPr>
              <w:t>生产项目必须进入一般或较低安全风险的化工园区</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与其他</w:t>
            </w:r>
            <w:r>
              <w:rPr>
                <w:rFonts w:hint="default" w:ascii="Times New Roman" w:hAnsi="Times New Roman" w:eastAsia="宋体" w:cs="Times New Roman"/>
                <w:color w:val="auto"/>
                <w:spacing w:val="-2"/>
                <w:sz w:val="21"/>
                <w:szCs w:val="21"/>
                <w:highlight w:val="none"/>
              </w:rPr>
              <w:t>行业生</w:t>
            </w:r>
            <w:r>
              <w:rPr>
                <w:rFonts w:hint="default" w:ascii="Times New Roman" w:hAnsi="Times New Roman" w:eastAsia="宋体" w:cs="Times New Roman"/>
                <w:color w:val="auto"/>
                <w:spacing w:val="-11"/>
                <w:sz w:val="21"/>
                <w:szCs w:val="21"/>
                <w:highlight w:val="none"/>
              </w:rPr>
              <w:t>产装置配套建设的项目除外</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rPr>
              <w:t>引导其他石化化工项目在化工园区</w:t>
            </w:r>
          </w:p>
          <w:p w14:paraId="152F93A1">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11"/>
                <w:sz w:val="21"/>
                <w:szCs w:val="21"/>
                <w:highlight w:val="none"/>
                <w:lang w:val="en-US" w:eastAsia="en-US"/>
              </w:rPr>
            </w:pPr>
            <w:r>
              <w:rPr>
                <w:rFonts w:hint="default" w:ascii="Times New Roman" w:hAnsi="Times New Roman" w:eastAsia="宋体" w:cs="Times New Roman"/>
                <w:color w:val="auto"/>
                <w:spacing w:val="-11"/>
                <w:sz w:val="21"/>
                <w:szCs w:val="21"/>
                <w:highlight w:val="none"/>
              </w:rPr>
              <w:t>发展</w:t>
            </w:r>
          </w:p>
        </w:tc>
        <w:tc>
          <w:tcPr>
            <w:tcW w:w="591" w:type="pct"/>
            <w:vMerge w:val="continue"/>
            <w:noWrap w:val="0"/>
            <w:vAlign w:val="center"/>
          </w:tcPr>
          <w:p w14:paraId="79319AE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65DF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CE5625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E55FC2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DFABAE0">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〔A1.1-9〕严禁新建自治区《禁止、控制和限</w:t>
            </w:r>
            <w:r>
              <w:rPr>
                <w:rFonts w:hint="default" w:ascii="Times New Roman" w:hAnsi="Times New Roman" w:eastAsia="宋体" w:cs="Times New Roman"/>
                <w:color w:val="auto"/>
                <w:spacing w:val="3"/>
                <w:sz w:val="21"/>
                <w:szCs w:val="21"/>
                <w:highlight w:val="none"/>
              </w:rPr>
              <w:t>制危险化学品目录》</w:t>
            </w:r>
            <w:r>
              <w:rPr>
                <w:rFonts w:hint="default" w:ascii="Times New Roman" w:hAnsi="Times New Roman" w:eastAsia="宋体" w:cs="Times New Roman"/>
                <w:color w:val="auto"/>
                <w:spacing w:val="4"/>
                <w:sz w:val="21"/>
                <w:szCs w:val="21"/>
                <w:highlight w:val="none"/>
              </w:rPr>
              <w:t>中淘汰类、禁止类危险化学品化工项目。严格执行生态保护红线、</w:t>
            </w:r>
            <w:r>
              <w:rPr>
                <w:rFonts w:hint="default" w:ascii="Times New Roman" w:hAnsi="Times New Roman" w:eastAsia="宋体" w:cs="Times New Roman"/>
                <w:color w:val="auto"/>
                <w:spacing w:val="1"/>
                <w:sz w:val="21"/>
                <w:szCs w:val="21"/>
                <w:highlight w:val="none"/>
              </w:rPr>
              <w:t>永久基本农田管控要求，禁止新</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改、扩</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建化工项目违规占用</w:t>
            </w:r>
            <w:r>
              <w:rPr>
                <w:rFonts w:hint="default" w:ascii="Times New Roman" w:hAnsi="Times New Roman" w:eastAsia="宋体" w:cs="Times New Roman"/>
                <w:color w:val="auto"/>
                <w:sz w:val="21"/>
                <w:szCs w:val="21"/>
                <w:highlight w:val="none"/>
              </w:rPr>
              <w:t>生态保护红线和永久基本农田。在塔里木河、伊犁河、额尔齐斯河</w:t>
            </w:r>
            <w:r>
              <w:rPr>
                <w:rFonts w:hint="default" w:ascii="Times New Roman" w:hAnsi="Times New Roman" w:eastAsia="宋体" w:cs="Times New Roman"/>
                <w:color w:val="auto"/>
                <w:spacing w:val="3"/>
                <w:sz w:val="21"/>
                <w:szCs w:val="21"/>
                <w:highlight w:val="none"/>
              </w:rPr>
              <w:t>干流及主要支流岸线1公里范围内，除提升安全、环</w:t>
            </w:r>
            <w:r>
              <w:rPr>
                <w:rFonts w:hint="default" w:ascii="Times New Roman" w:hAnsi="Times New Roman" w:eastAsia="宋体" w:cs="Times New Roman"/>
                <w:color w:val="auto"/>
                <w:spacing w:val="2"/>
                <w:sz w:val="21"/>
                <w:szCs w:val="21"/>
                <w:highlight w:val="none"/>
              </w:rPr>
              <w:t>保、节能、智</w:t>
            </w:r>
            <w:r>
              <w:rPr>
                <w:rFonts w:hint="default" w:ascii="Times New Roman" w:hAnsi="Times New Roman" w:eastAsia="宋体" w:cs="Times New Roman"/>
                <w:color w:val="auto"/>
                <w:sz w:val="21"/>
                <w:szCs w:val="21"/>
                <w:highlight w:val="none"/>
              </w:rPr>
              <w:t>能化、产品质量水平的技术改造项目外，严格禁止新建、扩建化工项目，不得布局新的化工园区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含化工集中区</w:t>
            </w:r>
            <w:r>
              <w:rPr>
                <w:rFonts w:hint="default" w:ascii="Times New Roman" w:hAnsi="Times New Roman" w:eastAsia="宋体" w:cs="Times New Roman"/>
                <w:color w:val="auto"/>
                <w:sz w:val="21"/>
                <w:szCs w:val="21"/>
                <w:highlight w:val="none"/>
                <w:lang w:eastAsia="zh-CN"/>
              </w:rPr>
              <w:t>）</w:t>
            </w:r>
          </w:p>
        </w:tc>
        <w:tc>
          <w:tcPr>
            <w:tcW w:w="591" w:type="pct"/>
            <w:vMerge w:val="continue"/>
            <w:noWrap w:val="0"/>
            <w:vAlign w:val="center"/>
          </w:tcPr>
          <w:p w14:paraId="54BB74F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6E90E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E633F7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C7EB4F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13C61BDF">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〔A1.1-10〕推动涉重金属产业集中优化发展，禁止新建用汞的电石</w:t>
            </w:r>
            <w:r>
              <w:rPr>
                <w:rFonts w:hint="default" w:ascii="Times New Roman" w:hAnsi="Times New Roman" w:eastAsia="宋体" w:cs="Times New Roman"/>
                <w:color w:val="auto"/>
                <w:spacing w:val="4"/>
                <w:sz w:val="21"/>
                <w:szCs w:val="21"/>
                <w:highlight w:val="none"/>
              </w:rPr>
              <w:t>法</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聚</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氯乙烯生产工艺，新建、扩建的重有色金属冶炼、电镀、</w:t>
            </w:r>
            <w:r>
              <w:rPr>
                <w:rFonts w:hint="default" w:ascii="Times New Roman" w:hAnsi="Times New Roman" w:eastAsia="宋体" w:cs="Times New Roman"/>
                <w:color w:val="auto"/>
                <w:spacing w:val="-1"/>
                <w:sz w:val="21"/>
                <w:szCs w:val="21"/>
                <w:highlight w:val="none"/>
              </w:rPr>
              <w:t>制革企业优先选择布设在依法合规设立并依法开展规划环境影响评价的产业园区</w:t>
            </w:r>
          </w:p>
        </w:tc>
        <w:tc>
          <w:tcPr>
            <w:tcW w:w="591" w:type="pct"/>
            <w:vMerge w:val="continue"/>
            <w:noWrap w:val="0"/>
            <w:vAlign w:val="center"/>
          </w:tcPr>
          <w:p w14:paraId="333931A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1C629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7BFBB9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63FD7AB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CFD82FE">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〔A1.1-11〕国务院有关部门和青藏高原县级以上地方人民政府应当</w:t>
            </w:r>
            <w:r>
              <w:rPr>
                <w:rFonts w:hint="default" w:ascii="Times New Roman" w:hAnsi="Times New Roman" w:eastAsia="宋体" w:cs="Times New Roman"/>
                <w:color w:val="auto"/>
                <w:spacing w:val="-3"/>
                <w:sz w:val="21"/>
                <w:szCs w:val="21"/>
                <w:highlight w:val="none"/>
              </w:rPr>
              <w:t>建立健全青藏高原雪山冰川冻土保护制度，加强对雪山冰川冻土的</w:t>
            </w:r>
            <w:r>
              <w:rPr>
                <w:rFonts w:hint="default" w:ascii="Times New Roman" w:hAnsi="Times New Roman" w:eastAsia="宋体" w:cs="Times New Roman"/>
                <w:color w:val="auto"/>
                <w:spacing w:val="1"/>
                <w:sz w:val="21"/>
                <w:szCs w:val="21"/>
                <w:highlight w:val="none"/>
              </w:rPr>
              <w:t>监测预警和系统保护。青藏高原省级人民政府</w:t>
            </w:r>
            <w:r>
              <w:rPr>
                <w:rFonts w:hint="default" w:ascii="Times New Roman" w:hAnsi="Times New Roman" w:eastAsia="宋体" w:cs="Times New Roman"/>
                <w:color w:val="auto"/>
                <w:sz w:val="21"/>
                <w:szCs w:val="21"/>
                <w:highlight w:val="none"/>
              </w:rPr>
              <w:t>应当将大型冰帽冰川、</w:t>
            </w:r>
            <w:r>
              <w:rPr>
                <w:rFonts w:hint="default" w:ascii="Times New Roman" w:hAnsi="Times New Roman" w:eastAsia="宋体" w:cs="Times New Roman"/>
                <w:color w:val="auto"/>
                <w:spacing w:val="-1"/>
                <w:sz w:val="21"/>
                <w:szCs w:val="21"/>
                <w:highlight w:val="none"/>
              </w:rPr>
              <w:t>小规模冰川群等划入生态保护红线，对重要雪山冰川实</w:t>
            </w:r>
            <w:r>
              <w:rPr>
                <w:rFonts w:hint="default" w:ascii="Times New Roman" w:hAnsi="Times New Roman" w:eastAsia="宋体" w:cs="Times New Roman"/>
                <w:color w:val="auto"/>
                <w:spacing w:val="-2"/>
                <w:sz w:val="21"/>
                <w:szCs w:val="21"/>
                <w:highlight w:val="none"/>
              </w:rPr>
              <w:t>施封禁保护，</w:t>
            </w:r>
            <w:r>
              <w:rPr>
                <w:rFonts w:hint="default" w:ascii="Times New Roman" w:hAnsi="Times New Roman" w:eastAsia="宋体" w:cs="Times New Roman"/>
                <w:color w:val="auto"/>
                <w:sz w:val="21"/>
                <w:szCs w:val="21"/>
                <w:highlight w:val="none"/>
              </w:rPr>
              <w:t>采取有效措施，严格控制人为扰动。青藏高原省级人民政府应当划</w:t>
            </w:r>
            <w:r>
              <w:rPr>
                <w:rFonts w:hint="default" w:ascii="Times New Roman" w:hAnsi="Times New Roman" w:eastAsia="宋体" w:cs="Times New Roman"/>
                <w:color w:val="auto"/>
                <w:spacing w:val="2"/>
                <w:sz w:val="21"/>
                <w:szCs w:val="21"/>
                <w:highlight w:val="none"/>
              </w:rPr>
              <w:t>定冻土区保护范围，加强对多年冻土区和中深季节冻土区的保护，</w:t>
            </w:r>
            <w:r>
              <w:rPr>
                <w:rFonts w:hint="default" w:ascii="Times New Roman" w:hAnsi="Times New Roman" w:eastAsia="宋体" w:cs="Times New Roman"/>
                <w:color w:val="auto"/>
                <w:sz w:val="21"/>
                <w:szCs w:val="21"/>
                <w:highlight w:val="none"/>
              </w:rPr>
              <w:t>严格控制多年冻土区资源开发，严格审批多年冻土区城镇规划和交</w:t>
            </w:r>
            <w:r>
              <w:rPr>
                <w:rFonts w:hint="default" w:ascii="Times New Roman" w:hAnsi="Times New Roman" w:eastAsia="宋体" w:cs="Times New Roman"/>
                <w:color w:val="auto"/>
                <w:spacing w:val="-1"/>
                <w:sz w:val="21"/>
                <w:szCs w:val="21"/>
                <w:highlight w:val="none"/>
              </w:rPr>
              <w:t>通、管线、输变电等重大工程项目。青藏高原省级人民政府应当开</w:t>
            </w:r>
            <w:r>
              <w:rPr>
                <w:rFonts w:hint="default" w:ascii="Times New Roman" w:hAnsi="Times New Roman" w:eastAsia="宋体" w:cs="Times New Roman"/>
                <w:color w:val="auto"/>
                <w:spacing w:val="1"/>
                <w:sz w:val="21"/>
                <w:szCs w:val="21"/>
                <w:highlight w:val="none"/>
              </w:rPr>
              <w:t>展雪山冰川冻土与周边生态系统的协同保护，维持有利于雪</w:t>
            </w:r>
            <w:r>
              <w:rPr>
                <w:rFonts w:hint="default" w:ascii="Times New Roman" w:hAnsi="Times New Roman" w:eastAsia="宋体" w:cs="Times New Roman"/>
                <w:color w:val="auto"/>
                <w:sz w:val="21"/>
                <w:szCs w:val="21"/>
                <w:highlight w:val="none"/>
              </w:rPr>
              <w:t>山冰川冻土保护的自然生态环境</w:t>
            </w:r>
          </w:p>
        </w:tc>
        <w:tc>
          <w:tcPr>
            <w:tcW w:w="591" w:type="pct"/>
            <w:vMerge w:val="continue"/>
            <w:noWrap w:val="0"/>
            <w:vAlign w:val="center"/>
          </w:tcPr>
          <w:p w14:paraId="362AACC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5469C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69E22D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restart"/>
            <w:noWrap w:val="0"/>
            <w:vAlign w:val="center"/>
          </w:tcPr>
          <w:p w14:paraId="2A877D7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color w:val="auto"/>
                <w:spacing w:val="1"/>
                <w:sz w:val="21"/>
                <w:szCs w:val="21"/>
                <w:highlight w:val="none"/>
              </w:rPr>
              <w:t>A1.2限</w:t>
            </w:r>
            <w:r>
              <w:rPr>
                <w:rFonts w:hint="default" w:ascii="Times New Roman" w:hAnsi="Times New Roman" w:eastAsia="宋体" w:cs="Times New Roman"/>
                <w:color w:val="auto"/>
                <w:spacing w:val="3"/>
                <w:sz w:val="21"/>
                <w:szCs w:val="21"/>
                <w:highlight w:val="none"/>
              </w:rPr>
              <w:t>制开发</w:t>
            </w:r>
            <w:r>
              <w:rPr>
                <w:rFonts w:hint="default" w:ascii="Times New Roman" w:hAnsi="Times New Roman" w:eastAsia="宋体" w:cs="Times New Roman"/>
                <w:color w:val="auto"/>
                <w:spacing w:val="6"/>
                <w:sz w:val="21"/>
                <w:szCs w:val="21"/>
                <w:highlight w:val="none"/>
              </w:rPr>
              <w:t>建设的</w:t>
            </w:r>
            <w:r>
              <w:rPr>
                <w:rFonts w:hint="default" w:ascii="Times New Roman" w:hAnsi="Times New Roman" w:eastAsia="宋体" w:cs="Times New Roman"/>
                <w:b w:val="0"/>
                <w:bCs w:val="0"/>
                <w:color w:val="auto"/>
                <w:spacing w:val="-4"/>
                <w:sz w:val="21"/>
                <w:szCs w:val="21"/>
                <w:highlight w:val="none"/>
              </w:rPr>
              <w:t>活动</w:t>
            </w:r>
          </w:p>
        </w:tc>
        <w:tc>
          <w:tcPr>
            <w:tcW w:w="3517" w:type="pct"/>
            <w:noWrap w:val="0"/>
            <w:vAlign w:val="center"/>
          </w:tcPr>
          <w:p w14:paraId="517057A3">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〔A1.2-1〕严格控制缺水地区、水污染严重区域和敏</w:t>
            </w:r>
            <w:r>
              <w:rPr>
                <w:rFonts w:hint="default" w:ascii="Times New Roman" w:hAnsi="Times New Roman" w:eastAsia="宋体" w:cs="Times New Roman"/>
                <w:color w:val="auto"/>
                <w:spacing w:val="-2"/>
                <w:sz w:val="21"/>
                <w:szCs w:val="21"/>
                <w:highlight w:val="none"/>
              </w:rPr>
              <w:t>感区域高耗水、</w:t>
            </w:r>
            <w:r>
              <w:rPr>
                <w:rFonts w:hint="default" w:ascii="Times New Roman" w:hAnsi="Times New Roman" w:eastAsia="宋体" w:cs="Times New Roman"/>
                <w:color w:val="auto"/>
                <w:spacing w:val="-3"/>
                <w:sz w:val="21"/>
                <w:szCs w:val="21"/>
                <w:highlight w:val="none"/>
              </w:rPr>
              <w:t>高污染行业发展</w:t>
            </w:r>
          </w:p>
        </w:tc>
        <w:tc>
          <w:tcPr>
            <w:tcW w:w="591" w:type="pct"/>
            <w:vMerge w:val="restart"/>
            <w:noWrap w:val="0"/>
            <w:vAlign w:val="center"/>
          </w:tcPr>
          <w:p w14:paraId="4658B19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本项目符合国家产业政策，不属于限制开发行业</w:t>
            </w:r>
          </w:p>
        </w:tc>
      </w:tr>
      <w:tr w14:paraId="26E37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FF060A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1BD5201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38F39257">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〔A1.2-2〕建设项目用地原则上不得</w:t>
            </w:r>
            <w:r>
              <w:rPr>
                <w:rFonts w:hint="default" w:ascii="Times New Roman" w:hAnsi="Times New Roman" w:eastAsia="宋体" w:cs="Times New Roman"/>
                <w:color w:val="auto"/>
                <w:spacing w:val="4"/>
                <w:sz w:val="21"/>
                <w:szCs w:val="21"/>
                <w:highlight w:val="none"/>
              </w:rPr>
              <w:t>占用永久基本农田，确需占用</w:t>
            </w:r>
            <w:r>
              <w:rPr>
                <w:rFonts w:hint="default" w:ascii="Times New Roman" w:hAnsi="Times New Roman" w:eastAsia="宋体" w:cs="Times New Roman"/>
                <w:color w:val="auto"/>
                <w:sz w:val="21"/>
                <w:szCs w:val="21"/>
                <w:highlight w:val="none"/>
              </w:rPr>
              <w:t>永久基本农田的建设项目须符合《中华人民共和国基本农田保护条</w:t>
            </w:r>
            <w:r>
              <w:rPr>
                <w:rFonts w:hint="default" w:ascii="Times New Roman" w:hAnsi="Times New Roman" w:eastAsia="宋体" w:cs="Times New Roman"/>
                <w:color w:val="auto"/>
                <w:spacing w:val="4"/>
                <w:sz w:val="21"/>
                <w:szCs w:val="21"/>
                <w:highlight w:val="none"/>
              </w:rPr>
              <w:t>例》中相关要求，占用耕地、林地或草地的建设项目须按照国家、</w:t>
            </w:r>
            <w:r>
              <w:rPr>
                <w:rFonts w:hint="default" w:ascii="Times New Roman" w:hAnsi="Times New Roman" w:eastAsia="宋体" w:cs="Times New Roman"/>
                <w:color w:val="auto"/>
                <w:spacing w:val="-1"/>
                <w:sz w:val="21"/>
                <w:szCs w:val="21"/>
                <w:highlight w:val="none"/>
              </w:rPr>
              <w:t>自治区相关补偿要求进行补偿</w:t>
            </w:r>
          </w:p>
        </w:tc>
        <w:tc>
          <w:tcPr>
            <w:tcW w:w="591" w:type="pct"/>
            <w:vMerge w:val="continue"/>
            <w:noWrap w:val="0"/>
            <w:vAlign w:val="center"/>
          </w:tcPr>
          <w:p w14:paraId="69C2F97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308F3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FDE70D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6C8519D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4BFE9259">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〔A1.2-3〕以用途变更为住宅、公共管理与公共服务用地的地块为</w:t>
            </w:r>
            <w:r>
              <w:rPr>
                <w:rFonts w:hint="default" w:ascii="Times New Roman" w:hAnsi="Times New Roman" w:eastAsia="宋体" w:cs="Times New Roman"/>
                <w:color w:val="auto"/>
                <w:spacing w:val="1"/>
                <w:sz w:val="21"/>
                <w:szCs w:val="21"/>
                <w:highlight w:val="none"/>
              </w:rPr>
              <w:t>重点，严格建设用地准入管理和风险管控，未依法完成土壤污染状况调查或风险评估的地块，不得开工建设与风险管控和修复无关的</w:t>
            </w:r>
            <w:r>
              <w:rPr>
                <w:rFonts w:hint="default" w:ascii="Times New Roman" w:hAnsi="Times New Roman" w:eastAsia="宋体" w:cs="Times New Roman"/>
                <w:color w:val="auto"/>
                <w:spacing w:val="-1"/>
                <w:sz w:val="21"/>
                <w:szCs w:val="21"/>
                <w:highlight w:val="none"/>
              </w:rPr>
              <w:t>项目</w:t>
            </w:r>
          </w:p>
        </w:tc>
        <w:tc>
          <w:tcPr>
            <w:tcW w:w="591" w:type="pct"/>
            <w:vMerge w:val="continue"/>
            <w:noWrap w:val="0"/>
            <w:vAlign w:val="center"/>
          </w:tcPr>
          <w:p w14:paraId="24C1323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80BF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3C8663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6DF5535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7DD31EEA">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3"/>
                <w:sz w:val="21"/>
                <w:szCs w:val="21"/>
                <w:highlight w:val="none"/>
              </w:rPr>
              <w:t>〔A1.2-4〕严格控制建设项目占用湿地。因国家和自治区重</w:t>
            </w:r>
            <w:r>
              <w:rPr>
                <w:rFonts w:hint="default" w:ascii="Times New Roman" w:hAnsi="Times New Roman" w:eastAsia="宋体" w:cs="Times New Roman"/>
                <w:color w:val="auto"/>
                <w:spacing w:val="2"/>
                <w:sz w:val="21"/>
                <w:szCs w:val="21"/>
                <w:highlight w:val="none"/>
              </w:rPr>
              <w:t>点建设</w:t>
            </w:r>
            <w:r>
              <w:rPr>
                <w:rFonts w:hint="default" w:ascii="Times New Roman" w:hAnsi="Times New Roman" w:eastAsia="宋体" w:cs="Times New Roman"/>
                <w:color w:val="auto"/>
                <w:spacing w:val="-1"/>
                <w:sz w:val="21"/>
                <w:szCs w:val="21"/>
                <w:highlight w:val="none"/>
              </w:rPr>
              <w:t>工程、基础设施建设，以及重点公益性项目建设</w:t>
            </w:r>
            <w:r>
              <w:rPr>
                <w:rFonts w:hint="default" w:ascii="Times New Roman" w:hAnsi="Times New Roman" w:eastAsia="宋体" w:cs="Times New Roman"/>
                <w:color w:val="auto"/>
                <w:spacing w:val="-2"/>
                <w:sz w:val="21"/>
                <w:szCs w:val="21"/>
                <w:highlight w:val="none"/>
              </w:rPr>
              <w:t>，确需占用湿地的，</w:t>
            </w:r>
            <w:r>
              <w:rPr>
                <w:rFonts w:hint="default" w:ascii="Times New Roman" w:hAnsi="Times New Roman" w:eastAsia="宋体" w:cs="Times New Roman"/>
                <w:color w:val="auto"/>
                <w:spacing w:val="1"/>
                <w:sz w:val="21"/>
                <w:szCs w:val="21"/>
                <w:highlight w:val="none"/>
              </w:rPr>
              <w:t>应当按照有关法律、法规规定的权限和程序办理批准</w:t>
            </w:r>
          </w:p>
          <w:p w14:paraId="5484210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手续</w:t>
            </w:r>
          </w:p>
        </w:tc>
        <w:tc>
          <w:tcPr>
            <w:tcW w:w="591" w:type="pct"/>
            <w:vMerge w:val="continue"/>
            <w:noWrap w:val="0"/>
            <w:vAlign w:val="center"/>
          </w:tcPr>
          <w:p w14:paraId="20EB15F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596C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BD7288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47706FD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0B10E76D">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〔A1.2-5〕严格管控自然保护地范围内非生态活动，稳妥推进核心</w:t>
            </w:r>
            <w:r>
              <w:rPr>
                <w:rFonts w:hint="default" w:ascii="Times New Roman" w:hAnsi="Times New Roman" w:eastAsia="宋体" w:cs="Times New Roman"/>
                <w:b w:val="0"/>
                <w:bCs w:val="0"/>
                <w:color w:val="auto"/>
                <w:sz w:val="21"/>
                <w:szCs w:val="21"/>
                <w:highlight w:val="none"/>
              </w:rPr>
              <w:t>区内居民、耕地有序退出，矿权依法依规退出</w:t>
            </w:r>
          </w:p>
        </w:tc>
        <w:tc>
          <w:tcPr>
            <w:tcW w:w="591" w:type="pct"/>
            <w:vMerge w:val="continue"/>
            <w:noWrap w:val="0"/>
            <w:vAlign w:val="center"/>
          </w:tcPr>
          <w:p w14:paraId="12D56F3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0A2A1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00B81F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restart"/>
            <w:noWrap w:val="0"/>
            <w:vAlign w:val="center"/>
          </w:tcPr>
          <w:p w14:paraId="43ED3E8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1"/>
                <w:sz w:val="21"/>
                <w:szCs w:val="21"/>
                <w:highlight w:val="none"/>
              </w:rPr>
              <w:t>A1.3不</w:t>
            </w:r>
            <w:r>
              <w:rPr>
                <w:rFonts w:hint="default" w:ascii="Times New Roman" w:hAnsi="Times New Roman" w:eastAsia="宋体" w:cs="Times New Roman"/>
                <w:b w:val="0"/>
                <w:bCs w:val="0"/>
                <w:color w:val="auto"/>
                <w:spacing w:val="4"/>
                <w:sz w:val="21"/>
                <w:szCs w:val="21"/>
                <w:highlight w:val="none"/>
              </w:rPr>
              <w:t>符合空</w:t>
            </w:r>
            <w:r>
              <w:rPr>
                <w:rFonts w:hint="default" w:ascii="Times New Roman" w:hAnsi="Times New Roman" w:eastAsia="宋体" w:cs="Times New Roman"/>
                <w:b w:val="0"/>
                <w:bCs w:val="0"/>
                <w:color w:val="auto"/>
                <w:spacing w:val="7"/>
                <w:sz w:val="21"/>
                <w:szCs w:val="21"/>
                <w:highlight w:val="none"/>
              </w:rPr>
              <w:t>间布局</w:t>
            </w:r>
            <w:r>
              <w:rPr>
                <w:rFonts w:hint="default" w:ascii="Times New Roman" w:hAnsi="Times New Roman" w:eastAsia="宋体" w:cs="Times New Roman"/>
                <w:b w:val="0"/>
                <w:bCs w:val="0"/>
                <w:color w:val="auto"/>
                <w:spacing w:val="-4"/>
                <w:sz w:val="21"/>
                <w:szCs w:val="21"/>
                <w:highlight w:val="none"/>
              </w:rPr>
              <w:t>要求活动的退</w:t>
            </w:r>
            <w:r>
              <w:rPr>
                <w:rFonts w:hint="default" w:ascii="Times New Roman" w:hAnsi="Times New Roman" w:eastAsia="宋体" w:cs="Times New Roman"/>
                <w:b w:val="0"/>
                <w:bCs w:val="0"/>
                <w:color w:val="auto"/>
                <w:spacing w:val="3"/>
                <w:sz w:val="21"/>
                <w:szCs w:val="21"/>
                <w:highlight w:val="none"/>
              </w:rPr>
              <w:t>出</w:t>
            </w:r>
          </w:p>
          <w:p w14:paraId="196AE9C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1"/>
                <w:sz w:val="21"/>
                <w:szCs w:val="21"/>
                <w:highlight w:val="none"/>
              </w:rPr>
              <w:t>要求</w:t>
            </w:r>
          </w:p>
        </w:tc>
        <w:tc>
          <w:tcPr>
            <w:tcW w:w="3517" w:type="pct"/>
            <w:noWrap w:val="0"/>
            <w:vAlign w:val="center"/>
          </w:tcPr>
          <w:p w14:paraId="38061250">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1"/>
                <w:sz w:val="21"/>
                <w:szCs w:val="21"/>
                <w:highlight w:val="none"/>
              </w:rPr>
              <w:t>〔A1.3-1〕任何单位和个人不得在水源涵养区、饮用水水源保护区</w:t>
            </w:r>
            <w:r>
              <w:rPr>
                <w:rFonts w:hint="default" w:ascii="Times New Roman" w:hAnsi="Times New Roman" w:eastAsia="宋体" w:cs="Times New Roman"/>
                <w:b w:val="0"/>
                <w:bCs w:val="0"/>
                <w:color w:val="auto"/>
                <w:spacing w:val="-3"/>
                <w:sz w:val="21"/>
                <w:szCs w:val="21"/>
                <w:highlight w:val="none"/>
              </w:rPr>
              <w:t>内和河流、湖泊、水库周围建设重化工、涉重</w:t>
            </w:r>
            <w:r>
              <w:rPr>
                <w:rFonts w:hint="default" w:ascii="Times New Roman" w:hAnsi="Times New Roman" w:eastAsia="宋体" w:cs="Times New Roman"/>
                <w:b w:val="0"/>
                <w:bCs w:val="0"/>
                <w:color w:val="auto"/>
                <w:spacing w:val="-4"/>
                <w:sz w:val="21"/>
                <w:szCs w:val="21"/>
                <w:highlight w:val="none"/>
              </w:rPr>
              <w:t>金属等工业污染项目；</w:t>
            </w:r>
            <w:r>
              <w:rPr>
                <w:rFonts w:hint="default" w:ascii="Times New Roman" w:hAnsi="Times New Roman" w:eastAsia="宋体" w:cs="Times New Roman"/>
                <w:b w:val="0"/>
                <w:bCs w:val="0"/>
                <w:color w:val="auto"/>
                <w:spacing w:val="-3"/>
                <w:sz w:val="21"/>
                <w:szCs w:val="21"/>
                <w:highlight w:val="none"/>
              </w:rPr>
              <w:t>对已建成的工业污染项目，当地人民政府应当组织</w:t>
            </w:r>
            <w:r>
              <w:rPr>
                <w:rFonts w:hint="default" w:ascii="Times New Roman" w:hAnsi="Times New Roman" w:eastAsia="宋体" w:cs="Times New Roman"/>
                <w:b w:val="0"/>
                <w:bCs w:val="0"/>
                <w:color w:val="auto"/>
                <w:spacing w:val="-4"/>
                <w:sz w:val="21"/>
                <w:szCs w:val="21"/>
                <w:highlight w:val="none"/>
              </w:rPr>
              <w:t>限期搬迁</w:t>
            </w:r>
          </w:p>
        </w:tc>
        <w:tc>
          <w:tcPr>
            <w:tcW w:w="591" w:type="pct"/>
            <w:vMerge w:val="restart"/>
            <w:noWrap w:val="0"/>
            <w:vAlign w:val="center"/>
          </w:tcPr>
          <w:p w14:paraId="0556CDA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根据《产业结构调整指导目录（2024年本）》，本项目属于黄金采选行业，允许类，</w:t>
            </w:r>
            <w:r>
              <w:rPr>
                <w:rFonts w:hint="default" w:ascii="Times New Roman" w:hAnsi="Times New Roman" w:cs="Times New Roman"/>
                <w:b w:val="0"/>
                <w:bCs w:val="0"/>
                <w:color w:val="auto"/>
                <w:spacing w:val="-6"/>
                <w:sz w:val="21"/>
                <w:szCs w:val="21"/>
                <w:highlight w:val="none"/>
                <w:lang w:val="en-US" w:eastAsia="zh-CN"/>
              </w:rPr>
              <w:t>项目</w:t>
            </w:r>
            <w:r>
              <w:rPr>
                <w:rFonts w:hint="default" w:ascii="Times New Roman" w:hAnsi="Times New Roman" w:eastAsia="宋体" w:cs="Times New Roman"/>
                <w:b w:val="0"/>
                <w:bCs w:val="0"/>
                <w:color w:val="auto"/>
                <w:spacing w:val="-6"/>
                <w:sz w:val="21"/>
                <w:szCs w:val="21"/>
                <w:highlight w:val="none"/>
                <w:lang w:val="en-US" w:eastAsia="zh-CN"/>
              </w:rPr>
              <w:t>建设符合产业政策。</w:t>
            </w:r>
          </w:p>
        </w:tc>
      </w:tr>
      <w:tr w14:paraId="55529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5755DC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16886C6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99E5221">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〔A1.3-2〕对不符合国家产业政策、严重污染水环境的生产项目全</w:t>
            </w:r>
            <w:r>
              <w:rPr>
                <w:rFonts w:hint="default" w:ascii="Times New Roman" w:hAnsi="Times New Roman" w:eastAsia="宋体" w:cs="Times New Roman"/>
                <w:b w:val="0"/>
                <w:bCs w:val="0"/>
                <w:color w:val="auto"/>
                <w:spacing w:val="-1"/>
                <w:sz w:val="21"/>
                <w:szCs w:val="21"/>
                <w:highlight w:val="none"/>
              </w:rPr>
              <w:t>部予以取缔</w:t>
            </w:r>
          </w:p>
        </w:tc>
        <w:tc>
          <w:tcPr>
            <w:tcW w:w="591" w:type="pct"/>
            <w:vMerge w:val="continue"/>
            <w:noWrap w:val="0"/>
            <w:vAlign w:val="center"/>
          </w:tcPr>
          <w:p w14:paraId="3B5CAE2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6747A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895DBB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179716F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960C9F6">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z w:val="21"/>
                <w:szCs w:val="21"/>
                <w:highlight w:val="none"/>
              </w:rPr>
              <w:t>〔A1.3-3〕根据《产业结构调整指导目录》《限期淘汰产生严重污染</w:t>
            </w:r>
            <w:r>
              <w:rPr>
                <w:rFonts w:hint="default" w:ascii="Times New Roman" w:hAnsi="Times New Roman" w:eastAsia="宋体" w:cs="Times New Roman"/>
                <w:b w:val="0"/>
                <w:bCs w:val="0"/>
                <w:color w:val="auto"/>
                <w:spacing w:val="2"/>
                <w:sz w:val="21"/>
                <w:szCs w:val="21"/>
                <w:highlight w:val="none"/>
              </w:rPr>
              <w:t>环境的工业固体废物的落后生产工艺设备名录》等要求，配合有关</w:t>
            </w:r>
            <w:r>
              <w:rPr>
                <w:rFonts w:hint="default" w:ascii="Times New Roman" w:hAnsi="Times New Roman" w:eastAsia="宋体" w:cs="Times New Roman"/>
                <w:b w:val="0"/>
                <w:bCs w:val="0"/>
                <w:color w:val="auto"/>
                <w:sz w:val="21"/>
                <w:szCs w:val="21"/>
                <w:highlight w:val="none"/>
              </w:rPr>
              <w:t>部门依法淘汰烧结-鼓风炉炼铅工艺炼铅等涉重金属落后产能和化</w:t>
            </w:r>
            <w:r>
              <w:rPr>
                <w:rFonts w:hint="default" w:ascii="Times New Roman" w:hAnsi="Times New Roman" w:eastAsia="宋体" w:cs="Times New Roman"/>
                <w:b w:val="0"/>
                <w:bCs w:val="0"/>
                <w:color w:val="auto"/>
                <w:spacing w:val="2"/>
                <w:sz w:val="21"/>
                <w:szCs w:val="21"/>
                <w:highlight w:val="none"/>
              </w:rPr>
              <w:t>解过剩产能。严格执行生态环境保护等相关法规</w:t>
            </w:r>
            <w:r>
              <w:rPr>
                <w:rFonts w:hint="default" w:ascii="Times New Roman" w:hAnsi="Times New Roman" w:eastAsia="宋体" w:cs="Times New Roman"/>
                <w:b w:val="0"/>
                <w:bCs w:val="0"/>
                <w:color w:val="auto"/>
                <w:spacing w:val="1"/>
                <w:sz w:val="21"/>
                <w:szCs w:val="21"/>
                <w:highlight w:val="none"/>
              </w:rPr>
              <w:t>标准，推动经整改</w:t>
            </w:r>
            <w:r>
              <w:rPr>
                <w:rFonts w:hint="default" w:ascii="Times New Roman" w:hAnsi="Times New Roman" w:eastAsia="宋体" w:cs="Times New Roman"/>
                <w:b w:val="0"/>
                <w:bCs w:val="0"/>
                <w:color w:val="auto"/>
                <w:spacing w:val="3"/>
                <w:sz w:val="21"/>
                <w:szCs w:val="21"/>
                <w:highlight w:val="none"/>
              </w:rPr>
              <w:t>仍达不到要求的产能依法依规关闭退出</w:t>
            </w:r>
          </w:p>
        </w:tc>
        <w:tc>
          <w:tcPr>
            <w:tcW w:w="591" w:type="pct"/>
            <w:vMerge w:val="continue"/>
            <w:noWrap w:val="0"/>
            <w:vAlign w:val="center"/>
          </w:tcPr>
          <w:p w14:paraId="6A18EB0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83AD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FB3504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5CA31C1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3211482">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〔A1.3-4〕城市建成区、重点流域内已建成投产化工企业和危险化</w:t>
            </w:r>
            <w:r>
              <w:rPr>
                <w:rFonts w:hint="default" w:ascii="Times New Roman" w:hAnsi="Times New Roman" w:eastAsia="宋体" w:cs="Times New Roman"/>
                <w:b w:val="0"/>
                <w:bCs w:val="0"/>
                <w:color w:val="auto"/>
                <w:sz w:val="21"/>
                <w:szCs w:val="21"/>
                <w:highlight w:val="none"/>
              </w:rPr>
              <w:t>学品生产企业应加快退城入园，搬入化工园区前企业不应实施改扩建工程扩大生产规模</w:t>
            </w:r>
          </w:p>
        </w:tc>
        <w:tc>
          <w:tcPr>
            <w:tcW w:w="591" w:type="pct"/>
            <w:vMerge w:val="continue"/>
            <w:noWrap w:val="0"/>
            <w:vAlign w:val="center"/>
          </w:tcPr>
          <w:p w14:paraId="64B3B4F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9DB9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2DAE79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restart"/>
            <w:noWrap w:val="0"/>
            <w:vAlign w:val="center"/>
          </w:tcPr>
          <w:p w14:paraId="0CBDE50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1"/>
                <w:sz w:val="21"/>
                <w:szCs w:val="21"/>
                <w:highlight w:val="none"/>
              </w:rPr>
              <w:t>A1.4其</w:t>
            </w:r>
            <w:r>
              <w:rPr>
                <w:rFonts w:hint="default" w:ascii="Times New Roman" w:hAnsi="Times New Roman" w:eastAsia="宋体" w:cs="Times New Roman"/>
                <w:b w:val="0"/>
                <w:bCs w:val="0"/>
                <w:color w:val="auto"/>
                <w:spacing w:val="7"/>
                <w:sz w:val="21"/>
                <w:szCs w:val="21"/>
                <w:highlight w:val="none"/>
              </w:rPr>
              <w:t>它布局</w:t>
            </w:r>
            <w:r>
              <w:rPr>
                <w:rFonts w:hint="default" w:ascii="Times New Roman" w:hAnsi="Times New Roman" w:eastAsia="宋体" w:cs="Times New Roman"/>
                <w:b w:val="0"/>
                <w:bCs w:val="0"/>
                <w:color w:val="auto"/>
                <w:spacing w:val="5"/>
                <w:sz w:val="21"/>
                <w:szCs w:val="21"/>
                <w:highlight w:val="none"/>
              </w:rPr>
              <w:t>要求</w:t>
            </w:r>
          </w:p>
        </w:tc>
        <w:tc>
          <w:tcPr>
            <w:tcW w:w="3517" w:type="pct"/>
            <w:noWrap w:val="0"/>
            <w:vAlign w:val="center"/>
          </w:tcPr>
          <w:p w14:paraId="2BE018B8">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1"/>
                <w:sz w:val="21"/>
                <w:szCs w:val="21"/>
                <w:highlight w:val="none"/>
              </w:rPr>
              <w:t>〔A1.4-1〕一切开发建设活动应符合</w:t>
            </w:r>
            <w:r>
              <w:rPr>
                <w:rFonts w:hint="default" w:ascii="Times New Roman" w:hAnsi="Times New Roman" w:eastAsia="宋体" w:cs="Times New Roman"/>
                <w:b w:val="0"/>
                <w:bCs w:val="0"/>
                <w:color w:val="auto"/>
                <w:sz w:val="21"/>
                <w:szCs w:val="21"/>
                <w:highlight w:val="none"/>
              </w:rPr>
              <w:t>国家、自治区主体功能区规划</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pacing w:val="1"/>
                <w:sz w:val="21"/>
                <w:szCs w:val="21"/>
                <w:highlight w:val="none"/>
              </w:rPr>
              <w:t>自治区和各地颁布实施的生态环境功能区划、国民经</w:t>
            </w:r>
            <w:r>
              <w:rPr>
                <w:rFonts w:hint="default" w:ascii="Times New Roman" w:hAnsi="Times New Roman" w:eastAsia="宋体" w:cs="Times New Roman"/>
                <w:b w:val="0"/>
                <w:bCs w:val="0"/>
                <w:color w:val="auto"/>
                <w:sz w:val="21"/>
                <w:szCs w:val="21"/>
                <w:highlight w:val="none"/>
              </w:rPr>
              <w:t>济发展规划、</w:t>
            </w:r>
            <w:r>
              <w:rPr>
                <w:rFonts w:hint="default" w:ascii="Times New Roman" w:hAnsi="Times New Roman" w:eastAsia="宋体" w:cs="Times New Roman"/>
                <w:b w:val="0"/>
                <w:bCs w:val="0"/>
                <w:color w:val="auto"/>
                <w:spacing w:val="-3"/>
                <w:sz w:val="21"/>
                <w:szCs w:val="21"/>
                <w:highlight w:val="none"/>
              </w:rPr>
              <w:t>产业发展规划、国土空间规划等相关规划及重点生态功能区负面清</w:t>
            </w:r>
            <w:r>
              <w:rPr>
                <w:rFonts w:hint="default" w:ascii="Times New Roman" w:hAnsi="Times New Roman" w:eastAsia="宋体" w:cs="Times New Roman"/>
                <w:b w:val="0"/>
                <w:bCs w:val="0"/>
                <w:color w:val="auto"/>
                <w:spacing w:val="-4"/>
                <w:sz w:val="21"/>
                <w:szCs w:val="21"/>
                <w:highlight w:val="none"/>
              </w:rPr>
              <w:t>单要求，符合区域或产业规划环评要求。</w:t>
            </w:r>
          </w:p>
        </w:tc>
        <w:tc>
          <w:tcPr>
            <w:tcW w:w="591" w:type="pct"/>
            <w:vMerge w:val="restart"/>
            <w:noWrap w:val="0"/>
            <w:vAlign w:val="center"/>
          </w:tcPr>
          <w:p w14:paraId="1913B84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项目选址于</w:t>
            </w:r>
            <w:r>
              <w:rPr>
                <w:rFonts w:hint="default" w:ascii="Times New Roman" w:hAnsi="Times New Roman" w:cs="Times New Roman"/>
                <w:b w:val="0"/>
                <w:bCs w:val="0"/>
                <w:color w:val="auto"/>
                <w:spacing w:val="-6"/>
                <w:sz w:val="21"/>
                <w:szCs w:val="21"/>
                <w:highlight w:val="none"/>
                <w:lang w:val="en-US" w:eastAsia="zh-CN"/>
              </w:rPr>
              <w:t>阿勒泰地区富蕴县</w:t>
            </w:r>
            <w:r>
              <w:rPr>
                <w:rFonts w:hint="default" w:ascii="Times New Roman" w:hAnsi="Times New Roman" w:eastAsia="宋体" w:cs="Times New Roman"/>
                <w:b w:val="0"/>
                <w:bCs w:val="0"/>
                <w:color w:val="auto"/>
                <w:spacing w:val="-6"/>
                <w:sz w:val="21"/>
                <w:szCs w:val="21"/>
                <w:highlight w:val="none"/>
                <w:lang w:val="en-US" w:eastAsia="zh-CN"/>
              </w:rPr>
              <w:t>，属于金矿采选行业，不涉及，选址符合政策要求。</w:t>
            </w:r>
          </w:p>
        </w:tc>
      </w:tr>
      <w:tr w14:paraId="497C9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8B64BA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2BB1827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58A10D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〔A1.4-2〕新建、扩建石化、化工、焦化、有色金属冶炼、平板玻</w:t>
            </w:r>
            <w:r>
              <w:rPr>
                <w:rFonts w:hint="default" w:ascii="Times New Roman" w:hAnsi="Times New Roman" w:eastAsia="宋体" w:cs="Times New Roman"/>
                <w:b w:val="0"/>
                <w:bCs w:val="0"/>
                <w:color w:val="auto"/>
                <w:sz w:val="21"/>
                <w:szCs w:val="21"/>
                <w:highlight w:val="none"/>
              </w:rPr>
              <w:t>璃项目应布设在依法合规设立并经规划环评的产业园区。</w:t>
            </w:r>
          </w:p>
        </w:tc>
        <w:tc>
          <w:tcPr>
            <w:tcW w:w="591" w:type="pct"/>
            <w:vMerge w:val="continue"/>
            <w:noWrap w:val="0"/>
            <w:vAlign w:val="center"/>
          </w:tcPr>
          <w:p w14:paraId="002B3EC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779F1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44E70D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3BC3622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08DDF481">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1"/>
                <w:sz w:val="21"/>
                <w:szCs w:val="21"/>
                <w:highlight w:val="none"/>
              </w:rPr>
              <w:t>〔A1.4-3〕危险化学品生产企业搬迁改造及新建化工项目必须进入</w:t>
            </w:r>
            <w:r>
              <w:rPr>
                <w:rFonts w:hint="default" w:ascii="Times New Roman" w:hAnsi="Times New Roman" w:eastAsia="宋体" w:cs="Times New Roman"/>
                <w:b w:val="0"/>
                <w:bCs w:val="0"/>
                <w:color w:val="auto"/>
                <w:spacing w:val="-1"/>
                <w:sz w:val="21"/>
                <w:szCs w:val="21"/>
                <w:highlight w:val="none"/>
              </w:rPr>
              <w:t>国家及自治区各级人民政府正式批准设立，规</w:t>
            </w:r>
            <w:r>
              <w:rPr>
                <w:rFonts w:hint="default" w:ascii="Times New Roman" w:hAnsi="Times New Roman" w:eastAsia="宋体" w:cs="Times New Roman"/>
                <w:b w:val="0"/>
                <w:bCs w:val="0"/>
                <w:color w:val="auto"/>
                <w:spacing w:val="-2"/>
                <w:sz w:val="21"/>
                <w:szCs w:val="21"/>
                <w:highlight w:val="none"/>
              </w:rPr>
              <w:t>划环评通过审查，规划通过审批且环保基础设施完善的工业园区，并符合国土空间规划、</w:t>
            </w:r>
            <w:r>
              <w:rPr>
                <w:rFonts w:hint="default" w:ascii="Times New Roman" w:hAnsi="Times New Roman" w:eastAsia="宋体" w:cs="Times New Roman"/>
                <w:b w:val="0"/>
                <w:bCs w:val="0"/>
                <w:color w:val="auto"/>
                <w:spacing w:val="-1"/>
                <w:sz w:val="21"/>
                <w:szCs w:val="21"/>
                <w:highlight w:val="none"/>
              </w:rPr>
              <w:t>产业发展规划和生态红线管控要求。</w:t>
            </w:r>
          </w:p>
        </w:tc>
        <w:tc>
          <w:tcPr>
            <w:tcW w:w="591" w:type="pct"/>
            <w:vMerge w:val="continue"/>
            <w:noWrap w:val="0"/>
            <w:vAlign w:val="center"/>
          </w:tcPr>
          <w:p w14:paraId="5CE463C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5E81A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691DE1B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1"/>
                <w:sz w:val="21"/>
                <w:szCs w:val="21"/>
                <w:highlight w:val="none"/>
              </w:rPr>
              <w:t>A2污</w:t>
            </w:r>
            <w:r>
              <w:rPr>
                <w:rFonts w:hint="default" w:ascii="Times New Roman" w:hAnsi="Times New Roman" w:eastAsia="宋体" w:cs="Times New Roman"/>
                <w:b w:val="0"/>
                <w:bCs w:val="0"/>
                <w:color w:val="auto"/>
                <w:spacing w:val="6"/>
                <w:sz w:val="21"/>
                <w:szCs w:val="21"/>
                <w:highlight w:val="none"/>
              </w:rPr>
              <w:t>染物</w:t>
            </w:r>
            <w:r>
              <w:rPr>
                <w:rFonts w:hint="default" w:ascii="Times New Roman" w:hAnsi="Times New Roman" w:eastAsia="宋体" w:cs="Times New Roman"/>
                <w:b w:val="0"/>
                <w:bCs w:val="0"/>
                <w:color w:val="auto"/>
                <w:spacing w:val="-5"/>
                <w:sz w:val="21"/>
                <w:szCs w:val="21"/>
                <w:highlight w:val="none"/>
              </w:rPr>
              <w:t>排放</w:t>
            </w:r>
            <w:r>
              <w:rPr>
                <w:rFonts w:hint="default" w:ascii="Times New Roman" w:hAnsi="Times New Roman" w:eastAsia="宋体" w:cs="Times New Roman"/>
                <w:b w:val="0"/>
                <w:bCs w:val="0"/>
                <w:color w:val="auto"/>
                <w:spacing w:val="5"/>
                <w:sz w:val="21"/>
                <w:szCs w:val="21"/>
                <w:highlight w:val="none"/>
              </w:rPr>
              <w:t>管控</w:t>
            </w:r>
          </w:p>
        </w:tc>
        <w:tc>
          <w:tcPr>
            <w:tcW w:w="494" w:type="pct"/>
            <w:vMerge w:val="restart"/>
            <w:noWrap w:val="0"/>
            <w:vAlign w:val="center"/>
          </w:tcPr>
          <w:p w14:paraId="595D1E0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3"/>
                <w:sz w:val="21"/>
                <w:szCs w:val="21"/>
                <w:highlight w:val="none"/>
              </w:rPr>
              <w:t>A2.1污</w:t>
            </w:r>
            <w:r>
              <w:rPr>
                <w:rFonts w:hint="default" w:ascii="Times New Roman" w:hAnsi="Times New Roman" w:eastAsia="宋体" w:cs="Times New Roman"/>
                <w:b w:val="0"/>
                <w:bCs w:val="0"/>
                <w:color w:val="auto"/>
                <w:spacing w:val="7"/>
                <w:sz w:val="21"/>
                <w:szCs w:val="21"/>
                <w:highlight w:val="none"/>
              </w:rPr>
              <w:t>染物削</w:t>
            </w:r>
            <w:r>
              <w:rPr>
                <w:rFonts w:hint="default" w:ascii="Times New Roman" w:hAnsi="Times New Roman" w:eastAsia="宋体" w:cs="Times New Roman"/>
                <w:b w:val="0"/>
                <w:bCs w:val="0"/>
                <w:color w:val="auto"/>
                <w:spacing w:val="3"/>
                <w:sz w:val="21"/>
                <w:szCs w:val="21"/>
                <w:highlight w:val="none"/>
              </w:rPr>
              <w:t>减/替代</w:t>
            </w:r>
            <w:r>
              <w:rPr>
                <w:rFonts w:hint="default" w:ascii="Times New Roman" w:hAnsi="Times New Roman" w:eastAsia="宋体" w:cs="Times New Roman"/>
                <w:b w:val="0"/>
                <w:bCs w:val="0"/>
                <w:color w:val="auto"/>
                <w:spacing w:val="-1"/>
                <w:sz w:val="21"/>
                <w:szCs w:val="21"/>
                <w:highlight w:val="none"/>
              </w:rPr>
              <w:t>要求</w:t>
            </w:r>
          </w:p>
        </w:tc>
        <w:tc>
          <w:tcPr>
            <w:tcW w:w="3517" w:type="pct"/>
            <w:noWrap w:val="0"/>
            <w:vAlign w:val="center"/>
          </w:tcPr>
          <w:p w14:paraId="002C43B3">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z w:val="21"/>
                <w:szCs w:val="21"/>
                <w:highlight w:val="none"/>
              </w:rPr>
              <w:t>〔A2.1-1〕新、改、扩建重点行业建设项目应符合“三线一单”、产</w:t>
            </w:r>
            <w:r>
              <w:rPr>
                <w:rFonts w:hint="default" w:ascii="Times New Roman" w:hAnsi="Times New Roman" w:eastAsia="宋体" w:cs="Times New Roman"/>
                <w:b w:val="0"/>
                <w:bCs w:val="0"/>
                <w:color w:val="auto"/>
                <w:spacing w:val="1"/>
                <w:sz w:val="21"/>
                <w:szCs w:val="21"/>
                <w:highlight w:val="none"/>
              </w:rPr>
              <w:t>业政策、区域环评、规划环评和行业环境准入管控要求。重点区域</w:t>
            </w:r>
            <w:r>
              <w:rPr>
                <w:rFonts w:hint="default" w:ascii="Times New Roman" w:hAnsi="Times New Roman" w:eastAsia="宋体" w:cs="Times New Roman"/>
                <w:b w:val="0"/>
                <w:bCs w:val="0"/>
                <w:color w:val="auto"/>
                <w:spacing w:val="-1"/>
                <w:sz w:val="21"/>
                <w:szCs w:val="21"/>
                <w:highlight w:val="none"/>
              </w:rPr>
              <w:t>的新、改、扩建重点行业建设项目应遵循重</w:t>
            </w:r>
            <w:r>
              <w:rPr>
                <w:rFonts w:hint="default" w:ascii="Times New Roman" w:hAnsi="Times New Roman" w:eastAsia="宋体" w:cs="Times New Roman"/>
                <w:b w:val="0"/>
                <w:bCs w:val="0"/>
                <w:color w:val="auto"/>
                <w:spacing w:val="-2"/>
                <w:sz w:val="21"/>
                <w:szCs w:val="21"/>
                <w:highlight w:val="none"/>
              </w:rPr>
              <w:t>点重金属污染物排放“减</w:t>
            </w:r>
            <w:r>
              <w:rPr>
                <w:rFonts w:hint="default" w:ascii="Times New Roman" w:hAnsi="Times New Roman" w:eastAsia="宋体" w:cs="Times New Roman"/>
                <w:b w:val="0"/>
                <w:bCs w:val="0"/>
                <w:color w:val="auto"/>
                <w:spacing w:val="8"/>
                <w:sz w:val="21"/>
                <w:szCs w:val="21"/>
                <w:highlight w:val="none"/>
              </w:rPr>
              <w:t>量替代”原则。</w:t>
            </w:r>
          </w:p>
        </w:tc>
        <w:tc>
          <w:tcPr>
            <w:tcW w:w="591" w:type="pct"/>
            <w:vMerge w:val="restart"/>
            <w:noWrap w:val="0"/>
            <w:vAlign w:val="center"/>
          </w:tcPr>
          <w:p w14:paraId="4D7E06F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不涉及VOCs</w:t>
            </w:r>
            <w:r>
              <w:rPr>
                <w:rFonts w:hint="default" w:ascii="Times New Roman" w:hAnsi="Times New Roman" w:eastAsia="宋体" w:cs="Times New Roman"/>
                <w:color w:val="auto"/>
                <w:sz w:val="21"/>
                <w:szCs w:val="21"/>
                <w:highlight w:val="none"/>
              </w:rPr>
              <w:t>污染物排放</w:t>
            </w:r>
          </w:p>
        </w:tc>
      </w:tr>
      <w:tr w14:paraId="29FDA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37CB53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6D040C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1B2EE09">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〔A2.1-2〕以石化、化工、涂装、医药、包装印刷、油品储运销等</w:t>
            </w:r>
            <w:r>
              <w:rPr>
                <w:rFonts w:hint="default" w:ascii="Times New Roman" w:hAnsi="Times New Roman" w:eastAsia="宋体" w:cs="Times New Roman"/>
                <w:b w:val="0"/>
                <w:bCs w:val="0"/>
                <w:color w:val="auto"/>
                <w:sz w:val="21"/>
                <w:szCs w:val="21"/>
                <w:highlight w:val="none"/>
              </w:rPr>
              <w:t>行业领域为重点，安全高效推进挥发性有机物综合治理，实施原辅材料和产品源头替代工程。</w:t>
            </w:r>
          </w:p>
        </w:tc>
        <w:tc>
          <w:tcPr>
            <w:tcW w:w="591" w:type="pct"/>
            <w:vMerge w:val="continue"/>
            <w:noWrap w:val="0"/>
            <w:vAlign w:val="center"/>
          </w:tcPr>
          <w:p w14:paraId="294DD7E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1E632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B43CF6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75E1F81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7FF0DD06">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3"/>
                <w:sz w:val="21"/>
                <w:szCs w:val="21"/>
                <w:highlight w:val="none"/>
              </w:rPr>
              <w:t>〔A2.1-3〕促进大气污染物与温室气体协同控制。实施污染物和温</w:t>
            </w:r>
            <w:r>
              <w:rPr>
                <w:rFonts w:hint="default" w:ascii="Times New Roman" w:hAnsi="Times New Roman" w:eastAsia="宋体" w:cs="Times New Roman"/>
                <w:b w:val="0"/>
                <w:bCs w:val="0"/>
                <w:color w:val="auto"/>
                <w:spacing w:val="2"/>
                <w:sz w:val="21"/>
                <w:szCs w:val="21"/>
                <w:highlight w:val="none"/>
              </w:rPr>
              <w:t>室气体协同控制，实现减污降碳协同效应。开展工业、农业</w:t>
            </w:r>
            <w:r>
              <w:rPr>
                <w:rFonts w:hint="default" w:ascii="Times New Roman" w:hAnsi="Times New Roman" w:eastAsia="宋体" w:cs="Times New Roman"/>
                <w:b w:val="0"/>
                <w:bCs w:val="0"/>
                <w:color w:val="auto"/>
                <w:spacing w:val="1"/>
                <w:sz w:val="21"/>
                <w:szCs w:val="21"/>
                <w:highlight w:val="none"/>
              </w:rPr>
              <w:t>温室气</w:t>
            </w:r>
            <w:r>
              <w:rPr>
                <w:rFonts w:hint="default" w:ascii="Times New Roman" w:hAnsi="Times New Roman" w:eastAsia="宋体" w:cs="Times New Roman"/>
                <w:b w:val="0"/>
                <w:bCs w:val="0"/>
                <w:color w:val="auto"/>
                <w:spacing w:val="2"/>
                <w:sz w:val="21"/>
                <w:szCs w:val="21"/>
                <w:highlight w:val="none"/>
              </w:rPr>
              <w:t>体和污染减排协同控制研究，减少温室气体和污染物</w:t>
            </w:r>
            <w:r>
              <w:rPr>
                <w:rFonts w:hint="default" w:ascii="Times New Roman" w:hAnsi="Times New Roman" w:eastAsia="宋体" w:cs="Times New Roman"/>
                <w:b w:val="0"/>
                <w:bCs w:val="0"/>
                <w:color w:val="auto"/>
                <w:spacing w:val="1"/>
                <w:sz w:val="21"/>
                <w:szCs w:val="21"/>
                <w:highlight w:val="none"/>
              </w:rPr>
              <w:t>排放。强化污</w:t>
            </w:r>
            <w:r>
              <w:rPr>
                <w:rFonts w:hint="default" w:ascii="Times New Roman" w:hAnsi="Times New Roman" w:eastAsia="宋体" w:cs="Times New Roman"/>
                <w:b w:val="0"/>
                <w:bCs w:val="0"/>
                <w:color w:val="auto"/>
                <w:spacing w:val="5"/>
                <w:sz w:val="21"/>
                <w:szCs w:val="21"/>
                <w:highlight w:val="none"/>
              </w:rPr>
              <w:t>水、垃圾等集中处置设施环境管理，协同控制氢氟碳化物、甲烷、</w:t>
            </w:r>
            <w:r>
              <w:rPr>
                <w:rFonts w:hint="default" w:ascii="Times New Roman" w:hAnsi="Times New Roman" w:eastAsia="宋体" w:cs="Times New Roman"/>
                <w:b w:val="0"/>
                <w:bCs w:val="0"/>
                <w:color w:val="auto"/>
                <w:spacing w:val="-1"/>
                <w:sz w:val="21"/>
                <w:szCs w:val="21"/>
                <w:highlight w:val="none"/>
              </w:rPr>
              <w:t>氧化亚氮等温室气体。加强节约能源与大气污染防治协同有效衔接，</w:t>
            </w:r>
            <w:r>
              <w:rPr>
                <w:rFonts w:hint="default" w:ascii="Times New Roman" w:hAnsi="Times New Roman" w:eastAsia="宋体" w:cs="Times New Roman"/>
                <w:b w:val="0"/>
                <w:bCs w:val="0"/>
                <w:color w:val="auto"/>
                <w:spacing w:val="4"/>
                <w:sz w:val="21"/>
                <w:szCs w:val="21"/>
                <w:highlight w:val="none"/>
              </w:rPr>
              <w:t>促进大气污染防治协同增效。</w:t>
            </w:r>
          </w:p>
        </w:tc>
        <w:tc>
          <w:tcPr>
            <w:tcW w:w="591" w:type="pct"/>
            <w:vMerge w:val="continue"/>
            <w:noWrap w:val="0"/>
            <w:vAlign w:val="center"/>
          </w:tcPr>
          <w:p w14:paraId="6512FE3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449D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A1E3D8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1E8C68C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3A8104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rPr>
            </w:pPr>
            <w:r>
              <w:rPr>
                <w:rFonts w:hint="default" w:ascii="Times New Roman" w:hAnsi="Times New Roman" w:eastAsia="宋体" w:cs="Times New Roman"/>
                <w:color w:val="auto"/>
                <w:spacing w:val="7"/>
                <w:sz w:val="21"/>
                <w:szCs w:val="21"/>
                <w:highlight w:val="none"/>
              </w:rPr>
              <w:t>〔A2.1-4〕严控建材、铸造、冶炼等行业无组织排放，推进石化、</w:t>
            </w:r>
            <w:r>
              <w:rPr>
                <w:rFonts w:hint="default" w:ascii="Times New Roman" w:hAnsi="Times New Roman" w:eastAsia="宋体" w:cs="Times New Roman"/>
                <w:color w:val="auto"/>
                <w:sz w:val="21"/>
                <w:szCs w:val="21"/>
                <w:highlight w:val="none"/>
              </w:rPr>
              <w:t>化工、涂装、医药、包装印刷、油品储运销等行业项目挥发性</w:t>
            </w:r>
            <w:r>
              <w:rPr>
                <w:rFonts w:hint="default" w:ascii="Times New Roman" w:hAnsi="Times New Roman" w:eastAsia="宋体" w:cs="Times New Roman"/>
                <w:color w:val="auto"/>
                <w:spacing w:val="-1"/>
                <w:sz w:val="21"/>
                <w:szCs w:val="21"/>
                <w:highlight w:val="none"/>
              </w:rPr>
              <w:t>有机</w:t>
            </w:r>
            <w:r>
              <w:rPr>
                <w:rFonts w:hint="default" w:ascii="Times New Roman" w:hAnsi="Times New Roman" w:eastAsia="宋体" w:cs="Times New Roman"/>
                <w:color w:val="auto"/>
                <w:sz w:val="21"/>
                <w:szCs w:val="21"/>
                <w:highlight w:val="none"/>
              </w:rPr>
              <w:t>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防治。严格有色金属冶炼、石油加工、化工、焦化等行业项目的土壤、地下水污染防治措施要求。</w:t>
            </w:r>
            <w:r>
              <w:rPr>
                <w:rFonts w:hint="default" w:ascii="Times New Roman" w:hAnsi="Times New Roman" w:eastAsia="宋体" w:cs="Times New Roman"/>
                <w:color w:val="auto"/>
                <w:spacing w:val="-1"/>
                <w:sz w:val="21"/>
                <w:szCs w:val="21"/>
                <w:highlight w:val="none"/>
              </w:rPr>
              <w:t>推进工业园区和企业集</w:t>
            </w:r>
            <w:r>
              <w:rPr>
                <w:rFonts w:hint="default" w:ascii="Times New Roman" w:hAnsi="Times New Roman" w:eastAsia="宋体" w:cs="Times New Roman"/>
                <w:color w:val="auto"/>
                <w:sz w:val="21"/>
                <w:szCs w:val="21"/>
                <w:highlight w:val="none"/>
              </w:rPr>
              <w:t>群建设涉VOCs“绿岛”项目，统筹规划建设一批集中涂装中心、活性炭集中处理中心、溶剂回收中心等，实现VOCs集中高效处理。</w:t>
            </w:r>
          </w:p>
        </w:tc>
        <w:tc>
          <w:tcPr>
            <w:tcW w:w="591" w:type="pct"/>
            <w:vMerge w:val="continue"/>
            <w:noWrap w:val="0"/>
            <w:vAlign w:val="center"/>
          </w:tcPr>
          <w:p w14:paraId="08F249E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17248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4C6D60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restart"/>
            <w:noWrap w:val="0"/>
            <w:vAlign w:val="center"/>
          </w:tcPr>
          <w:p w14:paraId="7B52BB08">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color w:val="auto"/>
                <w:spacing w:val="1"/>
                <w:sz w:val="21"/>
                <w:szCs w:val="21"/>
                <w:highlight w:val="none"/>
              </w:rPr>
              <w:t>A2.2污</w:t>
            </w:r>
            <w:r>
              <w:rPr>
                <w:rFonts w:hint="default" w:ascii="Times New Roman" w:hAnsi="Times New Roman" w:eastAsia="宋体" w:cs="Times New Roman"/>
                <w:color w:val="auto"/>
                <w:spacing w:val="6"/>
                <w:sz w:val="21"/>
                <w:szCs w:val="21"/>
                <w:highlight w:val="none"/>
              </w:rPr>
              <w:t>染控制</w:t>
            </w:r>
            <w:r>
              <w:rPr>
                <w:rFonts w:hint="default" w:ascii="Times New Roman" w:hAnsi="Times New Roman" w:eastAsia="宋体" w:cs="Times New Roman"/>
                <w:color w:val="auto"/>
                <w:spacing w:val="4"/>
                <w:sz w:val="21"/>
                <w:szCs w:val="21"/>
                <w:highlight w:val="none"/>
              </w:rPr>
              <w:t>措施要</w:t>
            </w:r>
            <w:r>
              <w:rPr>
                <w:rFonts w:hint="default" w:ascii="Times New Roman" w:hAnsi="Times New Roman" w:eastAsia="宋体" w:cs="Times New Roman"/>
                <w:color w:val="auto"/>
                <w:sz w:val="21"/>
                <w:szCs w:val="21"/>
                <w:highlight w:val="none"/>
              </w:rPr>
              <w:t>求</w:t>
            </w:r>
          </w:p>
        </w:tc>
        <w:tc>
          <w:tcPr>
            <w:tcW w:w="3517" w:type="pct"/>
            <w:noWrap w:val="0"/>
            <w:vAlign w:val="center"/>
          </w:tcPr>
          <w:p w14:paraId="461A9D0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〔A2.2-1〕推动能源、钢铁、建材、有色、电力、化工等重点领域</w:t>
            </w:r>
            <w:r>
              <w:rPr>
                <w:rFonts w:hint="default" w:ascii="Times New Roman" w:hAnsi="Times New Roman" w:eastAsia="宋体" w:cs="Times New Roman"/>
                <w:color w:val="auto"/>
                <w:spacing w:val="1"/>
                <w:sz w:val="21"/>
                <w:szCs w:val="21"/>
                <w:highlight w:val="none"/>
              </w:rPr>
              <w:t>技术升级，控制工业过程温室气体排放，推动工业领域绿色低碳发展。积极鼓励发展二氧化碳捕集利用与封存等低碳技术。促进大气污染物与温室气体协同控制。实施污染物和温室气体协同控制，实</w:t>
            </w:r>
            <w:r>
              <w:rPr>
                <w:rFonts w:hint="default" w:ascii="Times New Roman" w:hAnsi="Times New Roman" w:eastAsia="宋体" w:cs="Times New Roman"/>
                <w:color w:val="auto"/>
                <w:spacing w:val="3"/>
                <w:sz w:val="21"/>
                <w:szCs w:val="21"/>
                <w:highlight w:val="none"/>
              </w:rPr>
              <w:t>现减污降碳协同效应。强化污水、垃圾等集中处</w:t>
            </w:r>
            <w:r>
              <w:rPr>
                <w:rFonts w:hint="default" w:ascii="Times New Roman" w:hAnsi="Times New Roman" w:eastAsia="宋体" w:cs="Times New Roman"/>
                <w:color w:val="auto"/>
                <w:spacing w:val="2"/>
                <w:sz w:val="21"/>
                <w:szCs w:val="21"/>
                <w:highlight w:val="none"/>
              </w:rPr>
              <w:t>置设施环境管理</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1"/>
                <w:sz w:val="21"/>
                <w:szCs w:val="21"/>
                <w:highlight w:val="none"/>
              </w:rPr>
              <w:t>协同控制氢氟碳化物、甲烷、氧化亚氮等温室气体。加强节约能源</w:t>
            </w:r>
            <w:r>
              <w:rPr>
                <w:rFonts w:hint="default" w:ascii="Times New Roman" w:hAnsi="Times New Roman" w:eastAsia="宋体" w:cs="Times New Roman"/>
                <w:color w:val="auto"/>
                <w:sz w:val="21"/>
                <w:szCs w:val="21"/>
                <w:highlight w:val="none"/>
              </w:rPr>
              <w:t>与大气污染防治协同有效衔接，促进大气污染防治协同增</w:t>
            </w:r>
            <w:r>
              <w:rPr>
                <w:rFonts w:hint="default" w:ascii="Times New Roman" w:hAnsi="Times New Roman" w:eastAsia="宋体" w:cs="Times New Roman"/>
                <w:color w:val="auto"/>
                <w:spacing w:val="-1"/>
                <w:sz w:val="21"/>
                <w:szCs w:val="21"/>
                <w:highlight w:val="none"/>
              </w:rPr>
              <w:t>效。</w:t>
            </w:r>
          </w:p>
        </w:tc>
        <w:tc>
          <w:tcPr>
            <w:tcW w:w="591" w:type="pct"/>
            <w:vMerge w:val="restart"/>
            <w:noWrap w:val="0"/>
            <w:vAlign w:val="center"/>
          </w:tcPr>
          <w:p w14:paraId="27FB523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本项目</w:t>
            </w:r>
            <w:r>
              <w:rPr>
                <w:rFonts w:hint="default" w:cs="Times New Roman"/>
                <w:b w:val="0"/>
                <w:bCs w:val="0"/>
                <w:color w:val="auto"/>
                <w:spacing w:val="-6"/>
                <w:sz w:val="21"/>
                <w:szCs w:val="21"/>
                <w:highlight w:val="none"/>
                <w:lang w:val="en-US" w:eastAsia="zh-CN"/>
              </w:rPr>
              <w:t>车间</w:t>
            </w:r>
            <w:r>
              <w:rPr>
                <w:rFonts w:hint="default" w:ascii="Times New Roman" w:hAnsi="Times New Roman" w:eastAsia="宋体" w:cs="Times New Roman"/>
                <w:b w:val="0"/>
                <w:bCs w:val="0"/>
                <w:color w:val="auto"/>
                <w:spacing w:val="-6"/>
                <w:sz w:val="21"/>
                <w:szCs w:val="21"/>
                <w:highlight w:val="none"/>
                <w:lang w:val="en-US" w:eastAsia="zh-CN"/>
              </w:rPr>
              <w:t>产生的粉尘</w:t>
            </w:r>
            <w:r>
              <w:rPr>
                <w:rFonts w:hint="default" w:cs="Times New Roman"/>
                <w:b w:val="0"/>
                <w:bCs w:val="0"/>
                <w:color w:val="auto"/>
                <w:spacing w:val="-6"/>
                <w:sz w:val="21"/>
                <w:szCs w:val="21"/>
                <w:highlight w:val="none"/>
                <w:lang w:val="en-US" w:eastAsia="zh-CN"/>
              </w:rPr>
              <w:t>均</w:t>
            </w:r>
            <w:r>
              <w:rPr>
                <w:rFonts w:hint="default" w:ascii="Times New Roman" w:hAnsi="Times New Roman" w:eastAsia="宋体" w:cs="Times New Roman"/>
                <w:b w:val="0"/>
                <w:bCs w:val="0"/>
                <w:color w:val="auto"/>
                <w:spacing w:val="-6"/>
                <w:sz w:val="21"/>
                <w:szCs w:val="21"/>
                <w:highlight w:val="none"/>
                <w:lang w:val="en-US" w:eastAsia="zh-CN"/>
              </w:rPr>
              <w:t>经集气罩收集+</w:t>
            </w:r>
            <w:r>
              <w:rPr>
                <w:rFonts w:hint="default" w:ascii="Times New Roman" w:hAnsi="Times New Roman" w:cs="Times New Roman"/>
                <w:b w:val="0"/>
                <w:bCs w:val="0"/>
                <w:color w:val="auto"/>
                <w:spacing w:val="-6"/>
                <w:sz w:val="21"/>
                <w:szCs w:val="21"/>
                <w:highlight w:val="none"/>
                <w:lang w:val="en-US" w:eastAsia="zh-CN"/>
              </w:rPr>
              <w:t>布袋</w:t>
            </w:r>
            <w:r>
              <w:rPr>
                <w:rFonts w:hint="default" w:ascii="Times New Roman" w:hAnsi="Times New Roman" w:eastAsia="宋体" w:cs="Times New Roman"/>
                <w:b w:val="0"/>
                <w:bCs w:val="0"/>
                <w:color w:val="auto"/>
                <w:spacing w:val="-6"/>
                <w:sz w:val="21"/>
                <w:szCs w:val="21"/>
                <w:highlight w:val="none"/>
                <w:lang w:val="en-US" w:eastAsia="zh-CN"/>
              </w:rPr>
              <w:t>除尘器处理后由15m排气筒达标排放，同时，生产设备全部选用国内先进设备，密闭性较好，可以有效减少无组织废气排放</w:t>
            </w:r>
          </w:p>
        </w:tc>
      </w:tr>
      <w:tr w14:paraId="5DDD0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541715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5218B6A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40832DE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〔A2.2-2〕实施重点行业氮氧化物等污染物深度治理。持续推进钢</w:t>
            </w:r>
            <w:r>
              <w:rPr>
                <w:rFonts w:hint="default" w:ascii="Times New Roman" w:hAnsi="Times New Roman" w:eastAsia="宋体" w:cs="Times New Roman"/>
                <w:color w:val="auto"/>
                <w:sz w:val="21"/>
                <w:szCs w:val="21"/>
                <w:highlight w:val="none"/>
              </w:rPr>
              <w:t>铁、水泥、焦化行业超低排放改造。推进玻</w:t>
            </w:r>
            <w:r>
              <w:rPr>
                <w:rFonts w:hint="default" w:ascii="Times New Roman" w:hAnsi="Times New Roman" w:eastAsia="宋体" w:cs="Times New Roman"/>
                <w:color w:val="auto"/>
                <w:spacing w:val="-1"/>
                <w:sz w:val="21"/>
                <w:szCs w:val="21"/>
                <w:highlight w:val="none"/>
              </w:rPr>
              <w:t>璃、陶瓷、铸造、铁合金、有色、煤化和石化等行业采取清洁生产、提标改造、深度治理</w:t>
            </w:r>
            <w:r>
              <w:rPr>
                <w:rFonts w:hint="default" w:ascii="Times New Roman" w:hAnsi="Times New Roman" w:eastAsia="宋体" w:cs="Times New Roman"/>
                <w:color w:val="auto"/>
                <w:sz w:val="21"/>
                <w:szCs w:val="21"/>
                <w:highlight w:val="none"/>
              </w:rPr>
              <w:t>等综合措施。加强自备燃煤机组污染治理设施运行管控，确保按照超低排放标准运行。针对铸造、铁合金、焦化、水泥、砖瓦、石灰、耐火材料、金属冶炼以及煤化工、石油化工等行业，严格控制物料储存、输送及生产工艺过程无组织排放。重</w:t>
            </w:r>
            <w:r>
              <w:rPr>
                <w:rFonts w:hint="default" w:ascii="Times New Roman" w:hAnsi="Times New Roman" w:eastAsia="宋体" w:cs="Times New Roman"/>
                <w:color w:val="auto"/>
                <w:spacing w:val="-1"/>
                <w:sz w:val="21"/>
                <w:szCs w:val="21"/>
                <w:highlight w:val="none"/>
              </w:rPr>
              <w:t>点涉气排放企业逐步取</w:t>
            </w:r>
            <w:r>
              <w:rPr>
                <w:rFonts w:hint="default" w:ascii="Times New Roman" w:hAnsi="Times New Roman" w:eastAsia="宋体" w:cs="Times New Roman"/>
                <w:color w:val="auto"/>
                <w:sz w:val="21"/>
                <w:szCs w:val="21"/>
                <w:highlight w:val="none"/>
              </w:rPr>
              <w:t>消烟气旁路，因安全生产无法取消的，安装在线监控系统。</w:t>
            </w:r>
          </w:p>
        </w:tc>
        <w:tc>
          <w:tcPr>
            <w:tcW w:w="591" w:type="pct"/>
            <w:vMerge w:val="continue"/>
            <w:noWrap w:val="0"/>
            <w:vAlign w:val="center"/>
          </w:tcPr>
          <w:p w14:paraId="0CAFDC0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7605A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EDB95D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62DE485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7583F12B">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〔A2.2-3〕强化重点区域大气污染联防联控，</w:t>
            </w:r>
            <w:r>
              <w:rPr>
                <w:rFonts w:hint="default" w:ascii="Times New Roman" w:hAnsi="Times New Roman" w:eastAsia="宋体" w:cs="Times New Roman"/>
                <w:color w:val="auto"/>
                <w:spacing w:val="3"/>
                <w:sz w:val="21"/>
                <w:szCs w:val="21"/>
                <w:highlight w:val="none"/>
              </w:rPr>
              <w:t>合理确定产业布局，</w:t>
            </w:r>
            <w:r>
              <w:rPr>
                <w:rFonts w:hint="default" w:ascii="Times New Roman" w:hAnsi="Times New Roman" w:eastAsia="宋体" w:cs="Times New Roman"/>
                <w:color w:val="auto"/>
                <w:spacing w:val="1"/>
                <w:sz w:val="21"/>
                <w:szCs w:val="21"/>
                <w:highlight w:val="none"/>
              </w:rPr>
              <w:t>推动区域内统一产业准入和排放标准。实施</w:t>
            </w:r>
            <w:r>
              <w:rPr>
                <w:rFonts w:hint="default" w:ascii="Times New Roman" w:hAnsi="Times New Roman" w:eastAsia="宋体" w:cs="Times New Roman"/>
                <w:color w:val="auto"/>
                <w:sz w:val="21"/>
                <w:szCs w:val="21"/>
                <w:highlight w:val="none"/>
              </w:rPr>
              <w:t>水泥行业错峰生产，推</w:t>
            </w:r>
            <w:r>
              <w:rPr>
                <w:rFonts w:hint="default" w:ascii="Times New Roman" w:hAnsi="Times New Roman" w:eastAsia="宋体" w:cs="Times New Roman"/>
                <w:color w:val="auto"/>
                <w:spacing w:val="1"/>
                <w:sz w:val="21"/>
                <w:szCs w:val="21"/>
                <w:highlight w:val="none"/>
              </w:rPr>
              <w:t>进散煤整治、挥发性有机污染物综合治理、钢铁</w:t>
            </w:r>
            <w:r>
              <w:rPr>
                <w:rFonts w:hint="default" w:ascii="Times New Roman" w:hAnsi="Times New Roman" w:eastAsia="宋体" w:cs="Times New Roman"/>
                <w:color w:val="auto"/>
                <w:sz w:val="21"/>
                <w:szCs w:val="21"/>
                <w:highlight w:val="none"/>
              </w:rPr>
              <w:t>、水泥、焦化和燃</w:t>
            </w:r>
            <w:r>
              <w:rPr>
                <w:rFonts w:hint="default" w:ascii="Times New Roman" w:hAnsi="Times New Roman" w:eastAsia="宋体" w:cs="Times New Roman"/>
                <w:color w:val="auto"/>
                <w:spacing w:val="2"/>
                <w:sz w:val="21"/>
                <w:szCs w:val="21"/>
                <w:highlight w:val="none"/>
              </w:rPr>
              <w:t>煤工业锅炉行业超低排放改造、燃气锅炉低氮</w:t>
            </w:r>
            <w:r>
              <w:rPr>
                <w:rFonts w:hint="default" w:ascii="Times New Roman" w:hAnsi="Times New Roman" w:eastAsia="宋体" w:cs="Times New Roman"/>
                <w:color w:val="auto"/>
                <w:spacing w:val="1"/>
                <w:sz w:val="21"/>
                <w:szCs w:val="21"/>
                <w:highlight w:val="none"/>
              </w:rPr>
              <w:t>燃烧改造、工业园区内轨道运输</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大宗货物“公转铁”</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、柴油货车治理、锅炉炉窑综合治理等工程项目。全面推行绿色施工，持续推动城市建成区重污染</w:t>
            </w:r>
            <w:r>
              <w:rPr>
                <w:rFonts w:hint="default" w:ascii="Times New Roman" w:hAnsi="Times New Roman" w:eastAsia="宋体" w:cs="Times New Roman"/>
                <w:color w:val="auto"/>
                <w:spacing w:val="-1"/>
                <w:sz w:val="21"/>
                <w:szCs w:val="21"/>
                <w:highlight w:val="none"/>
              </w:rPr>
              <w:t>企业搬迁或关闭退出。</w:t>
            </w:r>
          </w:p>
        </w:tc>
        <w:tc>
          <w:tcPr>
            <w:tcW w:w="591" w:type="pct"/>
            <w:vMerge w:val="continue"/>
            <w:noWrap w:val="0"/>
            <w:vAlign w:val="center"/>
          </w:tcPr>
          <w:p w14:paraId="4830B47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5BF52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399A28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240A4F0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59EE4FC5">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〔A2.2-4〕强化用水定额管理。推进地下水超采综合治理。开展河</w:t>
            </w:r>
            <w:r>
              <w:rPr>
                <w:rFonts w:hint="default" w:ascii="Times New Roman" w:hAnsi="Times New Roman" w:eastAsia="宋体" w:cs="Times New Roman"/>
                <w:color w:val="auto"/>
                <w:sz w:val="21"/>
                <w:szCs w:val="21"/>
                <w:highlight w:val="none"/>
              </w:rPr>
              <w:t>湖生态流量</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水量</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确定工作，强化生态用水保</w:t>
            </w:r>
            <w:r>
              <w:rPr>
                <w:rFonts w:hint="default" w:ascii="Times New Roman" w:hAnsi="Times New Roman" w:eastAsia="宋体" w:cs="Times New Roman"/>
                <w:color w:val="auto"/>
                <w:spacing w:val="-1"/>
                <w:sz w:val="21"/>
                <w:szCs w:val="21"/>
                <w:highlight w:val="none"/>
              </w:rPr>
              <w:t>障。</w:t>
            </w:r>
          </w:p>
        </w:tc>
        <w:tc>
          <w:tcPr>
            <w:tcW w:w="591" w:type="pct"/>
            <w:vMerge w:val="continue"/>
            <w:noWrap w:val="0"/>
            <w:vAlign w:val="center"/>
          </w:tcPr>
          <w:p w14:paraId="3F74651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7E51F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2C442B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74FCD47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739F5A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〔A2.2-5〕持续推进伊犁河、额尔齐斯河、额敏河、玛纳斯河、乌</w:t>
            </w:r>
            <w:r>
              <w:rPr>
                <w:rFonts w:hint="default" w:ascii="Times New Roman" w:hAnsi="Times New Roman" w:eastAsia="宋体" w:cs="Times New Roman"/>
                <w:color w:val="auto"/>
                <w:sz w:val="21"/>
                <w:szCs w:val="21"/>
                <w:highlight w:val="none"/>
              </w:rPr>
              <w:t>伦古湖、博斯腾湖等流域生态治理，加强生态修复。推动重点行业、重点企业绿色发展，严格落实水污染物排放标准。加强农副食品加</w:t>
            </w:r>
            <w:r>
              <w:rPr>
                <w:rFonts w:hint="default" w:ascii="Times New Roman" w:hAnsi="Times New Roman" w:eastAsia="宋体" w:cs="Times New Roman"/>
                <w:color w:val="auto"/>
                <w:spacing w:val="-2"/>
                <w:sz w:val="21"/>
                <w:szCs w:val="21"/>
                <w:highlight w:val="none"/>
              </w:rPr>
              <w:t>工、化工、印染、棉浆粕、粘胶纤维等企业综合治理和清洁化改造。</w:t>
            </w:r>
          </w:p>
        </w:tc>
        <w:tc>
          <w:tcPr>
            <w:tcW w:w="591" w:type="pct"/>
            <w:vMerge w:val="continue"/>
            <w:noWrap w:val="0"/>
            <w:vAlign w:val="center"/>
          </w:tcPr>
          <w:p w14:paraId="421C90DA">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7E1F0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B6F0D9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56E2AAF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913886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〔A2.2-6〕推进地表水与地下水协同防治。以傍河型地下水饮用</w:t>
            </w:r>
            <w:r>
              <w:rPr>
                <w:rFonts w:hint="default" w:ascii="Times New Roman" w:hAnsi="Times New Roman" w:eastAsia="宋体" w:cs="Times New Roman"/>
                <w:color w:val="auto"/>
                <w:sz w:val="21"/>
                <w:szCs w:val="21"/>
                <w:highlight w:val="none"/>
              </w:rPr>
              <w:t>水源为重点，防范受污染河段侧渗和垂直补给对地下水污染。加强化学品生产企业、工业聚集区、矿山开采区等污染源的地表、地下协同防治与环境风险管控。加强工业污染防治。推动重点行业、重</w:t>
            </w:r>
            <w:r>
              <w:rPr>
                <w:rFonts w:hint="default" w:ascii="Times New Roman" w:hAnsi="Times New Roman" w:eastAsia="宋体" w:cs="Times New Roman"/>
                <w:b w:val="0"/>
                <w:bCs w:val="0"/>
                <w:color w:val="auto"/>
                <w:sz w:val="21"/>
                <w:szCs w:val="21"/>
                <w:highlight w:val="none"/>
              </w:rPr>
              <w:t>点企业绿色发展，严格落实水污染物排放标准和排污许可制度。加强农副食品加工、化工、印染、棉浆粕、粘胶纤维、制糖等企业综</w:t>
            </w:r>
            <w:r>
              <w:rPr>
                <w:rFonts w:hint="default" w:ascii="Times New Roman" w:hAnsi="Times New Roman" w:eastAsia="宋体" w:cs="Times New Roman"/>
                <w:b w:val="0"/>
                <w:bCs w:val="0"/>
                <w:color w:val="auto"/>
                <w:spacing w:val="-1"/>
                <w:sz w:val="21"/>
                <w:szCs w:val="21"/>
                <w:highlight w:val="none"/>
              </w:rPr>
              <w:t>合治理和清洁化改造。支持企业积极实施节水技术改造，加强工业</w:t>
            </w:r>
            <w:r>
              <w:rPr>
                <w:rFonts w:hint="default" w:ascii="Times New Roman" w:hAnsi="Times New Roman" w:eastAsia="宋体" w:cs="Times New Roman"/>
                <w:b w:val="0"/>
                <w:bCs w:val="0"/>
                <w:color w:val="auto"/>
                <w:sz w:val="21"/>
                <w:szCs w:val="21"/>
                <w:highlight w:val="none"/>
              </w:rPr>
              <w:t>园区污水集中处理设施运行管理，加快再生水回用设施建设，提升园区水资源循环利用水平。</w:t>
            </w:r>
          </w:p>
        </w:tc>
        <w:tc>
          <w:tcPr>
            <w:tcW w:w="591" w:type="pct"/>
            <w:vMerge w:val="continue"/>
            <w:noWrap w:val="0"/>
            <w:vAlign w:val="center"/>
          </w:tcPr>
          <w:p w14:paraId="05D3456F">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2D991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D892F6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10DA5E7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162E255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1"/>
                <w:sz w:val="21"/>
                <w:szCs w:val="21"/>
                <w:highlight w:val="none"/>
              </w:rPr>
              <w:t>〔A2.2-7〕强化重点区域地下水环境风险管控，对化学品生产企业</w:t>
            </w:r>
            <w:r>
              <w:rPr>
                <w:rFonts w:hint="default" w:ascii="Times New Roman" w:hAnsi="Times New Roman" w:eastAsia="宋体" w:cs="Times New Roman"/>
                <w:b w:val="0"/>
                <w:bCs w:val="0"/>
                <w:color w:val="auto"/>
                <w:spacing w:val="-1"/>
                <w:sz w:val="21"/>
                <w:szCs w:val="21"/>
                <w:highlight w:val="none"/>
                <w:lang w:eastAsia="zh-CN"/>
              </w:rPr>
              <w:t>、</w:t>
            </w:r>
            <w:r>
              <w:rPr>
                <w:rFonts w:hint="default" w:ascii="Times New Roman" w:hAnsi="Times New Roman" w:eastAsia="宋体" w:cs="Times New Roman"/>
                <w:b w:val="0"/>
                <w:bCs w:val="0"/>
                <w:color w:val="auto"/>
                <w:spacing w:val="-3"/>
                <w:sz w:val="21"/>
                <w:szCs w:val="21"/>
                <w:highlight w:val="none"/>
              </w:rPr>
              <w:t>工业集聚区、尾矿库、矿山开采区、危险废物处置场、</w:t>
            </w:r>
            <w:r>
              <w:rPr>
                <w:rFonts w:hint="default" w:ascii="Times New Roman" w:hAnsi="Times New Roman" w:eastAsia="宋体" w:cs="Times New Roman"/>
                <w:b w:val="0"/>
                <w:bCs w:val="0"/>
                <w:color w:val="auto"/>
                <w:spacing w:val="-4"/>
                <w:sz w:val="21"/>
                <w:szCs w:val="21"/>
                <w:highlight w:val="none"/>
              </w:rPr>
              <w:t>垃圾填埋场等地下水污染源及周边区域，逐步开展地下水环境状况调查评估，</w:t>
            </w:r>
            <w:r>
              <w:rPr>
                <w:rFonts w:hint="default" w:ascii="Times New Roman" w:hAnsi="Times New Roman" w:eastAsia="宋体" w:cs="Times New Roman"/>
                <w:b w:val="0"/>
                <w:bCs w:val="0"/>
                <w:color w:val="auto"/>
                <w:sz w:val="21"/>
                <w:szCs w:val="21"/>
                <w:highlight w:val="none"/>
              </w:rPr>
              <w:t>加强风险管控。</w:t>
            </w:r>
          </w:p>
        </w:tc>
        <w:tc>
          <w:tcPr>
            <w:tcW w:w="591" w:type="pct"/>
            <w:vMerge w:val="continue"/>
            <w:noWrap w:val="0"/>
            <w:vAlign w:val="center"/>
          </w:tcPr>
          <w:p w14:paraId="574E665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7667E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18F6BD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62C716F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0F1822B">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〔A2.2-8〕严控土壤重金属污染，加强油</w:t>
            </w:r>
            <w:r>
              <w:rPr>
                <w:rFonts w:hint="default" w:ascii="Times New Roman" w:hAnsi="Times New Roman"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气</w:t>
            </w:r>
            <w:r>
              <w:rPr>
                <w:rFonts w:hint="default" w:ascii="Times New Roman" w:hAnsi="Times New Roman"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pacing w:val="4"/>
                <w:sz w:val="21"/>
                <w:szCs w:val="21"/>
                <w:highlight w:val="none"/>
              </w:rPr>
              <w:t>田开发土壤污染防</w:t>
            </w:r>
            <w:r>
              <w:rPr>
                <w:rFonts w:hint="default" w:ascii="Times New Roman" w:hAnsi="Times New Roman" w:eastAsia="宋体" w:cs="Times New Roman"/>
                <w:b w:val="0"/>
                <w:bCs w:val="0"/>
                <w:color w:val="auto"/>
                <w:sz w:val="21"/>
                <w:szCs w:val="21"/>
                <w:highlight w:val="none"/>
              </w:rPr>
              <w:t>治，以历史遗留工业企业污染场地为重点，开展土壤污染风险管控与修复工程。</w:t>
            </w:r>
          </w:p>
        </w:tc>
        <w:tc>
          <w:tcPr>
            <w:tcW w:w="591" w:type="pct"/>
            <w:vMerge w:val="continue"/>
            <w:noWrap w:val="0"/>
            <w:vAlign w:val="center"/>
          </w:tcPr>
          <w:p w14:paraId="3C53F6F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08DEA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EB77CE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490E0DD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484C831B">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〔A2.2-9〕加强种植业污染防治。深入推进化肥农药减量增效，全</w:t>
            </w:r>
            <w:r>
              <w:rPr>
                <w:rFonts w:hint="default" w:ascii="Times New Roman" w:hAnsi="Times New Roman" w:eastAsia="宋体" w:cs="Times New Roman"/>
                <w:b w:val="0"/>
                <w:bCs w:val="0"/>
                <w:color w:val="auto"/>
                <w:sz w:val="21"/>
                <w:szCs w:val="21"/>
                <w:highlight w:val="none"/>
              </w:rPr>
              <w:t>面推广测土配方施肥，引导推动有机肥、绿肥替代化肥，集成推广</w:t>
            </w:r>
            <w:r>
              <w:rPr>
                <w:rFonts w:hint="default" w:ascii="Times New Roman" w:hAnsi="Times New Roman" w:eastAsia="宋体" w:cs="Times New Roman"/>
                <w:b w:val="0"/>
                <w:bCs w:val="0"/>
                <w:color w:val="auto"/>
                <w:spacing w:val="-1"/>
                <w:sz w:val="21"/>
                <w:szCs w:val="21"/>
                <w:highlight w:val="none"/>
              </w:rPr>
              <w:t>化肥减量增效技术模式，加强农药包装废弃物管理。实施农膜回收</w:t>
            </w:r>
            <w:r>
              <w:rPr>
                <w:rFonts w:hint="default" w:ascii="Times New Roman" w:hAnsi="Times New Roman" w:eastAsia="宋体" w:cs="Times New Roman"/>
                <w:b w:val="0"/>
                <w:bCs w:val="0"/>
                <w:color w:val="auto"/>
                <w:sz w:val="21"/>
                <w:szCs w:val="21"/>
                <w:highlight w:val="none"/>
              </w:rPr>
              <w:t>行动，健全农田废旧地膜回收利用体系，提高废旧地膜回收率。推进农作物秸秆综合利用，不断完善秸秆收储运</w:t>
            </w:r>
            <w:r>
              <w:rPr>
                <w:rFonts w:hint="default" w:ascii="Times New Roman" w:hAnsi="Times New Roman" w:eastAsia="宋体" w:cs="Times New Roman"/>
                <w:b w:val="0"/>
                <w:bCs w:val="0"/>
                <w:color w:val="auto"/>
                <w:spacing w:val="-1"/>
                <w:sz w:val="21"/>
                <w:szCs w:val="21"/>
                <w:highlight w:val="none"/>
              </w:rPr>
              <w:t>用体系，形成布局合</w:t>
            </w:r>
            <w:r>
              <w:rPr>
                <w:rFonts w:hint="default" w:ascii="Times New Roman" w:hAnsi="Times New Roman" w:eastAsia="宋体" w:cs="Times New Roman"/>
                <w:b w:val="0"/>
                <w:bCs w:val="0"/>
                <w:color w:val="auto"/>
                <w:sz w:val="21"/>
                <w:szCs w:val="21"/>
                <w:highlight w:val="none"/>
              </w:rPr>
              <w:t>理、多元利用的秸秆综合利用格局。</w:t>
            </w:r>
          </w:p>
        </w:tc>
        <w:tc>
          <w:tcPr>
            <w:tcW w:w="591" w:type="pct"/>
            <w:vMerge w:val="continue"/>
            <w:noWrap w:val="0"/>
            <w:vAlign w:val="center"/>
          </w:tcPr>
          <w:p w14:paraId="2B8071C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19245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439C2E02">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1"/>
                <w:sz w:val="21"/>
                <w:szCs w:val="21"/>
                <w:highlight w:val="none"/>
              </w:rPr>
              <w:t>A3环</w:t>
            </w:r>
            <w:r>
              <w:rPr>
                <w:rFonts w:hint="default" w:ascii="Times New Roman" w:hAnsi="Times New Roman" w:eastAsia="宋体" w:cs="Times New Roman"/>
                <w:b w:val="0"/>
                <w:bCs w:val="0"/>
                <w:color w:val="auto"/>
                <w:spacing w:val="5"/>
                <w:sz w:val="21"/>
                <w:szCs w:val="21"/>
                <w:highlight w:val="none"/>
              </w:rPr>
              <w:t>境风</w:t>
            </w:r>
            <w:r>
              <w:rPr>
                <w:rFonts w:hint="default" w:ascii="Times New Roman" w:hAnsi="Times New Roman" w:eastAsia="宋体" w:cs="Times New Roman"/>
                <w:b w:val="0"/>
                <w:bCs w:val="0"/>
                <w:color w:val="auto"/>
                <w:spacing w:val="6"/>
                <w:sz w:val="21"/>
                <w:szCs w:val="21"/>
                <w:highlight w:val="none"/>
              </w:rPr>
              <w:t>险防</w:t>
            </w:r>
            <w:r>
              <w:rPr>
                <w:rFonts w:hint="default" w:ascii="Times New Roman" w:hAnsi="Times New Roman" w:eastAsia="宋体" w:cs="Times New Roman"/>
                <w:b w:val="0"/>
                <w:bCs w:val="0"/>
                <w:color w:val="auto"/>
                <w:sz w:val="21"/>
                <w:szCs w:val="21"/>
                <w:highlight w:val="none"/>
              </w:rPr>
              <w:t>控</w:t>
            </w:r>
          </w:p>
        </w:tc>
        <w:tc>
          <w:tcPr>
            <w:tcW w:w="494" w:type="pct"/>
            <w:vMerge w:val="restart"/>
            <w:noWrap w:val="0"/>
            <w:vAlign w:val="center"/>
          </w:tcPr>
          <w:p w14:paraId="1161601D">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3"/>
                <w:sz w:val="21"/>
                <w:szCs w:val="21"/>
                <w:highlight w:val="none"/>
              </w:rPr>
              <w:t>A3.1人居环境</w:t>
            </w:r>
            <w:r>
              <w:rPr>
                <w:rFonts w:hint="default" w:ascii="Times New Roman" w:hAnsi="Times New Roman" w:eastAsia="宋体" w:cs="Times New Roman"/>
                <w:b w:val="0"/>
                <w:bCs w:val="0"/>
                <w:color w:val="auto"/>
                <w:spacing w:val="5"/>
                <w:sz w:val="21"/>
                <w:szCs w:val="21"/>
                <w:highlight w:val="none"/>
              </w:rPr>
              <w:t>要求</w:t>
            </w:r>
          </w:p>
        </w:tc>
        <w:tc>
          <w:tcPr>
            <w:tcW w:w="3517" w:type="pct"/>
            <w:noWrap w:val="0"/>
            <w:vAlign w:val="center"/>
          </w:tcPr>
          <w:p w14:paraId="7E2F12FA">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〔A3.1-1〕建立和完善重污染天气兵地联合</w:t>
            </w:r>
            <w:r>
              <w:rPr>
                <w:rFonts w:hint="default" w:ascii="Times New Roman" w:hAnsi="Times New Roman" w:eastAsia="宋体" w:cs="Times New Roman"/>
                <w:b w:val="0"/>
                <w:bCs w:val="0"/>
                <w:color w:val="auto"/>
                <w:spacing w:val="3"/>
                <w:sz w:val="21"/>
                <w:szCs w:val="21"/>
                <w:highlight w:val="none"/>
              </w:rPr>
              <w:t>应急预案、预报预警应</w:t>
            </w:r>
            <w:r>
              <w:rPr>
                <w:rFonts w:hint="default" w:ascii="Times New Roman" w:hAnsi="Times New Roman" w:eastAsia="宋体" w:cs="Times New Roman"/>
                <w:b w:val="0"/>
                <w:bCs w:val="0"/>
                <w:color w:val="auto"/>
                <w:spacing w:val="-2"/>
                <w:sz w:val="21"/>
                <w:szCs w:val="21"/>
                <w:highlight w:val="none"/>
              </w:rPr>
              <w:t>急机制和会商联动机制。“乌</w:t>
            </w:r>
            <w:r>
              <w:rPr>
                <w:rFonts w:hint="default" w:ascii="Times New Roman" w:hAnsi="Times New Roman" w:eastAsia="宋体" w:cs="Times New Roman"/>
                <w:b w:val="0"/>
                <w:bCs w:val="0"/>
                <w:color w:val="auto"/>
                <w:spacing w:val="-2"/>
                <w:sz w:val="21"/>
                <w:szCs w:val="21"/>
                <w:highlight w:val="none"/>
                <w:lang w:val="en-US" w:eastAsia="zh-CN"/>
              </w:rPr>
              <w:t>-</w:t>
            </w:r>
            <w:r>
              <w:rPr>
                <w:rFonts w:hint="default" w:ascii="Times New Roman" w:hAnsi="Times New Roman" w:eastAsia="宋体" w:cs="Times New Roman"/>
                <w:b w:val="0"/>
                <w:bCs w:val="0"/>
                <w:color w:val="auto"/>
                <w:spacing w:val="-2"/>
                <w:sz w:val="21"/>
                <w:szCs w:val="21"/>
                <w:highlight w:val="none"/>
              </w:rPr>
              <w:t>昌</w:t>
            </w:r>
            <w:r>
              <w:rPr>
                <w:rFonts w:hint="default" w:ascii="Times New Roman" w:hAnsi="Times New Roman" w:eastAsia="宋体" w:cs="Times New Roman"/>
                <w:b w:val="0"/>
                <w:bCs w:val="0"/>
                <w:color w:val="auto"/>
                <w:spacing w:val="-2"/>
                <w:sz w:val="21"/>
                <w:szCs w:val="21"/>
                <w:highlight w:val="none"/>
                <w:lang w:val="en-US" w:eastAsia="zh-CN"/>
              </w:rPr>
              <w:t>-</w:t>
            </w:r>
            <w:r>
              <w:rPr>
                <w:rFonts w:hint="default" w:ascii="Times New Roman" w:hAnsi="Times New Roman" w:eastAsia="宋体" w:cs="Times New Roman"/>
                <w:b w:val="0"/>
                <w:bCs w:val="0"/>
                <w:color w:val="auto"/>
                <w:spacing w:val="-2"/>
                <w:sz w:val="21"/>
                <w:szCs w:val="21"/>
                <w:highlight w:val="none"/>
              </w:rPr>
              <w:t>石”区域内可能影响相邻行政区</w:t>
            </w:r>
            <w:r>
              <w:rPr>
                <w:rFonts w:hint="default" w:ascii="Times New Roman" w:hAnsi="Times New Roman" w:eastAsia="宋体" w:cs="Times New Roman"/>
                <w:b w:val="0"/>
                <w:bCs w:val="0"/>
                <w:color w:val="auto"/>
                <w:spacing w:val="-1"/>
                <w:sz w:val="21"/>
                <w:szCs w:val="21"/>
                <w:highlight w:val="none"/>
              </w:rPr>
              <w:t>域大气环境的项目，兵地间、城市间必须相互征求意见。</w:t>
            </w:r>
          </w:p>
        </w:tc>
        <w:tc>
          <w:tcPr>
            <w:tcW w:w="591" w:type="pct"/>
            <w:vMerge w:val="restart"/>
            <w:noWrap w:val="0"/>
            <w:vAlign w:val="center"/>
          </w:tcPr>
          <w:p w14:paraId="0A41E5B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项目建设完成后，及时编写建设项目突发环境事件应急预案，并按照要求进行执行</w:t>
            </w:r>
          </w:p>
        </w:tc>
      </w:tr>
      <w:tr w14:paraId="382D3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BAFD2A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78C4CC7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58FA36B">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1"/>
                <w:sz w:val="21"/>
                <w:szCs w:val="21"/>
                <w:highlight w:val="none"/>
              </w:rPr>
              <w:t>〔A3.1-2〕对跨国境河流、涉及县级及以上集中式饮用水水源地的</w:t>
            </w:r>
            <w:r>
              <w:rPr>
                <w:rFonts w:hint="default" w:ascii="Times New Roman" w:hAnsi="Times New Roman" w:eastAsia="宋体" w:cs="Times New Roman"/>
                <w:b w:val="0"/>
                <w:bCs w:val="0"/>
                <w:color w:val="auto"/>
                <w:spacing w:val="-3"/>
                <w:sz w:val="21"/>
                <w:szCs w:val="21"/>
                <w:highlight w:val="none"/>
              </w:rPr>
              <w:t>河流、其他重要环境敏感目标的河流，建立健全</w:t>
            </w:r>
            <w:r>
              <w:rPr>
                <w:rFonts w:hint="default" w:ascii="Times New Roman" w:hAnsi="Times New Roman" w:eastAsia="宋体" w:cs="Times New Roman"/>
                <w:b w:val="0"/>
                <w:bCs w:val="0"/>
                <w:color w:val="auto"/>
                <w:spacing w:val="-4"/>
                <w:sz w:val="21"/>
                <w:szCs w:val="21"/>
                <w:highlight w:val="none"/>
              </w:rPr>
              <w:t>流域上下游突发水</w:t>
            </w:r>
            <w:r>
              <w:rPr>
                <w:rFonts w:hint="default" w:ascii="Times New Roman" w:hAnsi="Times New Roman" w:eastAsia="宋体" w:cs="Times New Roman"/>
                <w:b w:val="0"/>
                <w:bCs w:val="0"/>
                <w:color w:val="auto"/>
                <w:spacing w:val="-3"/>
                <w:sz w:val="21"/>
                <w:szCs w:val="21"/>
                <w:highlight w:val="none"/>
              </w:rPr>
              <w:t>污染事件</w:t>
            </w:r>
            <w:r>
              <w:rPr>
                <w:rFonts w:hint="default" w:ascii="Times New Roman" w:hAnsi="Times New Roman" w:cs="Times New Roman"/>
                <w:b w:val="0"/>
                <w:bCs w:val="0"/>
                <w:color w:val="auto"/>
                <w:spacing w:val="-3"/>
                <w:sz w:val="21"/>
                <w:szCs w:val="21"/>
                <w:highlight w:val="none"/>
                <w:lang w:eastAsia="zh-CN"/>
              </w:rPr>
              <w:t>联防联控机制</w:t>
            </w:r>
            <w:r>
              <w:rPr>
                <w:rFonts w:hint="default" w:ascii="Times New Roman" w:hAnsi="Times New Roman" w:eastAsia="宋体" w:cs="Times New Roman"/>
                <w:b w:val="0"/>
                <w:bCs w:val="0"/>
                <w:color w:val="auto"/>
                <w:spacing w:val="-3"/>
                <w:sz w:val="21"/>
                <w:szCs w:val="21"/>
                <w:highlight w:val="none"/>
              </w:rPr>
              <w:t>，建立流域环境应急基础信息动态更新长效</w:t>
            </w:r>
            <w:r>
              <w:rPr>
                <w:rFonts w:hint="default" w:ascii="Times New Roman" w:hAnsi="Times New Roman" w:eastAsia="宋体" w:cs="Times New Roman"/>
                <w:b w:val="0"/>
                <w:bCs w:val="0"/>
                <w:color w:val="auto"/>
                <w:spacing w:val="-5"/>
                <w:sz w:val="21"/>
                <w:szCs w:val="21"/>
                <w:highlight w:val="none"/>
              </w:rPr>
              <w:t>机制，绘制全流域“一河一策一图”。建立健全跨部门、跨区域的环</w:t>
            </w:r>
            <w:r>
              <w:rPr>
                <w:rFonts w:hint="default" w:ascii="Times New Roman" w:hAnsi="Times New Roman" w:eastAsia="宋体" w:cs="Times New Roman"/>
                <w:b w:val="0"/>
                <w:bCs w:val="0"/>
                <w:color w:val="auto"/>
                <w:spacing w:val="-3"/>
                <w:sz w:val="21"/>
                <w:szCs w:val="21"/>
                <w:highlight w:val="none"/>
              </w:rPr>
              <w:t>境应急协调联动处置机制，强化流域上下游、兵地各部门协调，实</w:t>
            </w:r>
            <w:r>
              <w:rPr>
                <w:rFonts w:hint="default" w:ascii="Times New Roman" w:hAnsi="Times New Roman" w:eastAsia="宋体" w:cs="Times New Roman"/>
                <w:b w:val="0"/>
                <w:bCs w:val="0"/>
                <w:color w:val="auto"/>
                <w:spacing w:val="1"/>
                <w:sz w:val="21"/>
                <w:szCs w:val="21"/>
                <w:highlight w:val="none"/>
              </w:rPr>
              <w:t>施联合监测、联合执法、应急联动、信息共享，形成“政府引导、</w:t>
            </w:r>
            <w:r>
              <w:rPr>
                <w:rFonts w:hint="default" w:ascii="Times New Roman" w:hAnsi="Times New Roman" w:eastAsia="宋体" w:cs="Times New Roman"/>
                <w:b w:val="0"/>
                <w:bCs w:val="0"/>
                <w:color w:val="auto"/>
                <w:spacing w:val="-3"/>
                <w:sz w:val="21"/>
                <w:szCs w:val="21"/>
                <w:highlight w:val="none"/>
              </w:rPr>
              <w:t>多元联动、社会参与、专业救援”的环境应急处置机制，持续开展应急综合演练，实现从被动应对到主动防控的</w:t>
            </w:r>
            <w:r>
              <w:rPr>
                <w:rFonts w:hint="default" w:ascii="Times New Roman" w:hAnsi="Times New Roman" w:eastAsia="宋体" w:cs="Times New Roman"/>
                <w:b w:val="0"/>
                <w:bCs w:val="0"/>
                <w:color w:val="auto"/>
                <w:spacing w:val="-4"/>
                <w:sz w:val="21"/>
                <w:szCs w:val="21"/>
                <w:highlight w:val="none"/>
              </w:rPr>
              <w:t>重大转变。加强流域</w:t>
            </w:r>
            <w:r>
              <w:rPr>
                <w:rFonts w:hint="default" w:ascii="Times New Roman" w:hAnsi="Times New Roman" w:eastAsia="宋体" w:cs="Times New Roman"/>
                <w:b w:val="0"/>
                <w:bCs w:val="0"/>
                <w:color w:val="auto"/>
                <w:spacing w:val="-1"/>
                <w:sz w:val="21"/>
                <w:szCs w:val="21"/>
                <w:highlight w:val="none"/>
              </w:rPr>
              <w:t>突发水环境事件应急能力建设，提升应急响</w:t>
            </w:r>
            <w:r>
              <w:rPr>
                <w:rFonts w:hint="default" w:ascii="Times New Roman" w:hAnsi="Times New Roman" w:eastAsia="宋体" w:cs="Times New Roman"/>
                <w:b w:val="0"/>
                <w:bCs w:val="0"/>
                <w:color w:val="auto"/>
                <w:spacing w:val="-2"/>
                <w:sz w:val="21"/>
                <w:szCs w:val="21"/>
                <w:highlight w:val="none"/>
              </w:rPr>
              <w:t>应水平，加强监测预警、</w:t>
            </w:r>
            <w:r>
              <w:rPr>
                <w:rFonts w:hint="default" w:ascii="Times New Roman" w:hAnsi="Times New Roman" w:eastAsia="宋体" w:cs="Times New Roman"/>
                <w:b w:val="0"/>
                <w:bCs w:val="0"/>
                <w:color w:val="auto"/>
                <w:spacing w:val="-3"/>
                <w:sz w:val="21"/>
                <w:szCs w:val="21"/>
                <w:highlight w:val="none"/>
              </w:rPr>
              <w:t>拦污控污、信息通报、协同处置、基础保障等工作，防范重大生态环境风险，坚决守住生态环境安全底线。</w:t>
            </w:r>
          </w:p>
        </w:tc>
        <w:tc>
          <w:tcPr>
            <w:tcW w:w="591" w:type="pct"/>
            <w:vMerge w:val="continue"/>
            <w:noWrap w:val="0"/>
            <w:vAlign w:val="center"/>
          </w:tcPr>
          <w:p w14:paraId="67DEE62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0D62A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51E7F3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5DEDE0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5364C602">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〔A3.1-3〕强化重污染天气监测预报预警能力，建立和完善重污染天气兵地联合应急预案、预警应急机制和会商联动机制，加强轻</w:t>
            </w:r>
            <w:r>
              <w:rPr>
                <w:rFonts w:hint="default" w:ascii="Times New Roman" w:hAnsi="Times New Roman" w:eastAsia="宋体" w:cs="Times New Roman"/>
                <w:b w:val="0"/>
                <w:bCs w:val="0"/>
                <w:color w:val="auto"/>
                <w:spacing w:val="4"/>
                <w:sz w:val="21"/>
                <w:szCs w:val="21"/>
                <w:highlight w:val="none"/>
                <w:lang w:eastAsia="zh-CN"/>
              </w:rPr>
              <w:t>、</w:t>
            </w:r>
            <w:r>
              <w:rPr>
                <w:rFonts w:hint="default" w:ascii="Times New Roman" w:hAnsi="Times New Roman" w:eastAsia="宋体" w:cs="Times New Roman"/>
                <w:b w:val="0"/>
                <w:bCs w:val="0"/>
                <w:color w:val="auto"/>
                <w:sz w:val="21"/>
                <w:szCs w:val="21"/>
                <w:highlight w:val="none"/>
              </w:rPr>
              <w:t>中度污染天气管控。</w:t>
            </w:r>
          </w:p>
        </w:tc>
        <w:tc>
          <w:tcPr>
            <w:tcW w:w="591" w:type="pct"/>
            <w:vMerge w:val="continue"/>
            <w:noWrap w:val="0"/>
            <w:vAlign w:val="center"/>
          </w:tcPr>
          <w:p w14:paraId="6602976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1777E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8C2BDF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restart"/>
            <w:noWrap w:val="0"/>
            <w:vAlign w:val="center"/>
          </w:tcPr>
          <w:p w14:paraId="547DA8A1">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1"/>
                <w:sz w:val="21"/>
                <w:szCs w:val="21"/>
                <w:highlight w:val="none"/>
              </w:rPr>
              <w:t>A3.2联</w:t>
            </w:r>
            <w:r>
              <w:rPr>
                <w:rFonts w:hint="default" w:ascii="Times New Roman" w:hAnsi="Times New Roman" w:eastAsia="宋体" w:cs="Times New Roman"/>
                <w:b w:val="0"/>
                <w:bCs w:val="0"/>
                <w:color w:val="auto"/>
                <w:spacing w:val="3"/>
                <w:sz w:val="21"/>
                <w:szCs w:val="21"/>
                <w:highlight w:val="none"/>
              </w:rPr>
              <w:t>防联控</w:t>
            </w:r>
            <w:r>
              <w:rPr>
                <w:rFonts w:hint="default" w:ascii="Times New Roman" w:hAnsi="Times New Roman" w:eastAsia="宋体" w:cs="Times New Roman"/>
                <w:b w:val="0"/>
                <w:bCs w:val="0"/>
                <w:color w:val="auto"/>
                <w:spacing w:val="5"/>
                <w:sz w:val="21"/>
                <w:szCs w:val="21"/>
                <w:highlight w:val="none"/>
              </w:rPr>
              <w:t>要求</w:t>
            </w:r>
          </w:p>
        </w:tc>
        <w:tc>
          <w:tcPr>
            <w:tcW w:w="3517" w:type="pct"/>
            <w:noWrap w:val="0"/>
            <w:vAlign w:val="center"/>
          </w:tcPr>
          <w:p w14:paraId="347BEA8E">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b w:val="0"/>
                <w:bCs w:val="0"/>
                <w:color w:val="auto"/>
                <w:spacing w:val="4"/>
                <w:sz w:val="21"/>
                <w:szCs w:val="21"/>
                <w:highlight w:val="none"/>
              </w:rPr>
              <w:t>〔A3.2-1〕提升饮用水安全保障水平。以县级及以上集中式饮用水</w:t>
            </w:r>
            <w:r>
              <w:rPr>
                <w:rFonts w:hint="default" w:ascii="Times New Roman" w:hAnsi="Times New Roman" w:eastAsia="宋体" w:cs="Times New Roman"/>
                <w:b w:val="0"/>
                <w:bCs w:val="0"/>
                <w:color w:val="auto"/>
                <w:spacing w:val="1"/>
                <w:sz w:val="21"/>
                <w:szCs w:val="21"/>
                <w:highlight w:val="none"/>
              </w:rPr>
              <w:t>水源地为重点，推进饮用水水源保护区规范化建设，统筹推进备用</w:t>
            </w:r>
            <w:r>
              <w:rPr>
                <w:rFonts w:hint="default" w:ascii="Times New Roman" w:hAnsi="Times New Roman" w:eastAsia="宋体" w:cs="Times New Roman"/>
                <w:b w:val="0"/>
                <w:bCs w:val="0"/>
                <w:color w:val="auto"/>
                <w:sz w:val="21"/>
                <w:szCs w:val="21"/>
                <w:highlight w:val="none"/>
              </w:rPr>
              <w:t>水源或应急水源建设。单一水源供水的重点城市于2025年底前基</w:t>
            </w:r>
            <w:r>
              <w:rPr>
                <w:rFonts w:hint="default" w:ascii="Times New Roman" w:hAnsi="Times New Roman" w:eastAsia="宋体" w:cs="Times New Roman"/>
                <w:color w:val="auto"/>
                <w:spacing w:val="1"/>
                <w:sz w:val="21"/>
                <w:szCs w:val="21"/>
                <w:highlight w:val="none"/>
              </w:rPr>
              <w:t>本完成备用水源或应急水源建设，有条件的地区开展兵地互为</w:t>
            </w:r>
            <w:r>
              <w:rPr>
                <w:rFonts w:hint="default" w:ascii="Times New Roman" w:hAnsi="Times New Roman" w:eastAsia="宋体" w:cs="Times New Roman"/>
                <w:color w:val="auto"/>
                <w:sz w:val="21"/>
                <w:szCs w:val="21"/>
                <w:highlight w:val="none"/>
              </w:rPr>
              <w:t>备用</w:t>
            </w:r>
            <w:r>
              <w:rPr>
                <w:rFonts w:hint="default" w:ascii="Times New Roman" w:hAnsi="Times New Roman" w:eastAsia="宋体" w:cs="Times New Roman"/>
                <w:color w:val="auto"/>
                <w:spacing w:val="-2"/>
                <w:sz w:val="21"/>
                <w:szCs w:val="21"/>
                <w:highlight w:val="none"/>
              </w:rPr>
              <w:t>水源建设。梯次推进农村集中式饮用水水源保护区划定，到2025年，</w:t>
            </w:r>
            <w:r>
              <w:rPr>
                <w:rFonts w:hint="default" w:ascii="Times New Roman" w:hAnsi="Times New Roman" w:eastAsia="宋体" w:cs="Times New Roman"/>
                <w:color w:val="auto"/>
                <w:sz w:val="21"/>
                <w:szCs w:val="21"/>
                <w:highlight w:val="none"/>
              </w:rPr>
              <w:t>完成乡镇级集中式饮用水水源保护区划定与勘界立标。开展“千吨万人”农村饮用水水源保护区环境风险排查整治，加强农村水源水</w:t>
            </w:r>
            <w:r>
              <w:rPr>
                <w:rFonts w:hint="default" w:ascii="Times New Roman" w:hAnsi="Times New Roman" w:eastAsia="宋体" w:cs="Times New Roman"/>
                <w:color w:val="auto"/>
                <w:spacing w:val="-1"/>
                <w:sz w:val="21"/>
                <w:szCs w:val="21"/>
                <w:highlight w:val="none"/>
              </w:rPr>
              <w:t>质监测，依法清理饮用水水源保护区内违法建筑和排污口，实施从</w:t>
            </w:r>
            <w:r>
              <w:rPr>
                <w:rFonts w:hint="default" w:ascii="Times New Roman" w:hAnsi="Times New Roman" w:eastAsia="宋体" w:cs="Times New Roman"/>
                <w:color w:val="auto"/>
                <w:sz w:val="21"/>
                <w:szCs w:val="21"/>
                <w:highlight w:val="none"/>
              </w:rPr>
              <w:t>水源到水龙头全过程监管。强化饮用水水源保护区环境应急管</w:t>
            </w:r>
            <w:r>
              <w:rPr>
                <w:rFonts w:hint="default" w:ascii="Times New Roman" w:hAnsi="Times New Roman" w:eastAsia="宋体" w:cs="Times New Roman"/>
                <w:color w:val="auto"/>
                <w:spacing w:val="-1"/>
                <w:sz w:val="21"/>
                <w:szCs w:val="21"/>
                <w:highlight w:val="none"/>
              </w:rPr>
              <w:t>理，</w:t>
            </w:r>
            <w:r>
              <w:rPr>
                <w:rFonts w:hint="default" w:ascii="Times New Roman" w:hAnsi="Times New Roman" w:eastAsia="宋体" w:cs="Times New Roman"/>
                <w:color w:val="auto"/>
                <w:sz w:val="21"/>
                <w:szCs w:val="21"/>
                <w:highlight w:val="none"/>
              </w:rPr>
              <w:t>完善重大突发环境事件的物资和技术储备。针对汇水区、补给区存</w:t>
            </w:r>
            <w:r>
              <w:rPr>
                <w:rFonts w:hint="default" w:ascii="Times New Roman" w:hAnsi="Times New Roman" w:eastAsia="宋体" w:cs="Times New Roman"/>
                <w:color w:val="auto"/>
                <w:spacing w:val="1"/>
                <w:sz w:val="21"/>
                <w:szCs w:val="21"/>
                <w:highlight w:val="none"/>
              </w:rPr>
              <w:t>在兵地跨界的，建立统一的饮用水水源应急和执法机制，共享应急</w:t>
            </w:r>
            <w:r>
              <w:rPr>
                <w:rFonts w:hint="default" w:ascii="Times New Roman" w:hAnsi="Times New Roman" w:eastAsia="宋体" w:cs="Times New Roman"/>
                <w:color w:val="auto"/>
                <w:spacing w:val="-1"/>
                <w:sz w:val="21"/>
                <w:szCs w:val="21"/>
                <w:highlight w:val="none"/>
              </w:rPr>
              <w:t>物资。</w:t>
            </w:r>
          </w:p>
        </w:tc>
        <w:tc>
          <w:tcPr>
            <w:tcW w:w="591" w:type="pct"/>
            <w:vMerge w:val="restart"/>
            <w:noWrap w:val="0"/>
            <w:vAlign w:val="center"/>
          </w:tcPr>
          <w:p w14:paraId="001CC75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项目建设完成后，及时编写建设项目突发环境事件应急预案，并按照要求进行执行</w:t>
            </w:r>
          </w:p>
        </w:tc>
      </w:tr>
      <w:tr w14:paraId="3D6DF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1B17DF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2C215A9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2C5B02E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〔A3.2-2〕依法推行农用地分类管理制度，强化受污染耕地安全利</w:t>
            </w:r>
            <w:r>
              <w:rPr>
                <w:rFonts w:hint="default" w:ascii="Times New Roman" w:hAnsi="Times New Roman" w:eastAsia="宋体" w:cs="Times New Roman"/>
                <w:color w:val="auto"/>
                <w:spacing w:val="1"/>
                <w:sz w:val="21"/>
                <w:szCs w:val="21"/>
                <w:highlight w:val="none"/>
              </w:rPr>
              <w:t>用和风险管控。因地制宜制定实施安全利用方案，</w:t>
            </w:r>
            <w:r>
              <w:rPr>
                <w:rFonts w:hint="default" w:ascii="Times New Roman" w:hAnsi="Times New Roman" w:eastAsia="宋体" w:cs="Times New Roman"/>
                <w:color w:val="auto"/>
                <w:sz w:val="21"/>
                <w:szCs w:val="21"/>
                <w:highlight w:val="none"/>
              </w:rPr>
              <w:t>鼓励采取种植结构调整等措施，确保受污染耕地全部实现安全利用。</w:t>
            </w:r>
          </w:p>
        </w:tc>
        <w:tc>
          <w:tcPr>
            <w:tcW w:w="591" w:type="pct"/>
            <w:vMerge w:val="continue"/>
            <w:noWrap w:val="0"/>
            <w:vAlign w:val="center"/>
          </w:tcPr>
          <w:p w14:paraId="588D861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5B514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9492C5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1E32BAA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38830322">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〔A3.2-3〕加强新污染物多环境介质协同治理。排放重点管控新污</w:t>
            </w:r>
            <w:r>
              <w:rPr>
                <w:rFonts w:hint="default" w:ascii="Times New Roman" w:hAnsi="Times New Roman" w:eastAsia="宋体" w:cs="Times New Roman"/>
                <w:color w:val="auto"/>
                <w:spacing w:val="2"/>
                <w:sz w:val="21"/>
                <w:szCs w:val="21"/>
                <w:highlight w:val="none"/>
              </w:rPr>
              <w:t>染物的企事业单位应采取污染控制措施，达到相</w:t>
            </w:r>
            <w:r>
              <w:rPr>
                <w:rFonts w:hint="default" w:ascii="Times New Roman" w:hAnsi="Times New Roman" w:eastAsia="宋体" w:cs="Times New Roman"/>
                <w:color w:val="auto"/>
                <w:spacing w:val="1"/>
                <w:sz w:val="21"/>
                <w:szCs w:val="21"/>
                <w:highlight w:val="none"/>
              </w:rPr>
              <w:t>关污染物排放标准</w:t>
            </w:r>
            <w:r>
              <w:rPr>
                <w:rFonts w:hint="default" w:ascii="Times New Roman" w:hAnsi="Times New Roman" w:eastAsia="宋体" w:cs="Times New Roman"/>
                <w:color w:val="auto"/>
                <w:spacing w:val="2"/>
                <w:sz w:val="21"/>
                <w:szCs w:val="21"/>
                <w:highlight w:val="none"/>
              </w:rPr>
              <w:t>及环境质量目标要求；按照排污许可管理有关要求</w:t>
            </w:r>
            <w:r>
              <w:rPr>
                <w:rFonts w:hint="default" w:ascii="Times New Roman" w:hAnsi="Times New Roman" w:eastAsia="宋体" w:cs="Times New Roman"/>
                <w:color w:val="auto"/>
                <w:spacing w:val="1"/>
                <w:sz w:val="21"/>
                <w:szCs w:val="21"/>
                <w:highlight w:val="none"/>
              </w:rPr>
              <w:t>，依法申领排污</w:t>
            </w:r>
            <w:r>
              <w:rPr>
                <w:rFonts w:hint="default" w:ascii="Times New Roman" w:hAnsi="Times New Roman" w:eastAsia="宋体" w:cs="Times New Roman"/>
                <w:color w:val="auto"/>
                <w:spacing w:val="2"/>
                <w:sz w:val="21"/>
                <w:szCs w:val="21"/>
                <w:highlight w:val="none"/>
              </w:rPr>
              <w:t>许可证或填写排污登记表，并在其中载明执行的</w:t>
            </w:r>
            <w:r>
              <w:rPr>
                <w:rFonts w:hint="default" w:ascii="Times New Roman" w:hAnsi="Times New Roman" w:eastAsia="宋体" w:cs="Times New Roman"/>
                <w:color w:val="auto"/>
                <w:spacing w:val="1"/>
                <w:sz w:val="21"/>
                <w:szCs w:val="21"/>
                <w:highlight w:val="none"/>
              </w:rPr>
              <w:t>污染控制标准要求及采取的污染控制措施。排放重点管控新污染物的企事业单位和其</w:t>
            </w:r>
            <w:r>
              <w:rPr>
                <w:rFonts w:hint="default" w:ascii="Times New Roman" w:hAnsi="Times New Roman" w:eastAsia="宋体" w:cs="Times New Roman"/>
                <w:color w:val="auto"/>
                <w:spacing w:val="-1"/>
                <w:sz w:val="21"/>
                <w:szCs w:val="21"/>
                <w:highlight w:val="none"/>
              </w:rPr>
              <w:t>他生产经营者应按照相关法律法规要求，对排放</w:t>
            </w:r>
            <w:r>
              <w:rPr>
                <w:rFonts w:hint="default"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污</w:t>
            </w:r>
            <w:r>
              <w:rPr>
                <w:rFonts w:hint="default"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口及其周边</w:t>
            </w:r>
            <w:r>
              <w:rPr>
                <w:rFonts w:hint="default" w:ascii="Times New Roman" w:hAnsi="Times New Roman" w:eastAsia="宋体" w:cs="Times New Roman"/>
                <w:color w:val="auto"/>
                <w:sz w:val="21"/>
                <w:szCs w:val="21"/>
                <w:highlight w:val="none"/>
              </w:rPr>
              <w:t>环境定期开展环境监测，评估环境风险，排查整治环境安全隐</w:t>
            </w:r>
            <w:r>
              <w:rPr>
                <w:rFonts w:hint="default" w:ascii="Times New Roman" w:hAnsi="Times New Roman" w:eastAsia="宋体" w:cs="Times New Roman"/>
                <w:color w:val="auto"/>
                <w:spacing w:val="-1"/>
                <w:sz w:val="21"/>
                <w:szCs w:val="21"/>
                <w:highlight w:val="none"/>
              </w:rPr>
              <w:t>患，依法公开新污染物信息，采取措施防范环境风险。土壤</w:t>
            </w:r>
            <w:r>
              <w:rPr>
                <w:rFonts w:hint="default" w:ascii="Times New Roman" w:hAnsi="Times New Roman" w:eastAsia="宋体" w:cs="Times New Roman"/>
                <w:color w:val="auto"/>
                <w:spacing w:val="-2"/>
                <w:sz w:val="21"/>
                <w:szCs w:val="21"/>
                <w:highlight w:val="none"/>
              </w:rPr>
              <w:t>污染重点监管单位应严格控制有毒有害物质排放，建立土壤污染隐患排查制度，</w:t>
            </w:r>
            <w:r>
              <w:rPr>
                <w:rFonts w:hint="default" w:ascii="Times New Roman" w:hAnsi="Times New Roman" w:eastAsia="宋体" w:cs="Times New Roman"/>
                <w:color w:val="auto"/>
                <w:sz w:val="21"/>
                <w:szCs w:val="21"/>
                <w:highlight w:val="none"/>
              </w:rPr>
              <w:t>防止有毒有害物质渗漏、流失、扬散。</w:t>
            </w:r>
          </w:p>
        </w:tc>
        <w:tc>
          <w:tcPr>
            <w:tcW w:w="591" w:type="pct"/>
            <w:vMerge w:val="continue"/>
            <w:noWrap w:val="0"/>
            <w:vAlign w:val="center"/>
          </w:tcPr>
          <w:p w14:paraId="031FD79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297BA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2DA533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3A58688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39FCA821">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〔A3.2-4〕加强环境风险预警防控。加强涉危险废物企业、涉重金</w:t>
            </w:r>
            <w:r>
              <w:rPr>
                <w:rFonts w:hint="default" w:ascii="Times New Roman" w:hAnsi="Times New Roman" w:eastAsia="宋体" w:cs="Times New Roman"/>
                <w:color w:val="auto"/>
                <w:spacing w:val="1"/>
                <w:sz w:val="21"/>
                <w:szCs w:val="21"/>
                <w:highlight w:val="none"/>
              </w:rPr>
              <w:t>属企业、化工园区、集中式饮用水水源地及重点流域环境风险调查</w:t>
            </w:r>
            <w:r>
              <w:rPr>
                <w:rFonts w:hint="default" w:ascii="Times New Roman" w:hAnsi="Times New Roman" w:eastAsia="宋体" w:cs="Times New Roman"/>
                <w:color w:val="auto"/>
                <w:sz w:val="21"/>
                <w:szCs w:val="21"/>
                <w:highlight w:val="none"/>
              </w:rPr>
              <w:t>评估，实施分类分级风险管控，协同推进重点区域、流域生态环境</w:t>
            </w:r>
            <w:r>
              <w:rPr>
                <w:rFonts w:hint="default" w:ascii="Times New Roman" w:hAnsi="Times New Roman" w:eastAsia="宋体" w:cs="Times New Roman"/>
                <w:color w:val="auto"/>
                <w:spacing w:val="-1"/>
                <w:sz w:val="21"/>
                <w:szCs w:val="21"/>
                <w:highlight w:val="none"/>
              </w:rPr>
              <w:t>污染综合防治、风险防控与生态修复。</w:t>
            </w:r>
          </w:p>
        </w:tc>
        <w:tc>
          <w:tcPr>
            <w:tcW w:w="591" w:type="pct"/>
            <w:vMerge w:val="continue"/>
            <w:noWrap w:val="0"/>
            <w:vAlign w:val="center"/>
          </w:tcPr>
          <w:p w14:paraId="142AFD8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338D0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AD96D9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47F732F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3E89D1C4">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〔A3.2-5〕强化生态环境应急管理。实施企业突发生态环境应急预</w:t>
            </w:r>
            <w:r>
              <w:rPr>
                <w:rFonts w:hint="default" w:ascii="Times New Roman" w:hAnsi="Times New Roman" w:eastAsia="宋体" w:cs="Times New Roman"/>
                <w:color w:val="auto"/>
                <w:spacing w:val="1"/>
                <w:sz w:val="21"/>
                <w:szCs w:val="21"/>
                <w:highlight w:val="none"/>
              </w:rPr>
              <w:t>案电子化备案，完成县级以上政府突发环境事件</w:t>
            </w:r>
            <w:r>
              <w:rPr>
                <w:rFonts w:hint="default" w:ascii="Times New Roman" w:hAnsi="Times New Roman" w:eastAsia="宋体" w:cs="Times New Roman"/>
                <w:color w:val="auto"/>
                <w:sz w:val="21"/>
                <w:szCs w:val="21"/>
                <w:highlight w:val="none"/>
              </w:rPr>
              <w:t>应急预案修编。完</w:t>
            </w:r>
            <w:r>
              <w:rPr>
                <w:rFonts w:hint="default" w:ascii="Times New Roman" w:hAnsi="Times New Roman" w:eastAsia="宋体" w:cs="Times New Roman"/>
                <w:color w:val="auto"/>
                <w:spacing w:val="1"/>
                <w:sz w:val="21"/>
                <w:szCs w:val="21"/>
                <w:highlight w:val="none"/>
              </w:rPr>
              <w:t>善区域和企业应急处置物资储备系统，结合新疆各地特征污染</w:t>
            </w:r>
            <w:r>
              <w:rPr>
                <w:rFonts w:hint="default" w:ascii="Times New Roman" w:hAnsi="Times New Roman" w:eastAsia="宋体" w:cs="Times New Roman"/>
                <w:color w:val="auto"/>
                <w:sz w:val="21"/>
                <w:szCs w:val="21"/>
                <w:highlight w:val="none"/>
              </w:rPr>
              <w:t>物的</w:t>
            </w:r>
            <w:r>
              <w:rPr>
                <w:rFonts w:hint="default" w:ascii="Times New Roman" w:hAnsi="Times New Roman" w:eastAsia="宋体" w:cs="Times New Roman"/>
                <w:color w:val="auto"/>
                <w:spacing w:val="1"/>
                <w:sz w:val="21"/>
                <w:szCs w:val="21"/>
                <w:highlight w:val="none"/>
              </w:rPr>
              <w:t>特性，加强应急物资储备及应急物资信息化建设</w:t>
            </w:r>
            <w:r>
              <w:rPr>
                <w:rFonts w:hint="default" w:ascii="Times New Roman" w:hAnsi="Times New Roman" w:eastAsia="宋体" w:cs="Times New Roman"/>
                <w:color w:val="auto"/>
                <w:sz w:val="21"/>
                <w:szCs w:val="21"/>
                <w:highlight w:val="none"/>
              </w:rPr>
              <w:t>，掌握社会应急物</w:t>
            </w:r>
            <w:r>
              <w:rPr>
                <w:rFonts w:hint="default" w:ascii="Times New Roman" w:hAnsi="Times New Roman" w:eastAsia="宋体" w:cs="Times New Roman"/>
                <w:color w:val="auto"/>
                <w:spacing w:val="1"/>
                <w:sz w:val="21"/>
                <w:szCs w:val="21"/>
                <w:highlight w:val="none"/>
              </w:rPr>
              <w:t>资储备动态信息，妥善应对各类突发生态环境事件。加强应急监测</w:t>
            </w:r>
            <w:r>
              <w:rPr>
                <w:rFonts w:hint="default" w:ascii="Times New Roman" w:hAnsi="Times New Roman" w:eastAsia="宋体" w:cs="Times New Roman"/>
                <w:color w:val="auto"/>
                <w:sz w:val="21"/>
                <w:szCs w:val="21"/>
                <w:highlight w:val="none"/>
              </w:rPr>
              <w:t>装备配置，定期开展应急演练，增强实战能</w:t>
            </w:r>
            <w:r>
              <w:rPr>
                <w:rFonts w:hint="default" w:ascii="Times New Roman" w:hAnsi="Times New Roman" w:eastAsia="宋体" w:cs="Times New Roman"/>
                <w:color w:val="auto"/>
                <w:spacing w:val="-1"/>
                <w:sz w:val="21"/>
                <w:szCs w:val="21"/>
                <w:highlight w:val="none"/>
              </w:rPr>
              <w:t>力。</w:t>
            </w:r>
          </w:p>
        </w:tc>
        <w:tc>
          <w:tcPr>
            <w:tcW w:w="591" w:type="pct"/>
            <w:vMerge w:val="continue"/>
            <w:noWrap w:val="0"/>
            <w:vAlign w:val="center"/>
          </w:tcPr>
          <w:p w14:paraId="4D60728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78FEA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F0FDCF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7A5BE0D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7A80E2F5">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〔A3.2-6〕强化兵地联防联控联治，</w:t>
            </w:r>
            <w:r>
              <w:rPr>
                <w:rFonts w:hint="default" w:ascii="Times New Roman" w:hAnsi="Times New Roman" w:eastAsia="宋体" w:cs="Times New Roman"/>
                <w:color w:val="auto"/>
                <w:spacing w:val="-2"/>
                <w:sz w:val="21"/>
                <w:szCs w:val="21"/>
                <w:highlight w:val="none"/>
              </w:rPr>
              <w:t>落实兵地统一规划、统一政策、</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3"/>
                <w:sz w:val="21"/>
                <w:szCs w:val="21"/>
                <w:highlight w:val="none"/>
              </w:rPr>
              <w:t>统一标准、统一要求、统一推进的防治管理措施，完善重大项目环境影响评价区域会商、重污染天气兵地联合应急联动机</w:t>
            </w:r>
            <w:r>
              <w:rPr>
                <w:rFonts w:hint="default" w:ascii="Times New Roman" w:hAnsi="Times New Roman" w:eastAsia="宋体" w:cs="Times New Roman"/>
                <w:color w:val="auto"/>
                <w:spacing w:val="-4"/>
                <w:sz w:val="21"/>
                <w:szCs w:val="21"/>
                <w:highlight w:val="none"/>
              </w:rPr>
              <w:t>制。建立兵地生态环境联合执法和联合监测长效机制。</w:t>
            </w:r>
          </w:p>
        </w:tc>
        <w:tc>
          <w:tcPr>
            <w:tcW w:w="591" w:type="pct"/>
            <w:vMerge w:val="continue"/>
            <w:noWrap w:val="0"/>
            <w:vAlign w:val="center"/>
          </w:tcPr>
          <w:p w14:paraId="2D1A6CA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123C0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7A2D9418">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color w:val="auto"/>
                <w:spacing w:val="-1"/>
                <w:sz w:val="21"/>
                <w:szCs w:val="21"/>
                <w:highlight w:val="none"/>
              </w:rPr>
              <w:t>A4资</w:t>
            </w:r>
            <w:r>
              <w:rPr>
                <w:rFonts w:hint="default" w:ascii="Times New Roman" w:hAnsi="Times New Roman" w:eastAsia="宋体" w:cs="Times New Roman"/>
                <w:color w:val="auto"/>
                <w:spacing w:val="8"/>
                <w:sz w:val="21"/>
                <w:szCs w:val="21"/>
                <w:highlight w:val="none"/>
              </w:rPr>
              <w:t>源利</w:t>
            </w:r>
            <w:r>
              <w:rPr>
                <w:rFonts w:hint="default" w:ascii="Times New Roman" w:hAnsi="Times New Roman" w:eastAsia="宋体" w:cs="Times New Roman"/>
                <w:color w:val="auto"/>
                <w:spacing w:val="6"/>
                <w:sz w:val="21"/>
                <w:szCs w:val="21"/>
                <w:highlight w:val="none"/>
              </w:rPr>
              <w:t>用要</w:t>
            </w:r>
            <w:r>
              <w:rPr>
                <w:rFonts w:hint="default" w:ascii="Times New Roman" w:hAnsi="Times New Roman" w:eastAsia="宋体" w:cs="Times New Roman"/>
                <w:color w:val="auto"/>
                <w:sz w:val="21"/>
                <w:szCs w:val="21"/>
                <w:highlight w:val="none"/>
              </w:rPr>
              <w:t>求</w:t>
            </w:r>
          </w:p>
        </w:tc>
        <w:tc>
          <w:tcPr>
            <w:tcW w:w="494" w:type="pct"/>
            <w:vMerge w:val="restart"/>
            <w:noWrap w:val="0"/>
            <w:vAlign w:val="center"/>
          </w:tcPr>
          <w:p w14:paraId="6C22429A">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A4.1水</w:t>
            </w:r>
          </w:p>
          <w:p w14:paraId="24740D29">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资源</w:t>
            </w:r>
          </w:p>
        </w:tc>
        <w:tc>
          <w:tcPr>
            <w:tcW w:w="3517" w:type="pct"/>
            <w:noWrap w:val="0"/>
            <w:vAlign w:val="center"/>
          </w:tcPr>
          <w:p w14:paraId="6B03006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〔A4.1-1〕自治区用水总量2025年、2030年控制在国家下达的</w:t>
            </w:r>
            <w:r>
              <w:rPr>
                <w:rFonts w:hint="default" w:ascii="Times New Roman" w:hAnsi="Times New Roman" w:eastAsia="宋体" w:cs="Times New Roman"/>
                <w:color w:val="auto"/>
                <w:sz w:val="21"/>
                <w:szCs w:val="21"/>
                <w:highlight w:val="none"/>
              </w:rPr>
              <w:t>指标内。</w:t>
            </w:r>
          </w:p>
        </w:tc>
        <w:tc>
          <w:tcPr>
            <w:tcW w:w="591" w:type="pct"/>
            <w:vMerge w:val="restart"/>
            <w:noWrap w:val="0"/>
            <w:vAlign w:val="center"/>
          </w:tcPr>
          <w:p w14:paraId="3F72E93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项目选址于</w:t>
            </w:r>
            <w:r>
              <w:rPr>
                <w:rFonts w:hint="default" w:ascii="Times New Roman" w:hAnsi="Times New Roman" w:cs="Times New Roman"/>
                <w:b w:val="0"/>
                <w:bCs w:val="0"/>
                <w:color w:val="auto"/>
                <w:spacing w:val="-6"/>
                <w:sz w:val="21"/>
                <w:szCs w:val="21"/>
                <w:highlight w:val="none"/>
                <w:lang w:val="en-US" w:eastAsia="zh-CN"/>
              </w:rPr>
              <w:t>阿勒泰地区富蕴县</w:t>
            </w:r>
            <w:r>
              <w:rPr>
                <w:rFonts w:hint="default" w:ascii="Times New Roman" w:hAnsi="Times New Roman" w:eastAsia="宋体" w:cs="Times New Roman"/>
                <w:b w:val="0"/>
                <w:bCs w:val="0"/>
                <w:color w:val="auto"/>
                <w:spacing w:val="-6"/>
                <w:sz w:val="21"/>
                <w:szCs w:val="21"/>
                <w:highlight w:val="none"/>
                <w:lang w:val="en-US" w:eastAsia="zh-CN"/>
              </w:rPr>
              <w:t>，不涉及上述所列区域</w:t>
            </w:r>
          </w:p>
        </w:tc>
      </w:tr>
      <w:tr w14:paraId="78811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DE4528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B75A2E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1532A7ED">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〔A4.1-2〕加大城镇污水再生利用工程建设力度，推进区域再生水</w:t>
            </w:r>
            <w:r>
              <w:rPr>
                <w:rFonts w:hint="default" w:ascii="Times New Roman" w:hAnsi="Times New Roman" w:eastAsia="宋体" w:cs="Times New Roman"/>
                <w:color w:val="auto"/>
                <w:sz w:val="21"/>
                <w:szCs w:val="21"/>
                <w:highlight w:val="none"/>
              </w:rPr>
              <w:t>循环利用，到2025年，城市生活污水再生利用率力争达到60%。</w:t>
            </w:r>
          </w:p>
          <w:p w14:paraId="11A57BD3">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〔A4.1-3〕加强农村水利基础设施建设，推进农村供水保障工程</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z w:val="21"/>
                <w:szCs w:val="21"/>
                <w:highlight w:val="none"/>
              </w:rPr>
              <w:t>农村自来水普及率、集中供水率分别达到99.</w:t>
            </w:r>
            <w:r>
              <w:rPr>
                <w:rFonts w:hint="default" w:ascii="Times New Roman" w:hAnsi="Times New Roman" w:eastAsia="宋体" w:cs="Times New Roman"/>
                <w:color w:val="auto"/>
                <w:spacing w:val="-1"/>
                <w:sz w:val="21"/>
                <w:szCs w:val="21"/>
                <w:highlight w:val="none"/>
              </w:rPr>
              <w:t>3%、99.7%。</w:t>
            </w:r>
          </w:p>
        </w:tc>
        <w:tc>
          <w:tcPr>
            <w:tcW w:w="591" w:type="pct"/>
            <w:vMerge w:val="continue"/>
            <w:noWrap w:val="0"/>
            <w:vAlign w:val="center"/>
          </w:tcPr>
          <w:p w14:paraId="36902B5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588D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D81599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796A0EE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4523651A">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〔A4.1-4〕地下水资源利用实行总量控制和水位控制。取用地下水</w:t>
            </w:r>
            <w:r>
              <w:rPr>
                <w:rFonts w:hint="default" w:ascii="Times New Roman" w:hAnsi="Times New Roman" w:eastAsia="宋体" w:cs="Times New Roman"/>
                <w:color w:val="auto"/>
                <w:spacing w:val="1"/>
                <w:sz w:val="21"/>
                <w:szCs w:val="21"/>
                <w:highlight w:val="none"/>
              </w:rPr>
              <w:t>资源，应当按照国家和自治区有关规定申请取水许可。地下水利用</w:t>
            </w:r>
            <w:r>
              <w:rPr>
                <w:rFonts w:hint="default" w:ascii="Times New Roman" w:hAnsi="Times New Roman" w:eastAsia="宋体" w:cs="Times New Roman"/>
                <w:color w:val="auto"/>
                <w:sz w:val="21"/>
                <w:szCs w:val="21"/>
                <w:highlight w:val="none"/>
              </w:rPr>
              <w:t>应当以浅层地下水为主。</w:t>
            </w:r>
          </w:p>
        </w:tc>
        <w:tc>
          <w:tcPr>
            <w:tcW w:w="591" w:type="pct"/>
            <w:vMerge w:val="continue"/>
            <w:noWrap w:val="0"/>
            <w:vAlign w:val="center"/>
          </w:tcPr>
          <w:p w14:paraId="063B21D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7AA8F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69EA25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noWrap w:val="0"/>
            <w:vAlign w:val="center"/>
          </w:tcPr>
          <w:p w14:paraId="016030E9">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A4.2土</w:t>
            </w:r>
            <w:r>
              <w:rPr>
                <w:rFonts w:hint="default" w:ascii="Times New Roman" w:hAnsi="Times New Roman" w:eastAsia="宋体" w:cs="Times New Roman"/>
                <w:color w:val="auto"/>
                <w:spacing w:val="-3"/>
                <w:sz w:val="21"/>
                <w:szCs w:val="21"/>
                <w:highlight w:val="none"/>
              </w:rPr>
              <w:t>地资源</w:t>
            </w:r>
          </w:p>
        </w:tc>
        <w:tc>
          <w:tcPr>
            <w:tcW w:w="3517" w:type="pct"/>
            <w:noWrap w:val="0"/>
            <w:vAlign w:val="center"/>
          </w:tcPr>
          <w:p w14:paraId="05A06653">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〔A4.2-1〕土地资源上线指标控制在最终批复的国土空间规划控制</w:t>
            </w:r>
            <w:r>
              <w:rPr>
                <w:rFonts w:hint="default" w:ascii="Times New Roman" w:hAnsi="Times New Roman" w:eastAsia="宋体" w:cs="Times New Roman"/>
                <w:color w:val="auto"/>
                <w:sz w:val="21"/>
                <w:szCs w:val="21"/>
                <w:highlight w:val="none"/>
              </w:rPr>
              <w:t>指标内。</w:t>
            </w:r>
          </w:p>
        </w:tc>
        <w:tc>
          <w:tcPr>
            <w:tcW w:w="591" w:type="pct"/>
            <w:noWrap w:val="0"/>
            <w:vAlign w:val="center"/>
          </w:tcPr>
          <w:p w14:paraId="2E1FBD0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w:t>
            </w:r>
          </w:p>
        </w:tc>
      </w:tr>
      <w:tr w14:paraId="67938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0E2D8D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restart"/>
            <w:noWrap w:val="0"/>
            <w:vAlign w:val="center"/>
          </w:tcPr>
          <w:p w14:paraId="75CF7A88">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A4.3能</w:t>
            </w:r>
            <w:r>
              <w:rPr>
                <w:rFonts w:hint="default" w:ascii="Times New Roman" w:hAnsi="Times New Roman" w:eastAsia="宋体" w:cs="Times New Roman"/>
                <w:color w:val="auto"/>
                <w:spacing w:val="9"/>
                <w:sz w:val="21"/>
                <w:szCs w:val="21"/>
                <w:highlight w:val="none"/>
              </w:rPr>
              <w:t>源</w:t>
            </w:r>
            <w:r>
              <w:rPr>
                <w:rFonts w:hint="default" w:ascii="Times New Roman" w:hAnsi="Times New Roman" w:eastAsia="宋体" w:cs="Times New Roman"/>
                <w:color w:val="auto"/>
                <w:spacing w:val="4"/>
                <w:sz w:val="21"/>
                <w:szCs w:val="21"/>
                <w:highlight w:val="none"/>
              </w:rPr>
              <w:t>利用</w:t>
            </w:r>
          </w:p>
        </w:tc>
        <w:tc>
          <w:tcPr>
            <w:tcW w:w="3517" w:type="pct"/>
            <w:noWrap w:val="0"/>
            <w:vAlign w:val="center"/>
          </w:tcPr>
          <w:p w14:paraId="3773DAD4">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〔A4.3-1〕单位地区生产总值二氧化碳排放降低水平完成国家下达</w:t>
            </w:r>
            <w:r>
              <w:rPr>
                <w:rFonts w:hint="default" w:ascii="Times New Roman" w:hAnsi="Times New Roman" w:eastAsia="宋体" w:cs="Times New Roman"/>
                <w:color w:val="auto"/>
                <w:spacing w:val="-1"/>
                <w:sz w:val="21"/>
                <w:szCs w:val="21"/>
                <w:highlight w:val="none"/>
              </w:rPr>
              <w:t>指标。</w:t>
            </w:r>
          </w:p>
          <w:p w14:paraId="08218DF3">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〔A4.3-2〕到2025年，自治区万元国内生产总值能耗比</w:t>
            </w:r>
            <w:r>
              <w:rPr>
                <w:rFonts w:hint="default" w:ascii="Times New Roman" w:hAnsi="Times New Roman" w:eastAsia="宋体" w:cs="Times New Roman"/>
                <w:color w:val="auto"/>
                <w:spacing w:val="3"/>
                <w:sz w:val="21"/>
                <w:szCs w:val="21"/>
                <w:highlight w:val="none"/>
              </w:rPr>
              <w:t>2020年下</w:t>
            </w:r>
            <w:r>
              <w:rPr>
                <w:rFonts w:hint="default" w:ascii="Times New Roman" w:hAnsi="Times New Roman" w:eastAsia="宋体" w:cs="Times New Roman"/>
                <w:color w:val="auto"/>
                <w:spacing w:val="1"/>
                <w:sz w:val="21"/>
                <w:szCs w:val="21"/>
                <w:highlight w:val="none"/>
              </w:rPr>
              <w:t>降14.5%。</w:t>
            </w:r>
          </w:p>
          <w:p w14:paraId="508A74B9">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〔A4.3-3〕到2025年，非化石能源占一次能源消费比重达18%以上。</w:t>
            </w:r>
          </w:p>
        </w:tc>
        <w:tc>
          <w:tcPr>
            <w:tcW w:w="591" w:type="pct"/>
            <w:vMerge w:val="restart"/>
            <w:noWrap w:val="0"/>
            <w:vAlign w:val="center"/>
          </w:tcPr>
          <w:p w14:paraId="3DE6E65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本项目能源均采用电力，不涉及CO</w:t>
            </w:r>
            <w:r>
              <w:rPr>
                <w:rFonts w:hint="default" w:ascii="Times New Roman" w:hAnsi="Times New Roman" w:eastAsia="宋体" w:cs="Times New Roman"/>
                <w:b w:val="0"/>
                <w:bCs w:val="0"/>
                <w:color w:val="auto"/>
                <w:spacing w:val="-6"/>
                <w:sz w:val="21"/>
                <w:szCs w:val="21"/>
                <w:highlight w:val="none"/>
                <w:vertAlign w:val="subscript"/>
                <w:lang w:val="en-US" w:eastAsia="zh-CN"/>
              </w:rPr>
              <w:t>2</w:t>
            </w:r>
            <w:r>
              <w:rPr>
                <w:rFonts w:hint="default" w:ascii="Times New Roman" w:hAnsi="Times New Roman" w:eastAsia="宋体" w:cs="Times New Roman"/>
                <w:b w:val="0"/>
                <w:bCs w:val="0"/>
                <w:color w:val="auto"/>
                <w:spacing w:val="-6"/>
                <w:sz w:val="21"/>
                <w:szCs w:val="21"/>
                <w:highlight w:val="none"/>
                <w:lang w:val="en-US" w:eastAsia="zh-CN"/>
              </w:rPr>
              <w:t>排放</w:t>
            </w:r>
          </w:p>
        </w:tc>
      </w:tr>
      <w:tr w14:paraId="22AF8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76B076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73A36DF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423B2A96">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〔A4.3-4〕鼓励使用清洁能源或电厂热力、工业余热等替代锅炉、</w:t>
            </w:r>
            <w:r>
              <w:rPr>
                <w:rFonts w:hint="default" w:ascii="Times New Roman" w:hAnsi="Times New Roman" w:eastAsia="宋体" w:cs="Times New Roman"/>
                <w:color w:val="auto"/>
                <w:spacing w:val="-2"/>
                <w:sz w:val="21"/>
                <w:szCs w:val="21"/>
                <w:highlight w:val="none"/>
              </w:rPr>
              <w:t>炉窑燃料用煤。</w:t>
            </w:r>
          </w:p>
        </w:tc>
        <w:tc>
          <w:tcPr>
            <w:tcW w:w="591" w:type="pct"/>
            <w:vMerge w:val="continue"/>
            <w:noWrap w:val="0"/>
            <w:vAlign w:val="center"/>
          </w:tcPr>
          <w:p w14:paraId="63DCA14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A097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0F4740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15CC0BC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4B6CDB7F">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〔A4.3-5〕以碳达峰碳中和工作为引领，着力提高能源资源利用效</w:t>
            </w:r>
            <w:r>
              <w:rPr>
                <w:rFonts w:hint="default" w:ascii="Times New Roman" w:hAnsi="Times New Roman" w:eastAsia="宋体" w:cs="Times New Roman"/>
                <w:color w:val="auto"/>
                <w:sz w:val="21"/>
                <w:szCs w:val="21"/>
                <w:highlight w:val="none"/>
              </w:rPr>
              <w:t>率。引导重点行业深入实施清洁生产改造，钢铁、建材、石油化工等重点行业以及其他行业重点用能单位持续开展节能降</w:t>
            </w:r>
            <w:r>
              <w:rPr>
                <w:rFonts w:hint="default" w:ascii="Times New Roman" w:hAnsi="Times New Roman" w:eastAsia="宋体" w:cs="Times New Roman"/>
                <w:color w:val="auto"/>
                <w:spacing w:val="-1"/>
                <w:sz w:val="21"/>
                <w:szCs w:val="21"/>
                <w:highlight w:val="none"/>
              </w:rPr>
              <w:t>耗。</w:t>
            </w:r>
          </w:p>
        </w:tc>
        <w:tc>
          <w:tcPr>
            <w:tcW w:w="591" w:type="pct"/>
            <w:vMerge w:val="continue"/>
            <w:noWrap w:val="0"/>
            <w:vAlign w:val="center"/>
          </w:tcPr>
          <w:p w14:paraId="5BE3F44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19809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490067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498E2DC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77BE79E5">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〔A4.3-6〕深入推进碳达峰碳中和行动。推动能源清洁低碳转型，</w:t>
            </w:r>
            <w:r>
              <w:rPr>
                <w:rFonts w:hint="default" w:ascii="Times New Roman" w:hAnsi="Times New Roman" w:eastAsia="宋体" w:cs="Times New Roman"/>
                <w:color w:val="auto"/>
                <w:spacing w:val="-2"/>
                <w:sz w:val="21"/>
                <w:szCs w:val="21"/>
                <w:highlight w:val="none"/>
              </w:rPr>
              <w:t>加强能耗“双控”管理，优化能源消费结构。新增原料用能不纳入能源消费总量控制。持续推进散煤整治。</w:t>
            </w:r>
          </w:p>
        </w:tc>
        <w:tc>
          <w:tcPr>
            <w:tcW w:w="591" w:type="pct"/>
            <w:vMerge w:val="continue"/>
            <w:noWrap w:val="0"/>
            <w:vAlign w:val="center"/>
          </w:tcPr>
          <w:p w14:paraId="74DBE6B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523A1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D15094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noWrap w:val="0"/>
            <w:vAlign w:val="center"/>
          </w:tcPr>
          <w:p w14:paraId="706F3DC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A4.4禁</w:t>
            </w:r>
            <w:r>
              <w:rPr>
                <w:rFonts w:hint="default" w:ascii="Times New Roman" w:hAnsi="Times New Roman" w:eastAsia="宋体" w:cs="Times New Roman"/>
                <w:color w:val="auto"/>
                <w:spacing w:val="4"/>
                <w:sz w:val="21"/>
                <w:szCs w:val="21"/>
                <w:highlight w:val="none"/>
              </w:rPr>
              <w:t>燃区要</w:t>
            </w:r>
            <w:r>
              <w:rPr>
                <w:rFonts w:hint="default" w:ascii="Times New Roman" w:hAnsi="Times New Roman" w:eastAsia="宋体" w:cs="Times New Roman"/>
                <w:color w:val="auto"/>
                <w:sz w:val="21"/>
                <w:szCs w:val="21"/>
                <w:highlight w:val="none"/>
              </w:rPr>
              <w:t>求</w:t>
            </w:r>
          </w:p>
        </w:tc>
        <w:tc>
          <w:tcPr>
            <w:tcW w:w="3517" w:type="pct"/>
            <w:noWrap w:val="0"/>
            <w:vAlign w:val="center"/>
          </w:tcPr>
          <w:p w14:paraId="078214CC">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〔A4.4-1〕在禁燃区内，禁止销售、燃用高污染燃料；禁止新建、</w:t>
            </w:r>
            <w:r>
              <w:rPr>
                <w:rFonts w:hint="default" w:ascii="Times New Roman" w:hAnsi="Times New Roman" w:eastAsia="宋体" w:cs="Times New Roman"/>
                <w:color w:val="auto"/>
                <w:spacing w:val="-1"/>
                <w:sz w:val="21"/>
                <w:szCs w:val="21"/>
                <w:highlight w:val="none"/>
              </w:rPr>
              <w:t>扩建燃用高污染燃料的设施。已建成的，应当在规定期限内改用清洁能源。</w:t>
            </w:r>
          </w:p>
        </w:tc>
        <w:tc>
          <w:tcPr>
            <w:tcW w:w="591" w:type="pct"/>
            <w:noWrap w:val="0"/>
            <w:vAlign w:val="center"/>
          </w:tcPr>
          <w:p w14:paraId="22EA7B5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本项目能源均采用电力</w:t>
            </w:r>
          </w:p>
        </w:tc>
      </w:tr>
      <w:tr w14:paraId="588BA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5DEF7C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restart"/>
            <w:noWrap w:val="0"/>
            <w:vAlign w:val="center"/>
          </w:tcPr>
          <w:p w14:paraId="3D70668F">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A4.5资</w:t>
            </w:r>
            <w:r>
              <w:rPr>
                <w:rFonts w:hint="default" w:ascii="Times New Roman" w:hAnsi="Times New Roman" w:eastAsia="宋体" w:cs="Times New Roman"/>
                <w:color w:val="auto"/>
                <w:spacing w:val="-2"/>
                <w:sz w:val="21"/>
                <w:szCs w:val="21"/>
                <w:highlight w:val="none"/>
              </w:rPr>
              <w:t>源综合</w:t>
            </w:r>
            <w:r>
              <w:rPr>
                <w:rFonts w:hint="default" w:ascii="Times New Roman" w:hAnsi="Times New Roman" w:eastAsia="宋体" w:cs="Times New Roman"/>
                <w:color w:val="auto"/>
                <w:spacing w:val="14"/>
                <w:sz w:val="21"/>
                <w:szCs w:val="21"/>
                <w:highlight w:val="none"/>
              </w:rPr>
              <w:t>利用</w:t>
            </w:r>
          </w:p>
        </w:tc>
        <w:tc>
          <w:tcPr>
            <w:tcW w:w="3517" w:type="pct"/>
            <w:noWrap w:val="0"/>
            <w:vAlign w:val="center"/>
          </w:tcPr>
          <w:p w14:paraId="47C9E61A">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〔A4.5-1〕加强固体废物源头减量、资源化利用和无害化处置，最</w:t>
            </w:r>
            <w:r>
              <w:rPr>
                <w:rFonts w:hint="default" w:ascii="Times New Roman" w:hAnsi="Times New Roman" w:eastAsia="宋体" w:cs="Times New Roman"/>
                <w:color w:val="auto"/>
                <w:sz w:val="21"/>
                <w:szCs w:val="21"/>
                <w:highlight w:val="none"/>
              </w:rPr>
              <w:t>大限度减少填埋量。推进工业固体废物精细化、名录化环境管</w:t>
            </w:r>
            <w:r>
              <w:rPr>
                <w:rFonts w:hint="default" w:ascii="Times New Roman" w:hAnsi="Times New Roman" w:eastAsia="宋体" w:cs="Times New Roman"/>
                <w:color w:val="auto"/>
                <w:spacing w:val="-1"/>
                <w:sz w:val="21"/>
                <w:szCs w:val="21"/>
                <w:highlight w:val="none"/>
              </w:rPr>
              <w:t>理，</w:t>
            </w:r>
            <w:r>
              <w:rPr>
                <w:rFonts w:hint="default" w:ascii="Times New Roman" w:hAnsi="Times New Roman" w:eastAsia="宋体" w:cs="Times New Roman"/>
                <w:color w:val="auto"/>
                <w:spacing w:val="-2"/>
                <w:sz w:val="21"/>
                <w:szCs w:val="21"/>
                <w:highlight w:val="none"/>
              </w:rPr>
              <w:t>促进大宗工业固废综合利用、主要农业废弃物全量利用。加快</w:t>
            </w:r>
            <w:r>
              <w:rPr>
                <w:rFonts w:hint="default" w:ascii="Times New Roman" w:hAnsi="Times New Roman" w:cs="Times New Roman"/>
                <w:color w:val="auto"/>
                <w:spacing w:val="-2"/>
                <w:sz w:val="21"/>
                <w:szCs w:val="21"/>
                <w:highlight w:val="none"/>
                <w:lang w:eastAsia="zh-CN"/>
              </w:rPr>
              <w:t>构建</w:t>
            </w:r>
            <w:r>
              <w:rPr>
                <w:rFonts w:hint="default" w:ascii="Times New Roman" w:hAnsi="Times New Roman" w:eastAsia="宋体" w:cs="Times New Roman"/>
                <w:color w:val="auto"/>
                <w:spacing w:val="-1"/>
                <w:sz w:val="21"/>
                <w:szCs w:val="21"/>
                <w:highlight w:val="none"/>
              </w:rPr>
              <w:t>废旧物资回收和循环利用体系，健全强制报废制度和废旧家电</w:t>
            </w:r>
            <w:r>
              <w:rPr>
                <w:rFonts w:hint="default" w:ascii="Times New Roman" w:hAnsi="Times New Roman" w:eastAsia="宋体" w:cs="Times New Roman"/>
                <w:color w:val="auto"/>
                <w:spacing w:val="-2"/>
                <w:sz w:val="21"/>
                <w:szCs w:val="21"/>
                <w:highlight w:val="none"/>
              </w:rPr>
              <w:t>、消</w:t>
            </w:r>
            <w:r>
              <w:rPr>
                <w:rFonts w:hint="default" w:ascii="Times New Roman" w:hAnsi="Times New Roman" w:eastAsia="宋体" w:cs="Times New Roman"/>
                <w:color w:val="auto"/>
                <w:spacing w:val="-1"/>
                <w:sz w:val="21"/>
                <w:szCs w:val="21"/>
                <w:highlight w:val="none"/>
              </w:rPr>
              <w:t>费电子等耐用消费品回收处理体系，推行生产企业“逆向回收”等</w:t>
            </w:r>
            <w:r>
              <w:rPr>
                <w:rFonts w:hint="default" w:ascii="Times New Roman" w:hAnsi="Times New Roman" w:eastAsia="宋体" w:cs="Times New Roman"/>
                <w:color w:val="auto"/>
                <w:spacing w:val="-2"/>
                <w:sz w:val="21"/>
                <w:szCs w:val="21"/>
                <w:highlight w:val="none"/>
              </w:rPr>
              <w:t>模式。以尾矿和共伴生矿、煤矸石、炉渣、粉煤灰、脱硫石膏、冶炼渣、建筑垃圾等为重点，持续推进固体废物综合利用和环境整治，</w:t>
            </w:r>
            <w:r>
              <w:rPr>
                <w:rFonts w:hint="default" w:ascii="Times New Roman" w:hAnsi="Times New Roman" w:eastAsia="宋体" w:cs="Times New Roman"/>
                <w:color w:val="auto"/>
                <w:spacing w:val="-1"/>
                <w:sz w:val="21"/>
                <w:szCs w:val="21"/>
                <w:highlight w:val="none"/>
              </w:rPr>
              <w:t>不断提高大宗固体废物资源化利用水平。推行生活</w:t>
            </w:r>
            <w:r>
              <w:rPr>
                <w:rFonts w:hint="default" w:ascii="Times New Roman" w:hAnsi="Times New Roman" w:eastAsia="宋体" w:cs="Times New Roman"/>
                <w:color w:val="auto"/>
                <w:spacing w:val="-2"/>
                <w:sz w:val="21"/>
                <w:szCs w:val="21"/>
                <w:highlight w:val="none"/>
              </w:rPr>
              <w:t>垃圾分类，加快</w:t>
            </w:r>
            <w:r>
              <w:rPr>
                <w:rFonts w:hint="default" w:ascii="Times New Roman" w:hAnsi="Times New Roman" w:eastAsia="宋体" w:cs="Times New Roman"/>
                <w:color w:val="auto"/>
                <w:spacing w:val="-1"/>
                <w:sz w:val="21"/>
                <w:szCs w:val="21"/>
                <w:highlight w:val="none"/>
              </w:rPr>
              <w:t>建设县</w:t>
            </w:r>
            <w:r>
              <w:rPr>
                <w:rFonts w:hint="default"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市</w:t>
            </w:r>
            <w:r>
              <w:rPr>
                <w:rFonts w:hint="default"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生活垃圾处理设施，到2025年，全疆城市生活垃圾无</w:t>
            </w:r>
            <w:r>
              <w:rPr>
                <w:rFonts w:hint="default" w:ascii="Times New Roman" w:hAnsi="Times New Roman" w:eastAsia="宋体" w:cs="Times New Roman"/>
                <w:color w:val="auto"/>
                <w:sz w:val="21"/>
                <w:szCs w:val="21"/>
                <w:highlight w:val="none"/>
              </w:rPr>
              <w:t>害化处理率达到99%以上。</w:t>
            </w:r>
          </w:p>
        </w:tc>
        <w:tc>
          <w:tcPr>
            <w:tcW w:w="591" w:type="pct"/>
            <w:vMerge w:val="restart"/>
            <w:noWrap w:val="0"/>
            <w:vAlign w:val="center"/>
          </w:tcPr>
          <w:p w14:paraId="79E9843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本项目产生的尾矿部分用于回填</w:t>
            </w:r>
            <w:r>
              <w:rPr>
                <w:rFonts w:hint="default" w:cs="Times New Roman"/>
                <w:b w:val="0"/>
                <w:bCs w:val="0"/>
                <w:color w:val="auto"/>
                <w:spacing w:val="-6"/>
                <w:sz w:val="21"/>
                <w:szCs w:val="21"/>
                <w:highlight w:val="none"/>
                <w:lang w:val="en-US" w:eastAsia="zh-CN"/>
              </w:rPr>
              <w:t>采</w:t>
            </w:r>
            <w:r>
              <w:rPr>
                <w:rFonts w:hint="default" w:ascii="Times New Roman" w:hAnsi="Times New Roman" w:eastAsia="宋体" w:cs="Times New Roman"/>
                <w:b w:val="0"/>
                <w:bCs w:val="0"/>
                <w:color w:val="auto"/>
                <w:spacing w:val="-6"/>
                <w:sz w:val="21"/>
                <w:szCs w:val="21"/>
                <w:highlight w:val="none"/>
                <w:lang w:val="en-US" w:eastAsia="zh-CN"/>
              </w:rPr>
              <w:t>坑，其余堆存至尾矿库；生活垃圾集中收集定期拉运填埋处置；危险废物暂存于</w:t>
            </w:r>
            <w:r>
              <w:rPr>
                <w:rFonts w:hint="default" w:cs="Times New Roman"/>
                <w:b w:val="0"/>
                <w:bCs w:val="0"/>
                <w:color w:val="auto"/>
                <w:spacing w:val="-6"/>
                <w:sz w:val="21"/>
                <w:szCs w:val="21"/>
                <w:highlight w:val="none"/>
                <w:lang w:val="en-US" w:eastAsia="zh-CN"/>
              </w:rPr>
              <w:t>危废贮存点</w:t>
            </w:r>
            <w:r>
              <w:rPr>
                <w:rFonts w:hint="default" w:ascii="Times New Roman" w:hAnsi="Times New Roman" w:eastAsia="宋体" w:cs="Times New Roman"/>
                <w:b w:val="0"/>
                <w:bCs w:val="0"/>
                <w:color w:val="auto"/>
                <w:spacing w:val="-6"/>
                <w:sz w:val="21"/>
                <w:szCs w:val="21"/>
                <w:highlight w:val="none"/>
                <w:lang w:val="en-US" w:eastAsia="zh-CN"/>
              </w:rPr>
              <w:t>，交由有资质单位处置。</w:t>
            </w:r>
          </w:p>
        </w:tc>
      </w:tr>
      <w:tr w14:paraId="2C045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8F6671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04697DB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66BEC333">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〔A4.5-2〕推动工业固废按元素价值综合开发利用，加快推进尾矿</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eastAsia="宋体" w:cs="Times New Roman"/>
                <w:color w:val="auto"/>
                <w:spacing w:val="1"/>
                <w:sz w:val="21"/>
                <w:szCs w:val="21"/>
                <w:highlight w:val="none"/>
              </w:rPr>
              <w:t>共伴生矿</w:t>
            </w:r>
            <w:r>
              <w:rPr>
                <w:rFonts w:hint="default"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、粉煤灰、煤矸石、冶炼渣、工业副产</w:t>
            </w:r>
            <w:r>
              <w:rPr>
                <w:rFonts w:hint="default" w:ascii="Times New Roman" w:hAnsi="Times New Roman" w:eastAsia="宋体" w:cs="Times New Roman"/>
                <w:color w:val="auto"/>
                <w:sz w:val="21"/>
                <w:szCs w:val="21"/>
                <w:highlight w:val="none"/>
              </w:rPr>
              <w:t>石膏、赤泥、化</w:t>
            </w:r>
            <w:r>
              <w:rPr>
                <w:rFonts w:hint="default" w:ascii="Times New Roman" w:hAnsi="Times New Roman" w:eastAsia="宋体" w:cs="Times New Roman"/>
                <w:color w:val="auto"/>
                <w:spacing w:val="1"/>
                <w:sz w:val="21"/>
                <w:szCs w:val="21"/>
                <w:highlight w:val="none"/>
              </w:rPr>
              <w:t>工废渣等工业固废在有价组分提取、建材生产、市</w:t>
            </w:r>
            <w:r>
              <w:rPr>
                <w:rFonts w:hint="default" w:ascii="Times New Roman" w:hAnsi="Times New Roman" w:eastAsia="宋体" w:cs="Times New Roman"/>
                <w:color w:val="auto"/>
                <w:sz w:val="21"/>
                <w:szCs w:val="21"/>
                <w:highlight w:val="none"/>
              </w:rPr>
              <w:t>政设施建设、井</w:t>
            </w:r>
            <w:r>
              <w:rPr>
                <w:rFonts w:hint="default" w:ascii="Times New Roman" w:hAnsi="Times New Roman" w:eastAsia="宋体" w:cs="Times New Roman"/>
                <w:color w:val="auto"/>
                <w:spacing w:val="1"/>
                <w:sz w:val="21"/>
                <w:szCs w:val="21"/>
                <w:highlight w:val="none"/>
              </w:rPr>
              <w:t>下充填、生态修复、土壤治理等领域的规模化</w:t>
            </w:r>
            <w:r>
              <w:rPr>
                <w:rFonts w:hint="default" w:ascii="Times New Roman" w:hAnsi="Times New Roman" w:eastAsia="宋体" w:cs="Times New Roman"/>
                <w:color w:val="auto"/>
                <w:sz w:val="21"/>
                <w:szCs w:val="21"/>
                <w:highlight w:val="none"/>
              </w:rPr>
              <w:t>利用。着力提升工业</w:t>
            </w:r>
            <w:r>
              <w:rPr>
                <w:rFonts w:hint="default" w:ascii="Times New Roman" w:hAnsi="Times New Roman" w:eastAsia="宋体" w:cs="Times New Roman"/>
                <w:color w:val="auto"/>
                <w:spacing w:val="1"/>
                <w:sz w:val="21"/>
                <w:szCs w:val="21"/>
                <w:highlight w:val="none"/>
              </w:rPr>
              <w:t>固废在生产纤维材料、微晶玻璃、超细化填料、低</w:t>
            </w:r>
            <w:r>
              <w:rPr>
                <w:rFonts w:hint="default" w:ascii="Times New Roman" w:hAnsi="Times New Roman" w:eastAsia="宋体" w:cs="Times New Roman"/>
                <w:color w:val="auto"/>
                <w:sz w:val="21"/>
                <w:szCs w:val="21"/>
                <w:highlight w:val="none"/>
              </w:rPr>
              <w:t>碳水泥、固废基</w:t>
            </w:r>
            <w:r>
              <w:rPr>
                <w:rFonts w:hint="default" w:ascii="Times New Roman" w:hAnsi="Times New Roman" w:eastAsia="宋体" w:cs="Times New Roman"/>
                <w:color w:val="auto"/>
                <w:spacing w:val="-2"/>
                <w:sz w:val="21"/>
                <w:szCs w:val="21"/>
                <w:highlight w:val="none"/>
              </w:rPr>
              <w:t>高性能混凝土、预制件、节能型建筑材料等领域的高值化利用水平。</w:t>
            </w:r>
          </w:p>
        </w:tc>
        <w:tc>
          <w:tcPr>
            <w:tcW w:w="591" w:type="pct"/>
            <w:vMerge w:val="continue"/>
            <w:noWrap w:val="0"/>
            <w:vAlign w:val="center"/>
          </w:tcPr>
          <w:p w14:paraId="4DD6031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92F8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7B398E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28D331B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590493D2">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〔A4.5-3〕结合工业领域减污降碳要求，加快探索钢铁、有色、化</w:t>
            </w:r>
            <w:r>
              <w:rPr>
                <w:rFonts w:hint="default" w:ascii="Times New Roman" w:hAnsi="Times New Roman" w:eastAsia="宋体" w:cs="Times New Roman"/>
                <w:color w:val="auto"/>
                <w:sz w:val="21"/>
                <w:szCs w:val="21"/>
                <w:highlight w:val="none"/>
              </w:rPr>
              <w:t>工、建材等重点行业工业固体废物减量化路径，全面推行清洁生产。</w:t>
            </w:r>
            <w:r>
              <w:rPr>
                <w:rFonts w:hint="default" w:ascii="Times New Roman" w:hAnsi="Times New Roman" w:eastAsia="宋体" w:cs="Times New Roman"/>
                <w:color w:val="auto"/>
                <w:spacing w:val="-1"/>
                <w:sz w:val="21"/>
                <w:szCs w:val="21"/>
                <w:highlight w:val="none"/>
              </w:rPr>
              <w:t>全面推进绿色矿山、“无废”矿区建设，推广尾矿等</w:t>
            </w:r>
            <w:r>
              <w:rPr>
                <w:rFonts w:hint="default" w:ascii="Times New Roman" w:hAnsi="Times New Roman" w:eastAsia="宋体" w:cs="Times New Roman"/>
                <w:color w:val="auto"/>
                <w:spacing w:val="-2"/>
                <w:sz w:val="21"/>
                <w:szCs w:val="21"/>
                <w:highlight w:val="none"/>
              </w:rPr>
              <w:t>大宗工业固体废</w:t>
            </w:r>
            <w:r>
              <w:rPr>
                <w:rFonts w:hint="default" w:ascii="Times New Roman" w:hAnsi="Times New Roman" w:eastAsia="宋体" w:cs="Times New Roman"/>
                <w:color w:val="auto"/>
                <w:spacing w:val="3"/>
                <w:sz w:val="21"/>
                <w:szCs w:val="21"/>
                <w:highlight w:val="none"/>
              </w:rPr>
              <w:t>物环境友好型井下充填回填，减少尾矿库贮存量。推动大宗工业固</w:t>
            </w:r>
            <w:r>
              <w:rPr>
                <w:rFonts w:hint="default" w:ascii="Times New Roman" w:hAnsi="Times New Roman" w:eastAsia="宋体" w:cs="Times New Roman"/>
                <w:color w:val="auto"/>
                <w:spacing w:val="2"/>
                <w:sz w:val="21"/>
                <w:szCs w:val="21"/>
                <w:highlight w:val="none"/>
              </w:rPr>
              <w:t>体废物在提取有价组分、生产建材、筑路、生态修复、土壤治理等</w:t>
            </w:r>
            <w:r>
              <w:rPr>
                <w:rFonts w:hint="default" w:ascii="Times New Roman" w:hAnsi="Times New Roman" w:eastAsia="宋体" w:cs="Times New Roman"/>
                <w:color w:val="auto"/>
                <w:spacing w:val="7"/>
                <w:sz w:val="21"/>
                <w:szCs w:val="21"/>
                <w:highlight w:val="none"/>
              </w:rPr>
              <w:t>领域的规模化利用。</w:t>
            </w:r>
          </w:p>
        </w:tc>
        <w:tc>
          <w:tcPr>
            <w:tcW w:w="591" w:type="pct"/>
            <w:vMerge w:val="continue"/>
            <w:noWrap w:val="0"/>
            <w:vAlign w:val="center"/>
          </w:tcPr>
          <w:p w14:paraId="2E4EF22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r w14:paraId="4ECE7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DD7030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494" w:type="pct"/>
            <w:vMerge w:val="continue"/>
            <w:noWrap w:val="0"/>
            <w:vAlign w:val="center"/>
          </w:tcPr>
          <w:p w14:paraId="2881384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1"/>
                <w:sz w:val="21"/>
                <w:szCs w:val="21"/>
                <w:highlight w:val="none"/>
              </w:rPr>
            </w:pPr>
          </w:p>
        </w:tc>
        <w:tc>
          <w:tcPr>
            <w:tcW w:w="3517" w:type="pct"/>
            <w:noWrap w:val="0"/>
            <w:vAlign w:val="center"/>
          </w:tcPr>
          <w:p w14:paraId="1E82B4C7">
            <w:pPr>
              <w:pStyle w:val="127"/>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〔A4.5-4〕发展生态种植、生态养殖，建立农业循环经济发展模式，</w:t>
            </w:r>
            <w:r>
              <w:rPr>
                <w:rFonts w:hint="default" w:ascii="Times New Roman" w:hAnsi="Times New Roman" w:eastAsia="宋体" w:cs="Times New Roman"/>
                <w:color w:val="auto"/>
                <w:spacing w:val="-4"/>
                <w:sz w:val="21"/>
                <w:szCs w:val="21"/>
                <w:highlight w:val="none"/>
              </w:rPr>
              <w:t>促进农业固体废物综合利用。鼓励和引导农民采用增施有机肥秸秆还田、种植绿肥等技术，持续减少化肥农药使用比例。加大畜禽粪</w:t>
            </w:r>
            <w:r>
              <w:rPr>
                <w:rFonts w:hint="default" w:ascii="Times New Roman" w:hAnsi="Times New Roman" w:eastAsia="宋体" w:cs="Times New Roman"/>
                <w:color w:val="auto"/>
                <w:spacing w:val="-3"/>
                <w:sz w:val="21"/>
                <w:szCs w:val="21"/>
                <w:highlight w:val="none"/>
              </w:rPr>
              <w:t>污和秸秆资源化利用先进技术和新型市场模式的集成推广，推动形成长效运行机制。</w:t>
            </w:r>
          </w:p>
        </w:tc>
        <w:tc>
          <w:tcPr>
            <w:tcW w:w="591" w:type="pct"/>
            <w:vMerge w:val="continue"/>
            <w:noWrap w:val="0"/>
            <w:vAlign w:val="center"/>
          </w:tcPr>
          <w:p w14:paraId="5319594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lang w:val="en-US" w:eastAsia="zh-CN"/>
              </w:rPr>
            </w:pPr>
          </w:p>
        </w:tc>
      </w:tr>
    </w:tbl>
    <w:p w14:paraId="3DBBD7EC">
      <w:pPr>
        <w:pStyle w:val="5"/>
        <w:ind w:firstLine="482"/>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eastAsia="zh-CN"/>
        </w:rPr>
        <w:t>与</w:t>
      </w:r>
      <w:r>
        <w:rPr>
          <w:rFonts w:hint="default" w:cs="Times New Roman"/>
          <w:color w:val="auto"/>
          <w:highlight w:val="none"/>
          <w:lang w:eastAsia="zh-CN"/>
        </w:rPr>
        <w:t>《阿勒泰地区区域空间生态环境评价暨“三线一单”生态环境准入清单》（2023年）</w:t>
      </w:r>
      <w:r>
        <w:rPr>
          <w:rFonts w:hint="default" w:ascii="Times New Roman" w:hAnsi="Times New Roman" w:cs="Times New Roman"/>
          <w:color w:val="auto"/>
          <w:highlight w:val="none"/>
          <w:lang w:val="en-US" w:eastAsia="zh-CN"/>
        </w:rPr>
        <w:t>符合性分析</w:t>
      </w:r>
    </w:p>
    <w:p w14:paraId="667EF87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13</w:t>
      </w:r>
      <w:r>
        <w:rPr>
          <w:rFonts w:hint="default" w:ascii="Times New Roman" w:hAnsi="Times New Roman" w:cs="Times New Roman"/>
          <w:color w:val="auto"/>
          <w:highlight w:val="none"/>
        </w:rPr>
        <w:t>日，阿行署发〔2024〕7号印发</w:t>
      </w:r>
      <w:r>
        <w:rPr>
          <w:rFonts w:hint="default" w:ascii="Times New Roman" w:hAnsi="Times New Roman" w:cs="Times New Roman"/>
          <w:color w:val="auto"/>
          <w:highlight w:val="none"/>
          <w:lang w:val="en-US" w:eastAsia="zh-CN"/>
        </w:rPr>
        <w:t>了</w:t>
      </w:r>
      <w:r>
        <w:rPr>
          <w:rFonts w:hint="default" w:cs="Times New Roman"/>
          <w:color w:val="auto"/>
          <w:highlight w:val="none"/>
          <w:lang w:eastAsia="zh-CN"/>
        </w:rPr>
        <w:t>《阿勒泰地区区域空间生态环境评价暨“三线一单”生态环境准入清单》（2023年）</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根据查询</w:t>
      </w:r>
      <w:r>
        <w:rPr>
          <w:rFonts w:hint="default" w:ascii="Times New Roman" w:hAnsi="Times New Roman" w:cs="Times New Roman"/>
          <w:color w:val="auto"/>
          <w:highlight w:val="none"/>
        </w:rPr>
        <w:t>本项目位于</w:t>
      </w:r>
      <w:r>
        <w:rPr>
          <w:rFonts w:hint="default" w:ascii="Times New Roman" w:hAnsi="Times New Roman" w:eastAsia="宋体" w:cs="Times New Roman"/>
          <w:color w:val="auto"/>
          <w:sz w:val="24"/>
          <w:szCs w:val="24"/>
          <w:highlight w:val="none"/>
          <w:lang w:val="en-US" w:eastAsia="zh-CN"/>
        </w:rPr>
        <w:t>富蕴县一般管控单元（ZH65432230001）</w:t>
      </w:r>
      <w:r>
        <w:rPr>
          <w:rFonts w:hint="default" w:ascii="Times New Roman" w:hAnsi="Times New Roman" w:cs="Times New Roman"/>
          <w:color w:val="auto"/>
          <w:highlight w:val="none"/>
        </w:rPr>
        <w:t>，本项目与</w:t>
      </w:r>
      <w:r>
        <w:rPr>
          <w:rFonts w:hint="default" w:ascii="Times New Roman" w:hAnsi="Times New Roman" w:cs="Times New Roman"/>
          <w:color w:val="auto"/>
          <w:highlight w:val="none"/>
          <w:lang w:val="en-US" w:eastAsia="zh-CN"/>
        </w:rPr>
        <w:t>阿勒泰地区生态环境分区</w:t>
      </w:r>
      <w:r>
        <w:rPr>
          <w:rFonts w:hint="default" w:ascii="Times New Roman" w:hAnsi="Times New Roman" w:cs="Times New Roman"/>
          <w:color w:val="auto"/>
          <w:highlight w:val="none"/>
        </w:rPr>
        <w:t>管控单元</w:t>
      </w:r>
      <w:r>
        <w:rPr>
          <w:rFonts w:hint="default" w:ascii="Times New Roman" w:hAnsi="Times New Roman" w:cs="Times New Roman"/>
          <w:color w:val="auto"/>
          <w:highlight w:val="none"/>
          <w:lang w:val="en-US" w:eastAsia="zh-CN"/>
        </w:rPr>
        <w:t>分布</w:t>
      </w:r>
      <w:r>
        <w:rPr>
          <w:rFonts w:hint="default" w:ascii="Times New Roman" w:hAnsi="Times New Roman" w:cs="Times New Roman"/>
          <w:color w:val="auto"/>
          <w:highlight w:val="none"/>
        </w:rPr>
        <w:t>图的位置关系见图3.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eastAsia="宋体" w:cs="Times New Roman"/>
          <w:color w:val="auto"/>
          <w:sz w:val="24"/>
          <w:szCs w:val="24"/>
          <w:highlight w:val="none"/>
          <w:lang w:val="en-US" w:eastAsia="zh-CN"/>
        </w:rPr>
        <w:t>与红线位置关系见图</w:t>
      </w:r>
      <w:r>
        <w:rPr>
          <w:rFonts w:hint="default" w:ascii="Times New Roman" w:hAnsi="Times New Roman" w:cs="Times New Roman"/>
          <w:color w:val="auto"/>
          <w:sz w:val="24"/>
          <w:szCs w:val="24"/>
          <w:highlight w:val="none"/>
          <w:lang w:val="en-US" w:eastAsia="zh-CN"/>
        </w:rPr>
        <w:t>2.8-2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highlight w:val="none"/>
        </w:rPr>
        <w:t>与</w:t>
      </w:r>
      <w:r>
        <w:rPr>
          <w:rFonts w:hint="default" w:cs="Times New Roman"/>
          <w:color w:val="auto"/>
          <w:highlight w:val="none"/>
          <w:lang w:eastAsia="zh-CN"/>
        </w:rPr>
        <w:t>《阿勒泰地区区域空间生态环境评价暨“三线一单”生态环境准入清单》（2023年）</w:t>
      </w:r>
      <w:r>
        <w:rPr>
          <w:rFonts w:hint="default" w:ascii="Times New Roman" w:hAnsi="Times New Roman" w:cs="Times New Roman"/>
          <w:color w:val="auto"/>
          <w:highlight w:val="none"/>
        </w:rPr>
        <w:t>的符合性分析见表3.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14:paraId="508BF707">
      <w:pPr>
        <w:pStyle w:val="3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default" w:ascii="Times New Roman" w:hAnsi="Times New Roman"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en-US" w:eastAsia="zh-CN"/>
        </w:rPr>
        <w:t xml:space="preserve">    与</w:t>
      </w:r>
      <w:r>
        <w:rPr>
          <w:rFonts w:hint="default" w:ascii="Times New Roman" w:hAnsi="Times New Roman" w:cs="Times New Roman"/>
          <w:b/>
          <w:bCs/>
          <w:color w:val="auto"/>
          <w:sz w:val="24"/>
          <w:szCs w:val="24"/>
          <w:highlight w:val="none"/>
          <w:lang w:val="en-US" w:eastAsia="zh-CN"/>
        </w:rPr>
        <w:t>阿勒泰地区富蕴县</w:t>
      </w:r>
      <w:r>
        <w:rPr>
          <w:rFonts w:hint="default" w:ascii="Times New Roman" w:hAnsi="Times New Roman" w:eastAsia="宋体" w:cs="Times New Roman"/>
          <w:b/>
          <w:bCs/>
          <w:color w:val="auto"/>
          <w:sz w:val="24"/>
          <w:szCs w:val="24"/>
          <w:highlight w:val="none"/>
          <w:lang w:val="en-US" w:eastAsia="zh-CN"/>
        </w:rPr>
        <w:t>一般管控单元的相符性</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954"/>
        <w:gridCol w:w="4770"/>
        <w:gridCol w:w="2907"/>
      </w:tblGrid>
      <w:tr w14:paraId="03DF0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813" w:type="pct"/>
            <w:gridSpan w:val="2"/>
            <w:tcBorders>
              <w:tl2br w:val="nil"/>
              <w:tr2bl w:val="nil"/>
            </w:tcBorders>
            <w:noWrap w:val="0"/>
            <w:vAlign w:val="center"/>
          </w:tcPr>
          <w:p w14:paraId="777A742E">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管控类别</w:t>
            </w:r>
          </w:p>
        </w:tc>
        <w:tc>
          <w:tcPr>
            <w:tcW w:w="2601" w:type="pct"/>
            <w:tcBorders>
              <w:tl2br w:val="nil"/>
              <w:tr2bl w:val="nil"/>
            </w:tcBorders>
            <w:noWrap w:val="0"/>
            <w:vAlign w:val="center"/>
          </w:tcPr>
          <w:p w14:paraId="7ABD313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管控要求</w:t>
            </w:r>
          </w:p>
        </w:tc>
        <w:tc>
          <w:tcPr>
            <w:tcW w:w="1585" w:type="pct"/>
            <w:tcBorders>
              <w:tl2br w:val="nil"/>
              <w:tr2bl w:val="nil"/>
            </w:tcBorders>
            <w:noWrap w:val="0"/>
            <w:vAlign w:val="center"/>
          </w:tcPr>
          <w:p w14:paraId="2595687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本工程情况</w:t>
            </w:r>
          </w:p>
        </w:tc>
      </w:tr>
      <w:tr w14:paraId="1725C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93" w:type="pct"/>
            <w:vMerge w:val="restart"/>
            <w:tcBorders>
              <w:tl2br w:val="nil"/>
              <w:tr2bl w:val="nil"/>
            </w:tcBorders>
            <w:noWrap w:val="0"/>
            <w:vAlign w:val="center"/>
          </w:tcPr>
          <w:p w14:paraId="72A36A0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富蕴县</w:t>
            </w:r>
            <w:r>
              <w:rPr>
                <w:rFonts w:hint="default" w:ascii="Times New Roman" w:hAnsi="Times New Roman" w:eastAsia="宋体" w:cs="Times New Roman"/>
                <w:color w:val="auto"/>
                <w:kern w:val="0"/>
                <w:sz w:val="21"/>
                <w:szCs w:val="21"/>
                <w:highlight w:val="none"/>
              </w:rPr>
              <w:t>一般管控单元</w:t>
            </w:r>
          </w:p>
        </w:tc>
        <w:tc>
          <w:tcPr>
            <w:tcW w:w="519" w:type="pct"/>
            <w:tcBorders>
              <w:tl2br w:val="nil"/>
              <w:tr2bl w:val="nil"/>
            </w:tcBorders>
            <w:noWrap w:val="0"/>
            <w:vAlign w:val="center"/>
          </w:tcPr>
          <w:p w14:paraId="50F4F89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空间布局约束</w:t>
            </w:r>
          </w:p>
        </w:tc>
        <w:tc>
          <w:tcPr>
            <w:tcW w:w="2601" w:type="pct"/>
            <w:tcBorders>
              <w:tl2br w:val="nil"/>
              <w:tr2bl w:val="nil"/>
            </w:tcBorders>
            <w:noWrap w:val="0"/>
            <w:vAlign w:val="center"/>
          </w:tcPr>
          <w:p w14:paraId="0A6E126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1、加强基本农田保护，严格限制非农项目占用耕地。</w:t>
            </w:r>
          </w:p>
          <w:p w14:paraId="297D1AC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2.已批复的河湖岸线保护与利用规划相关要求。</w:t>
            </w:r>
          </w:p>
        </w:tc>
        <w:tc>
          <w:tcPr>
            <w:tcW w:w="1585" w:type="pct"/>
            <w:tcBorders>
              <w:tl2br w:val="nil"/>
              <w:tr2bl w:val="nil"/>
            </w:tcBorders>
            <w:noWrap w:val="0"/>
            <w:vAlign w:val="center"/>
          </w:tcPr>
          <w:p w14:paraId="74F6CB7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占地</w:t>
            </w:r>
            <w:r>
              <w:rPr>
                <w:rFonts w:hint="default" w:ascii="Times New Roman" w:hAnsi="Times New Roman" w:cs="Times New Roman"/>
                <w:color w:val="auto"/>
                <w:sz w:val="21"/>
                <w:szCs w:val="21"/>
                <w:highlight w:val="none"/>
                <w:lang w:eastAsia="zh-CN"/>
              </w:rPr>
              <w:t>不涉及</w:t>
            </w:r>
            <w:r>
              <w:rPr>
                <w:rFonts w:hint="default" w:ascii="Times New Roman" w:hAnsi="Times New Roman" w:cs="Times New Roman"/>
                <w:color w:val="auto"/>
                <w:sz w:val="21"/>
                <w:szCs w:val="21"/>
                <w:highlight w:val="none"/>
                <w:lang w:val="en-US" w:eastAsia="zh-CN"/>
              </w:rPr>
              <w:t>基本农田，周边1km范围内无地表水体。</w:t>
            </w:r>
          </w:p>
        </w:tc>
      </w:tr>
      <w:tr w14:paraId="040F2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93" w:type="pct"/>
            <w:vMerge w:val="continue"/>
            <w:tcBorders>
              <w:tl2br w:val="nil"/>
              <w:tr2bl w:val="nil"/>
            </w:tcBorders>
            <w:noWrap w:val="0"/>
            <w:vAlign w:val="center"/>
          </w:tcPr>
          <w:p w14:paraId="2D2B682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519" w:type="pct"/>
            <w:tcBorders>
              <w:tl2br w:val="nil"/>
              <w:tr2bl w:val="nil"/>
            </w:tcBorders>
            <w:noWrap w:val="0"/>
            <w:vAlign w:val="center"/>
          </w:tcPr>
          <w:p w14:paraId="65A0B72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污染物排放管控</w:t>
            </w:r>
          </w:p>
        </w:tc>
        <w:tc>
          <w:tcPr>
            <w:tcW w:w="2601" w:type="pct"/>
            <w:tcBorders>
              <w:tl2br w:val="nil"/>
              <w:tr2bl w:val="nil"/>
            </w:tcBorders>
            <w:noWrap w:val="0"/>
            <w:vAlign w:val="center"/>
          </w:tcPr>
          <w:p w14:paraId="5C111F3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1.加大灌溉用水污染控制力度，灌溉用水应符合农田灌溉水水质标准。</w:t>
            </w:r>
          </w:p>
          <w:p w14:paraId="563D5CD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2.深入推广测土配方施肥，逐步实现主要农作物测土配方施肥全覆盖。加强种植业氨排放控制，调整氮肥结构，改进施肥方式，增加有机肥使用量。</w:t>
            </w:r>
          </w:p>
          <w:p w14:paraId="0648B73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3.开展农作物病虫害绿色防控、统防统治，推广低毒、低残留农药使用。</w:t>
            </w:r>
          </w:p>
          <w:p w14:paraId="525829D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4.加强农药包装废弃物和废弃农膜回收利用，推行农业清洁生产。</w:t>
            </w:r>
          </w:p>
          <w:p w14:paraId="55BE57D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5.加强秸杆综合利用，鼓励秸杆资源化、饲料化、肥料化利用，推动秸杆还田与离田收集。</w:t>
            </w:r>
          </w:p>
          <w:p w14:paraId="7E25CF5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6.严禁将城镇生活垃圾、污泥、工业废物直接用作肥料。</w:t>
            </w:r>
          </w:p>
          <w:p w14:paraId="1A744F6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7.新建、改建、扩建规模化畜禽养殖场（小区）应实施干湿分流、粪便污水资源化利用。已有规模养殖场（小区）要根据污染防治需要，配套建设粪便污水贮存、处理、利用设施。</w:t>
            </w:r>
          </w:p>
          <w:p w14:paraId="16907C7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8.散养密集区实施畜禽粪便污水分户收集、集中处理利用等环境整治。</w:t>
            </w:r>
          </w:p>
          <w:p w14:paraId="7A5CE1E9">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9.严格规范兽药、饲料添加剂的生产和使用，防止过量使用。</w:t>
            </w:r>
          </w:p>
          <w:p w14:paraId="2D35811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10.推进水产生态健康养殖。加强养殖投入品管理，依法规范、限制使用抗生素、激素等化学药品。</w:t>
            </w:r>
          </w:p>
          <w:p w14:paraId="798EF63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11.减少生活污染，促进生活垃圾减量化、资源化、无害化。</w:t>
            </w:r>
          </w:p>
          <w:p w14:paraId="189DD03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12.推进农村环境综合整治，加强农村环境基础设施运行管理。</w:t>
            </w:r>
          </w:p>
        </w:tc>
        <w:tc>
          <w:tcPr>
            <w:tcW w:w="1585" w:type="pct"/>
            <w:tcBorders>
              <w:tl2br w:val="nil"/>
              <w:tr2bl w:val="nil"/>
            </w:tcBorders>
            <w:noWrap w:val="0"/>
            <w:vAlign w:val="center"/>
          </w:tcPr>
          <w:p w14:paraId="01DC5E6B">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eastAsia="zh-CN"/>
              </w:rPr>
              <w:t>为金矿选矿及尾矿库</w:t>
            </w:r>
            <w:r>
              <w:rPr>
                <w:rFonts w:hint="default" w:ascii="Times New Roman" w:hAnsi="Times New Roman" w:cs="Times New Roman"/>
                <w:color w:val="auto"/>
                <w:sz w:val="21"/>
                <w:szCs w:val="21"/>
                <w:highlight w:val="none"/>
                <w:lang w:val="en-US" w:eastAsia="zh-CN"/>
              </w:rPr>
              <w:t>建设项目</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不涉及农业灌溉无总量控制指标；</w:t>
            </w:r>
            <w:r>
              <w:rPr>
                <w:rFonts w:hint="default" w:ascii="Times New Roman" w:hAnsi="Times New Roman" w:cs="Times New Roman"/>
                <w:color w:val="auto"/>
                <w:sz w:val="21"/>
                <w:szCs w:val="21"/>
                <w:highlight w:val="none"/>
              </w:rPr>
              <w:t>工业污染源能够做到全面达标排放，污染物排放总量可以得到有效控制</w:t>
            </w:r>
            <w:r>
              <w:rPr>
                <w:rFonts w:hint="default" w:ascii="Times New Roman" w:hAnsi="Times New Roman" w:cs="Times New Roman"/>
                <w:color w:val="auto"/>
                <w:sz w:val="21"/>
                <w:szCs w:val="21"/>
                <w:highlight w:val="none"/>
                <w:lang w:eastAsia="zh-CN"/>
              </w:rPr>
              <w:t>。</w:t>
            </w:r>
          </w:p>
        </w:tc>
      </w:tr>
      <w:tr w14:paraId="5B736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Borders>
              <w:tl2br w:val="nil"/>
              <w:tr2bl w:val="nil"/>
            </w:tcBorders>
            <w:noWrap w:val="0"/>
            <w:vAlign w:val="center"/>
          </w:tcPr>
          <w:p w14:paraId="507970F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519" w:type="pct"/>
            <w:tcBorders>
              <w:tl2br w:val="nil"/>
              <w:tr2bl w:val="nil"/>
            </w:tcBorders>
            <w:noWrap w:val="0"/>
            <w:vAlign w:val="center"/>
          </w:tcPr>
          <w:p w14:paraId="6E01E68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资源利用效率</w:t>
            </w:r>
          </w:p>
        </w:tc>
        <w:tc>
          <w:tcPr>
            <w:tcW w:w="2601" w:type="pct"/>
            <w:tcBorders>
              <w:tl2br w:val="nil"/>
              <w:tr2bl w:val="nil"/>
            </w:tcBorders>
            <w:noWrap w:val="0"/>
            <w:vAlign w:val="center"/>
          </w:tcPr>
          <w:p w14:paraId="4B1ECB3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1.推广渠道防渗、管道输水、喷灌、微灌等节水灌溉技术，完善灌溉用水计量设施。</w:t>
            </w:r>
          </w:p>
          <w:p w14:paraId="74B79D9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2.大力推进规模化高效节水灌溉，推广农作物节水抗旱技术。</w:t>
            </w:r>
          </w:p>
        </w:tc>
        <w:tc>
          <w:tcPr>
            <w:tcW w:w="1585" w:type="pct"/>
            <w:tcBorders>
              <w:tl2br w:val="nil"/>
              <w:tr2bl w:val="nil"/>
            </w:tcBorders>
            <w:noWrap w:val="0"/>
            <w:vAlign w:val="center"/>
          </w:tcPr>
          <w:p w14:paraId="340A15A9">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eastAsia="zh-CN"/>
              </w:rPr>
              <w:t>选矿生产废水回用于选矿生产，不外排；生活污水经处理达标后</w:t>
            </w:r>
            <w:r>
              <w:rPr>
                <w:rFonts w:hint="default" w:ascii="Times New Roman" w:hAnsi="Times New Roman" w:cs="Times New Roman"/>
                <w:color w:val="auto"/>
                <w:sz w:val="21"/>
                <w:szCs w:val="21"/>
                <w:highlight w:val="none"/>
                <w:lang w:val="en-US" w:eastAsia="zh-CN"/>
              </w:rPr>
              <w:t>回用</w:t>
            </w:r>
            <w:r>
              <w:rPr>
                <w:rFonts w:hint="default" w:ascii="Times New Roman" w:hAnsi="Times New Roman" w:cs="Times New Roman"/>
                <w:color w:val="auto"/>
                <w:sz w:val="21"/>
                <w:szCs w:val="21"/>
                <w:highlight w:val="none"/>
                <w:lang w:eastAsia="zh-CN"/>
              </w:rPr>
              <w:t>，不外排。能够做到水资源循环使用，满足节水及提高水资源利用率；同时应优化能源结构，做到清洁生产。</w:t>
            </w:r>
          </w:p>
        </w:tc>
      </w:tr>
    </w:tbl>
    <w:p w14:paraId="60643DA6">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Times New Roman" w:hAnsi="Times New Roman" w:cs="Times New Roman"/>
          <w:color w:val="auto"/>
          <w:sz w:val="24"/>
          <w:szCs w:val="24"/>
          <w:highlight w:val="none"/>
          <w:lang w:val="en-US" w:eastAsia="zh-CN"/>
        </w:rPr>
      </w:pPr>
      <w:bookmarkStart w:id="552" w:name="_Toc13521_WPSOffice_Level2"/>
      <w:r>
        <w:rPr>
          <w:rFonts w:hint="default" w:ascii="Times New Roman" w:hAnsi="Times New Roman" w:cs="Times New Roman"/>
          <w:color w:val="auto"/>
          <w:szCs w:val="24"/>
          <w:highlight w:val="none"/>
        </w:rPr>
        <w:t>综上所述，本项目符合</w:t>
      </w:r>
      <w:r>
        <w:rPr>
          <w:rFonts w:hint="default" w:cs="Times New Roman"/>
          <w:color w:val="auto"/>
          <w:highlight w:val="none"/>
          <w:lang w:eastAsia="zh-CN"/>
        </w:rPr>
        <w:t>《阿勒泰地区区域空间生态环境评价暨“三线一单”生态环境准入清单》（2023年）</w:t>
      </w:r>
      <w:r>
        <w:rPr>
          <w:rFonts w:hint="default" w:ascii="Times New Roman" w:hAnsi="Times New Roman" w:cs="Times New Roman"/>
          <w:color w:val="auto"/>
          <w:szCs w:val="24"/>
          <w:highlight w:val="none"/>
        </w:rPr>
        <w:t>的</w:t>
      </w:r>
      <w:r>
        <w:rPr>
          <w:rFonts w:hint="default" w:ascii="Times New Roman" w:hAnsi="Times New Roman" w:cs="Times New Roman"/>
          <w:color w:val="auto"/>
          <w:szCs w:val="24"/>
          <w:highlight w:val="none"/>
          <w:lang w:val="en-US" w:eastAsia="zh-CN"/>
        </w:rPr>
        <w:t>相关</w:t>
      </w:r>
      <w:r>
        <w:rPr>
          <w:rFonts w:hint="default" w:ascii="Times New Roman" w:hAnsi="Times New Roman" w:cs="Times New Roman"/>
          <w:color w:val="auto"/>
          <w:szCs w:val="24"/>
          <w:highlight w:val="none"/>
        </w:rPr>
        <w:t>要求。</w:t>
      </w:r>
      <w:bookmarkEnd w:id="552"/>
    </w:p>
    <w:bookmarkEnd w:id="529"/>
    <w:bookmarkEnd w:id="530"/>
    <w:bookmarkEnd w:id="531"/>
    <w:bookmarkEnd w:id="532"/>
    <w:bookmarkEnd w:id="533"/>
    <w:bookmarkEnd w:id="534"/>
    <w:p w14:paraId="157FB19D">
      <w:pPr>
        <w:pStyle w:val="32"/>
        <w:spacing w:after="0"/>
        <w:ind w:left="0" w:leftChars="0" w:firstLine="480"/>
        <w:rPr>
          <w:rFonts w:hint="default" w:ascii="Times New Roman" w:hAnsi="Times New Roman" w:cs="Times New Roman"/>
          <w:color w:val="auto"/>
          <w:kern w:val="0"/>
          <w:sz w:val="24"/>
          <w:highlight w:val="none"/>
        </w:rPr>
        <w:sectPr>
          <w:footerReference r:id="rId20" w:type="default"/>
          <w:footerReference r:id="rId21" w:type="even"/>
          <w:pgSz w:w="11906" w:h="16838"/>
          <w:pgMar w:top="1474" w:right="1474" w:bottom="1474" w:left="1474" w:header="850" w:footer="1134" w:gutter="0"/>
          <w:cols w:space="720" w:num="1"/>
          <w:docGrid w:linePitch="312" w:charSpace="0"/>
        </w:sectPr>
      </w:pPr>
    </w:p>
    <w:p w14:paraId="1ABC5C79">
      <w:pPr>
        <w:pStyle w:val="2"/>
        <w:spacing w:line="720" w:lineRule="exact"/>
        <w:rPr>
          <w:rFonts w:hint="default" w:ascii="Times New Roman" w:hAnsi="Times New Roman" w:cs="Times New Roman"/>
          <w:color w:val="auto"/>
          <w:highlight w:val="none"/>
        </w:rPr>
      </w:pPr>
      <w:bookmarkStart w:id="553" w:name="_Toc107413893"/>
      <w:bookmarkStart w:id="554" w:name="_Toc32433"/>
      <w:bookmarkStart w:id="555" w:name="_Toc1111"/>
      <w:bookmarkStart w:id="556" w:name="_Toc27841"/>
      <w:bookmarkStart w:id="557" w:name="_Toc29042"/>
      <w:bookmarkStart w:id="558" w:name="_Toc18"/>
      <w:bookmarkStart w:id="559" w:name="_Toc25076"/>
      <w:bookmarkStart w:id="560" w:name="_Toc8266"/>
      <w:bookmarkStart w:id="561" w:name="_Toc21890"/>
      <w:bookmarkStart w:id="562" w:name="_Toc22355"/>
      <w:bookmarkStart w:id="563" w:name="_Toc3781"/>
      <w:bookmarkStart w:id="564" w:name="_Toc18763"/>
      <w:bookmarkStart w:id="565" w:name="_Toc14588"/>
      <w:bookmarkStart w:id="566" w:name="_Toc7296"/>
      <w:bookmarkStart w:id="567" w:name="_Toc20957"/>
      <w:bookmarkStart w:id="568" w:name="_Toc14850"/>
      <w:bookmarkStart w:id="569" w:name="_Toc12013"/>
      <w:bookmarkStart w:id="570" w:name="_Toc107414660"/>
      <w:bookmarkStart w:id="571" w:name="_Toc26256"/>
      <w:bookmarkStart w:id="572" w:name="_Toc5990"/>
      <w:bookmarkStart w:id="573" w:name="_Toc29875"/>
      <w:r>
        <w:rPr>
          <w:rFonts w:hint="default" w:ascii="Times New Roman" w:hAnsi="Times New Roman" w:cs="Times New Roman"/>
          <w:color w:val="auto"/>
          <w:highlight w:val="none"/>
        </w:rPr>
        <w:t>4 环境现状调查与评价</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6C192BB4">
      <w:pPr>
        <w:pStyle w:val="3"/>
        <w:rPr>
          <w:rFonts w:hint="default" w:ascii="Times New Roman" w:hAnsi="Times New Roman" w:cs="Times New Roman"/>
          <w:color w:val="auto"/>
          <w:highlight w:val="none"/>
        </w:rPr>
      </w:pPr>
      <w:bookmarkStart w:id="574" w:name="_Toc6404"/>
      <w:bookmarkStart w:id="575" w:name="_Toc17165"/>
      <w:bookmarkStart w:id="576" w:name="_Toc16586"/>
      <w:bookmarkStart w:id="577" w:name="_Toc23778"/>
      <w:bookmarkStart w:id="578" w:name="_Toc31464"/>
      <w:bookmarkStart w:id="579" w:name="_Toc18721"/>
      <w:bookmarkStart w:id="580" w:name="_Toc7162"/>
      <w:bookmarkStart w:id="581" w:name="_Toc21954"/>
      <w:bookmarkStart w:id="582" w:name="_Toc6577"/>
      <w:bookmarkStart w:id="583" w:name="_Toc12566"/>
      <w:bookmarkStart w:id="584" w:name="_Toc18089"/>
      <w:bookmarkStart w:id="585" w:name="_Toc20708"/>
      <w:bookmarkStart w:id="586" w:name="_Toc107413894"/>
      <w:bookmarkStart w:id="587" w:name="_Toc20573"/>
      <w:bookmarkStart w:id="588" w:name="_Toc20671"/>
      <w:bookmarkStart w:id="589" w:name="_Toc23126"/>
      <w:bookmarkStart w:id="590" w:name="_Toc16191"/>
      <w:bookmarkStart w:id="591" w:name="_Toc13312"/>
      <w:bookmarkStart w:id="592" w:name="_Toc107414661"/>
      <w:bookmarkStart w:id="593" w:name="_Toc5122"/>
      <w:bookmarkStart w:id="594" w:name="_Toc21521"/>
      <w:r>
        <w:rPr>
          <w:rFonts w:hint="default" w:ascii="Times New Roman" w:hAnsi="Times New Roman" w:cs="Times New Roman"/>
          <w:color w:val="auto"/>
          <w:highlight w:val="none"/>
        </w:rPr>
        <w:t>4.1自然环境</w:t>
      </w:r>
      <w:bookmarkEnd w:id="574"/>
      <w:r>
        <w:rPr>
          <w:rFonts w:hint="default" w:ascii="Times New Roman" w:hAnsi="Times New Roman" w:cs="Times New Roman"/>
          <w:color w:val="auto"/>
          <w:highlight w:val="none"/>
        </w:rPr>
        <w:t>概况</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64BBEF40">
      <w:pPr>
        <w:pStyle w:val="4"/>
        <w:rPr>
          <w:rFonts w:hint="default" w:ascii="Times New Roman" w:hAnsi="Times New Roman" w:cs="Times New Roman"/>
          <w:color w:val="auto"/>
          <w:highlight w:val="none"/>
        </w:rPr>
      </w:pPr>
      <w:bookmarkStart w:id="595" w:name="_Toc18493"/>
      <w:bookmarkStart w:id="596" w:name="_Toc24507"/>
      <w:bookmarkStart w:id="597" w:name="_Toc29653"/>
      <w:bookmarkStart w:id="598" w:name="_Toc23532"/>
      <w:bookmarkStart w:id="599" w:name="_Toc9800"/>
      <w:bookmarkStart w:id="600" w:name="_Toc26432"/>
      <w:bookmarkStart w:id="601" w:name="_Toc20425"/>
      <w:bookmarkStart w:id="602" w:name="_Toc10252"/>
      <w:bookmarkStart w:id="603" w:name="_Toc6355"/>
      <w:bookmarkStart w:id="604" w:name="_Toc2649"/>
      <w:r>
        <w:rPr>
          <w:rFonts w:hint="default" w:ascii="Times New Roman" w:hAnsi="Times New Roman" w:cs="Times New Roman"/>
          <w:color w:val="auto"/>
          <w:highlight w:val="none"/>
        </w:rPr>
        <w:t>4.1.1地理位置</w:t>
      </w:r>
      <w:bookmarkEnd w:id="595"/>
      <w:bookmarkEnd w:id="596"/>
      <w:bookmarkEnd w:id="597"/>
      <w:bookmarkEnd w:id="598"/>
      <w:bookmarkEnd w:id="599"/>
      <w:bookmarkEnd w:id="600"/>
      <w:bookmarkEnd w:id="601"/>
      <w:bookmarkEnd w:id="602"/>
      <w:bookmarkEnd w:id="603"/>
      <w:bookmarkEnd w:id="604"/>
    </w:p>
    <w:p w14:paraId="577AAF32">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阿勒泰地区，是新疆维吾尔自治区辖地区，由伊犁哈萨克自治州管辖，地处新疆北部，与俄罗斯、哈萨克斯坦、蒙古三国接壤；地貌类型复杂多样，主要划分为山地、丘陵、平原和沙漠，夏季干热，冬季严寒；边境线长1197千米，总面积11.8万平方千米。</w:t>
      </w:r>
      <w:r>
        <w:rPr>
          <w:rFonts w:hint="default" w:ascii="Times New Roman" w:hAnsi="Times New Roman" w:eastAsia="宋体" w:cs="Times New Roman"/>
          <w:color w:val="auto"/>
          <w:highlight w:val="none"/>
        </w:rPr>
        <w:t>截至2023年6月，全地区共辖1个县级市，6个县</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分别是</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"https://baike.baidu.com/item/%E9%98%BF%E5%8B%92%E6%B3%B0%E5%B8%82/0?fromModule=lemma_inlink"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阿勒泰市</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"https://baike.baidu.com/item/%E5%B8%83%E5%B0%94%E6%B4%A5%E5%8E%BF/0?fromModule=lemma_inlink"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布尔津县</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"https://baike.baidu.com/item/%E5%93%88%E5%B7%B4%E6%B2%B3%E5%8E%BF/0?fromModule=lemma_inlink"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哈巴河县</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"https://baike.baidu.com/item/%E5%90%89%E6%9C%A8%E4%B9%83%E5%8E%BF/0?fromModule=lemma_inlink"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吉木乃县</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"https://baike.baidu.com/item/%E7%A6%8F%E6%B5%B7%E5%8E%BF/0?fromModule=lemma_inlink"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福海县</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"https://baike.baidu.com/item/%E5%AF%8C%E8%95%B4%E5%8E%BF/0?fromModule=lemma_inlink"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富蕴县</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"https://baike.baidu.com/item/%E9%9D%92%E6%B2%B3%E5%8E%BF/3787413?fromModule=lemma_inlink"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青河县</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p>
    <w:p w14:paraId="07858F12">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富蕴县地处新疆维吾尔自治区北部，阿勒泰地区东端，额尔齐斯河上游，位于北纬45°00－48°03'，东经88°10'－90°31'。北部与蒙古人民共和国接壤，东临富蕴县，西接福海县，南延准噶尔盆地，与昌吉回族自治州的奇台县、吉木萨尔县、阜康市毗邻。县境南北长约413km，东西宽180km，总面积3.22万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县域内地势复杂，地貌兼有山区、盆地、河谷、戈壁、沙漠五大类，北高南低，海拔一般在800m～1200m之间，最高点都新乌拉峰，海拔3863m，最低海拔317m（三泉洼地）。边境线长约205km。县城距首府乌鲁木齐市480km，距阿勒泰市237.3km。县城海拔800m。</w:t>
      </w:r>
      <w:r>
        <w:rPr>
          <w:rFonts w:hint="default" w:ascii="Times New Roman" w:hAnsi="Times New Roman" w:eastAsia="宋体" w:cs="Times New Roman"/>
          <w:color w:val="auto"/>
          <w:highlight w:val="none"/>
        </w:rPr>
        <w:t>截至2025年7月，富蕴县辖5个镇、5个乡</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分别为</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"https://baike.baidu.com/item/%E5%BA%93%E9%A2%9D%E5%B0%94%E9%BD%90%E6%96%AF%E9%95%87/5941729?fromModule=lemma_inlink"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库额尔齐斯镇</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"https://baike.baidu.com/item/%E5%8F%AF%E5%8F%AF%E6%89%98%E6%B5%B7%E9%95%87/5806489?fromModule=lemma_inlink"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可可托海镇</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"https://baike.baidu.com/item/%E6%81%B0%E5%BA%93%E5%B0%94%E5%9B%BE%E9%95%87/7121103?fromModule=lemma_inlink"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恰库尔图镇</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"https://baike.baidu.com/item/%E5%96%80%E6%8B%89%E9%80%9A%E5%85%8B%E9%95%87/59142901?fromModule=lemma_inlink"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喀拉通克镇</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"https://baike.baidu.com/item/%E6%9D%9C%E7%83%AD%E9%95%87/54075338?fromModule=lemma_inlink"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杜热镇</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"https://baike.baidu.com/item/%E5%90%90%E5%B0%94%E6%B4%AA%E4%B9%A1/5941757?fromModule=lemma_inlink"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吐尔洪乡</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"https://baike.baidu.com/item/%E5%BA%93%E5%B0%94%E7%89%B9%E4%B9%A1/7121185?fromModule=lemma_inlink"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库尔特乡</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"https://baike.baidu.com/item/%E5%85%8B%E5%AD%9C%E5%8B%92%E5%B8%8C%E5%8A%9B%E5%85%8B%E4%B9%A1/54011401?fromModule=lemma_inlink"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克孜勒希力克乡</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"https://baike.baidu.com/item/%E9%93%81%E4%B9%B0%E5%85%8B%E4%B9%A1/5941770?fromModule=lemma_inlink"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铁买克乡</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"https://baike.baidu.com/item/%E5%96%80%E6%8B%89%E5%B8%83%E5%8B%92%E6%A0%B9%E4%B9%A1/5941743?fromModule=lemma_inlink" \t "https://baike.baidu.com/item/_blank"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喀拉布勒根乡</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w:t>
      </w:r>
    </w:p>
    <w:p w14:paraId="71DDA3B4">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本项目位于新疆维吾尔自治区阿勒泰地区富蕴县，位于县城东南144°方位40km处，行政区划属于富蕴县喀拉通克镇管辖。</w:t>
      </w:r>
      <w:r>
        <w:rPr>
          <w:rFonts w:hint="default" w:ascii="Times New Roman" w:hAnsi="Times New Roman" w:cs="Times New Roman"/>
          <w:color w:val="auto"/>
          <w:highlight w:val="none"/>
          <w:lang w:val="en-US" w:eastAsia="zh-CN"/>
        </w:rPr>
        <w:t>选矿厂</w:t>
      </w:r>
      <w:r>
        <w:rPr>
          <w:rFonts w:hint="default" w:ascii="Times New Roman" w:hAnsi="Times New Roman" w:cs="Times New Roman"/>
          <w:color w:val="auto"/>
          <w:highlight w:val="none"/>
        </w:rPr>
        <w:t>中心点坐标：东经89°48</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46"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北纬46°44</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42"</w:t>
      </w:r>
      <w:r>
        <w:rPr>
          <w:rFonts w:hint="default" w:cs="Times New Roman"/>
          <w:color w:val="auto"/>
          <w:szCs w:val="24"/>
          <w:highlight w:val="none"/>
          <w:lang w:eastAsia="zh-CN"/>
        </w:rPr>
        <w:t>；</w:t>
      </w:r>
      <w:r>
        <w:rPr>
          <w:rFonts w:hint="default" w:cs="Times New Roman"/>
          <w:color w:val="auto"/>
          <w:szCs w:val="24"/>
          <w:highlight w:val="none"/>
          <w:lang w:val="en-US" w:eastAsia="zh-CN"/>
        </w:rPr>
        <w:t>尾矿库中心点坐标：</w:t>
      </w:r>
      <w:r>
        <w:rPr>
          <w:rFonts w:hint="default" w:ascii="Times New Roman" w:hAnsi="Times New Roman" w:cs="Times New Roman"/>
          <w:color w:val="auto"/>
          <w:highlight w:val="none"/>
        </w:rPr>
        <w:t>东经</w:t>
      </w:r>
      <w:r>
        <w:rPr>
          <w:rFonts w:hint="default" w:cs="Times New Roman"/>
          <w:color w:val="auto"/>
          <w:szCs w:val="24"/>
          <w:highlight w:val="none"/>
          <w:lang w:val="en-US" w:eastAsia="zh-CN"/>
        </w:rPr>
        <w:t>89</w:t>
      </w:r>
      <w:r>
        <w:rPr>
          <w:rFonts w:hint="default" w:ascii="Times New Roman" w:hAnsi="Times New Roman" w:cs="Times New Roman"/>
          <w:color w:val="auto"/>
          <w:highlight w:val="none"/>
        </w:rPr>
        <w:t>°</w:t>
      </w:r>
      <w:r>
        <w:rPr>
          <w:rFonts w:hint="default" w:cs="Times New Roman"/>
          <w:color w:val="auto"/>
          <w:szCs w:val="24"/>
          <w:highlight w:val="none"/>
          <w:lang w:val="en-US" w:eastAsia="zh-CN"/>
        </w:rPr>
        <w:t>48'27.18"，</w:t>
      </w:r>
      <w:r>
        <w:rPr>
          <w:rFonts w:hint="default" w:ascii="Times New Roman" w:hAnsi="Times New Roman" w:cs="Times New Roman"/>
          <w:color w:val="auto"/>
          <w:highlight w:val="none"/>
        </w:rPr>
        <w:t>北纬</w:t>
      </w:r>
      <w:r>
        <w:rPr>
          <w:rFonts w:hint="default" w:cs="Times New Roman"/>
          <w:color w:val="auto"/>
          <w:szCs w:val="24"/>
          <w:highlight w:val="none"/>
          <w:lang w:val="en-US" w:eastAsia="zh-CN"/>
        </w:rPr>
        <w:t>46</w:t>
      </w:r>
      <w:r>
        <w:rPr>
          <w:rFonts w:hint="default" w:ascii="Times New Roman" w:hAnsi="Times New Roman" w:cs="Times New Roman"/>
          <w:color w:val="auto"/>
          <w:highlight w:val="none"/>
        </w:rPr>
        <w:t>°</w:t>
      </w:r>
      <w:r>
        <w:rPr>
          <w:rFonts w:hint="default" w:cs="Times New Roman"/>
          <w:color w:val="auto"/>
          <w:szCs w:val="24"/>
          <w:highlight w:val="none"/>
          <w:lang w:val="en-US" w:eastAsia="zh-CN"/>
        </w:rPr>
        <w:t>45'19.30"。</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西距五大高速（G216）青河县出口</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14.5km，南距富蕴至清河县省道（S320）</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6.9km，</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区内有县道北东-南西向穿越矿区。可可托海机场位于矿区北西方向约22km，富蕴火车站距离</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区</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30km，火车可直达乌鲁木齐、阿勒泰等城市，交通非常便利</w:t>
      </w:r>
      <w:r>
        <w:rPr>
          <w:rFonts w:hint="default" w:ascii="Times New Roman" w:hAnsi="Times New Roman" w:cs="Times New Roman"/>
          <w:color w:val="auto"/>
          <w:szCs w:val="24"/>
          <w:highlight w:val="none"/>
        </w:rPr>
        <w:t>。</w:t>
      </w:r>
    </w:p>
    <w:p w14:paraId="13E0BD3F">
      <w:pPr>
        <w:pStyle w:val="4"/>
        <w:rPr>
          <w:rFonts w:hint="default" w:ascii="Times New Roman" w:hAnsi="Times New Roman" w:cs="Times New Roman"/>
          <w:color w:val="auto"/>
          <w:highlight w:val="none"/>
        </w:rPr>
      </w:pPr>
      <w:bookmarkStart w:id="605" w:name="_Toc6685"/>
      <w:bookmarkStart w:id="606" w:name="_Toc28124"/>
      <w:bookmarkStart w:id="607" w:name="_Toc30674"/>
      <w:r>
        <w:rPr>
          <w:rFonts w:hint="default" w:ascii="Times New Roman" w:hAnsi="Times New Roman" w:cs="Times New Roman"/>
          <w:color w:val="auto"/>
          <w:highlight w:val="none"/>
        </w:rPr>
        <w:t>4.1.2地形地貌</w:t>
      </w:r>
      <w:bookmarkEnd w:id="605"/>
      <w:bookmarkEnd w:id="606"/>
      <w:bookmarkEnd w:id="607"/>
    </w:p>
    <w:p w14:paraId="1FD8ACE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全县地势自东向西渐次倾斜，由北向南呈明显的阶梯下降。按其地貌特征可分为山区、丘陵、盆地、戈壁、河谷、沙漠等六大类。在总面积中山区约占28%，丘陵约占24.3%，平原约占34.4%，沙漠约占12.5%。</w:t>
      </w:r>
    </w:p>
    <w:p w14:paraId="2D1EFD4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北部山区以阿尔泰分水岭与蒙古人民共和国分界，南乌恰沟一线，全长约90km，其间海拔在1100～3860m之间。境内沟壑纵横、森林稠密、雨量充沛、牧草茂盛，是富蕴县主要夏牧场。再往南是可可托海、喀依尔特、吐尔岷洪等山涧盆地及河谷，这一带水源充足，开发较早，水利设施较好，是富蕴县重要的经济活动区。</w:t>
      </w:r>
    </w:p>
    <w:p w14:paraId="3CB85A2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山区以南到乌伦古河之间是一条宽约80km的荒漠戈壁，是牧业的春秋牧场，乌伦古河由东向西横贯全县，沿河已成为富蕴县第二个经济活动区。</w:t>
      </w:r>
    </w:p>
    <w:p w14:paraId="65AC9F25">
      <w:pPr>
        <w:pStyle w:val="41"/>
        <w:overflowPunct w:val="0"/>
        <w:topLinePunct/>
        <w:spacing w:line="480" w:lineRule="exa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乌伦古河以南少数地区为戈壁、丘陵，其余都是准噶尔盆地大沙漠，是富蕴县主要的冬牧场。</w:t>
      </w:r>
    </w:p>
    <w:p w14:paraId="5399E3F4">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kern w:val="0"/>
          <w:highlight w:val="none"/>
        </w:rPr>
        <w:t>位于阿尔泰山山前地带，地形平坦，为戈壁荒漠地貌，第四系残坡积覆盖面积占80%以上。区内地势开阔平缓，海拔标高1053</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1152</w:t>
      </w:r>
      <w:r>
        <w:rPr>
          <w:rFonts w:hint="default" w:ascii="Times New Roman" w:hAnsi="Times New Roman" w:cs="Times New Roman"/>
          <w:color w:val="auto"/>
          <w:kern w:val="0"/>
          <w:highlight w:val="none"/>
          <w:lang w:eastAsia="zh-CN"/>
        </w:rPr>
        <w:t>m</w:t>
      </w:r>
      <w:r>
        <w:rPr>
          <w:rFonts w:hint="default" w:ascii="Times New Roman" w:hAnsi="Times New Roman" w:cs="Times New Roman"/>
          <w:color w:val="auto"/>
          <w:kern w:val="0"/>
          <w:highlight w:val="none"/>
        </w:rPr>
        <w:t>，相对高差10</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60</w:t>
      </w:r>
      <w:r>
        <w:rPr>
          <w:rFonts w:hint="default" w:ascii="Times New Roman" w:hAnsi="Times New Roman" w:cs="Times New Roman"/>
          <w:color w:val="auto"/>
          <w:kern w:val="0"/>
          <w:highlight w:val="none"/>
          <w:lang w:eastAsia="zh-CN"/>
        </w:rPr>
        <w:t>m</w:t>
      </w:r>
      <w:r>
        <w:rPr>
          <w:rFonts w:hint="default" w:ascii="Times New Roman" w:hAnsi="Times New Roman" w:cs="Times New Roman"/>
          <w:color w:val="auto"/>
          <w:kern w:val="0"/>
          <w:highlight w:val="none"/>
        </w:rPr>
        <w:t>，</w:t>
      </w:r>
      <w:r>
        <w:rPr>
          <w:rFonts w:hint="default" w:ascii="Times New Roman" w:hAnsi="Times New Roman" w:cs="Times New Roman"/>
          <w:color w:val="auto"/>
          <w:highlight w:val="none"/>
        </w:rPr>
        <w:t>矿区内无形态明显沟谷分布</w:t>
      </w:r>
      <w:r>
        <w:rPr>
          <w:rFonts w:hint="default" w:ascii="Times New Roman" w:hAnsi="Times New Roman" w:cs="Times New Roman"/>
          <w:color w:val="auto"/>
          <w:highlight w:val="none"/>
          <w:lang w:val="en-US" w:eastAsia="zh-CN"/>
        </w:rPr>
        <w:t>。项目区</w:t>
      </w:r>
      <w:r>
        <w:rPr>
          <w:rFonts w:hint="default" w:ascii="Times New Roman" w:hAnsi="Times New Roman" w:cs="Times New Roman"/>
          <w:color w:val="auto"/>
          <w:highlight w:val="none"/>
        </w:rPr>
        <w:t>地形平坦，视野开阔，切割微弱，</w:t>
      </w:r>
      <w:r>
        <w:rPr>
          <w:rFonts w:hint="default" w:ascii="Times New Roman" w:hAnsi="Times New Roman" w:cs="Times New Roman"/>
          <w:color w:val="auto"/>
          <w:highlight w:val="none"/>
          <w:lang w:val="en-US" w:eastAsia="zh-CN"/>
        </w:rPr>
        <w:t>项目区</w:t>
      </w:r>
      <w:r>
        <w:rPr>
          <w:rFonts w:hint="default" w:ascii="Times New Roman" w:hAnsi="Times New Roman" w:cs="Times New Roman"/>
          <w:color w:val="auto"/>
          <w:highlight w:val="none"/>
        </w:rPr>
        <w:t>南部为起伏不大的丘状山体，顶部浑圆，边坡较缓，坡度一般5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35°。</w:t>
      </w:r>
    </w:p>
    <w:p w14:paraId="2BC43913">
      <w:pPr>
        <w:pStyle w:val="4"/>
        <w:rPr>
          <w:rFonts w:hint="default" w:ascii="Times New Roman" w:hAnsi="Times New Roman" w:cs="Times New Roman"/>
          <w:color w:val="auto"/>
          <w:highlight w:val="none"/>
        </w:rPr>
      </w:pPr>
      <w:bookmarkStart w:id="608" w:name="_Toc22609"/>
      <w:bookmarkStart w:id="609" w:name="_Toc10168"/>
      <w:bookmarkStart w:id="610" w:name="_Toc8000"/>
      <w:r>
        <w:rPr>
          <w:rFonts w:hint="default" w:ascii="Times New Roman" w:hAnsi="Times New Roman" w:cs="Times New Roman"/>
          <w:color w:val="auto"/>
          <w:highlight w:val="none"/>
        </w:rPr>
        <w:t>4.1.3气象</w:t>
      </w:r>
      <w:bookmarkEnd w:id="608"/>
      <w:bookmarkEnd w:id="609"/>
      <w:bookmarkEnd w:id="610"/>
    </w:p>
    <w:p w14:paraId="64ABD4C5">
      <w:pPr>
        <w:pStyle w:val="41"/>
        <w:overflowPunct w:val="0"/>
        <w:topLinePunct/>
        <w:spacing w:line="480" w:lineRule="exact"/>
        <w:ind w:firstLine="480"/>
        <w:rPr>
          <w:rFonts w:hint="default" w:ascii="Times New Roman" w:hAnsi="Times New Roman" w:eastAsia="宋体" w:cs="Times New Roman"/>
          <w:color w:val="auto"/>
          <w:kern w:val="0"/>
          <w:highlight w:val="none"/>
        </w:rPr>
      </w:pPr>
      <w:r>
        <w:rPr>
          <w:rFonts w:hint="default" w:ascii="Times New Roman" w:hAnsi="Times New Roman" w:cs="Times New Roman"/>
          <w:color w:val="auto"/>
          <w:highlight w:val="none"/>
          <w:lang w:val="en-US" w:eastAsia="zh-CN"/>
        </w:rPr>
        <w:t>富蕴县属温带大陆性寒冷干旱气候，四季分明，其特点是：春旱多风、夏秋短暂、冬季严寒而漫长。气温年变化和日变化大，日照长，蒸发较强，降水少，气候干燥，沙尘天气多。春季升温快，沙尘天气主要集中在春季后期到夏季初期；夏季炎热干燥，降水较其它三季明显增多；秋季降温迅速；冬季天晴雪少，低温期长，风力微弱。</w:t>
      </w:r>
    </w:p>
    <w:p w14:paraId="1DF84C6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根据富蕴县气象站的观测资料统计，富蕴县主要常规气象参数统计资料，见表4.1-1。</w:t>
      </w:r>
    </w:p>
    <w:p w14:paraId="2F65AEAB">
      <w:pPr>
        <w:pStyle w:val="1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表4.1-1    项目所在地区域主要气象参数表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718"/>
        <w:gridCol w:w="1122"/>
        <w:gridCol w:w="1420"/>
        <w:gridCol w:w="1703"/>
        <w:gridCol w:w="1137"/>
        <w:gridCol w:w="1421"/>
      </w:tblGrid>
      <w:tr w14:paraId="37787B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718" w:type="dxa"/>
            <w:tcBorders>
              <w:tl2br w:val="nil"/>
              <w:tr2bl w:val="nil"/>
            </w:tcBorders>
            <w:vAlign w:val="center"/>
          </w:tcPr>
          <w:p w14:paraId="66006F0D">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气象要素</w:t>
            </w:r>
          </w:p>
        </w:tc>
        <w:tc>
          <w:tcPr>
            <w:tcW w:w="1122" w:type="dxa"/>
            <w:tcBorders>
              <w:tl2br w:val="nil"/>
              <w:tr2bl w:val="nil"/>
            </w:tcBorders>
            <w:vAlign w:val="center"/>
          </w:tcPr>
          <w:p w14:paraId="4CBB0011">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单  位</w:t>
            </w:r>
          </w:p>
        </w:tc>
        <w:tc>
          <w:tcPr>
            <w:tcW w:w="1420" w:type="dxa"/>
            <w:tcBorders>
              <w:tl2br w:val="nil"/>
              <w:tr2bl w:val="nil"/>
            </w:tcBorders>
            <w:vAlign w:val="center"/>
          </w:tcPr>
          <w:p w14:paraId="7AF2C366">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观测结果</w:t>
            </w:r>
          </w:p>
        </w:tc>
        <w:tc>
          <w:tcPr>
            <w:tcW w:w="1703" w:type="dxa"/>
            <w:tcBorders>
              <w:tl2br w:val="nil"/>
              <w:tr2bl w:val="nil"/>
            </w:tcBorders>
            <w:vAlign w:val="center"/>
          </w:tcPr>
          <w:p w14:paraId="338B758F">
            <w:pPr>
              <w:pStyle w:val="132"/>
              <w:bidi w:val="0"/>
              <w:ind w:firstLine="0" w:firstLineChars="0"/>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cs="Times New Roman"/>
                <w:b/>
                <w:bCs/>
                <w:color w:val="auto"/>
                <w:highlight w:val="none"/>
                <w:lang w:val="en-US" w:eastAsia="zh-CN"/>
              </w:rPr>
              <w:t>气象要素</w:t>
            </w:r>
          </w:p>
        </w:tc>
        <w:tc>
          <w:tcPr>
            <w:tcW w:w="1137" w:type="dxa"/>
            <w:tcBorders>
              <w:tl2br w:val="nil"/>
              <w:tr2bl w:val="nil"/>
            </w:tcBorders>
            <w:vAlign w:val="center"/>
          </w:tcPr>
          <w:p w14:paraId="00CB6FEC">
            <w:pPr>
              <w:pStyle w:val="132"/>
              <w:bidi w:val="0"/>
              <w:ind w:firstLine="0" w:firstLineChars="0"/>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cs="Times New Roman"/>
                <w:b/>
                <w:bCs/>
                <w:color w:val="auto"/>
                <w:highlight w:val="none"/>
                <w:lang w:val="en-US" w:eastAsia="zh-CN"/>
              </w:rPr>
              <w:t>单  位</w:t>
            </w:r>
          </w:p>
        </w:tc>
        <w:tc>
          <w:tcPr>
            <w:tcW w:w="1421" w:type="dxa"/>
            <w:tcBorders>
              <w:tl2br w:val="nil"/>
              <w:tr2bl w:val="nil"/>
            </w:tcBorders>
            <w:vAlign w:val="center"/>
          </w:tcPr>
          <w:p w14:paraId="66DE6C65">
            <w:pPr>
              <w:pStyle w:val="132"/>
              <w:bidi w:val="0"/>
              <w:ind w:firstLine="0" w:firstLineChars="0"/>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cs="Times New Roman"/>
                <w:b/>
                <w:bCs/>
                <w:color w:val="auto"/>
                <w:highlight w:val="none"/>
                <w:lang w:val="en-US" w:eastAsia="zh-CN"/>
              </w:rPr>
              <w:t>观测结果</w:t>
            </w:r>
          </w:p>
        </w:tc>
      </w:tr>
      <w:tr w14:paraId="5E9831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612FA218">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年平均气温</w:t>
            </w:r>
          </w:p>
        </w:tc>
        <w:tc>
          <w:tcPr>
            <w:tcW w:w="1122" w:type="dxa"/>
            <w:tcBorders>
              <w:tl2br w:val="nil"/>
              <w:tr2bl w:val="nil"/>
            </w:tcBorders>
            <w:vAlign w:val="center"/>
          </w:tcPr>
          <w:p w14:paraId="0A763E1F">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420" w:type="dxa"/>
            <w:tcBorders>
              <w:tl2br w:val="nil"/>
              <w:tr2bl w:val="nil"/>
            </w:tcBorders>
            <w:vAlign w:val="center"/>
          </w:tcPr>
          <w:p w14:paraId="1F4D251F">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1.9</w:t>
            </w:r>
          </w:p>
        </w:tc>
        <w:tc>
          <w:tcPr>
            <w:tcW w:w="1703" w:type="dxa"/>
            <w:tcBorders>
              <w:tl2br w:val="nil"/>
              <w:tr2bl w:val="nil"/>
            </w:tcBorders>
            <w:vAlign w:val="center"/>
          </w:tcPr>
          <w:p w14:paraId="744519CC">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年降水量</w:t>
            </w:r>
          </w:p>
        </w:tc>
        <w:tc>
          <w:tcPr>
            <w:tcW w:w="1137" w:type="dxa"/>
            <w:tcBorders>
              <w:tl2br w:val="nil"/>
              <w:tr2bl w:val="nil"/>
            </w:tcBorders>
            <w:vAlign w:val="center"/>
          </w:tcPr>
          <w:p w14:paraId="5ED1585A">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mm</w:t>
            </w:r>
          </w:p>
        </w:tc>
        <w:tc>
          <w:tcPr>
            <w:tcW w:w="1421" w:type="dxa"/>
            <w:tcBorders>
              <w:tl2br w:val="nil"/>
              <w:tr2bl w:val="nil"/>
            </w:tcBorders>
            <w:vAlign w:val="center"/>
          </w:tcPr>
          <w:p w14:paraId="53A82D7A">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158.3</w:t>
            </w:r>
          </w:p>
        </w:tc>
      </w:tr>
      <w:tr w14:paraId="2FC2F7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42E2356B">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最大风力</w:t>
            </w:r>
          </w:p>
        </w:tc>
        <w:tc>
          <w:tcPr>
            <w:tcW w:w="1122" w:type="dxa"/>
            <w:tcBorders>
              <w:tl2br w:val="nil"/>
              <w:tr2bl w:val="nil"/>
            </w:tcBorders>
            <w:vAlign w:val="center"/>
          </w:tcPr>
          <w:p w14:paraId="6792977E">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级</w:t>
            </w:r>
          </w:p>
        </w:tc>
        <w:tc>
          <w:tcPr>
            <w:tcW w:w="1420" w:type="dxa"/>
            <w:tcBorders>
              <w:tl2br w:val="nil"/>
              <w:tr2bl w:val="nil"/>
            </w:tcBorders>
            <w:vAlign w:val="center"/>
          </w:tcPr>
          <w:p w14:paraId="29E18E85">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1703" w:type="dxa"/>
            <w:tcBorders>
              <w:tl2br w:val="nil"/>
              <w:tr2bl w:val="nil"/>
            </w:tcBorders>
            <w:vAlign w:val="center"/>
          </w:tcPr>
          <w:p w14:paraId="3AE7813B">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年平均蒸发量</w:t>
            </w:r>
          </w:p>
        </w:tc>
        <w:tc>
          <w:tcPr>
            <w:tcW w:w="1137" w:type="dxa"/>
            <w:tcBorders>
              <w:tl2br w:val="nil"/>
              <w:tr2bl w:val="nil"/>
            </w:tcBorders>
            <w:vAlign w:val="center"/>
          </w:tcPr>
          <w:p w14:paraId="10685642">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mm</w:t>
            </w:r>
          </w:p>
        </w:tc>
        <w:tc>
          <w:tcPr>
            <w:tcW w:w="1421" w:type="dxa"/>
            <w:tcBorders>
              <w:tl2br w:val="nil"/>
              <w:tr2bl w:val="nil"/>
            </w:tcBorders>
            <w:vAlign w:val="center"/>
          </w:tcPr>
          <w:p w14:paraId="1A65AD01">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1743</w:t>
            </w:r>
          </w:p>
        </w:tc>
      </w:tr>
      <w:tr w14:paraId="375BF7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73DEA804">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平均风力</w:t>
            </w:r>
          </w:p>
        </w:tc>
        <w:tc>
          <w:tcPr>
            <w:tcW w:w="1122" w:type="dxa"/>
            <w:tcBorders>
              <w:tl2br w:val="nil"/>
              <w:tr2bl w:val="nil"/>
            </w:tcBorders>
            <w:vAlign w:val="center"/>
          </w:tcPr>
          <w:p w14:paraId="420602F5">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级</w:t>
            </w:r>
          </w:p>
        </w:tc>
        <w:tc>
          <w:tcPr>
            <w:tcW w:w="1420" w:type="dxa"/>
            <w:tcBorders>
              <w:tl2br w:val="nil"/>
              <w:tr2bl w:val="nil"/>
            </w:tcBorders>
            <w:vAlign w:val="center"/>
          </w:tcPr>
          <w:p w14:paraId="19625F70">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703" w:type="dxa"/>
            <w:tcBorders>
              <w:tl2br w:val="nil"/>
              <w:tr2bl w:val="nil"/>
            </w:tcBorders>
            <w:vAlign w:val="center"/>
          </w:tcPr>
          <w:p w14:paraId="07D54B7E">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太阳辐射年总量</w:t>
            </w:r>
          </w:p>
        </w:tc>
        <w:tc>
          <w:tcPr>
            <w:tcW w:w="1137" w:type="dxa"/>
            <w:tcBorders>
              <w:tl2br w:val="nil"/>
              <w:tr2bl w:val="nil"/>
            </w:tcBorders>
            <w:vAlign w:val="center"/>
          </w:tcPr>
          <w:p w14:paraId="4939F161">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rPr>
              <w:t>cal/m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a</w:t>
            </w:r>
          </w:p>
        </w:tc>
        <w:tc>
          <w:tcPr>
            <w:tcW w:w="1421" w:type="dxa"/>
            <w:tcBorders>
              <w:tl2br w:val="nil"/>
              <w:tr2bl w:val="nil"/>
            </w:tcBorders>
            <w:vAlign w:val="center"/>
          </w:tcPr>
          <w:p w14:paraId="467AFD15">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133.8</w:t>
            </w:r>
          </w:p>
        </w:tc>
      </w:tr>
      <w:tr w14:paraId="26E5BE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15BCA462">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极端最高气温</w:t>
            </w:r>
          </w:p>
        </w:tc>
        <w:tc>
          <w:tcPr>
            <w:tcW w:w="1122" w:type="dxa"/>
            <w:tcBorders>
              <w:tl2br w:val="nil"/>
              <w:tr2bl w:val="nil"/>
            </w:tcBorders>
            <w:vAlign w:val="center"/>
          </w:tcPr>
          <w:p w14:paraId="1EA073C4">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420" w:type="dxa"/>
            <w:tcBorders>
              <w:tl2br w:val="nil"/>
              <w:tr2bl w:val="nil"/>
            </w:tcBorders>
            <w:vAlign w:val="center"/>
          </w:tcPr>
          <w:p w14:paraId="67E3F365">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38.7</w:t>
            </w:r>
          </w:p>
        </w:tc>
        <w:tc>
          <w:tcPr>
            <w:tcW w:w="1703" w:type="dxa"/>
            <w:tcBorders>
              <w:tl2br w:val="nil"/>
              <w:tr2bl w:val="nil"/>
            </w:tcBorders>
            <w:vAlign w:val="center"/>
          </w:tcPr>
          <w:p w14:paraId="36F5C4F1">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年平均日照时数</w:t>
            </w:r>
          </w:p>
        </w:tc>
        <w:tc>
          <w:tcPr>
            <w:tcW w:w="1137" w:type="dxa"/>
            <w:tcBorders>
              <w:tl2br w:val="nil"/>
              <w:tr2bl w:val="nil"/>
            </w:tcBorders>
            <w:vAlign w:val="center"/>
          </w:tcPr>
          <w:p w14:paraId="0487473E">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w:t>
            </w:r>
          </w:p>
        </w:tc>
        <w:tc>
          <w:tcPr>
            <w:tcW w:w="1421" w:type="dxa"/>
            <w:tcBorders>
              <w:tl2br w:val="nil"/>
              <w:tr2bl w:val="nil"/>
            </w:tcBorders>
            <w:vAlign w:val="center"/>
          </w:tcPr>
          <w:p w14:paraId="14FD4B97">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2869.8</w:t>
            </w:r>
          </w:p>
        </w:tc>
      </w:tr>
      <w:tr w14:paraId="308E97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74667DD5">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极端最低气温</w:t>
            </w:r>
          </w:p>
        </w:tc>
        <w:tc>
          <w:tcPr>
            <w:tcW w:w="1122" w:type="dxa"/>
            <w:tcBorders>
              <w:tl2br w:val="nil"/>
              <w:tr2bl w:val="nil"/>
            </w:tcBorders>
            <w:vAlign w:val="center"/>
          </w:tcPr>
          <w:p w14:paraId="7E9C9F7F">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420" w:type="dxa"/>
            <w:tcBorders>
              <w:tl2br w:val="nil"/>
              <w:tr2bl w:val="nil"/>
            </w:tcBorders>
            <w:vAlign w:val="center"/>
          </w:tcPr>
          <w:p w14:paraId="02DA5D54">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-49.8</w:t>
            </w:r>
          </w:p>
        </w:tc>
        <w:tc>
          <w:tcPr>
            <w:tcW w:w="1703" w:type="dxa"/>
            <w:tcBorders>
              <w:tl2br w:val="nil"/>
              <w:tr2bl w:val="nil"/>
            </w:tcBorders>
            <w:vAlign w:val="center"/>
          </w:tcPr>
          <w:p w14:paraId="6EC5E047">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年平均气压</w:t>
            </w:r>
          </w:p>
        </w:tc>
        <w:tc>
          <w:tcPr>
            <w:tcW w:w="1137" w:type="dxa"/>
            <w:tcBorders>
              <w:tl2br w:val="nil"/>
              <w:tr2bl w:val="nil"/>
            </w:tcBorders>
            <w:vAlign w:val="center"/>
          </w:tcPr>
          <w:p w14:paraId="56F9A1A7">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hpa</w:t>
            </w:r>
          </w:p>
        </w:tc>
        <w:tc>
          <w:tcPr>
            <w:tcW w:w="1421" w:type="dxa"/>
            <w:tcBorders>
              <w:tl2br w:val="nil"/>
              <w:tr2bl w:val="nil"/>
            </w:tcBorders>
            <w:vAlign w:val="center"/>
          </w:tcPr>
          <w:p w14:paraId="0C981303">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926.1</w:t>
            </w:r>
          </w:p>
        </w:tc>
      </w:tr>
      <w:tr w14:paraId="4E5538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58E293F9">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平均年较差</w:t>
            </w:r>
          </w:p>
        </w:tc>
        <w:tc>
          <w:tcPr>
            <w:tcW w:w="1122" w:type="dxa"/>
            <w:tcBorders>
              <w:tl2br w:val="nil"/>
              <w:tr2bl w:val="nil"/>
            </w:tcBorders>
            <w:vAlign w:val="center"/>
          </w:tcPr>
          <w:p w14:paraId="5ED4B2AC">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p>
        </w:tc>
        <w:tc>
          <w:tcPr>
            <w:tcW w:w="1420" w:type="dxa"/>
            <w:tcBorders>
              <w:tl2br w:val="nil"/>
              <w:tr2bl w:val="nil"/>
            </w:tcBorders>
            <w:vAlign w:val="center"/>
          </w:tcPr>
          <w:p w14:paraId="592C3F2A">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43.3</w:t>
            </w:r>
          </w:p>
        </w:tc>
        <w:tc>
          <w:tcPr>
            <w:tcW w:w="1703" w:type="dxa"/>
            <w:tcBorders>
              <w:tl2br w:val="nil"/>
              <w:tr2bl w:val="nil"/>
            </w:tcBorders>
            <w:vAlign w:val="center"/>
          </w:tcPr>
          <w:p w14:paraId="6DCFF3FA">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年平均风速</w:t>
            </w:r>
          </w:p>
        </w:tc>
        <w:tc>
          <w:tcPr>
            <w:tcW w:w="1137" w:type="dxa"/>
            <w:tcBorders>
              <w:tl2br w:val="nil"/>
              <w:tr2bl w:val="nil"/>
            </w:tcBorders>
            <w:vAlign w:val="center"/>
          </w:tcPr>
          <w:p w14:paraId="623308FE">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m/s</w:t>
            </w:r>
          </w:p>
        </w:tc>
        <w:tc>
          <w:tcPr>
            <w:tcW w:w="1421" w:type="dxa"/>
            <w:tcBorders>
              <w:tl2br w:val="nil"/>
              <w:tr2bl w:val="nil"/>
            </w:tcBorders>
            <w:vAlign w:val="center"/>
          </w:tcPr>
          <w:p w14:paraId="18D29F29">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1.9</w:t>
            </w:r>
          </w:p>
        </w:tc>
      </w:tr>
      <w:tr w14:paraId="54E365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2B2226CB">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年主导风向</w:t>
            </w:r>
          </w:p>
        </w:tc>
        <w:tc>
          <w:tcPr>
            <w:tcW w:w="1122" w:type="dxa"/>
            <w:tcBorders>
              <w:tl2br w:val="nil"/>
              <w:tr2bl w:val="nil"/>
            </w:tcBorders>
            <w:vAlign w:val="center"/>
          </w:tcPr>
          <w:p w14:paraId="0C91BAAC">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420" w:type="dxa"/>
            <w:tcBorders>
              <w:tl2br w:val="nil"/>
              <w:tr2bl w:val="nil"/>
            </w:tcBorders>
            <w:vAlign w:val="center"/>
          </w:tcPr>
          <w:p w14:paraId="37ED88AC">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WN</w:t>
            </w:r>
          </w:p>
        </w:tc>
        <w:tc>
          <w:tcPr>
            <w:tcW w:w="1703" w:type="dxa"/>
            <w:tcBorders>
              <w:tl2br w:val="nil"/>
              <w:tr2bl w:val="nil"/>
            </w:tcBorders>
            <w:vAlign w:val="center"/>
          </w:tcPr>
          <w:p w14:paraId="0BE74918">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最大冻土深度</w:t>
            </w:r>
          </w:p>
        </w:tc>
        <w:tc>
          <w:tcPr>
            <w:tcW w:w="1137" w:type="dxa"/>
            <w:tcBorders>
              <w:tl2br w:val="nil"/>
              <w:tr2bl w:val="nil"/>
            </w:tcBorders>
            <w:vAlign w:val="center"/>
          </w:tcPr>
          <w:p w14:paraId="46A4203E">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cm</w:t>
            </w:r>
          </w:p>
        </w:tc>
        <w:tc>
          <w:tcPr>
            <w:tcW w:w="1421" w:type="dxa"/>
            <w:tcBorders>
              <w:tl2br w:val="nil"/>
              <w:tr2bl w:val="nil"/>
            </w:tcBorders>
            <w:vAlign w:val="center"/>
          </w:tcPr>
          <w:p w14:paraId="63C8E537">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172</w:t>
            </w:r>
          </w:p>
        </w:tc>
      </w:tr>
      <w:tr w14:paraId="1F1E47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718" w:type="dxa"/>
            <w:tcBorders>
              <w:tl2br w:val="nil"/>
              <w:tr2bl w:val="nil"/>
            </w:tcBorders>
            <w:vAlign w:val="center"/>
          </w:tcPr>
          <w:p w14:paraId="4863C239">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全年雨雪日数</w:t>
            </w:r>
          </w:p>
        </w:tc>
        <w:tc>
          <w:tcPr>
            <w:tcW w:w="1122" w:type="dxa"/>
            <w:tcBorders>
              <w:tl2br w:val="nil"/>
              <w:tr2bl w:val="nil"/>
            </w:tcBorders>
            <w:vAlign w:val="center"/>
          </w:tcPr>
          <w:p w14:paraId="5276EF34">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d</w:t>
            </w:r>
          </w:p>
        </w:tc>
        <w:tc>
          <w:tcPr>
            <w:tcW w:w="1420" w:type="dxa"/>
            <w:tcBorders>
              <w:tl2br w:val="nil"/>
              <w:tr2bl w:val="nil"/>
            </w:tcBorders>
            <w:vAlign w:val="center"/>
          </w:tcPr>
          <w:p w14:paraId="2477B93A">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42.7</w:t>
            </w:r>
          </w:p>
        </w:tc>
        <w:tc>
          <w:tcPr>
            <w:tcW w:w="1703" w:type="dxa"/>
            <w:tcBorders>
              <w:tl2br w:val="nil"/>
              <w:tr2bl w:val="nil"/>
            </w:tcBorders>
            <w:vAlign w:val="center"/>
          </w:tcPr>
          <w:p w14:paraId="62416B5E">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无霜期</w:t>
            </w:r>
          </w:p>
        </w:tc>
        <w:tc>
          <w:tcPr>
            <w:tcW w:w="1137" w:type="dxa"/>
            <w:tcBorders>
              <w:tl2br w:val="nil"/>
              <w:tr2bl w:val="nil"/>
            </w:tcBorders>
            <w:vAlign w:val="center"/>
          </w:tcPr>
          <w:p w14:paraId="0794D0C5">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d</w:t>
            </w:r>
          </w:p>
        </w:tc>
        <w:tc>
          <w:tcPr>
            <w:tcW w:w="1421" w:type="dxa"/>
            <w:tcBorders>
              <w:tl2br w:val="nil"/>
              <w:tr2bl w:val="nil"/>
            </w:tcBorders>
            <w:vAlign w:val="center"/>
          </w:tcPr>
          <w:p w14:paraId="428875ED">
            <w:pPr>
              <w:pStyle w:val="1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140</w:t>
            </w:r>
          </w:p>
        </w:tc>
      </w:tr>
    </w:tbl>
    <w:p w14:paraId="37CC2986">
      <w:pPr>
        <w:pStyle w:val="41"/>
        <w:overflowPunct w:val="0"/>
        <w:topLinePunct/>
        <w:spacing w:line="480" w:lineRule="exact"/>
        <w:ind w:firstLine="480"/>
        <w:rPr>
          <w:rFonts w:hint="default" w:ascii="Times New Roman" w:hAnsi="Times New Roman" w:eastAsia="宋体" w:cs="Times New Roman"/>
          <w:color w:val="auto"/>
          <w:kern w:val="0"/>
          <w:highlight w:val="none"/>
        </w:rPr>
      </w:pPr>
    </w:p>
    <w:p w14:paraId="107E627A">
      <w:pPr>
        <w:pStyle w:val="4"/>
        <w:rPr>
          <w:rFonts w:hint="default" w:ascii="Times New Roman" w:hAnsi="Times New Roman" w:cs="Times New Roman"/>
          <w:color w:val="auto"/>
          <w:highlight w:val="none"/>
        </w:rPr>
      </w:pPr>
      <w:bookmarkStart w:id="611" w:name="_Toc26969"/>
      <w:bookmarkStart w:id="612" w:name="_Toc24081"/>
      <w:bookmarkStart w:id="613" w:name="_Toc24642"/>
      <w:r>
        <w:rPr>
          <w:rFonts w:hint="default" w:ascii="Times New Roman" w:hAnsi="Times New Roman" w:cs="Times New Roman"/>
          <w:color w:val="auto"/>
          <w:highlight w:val="none"/>
        </w:rPr>
        <w:t>4.1.4水文</w:t>
      </w:r>
      <w:bookmarkEnd w:id="611"/>
      <w:bookmarkEnd w:id="612"/>
      <w:bookmarkEnd w:id="613"/>
    </w:p>
    <w:p w14:paraId="3F9400B9">
      <w:pPr>
        <w:pStyle w:val="5"/>
        <w:tabs>
          <w:tab w:val="left" w:pos="2041"/>
          <w:tab w:val="left" w:pos="3402"/>
        </w:tabs>
        <w:ind w:firstLine="482" w:firstLineChars="200"/>
        <w:rPr>
          <w:rFonts w:hint="default" w:ascii="Times New Roman" w:hAnsi="Times New Roman" w:cs="Times New Roman"/>
          <w:bCs/>
          <w:color w:val="auto"/>
          <w:highlight w:val="none"/>
        </w:rPr>
      </w:pPr>
      <w:bookmarkStart w:id="614" w:name="_Toc6178"/>
      <w:bookmarkStart w:id="615" w:name="_Toc26632"/>
      <w:bookmarkStart w:id="616" w:name="_Toc24499"/>
      <w:bookmarkStart w:id="617" w:name="_Toc27602"/>
      <w:bookmarkStart w:id="618" w:name="_Toc8479"/>
      <w:bookmarkStart w:id="619" w:name="_Toc32134"/>
      <w:r>
        <w:rPr>
          <w:rFonts w:hint="default" w:ascii="Times New Roman" w:hAnsi="Times New Roman" w:cs="Times New Roman"/>
          <w:bCs/>
          <w:color w:val="auto"/>
          <w:highlight w:val="none"/>
        </w:rPr>
        <w:t>4.1.4.1地表水</w:t>
      </w:r>
    </w:p>
    <w:bookmarkEnd w:id="614"/>
    <w:bookmarkEnd w:id="615"/>
    <w:bookmarkEnd w:id="616"/>
    <w:bookmarkEnd w:id="617"/>
    <w:bookmarkEnd w:id="618"/>
    <w:bookmarkEnd w:id="619"/>
    <w:p w14:paraId="1A225F70">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项目</w:t>
      </w:r>
      <w:r>
        <w:rPr>
          <w:rFonts w:hint="default" w:ascii="Times New Roman" w:hAnsi="Times New Roman" w:cs="Times New Roman"/>
          <w:color w:val="auto"/>
          <w:kern w:val="0"/>
          <w:highlight w:val="none"/>
        </w:rPr>
        <w:t>区</w:t>
      </w:r>
      <w:r>
        <w:rPr>
          <w:rFonts w:hint="default" w:ascii="Times New Roman" w:hAnsi="Times New Roman" w:cs="Times New Roman"/>
          <w:color w:val="auto"/>
          <w:kern w:val="0"/>
          <w:highlight w:val="none"/>
          <w:lang w:val="en-US" w:eastAsia="zh-CN"/>
        </w:rPr>
        <w:t>评价范围</w:t>
      </w:r>
      <w:r>
        <w:rPr>
          <w:rFonts w:hint="default" w:ascii="Times New Roman" w:hAnsi="Times New Roman" w:cs="Times New Roman"/>
          <w:color w:val="auto"/>
          <w:kern w:val="0"/>
          <w:highlight w:val="none"/>
        </w:rPr>
        <w:t>内无常年地表水流，但局部季节性冲沟发育，暴雨形成的洪水和冰雪融水等形成的暂时性地表流水，在顺地形坡度向矿区内低凹处汇集运移时，可通过地表风化、构造裂隙、岩石孔隙等缓慢渗透补给地下水，由于暂时性地表水通过时，时间短、速度快，对地下水的补给主要表现在瞬间补给。</w:t>
      </w:r>
    </w:p>
    <w:p w14:paraId="0A6E43E5">
      <w:pPr>
        <w:pStyle w:val="41"/>
        <w:overflowPunct w:val="0"/>
        <w:topLinePunct/>
        <w:spacing w:line="480" w:lineRule="exact"/>
        <w:ind w:firstLine="480"/>
        <w:rPr>
          <w:rFonts w:hint="default" w:ascii="Times New Roman" w:hAnsi="Times New Roman" w:cs="Times New Roman"/>
          <w:color w:val="auto"/>
          <w:kern w:val="0"/>
          <w:highlight w:val="none"/>
        </w:rPr>
      </w:pPr>
      <w:r>
        <w:rPr>
          <w:rFonts w:hint="eastAsia"/>
          <w:color w:val="auto"/>
          <w:lang w:val="en-US" w:eastAsia="zh-CN"/>
        </w:rPr>
        <w:t>距离本项目最近的水体为矿区北侧1.02km的</w:t>
      </w:r>
      <w:r>
        <w:rPr>
          <w:rFonts w:hint="eastAsia"/>
          <w:color w:val="auto"/>
          <w:lang w:eastAsia="zh-CN"/>
        </w:rPr>
        <w:t>喀拉通克河左支一河，属于额尔齐斯河水系，是喀拉通克河左岸一级支流。喀拉通克河左支一河位于富蕴县喀拉通克镇境内，多年平均流量0.8～1.5 m</w:t>
      </w:r>
      <w:r>
        <w:rPr>
          <w:rFonts w:hint="eastAsia"/>
          <w:color w:val="auto"/>
          <w:vertAlign w:val="superscript"/>
          <w:lang w:val="en-US" w:eastAsia="zh-CN"/>
        </w:rPr>
        <w:t>3</w:t>
      </w:r>
      <w:r>
        <w:rPr>
          <w:rFonts w:hint="eastAsia"/>
          <w:color w:val="auto"/>
          <w:lang w:eastAsia="zh-CN"/>
        </w:rPr>
        <w:t>/s，流域内径流依靠融雪、融冰及降雨补给，春汛洪峰突出，7—8月多短时山洪，河道冬季封冻约100–120天。河水泥沙含量随水位涨落变化明显，枯水期流量较小，部分河段</w:t>
      </w:r>
      <w:r>
        <w:rPr>
          <w:rFonts w:hint="eastAsia"/>
          <w:color w:val="auto"/>
          <w:lang w:val="en-US" w:eastAsia="zh-CN"/>
        </w:rPr>
        <w:t>枯水季</w:t>
      </w:r>
      <w:r>
        <w:rPr>
          <w:rFonts w:hint="eastAsia"/>
          <w:color w:val="auto"/>
          <w:lang w:eastAsia="zh-CN"/>
        </w:rPr>
        <w:t>断流。</w:t>
      </w:r>
    </w:p>
    <w:p w14:paraId="76223976">
      <w:pPr>
        <w:pStyle w:val="5"/>
        <w:tabs>
          <w:tab w:val="left" w:pos="2041"/>
          <w:tab w:val="left" w:pos="3402"/>
        </w:tabs>
        <w:ind w:firstLine="482"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4.1.4.2地下水</w:t>
      </w:r>
    </w:p>
    <w:p w14:paraId="6A1CA2C5">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（1）区域水文地质概况</w:t>
      </w:r>
    </w:p>
    <w:p w14:paraId="37198408">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①区域地下水类型及其含水层特征</w:t>
      </w:r>
    </w:p>
    <w:p w14:paraId="68EB089C">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区域地下水类型与主要含水岩组大致可划分为基岩裂隙潜水、断裂构造带裂隙水和第四系冲洪积孔隙潜水三个含水岩组，简述如下：</w:t>
      </w:r>
    </w:p>
    <w:p w14:paraId="1BB6437B">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A.基岩裂隙潜水</w:t>
      </w:r>
    </w:p>
    <w:p w14:paraId="3A47945C">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含水层岩性主要为泥盆系和上石炭系的片麻岩、各种混合岩以及华力西期花岗岩、花岗斑岩等，这些岩层均不同程度的含裂隙潜水，其富水性取决于岩层的裂隙发育程度，贫富差异较大。一般来讲，在基岩裂隙发育的密集带、基岩裂隙交汇处，有较丰富的裂隙潜水，在地形切割剧烈的地段，裂隙潜水则以泉水的形式溢出地表，单泉流量一般为0.2～1.0L/S。水化学类型一般为HCO</w:t>
      </w:r>
      <w:r>
        <w:rPr>
          <w:rFonts w:hint="default" w:ascii="Times New Roman" w:hAnsi="Times New Roman" w:eastAsia="宋体" w:cs="Times New Roman"/>
          <w:color w:val="auto"/>
          <w:kern w:val="0"/>
          <w:highlight w:val="none"/>
          <w:vertAlign w:val="subscript"/>
          <w:lang w:val="en-US" w:eastAsia="zh-CN"/>
        </w:rPr>
        <w:t>3</w:t>
      </w:r>
      <w:r>
        <w:rPr>
          <w:rFonts w:hint="default" w:ascii="Times New Roman" w:hAnsi="Times New Roman" w:eastAsia="宋体" w:cs="Times New Roman"/>
          <w:color w:val="auto"/>
          <w:kern w:val="0"/>
          <w:highlight w:val="none"/>
          <w:lang w:val="en-US" w:eastAsia="zh-CN"/>
        </w:rPr>
        <w:t>-Ca型水或HCO</w:t>
      </w:r>
      <w:r>
        <w:rPr>
          <w:rFonts w:hint="default" w:ascii="Times New Roman" w:hAnsi="Times New Roman" w:eastAsia="宋体" w:cs="Times New Roman"/>
          <w:color w:val="auto"/>
          <w:kern w:val="0"/>
          <w:highlight w:val="none"/>
          <w:vertAlign w:val="subscript"/>
          <w:lang w:val="en-US" w:eastAsia="zh-CN"/>
        </w:rPr>
        <w:t>3</w:t>
      </w:r>
      <w:r>
        <w:rPr>
          <w:rFonts w:hint="default" w:ascii="Times New Roman" w:hAnsi="Times New Roman" w:eastAsia="宋体" w:cs="Times New Roman"/>
          <w:color w:val="auto"/>
          <w:kern w:val="0"/>
          <w:highlight w:val="none"/>
          <w:lang w:val="en-US" w:eastAsia="zh-CN"/>
        </w:rPr>
        <w:t>-Ca•Mg型水，矿化度＜0.3g/L。</w:t>
      </w:r>
    </w:p>
    <w:p w14:paraId="67135C9E">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B.裂隙构造带裂隙水</w:t>
      </w:r>
    </w:p>
    <w:p w14:paraId="6CD51960">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主要分布于乌恰—库尔提断裂带、科沙哈拉断裂和额尔齐斯断裂带内，其特征是：地下水以泉的形式沿断裂带呈条带状展布，由于断裂构造多呈压扭性，透水性微弱，起阻水作用，因此地下水局部以上升泉的形式出露地表，单泉涌水量达1.0L/S，是附近居民和牧民转场的栖息场所和人畜饮用水源地；另一特征是：喜水植物芨芨草沿断裂带呈线状、条带状分布，地下水埋藏较浅，一般为3～5m，水化学类型为HCO</w:t>
      </w:r>
      <w:r>
        <w:rPr>
          <w:rFonts w:hint="default" w:ascii="Times New Roman" w:hAnsi="Times New Roman" w:eastAsia="宋体" w:cs="Times New Roman"/>
          <w:color w:val="auto"/>
          <w:kern w:val="0"/>
          <w:highlight w:val="none"/>
          <w:vertAlign w:val="subscript"/>
          <w:lang w:val="en-US" w:eastAsia="zh-CN"/>
        </w:rPr>
        <w:t>3</w:t>
      </w:r>
      <w:r>
        <w:rPr>
          <w:rFonts w:hint="default" w:ascii="Times New Roman" w:hAnsi="Times New Roman" w:eastAsia="宋体" w:cs="Times New Roman"/>
          <w:color w:val="auto"/>
          <w:kern w:val="0"/>
          <w:highlight w:val="none"/>
          <w:lang w:val="en-US" w:eastAsia="zh-CN"/>
        </w:rPr>
        <w:t>•SO</w:t>
      </w:r>
      <w:r>
        <w:rPr>
          <w:rFonts w:hint="default" w:ascii="Times New Roman" w:hAnsi="Times New Roman" w:eastAsia="宋体" w:cs="Times New Roman"/>
          <w:color w:val="auto"/>
          <w:kern w:val="0"/>
          <w:highlight w:val="none"/>
          <w:vertAlign w:val="subscript"/>
          <w:lang w:val="en-US" w:eastAsia="zh-CN"/>
        </w:rPr>
        <w:t>4</w:t>
      </w:r>
      <w:r>
        <w:rPr>
          <w:rFonts w:hint="default" w:ascii="Times New Roman" w:hAnsi="Times New Roman" w:eastAsia="宋体" w:cs="Times New Roman"/>
          <w:color w:val="auto"/>
          <w:kern w:val="0"/>
          <w:highlight w:val="none"/>
          <w:lang w:val="en-US" w:eastAsia="zh-CN"/>
        </w:rPr>
        <w:t>-Ca型水或HCO</w:t>
      </w:r>
      <w:r>
        <w:rPr>
          <w:rFonts w:hint="default" w:ascii="Times New Roman" w:hAnsi="Times New Roman" w:eastAsia="宋体" w:cs="Times New Roman"/>
          <w:color w:val="auto"/>
          <w:kern w:val="0"/>
          <w:highlight w:val="none"/>
          <w:vertAlign w:val="subscript"/>
          <w:lang w:val="en-US" w:eastAsia="zh-CN"/>
        </w:rPr>
        <w:t>3</w:t>
      </w:r>
      <w:r>
        <w:rPr>
          <w:rFonts w:hint="default" w:ascii="Times New Roman" w:hAnsi="Times New Roman" w:eastAsia="宋体" w:cs="Times New Roman"/>
          <w:color w:val="auto"/>
          <w:kern w:val="0"/>
          <w:highlight w:val="none"/>
          <w:lang w:val="en-US" w:eastAsia="zh-CN"/>
        </w:rPr>
        <w:t>•SO</w:t>
      </w:r>
      <w:r>
        <w:rPr>
          <w:rFonts w:hint="default" w:ascii="Times New Roman" w:hAnsi="Times New Roman" w:eastAsia="宋体" w:cs="Times New Roman"/>
          <w:color w:val="auto"/>
          <w:kern w:val="0"/>
          <w:highlight w:val="none"/>
          <w:vertAlign w:val="subscript"/>
          <w:lang w:val="en-US" w:eastAsia="zh-CN"/>
        </w:rPr>
        <w:t>4</w:t>
      </w:r>
      <w:r>
        <w:rPr>
          <w:rFonts w:hint="default" w:ascii="Times New Roman" w:hAnsi="Times New Roman" w:eastAsia="宋体" w:cs="Times New Roman"/>
          <w:color w:val="auto"/>
          <w:kern w:val="0"/>
          <w:highlight w:val="none"/>
          <w:lang w:val="en-US" w:eastAsia="zh-CN"/>
        </w:rPr>
        <w:t>-Ca•K+Na型水，矿化度＜0.5g/L。</w:t>
      </w:r>
    </w:p>
    <w:p w14:paraId="463B5B01">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C.第四系冲洪积层孔隙潜水</w:t>
      </w:r>
    </w:p>
    <w:p w14:paraId="5EC00DE6">
      <w:pPr>
        <w:widowControl/>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主要分布于额尔齐斯河谷地内，其次为额尔齐斯河北侧的苏普特河和库尔提河的漫滩及阶地上，呈条带状分布。含水介质为冲洪积的砂卵砾石、砂砾石及砂层，结构疏松，主要受河水的侧向补给，其次受大气降水的垂直补给。砂卵砾石及砂层中蕴含较丰富的孔隙潜水。含水层厚度2～20m，单井涌水量一般在300～1000T/d。据河水水质分析结果：矿化度0.24g/L，pH值7.4，SO</w:t>
      </w:r>
      <w:r>
        <w:rPr>
          <w:rFonts w:hint="default" w:ascii="Times New Roman" w:hAnsi="Times New Roman" w:eastAsia="宋体" w:cs="Times New Roman"/>
          <w:color w:val="auto"/>
          <w:kern w:val="0"/>
          <w:highlight w:val="none"/>
          <w:vertAlign w:val="subscript"/>
          <w:lang w:val="en-US" w:eastAsia="zh-CN"/>
        </w:rPr>
        <w:t>4</w:t>
      </w:r>
      <w:r>
        <w:rPr>
          <w:rFonts w:hint="default" w:ascii="Times New Roman" w:hAnsi="Times New Roman" w:eastAsia="宋体" w:cs="Times New Roman"/>
          <w:color w:val="auto"/>
          <w:kern w:val="0"/>
          <w:highlight w:val="none"/>
          <w:lang w:val="en-US" w:eastAsia="zh-CN"/>
        </w:rPr>
        <w:t>含量23.1mg/L，对混凝土结构和钢筋无腐蚀性，地表水的水化学类型为HCO</w:t>
      </w:r>
      <w:r>
        <w:rPr>
          <w:rFonts w:hint="default" w:ascii="Times New Roman" w:hAnsi="Times New Roman" w:eastAsia="宋体" w:cs="Times New Roman"/>
          <w:color w:val="auto"/>
          <w:kern w:val="0"/>
          <w:highlight w:val="none"/>
          <w:vertAlign w:val="subscript"/>
          <w:lang w:val="en-US" w:eastAsia="zh-CN"/>
        </w:rPr>
        <w:t>3</w:t>
      </w:r>
      <w:r>
        <w:rPr>
          <w:rFonts w:hint="default" w:ascii="Times New Roman" w:hAnsi="Times New Roman" w:eastAsia="宋体" w:cs="Times New Roman"/>
          <w:color w:val="auto"/>
          <w:kern w:val="0"/>
          <w:highlight w:val="none"/>
          <w:lang w:val="en-US" w:eastAsia="zh-CN"/>
        </w:rPr>
        <w:t>-Ca型水；地下水矿化度0.25g/L，水化学类型为SO</w:t>
      </w:r>
      <w:r>
        <w:rPr>
          <w:rFonts w:hint="default" w:ascii="Times New Roman" w:hAnsi="Times New Roman" w:eastAsia="宋体" w:cs="Times New Roman"/>
          <w:color w:val="auto"/>
          <w:kern w:val="0"/>
          <w:highlight w:val="none"/>
          <w:vertAlign w:val="subscript"/>
          <w:lang w:val="en-US" w:eastAsia="zh-CN"/>
        </w:rPr>
        <w:t>4</w:t>
      </w:r>
      <w:r>
        <w:rPr>
          <w:rFonts w:hint="default" w:ascii="Times New Roman" w:hAnsi="Times New Roman" w:eastAsia="宋体" w:cs="Times New Roman"/>
          <w:color w:val="auto"/>
          <w:kern w:val="0"/>
          <w:highlight w:val="none"/>
          <w:lang w:val="en-US" w:eastAsia="zh-CN"/>
        </w:rPr>
        <w:t>-K+Na•Ca型水或CO</w:t>
      </w:r>
      <w:r>
        <w:rPr>
          <w:rFonts w:hint="default" w:ascii="Times New Roman" w:hAnsi="Times New Roman" w:eastAsia="宋体" w:cs="Times New Roman"/>
          <w:color w:val="auto"/>
          <w:kern w:val="0"/>
          <w:highlight w:val="none"/>
          <w:vertAlign w:val="subscript"/>
          <w:lang w:val="en-US" w:eastAsia="zh-CN"/>
        </w:rPr>
        <w:t>3</w:t>
      </w:r>
      <w:r>
        <w:rPr>
          <w:rFonts w:hint="default" w:ascii="Times New Roman" w:hAnsi="Times New Roman" w:eastAsia="宋体" w:cs="Times New Roman"/>
          <w:color w:val="auto"/>
          <w:kern w:val="0"/>
          <w:highlight w:val="none"/>
          <w:lang w:val="en-US" w:eastAsia="zh-CN"/>
        </w:rPr>
        <w:t>-K+Na•Ca型水。因此河水和地下水对于生活饮用、农业灌溉、工业用水均能满足要求，水质优良。</w:t>
      </w:r>
    </w:p>
    <w:p w14:paraId="0C575F47">
      <w:pPr>
        <w:widowControl/>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lang w:eastAsia="zh-CN"/>
        </w:rPr>
        <w:t>地下水补、迳、排特征</w:t>
      </w:r>
    </w:p>
    <w:p w14:paraId="6DEED057">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地下水的形成、运移及赋存受地形、地貌、地层、岩性结构、水文、气象等诸多因素的制约，山区、平原区差异很大。矿区所在区域地下水的总体规律为：北部及东部高中山区是地下水的总发源地和补给区，中山带是地下水补给、径流、排泄的交替带，戈壁砾石带是地下水的补给、径流区，低基准的谷地、洼地为排泄区。沙漠地带是以蒸发为主的地下水排泄区。山区降水渗入地下的部分，在完成一次小的循环后，以泉的形式排出，汇集地表径流最终流出山口，当流出山前地带时又不同程度的渗入地下，进行第二次循环，最终在西部以蒸发及蒸腾的形式而消耗。</w:t>
      </w:r>
    </w:p>
    <w:p w14:paraId="787F01EA">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项目区</w:t>
      </w:r>
      <w:r>
        <w:rPr>
          <w:rFonts w:hint="default" w:ascii="Times New Roman" w:hAnsi="Times New Roman" w:eastAsia="宋体" w:cs="Times New Roman"/>
          <w:color w:val="auto"/>
          <w:highlight w:val="none"/>
        </w:rPr>
        <w:t>水文地质条件</w:t>
      </w:r>
    </w:p>
    <w:p w14:paraId="51FBD7EE">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rPr>
        <w:t>岩（矿）层的富水性</w:t>
      </w:r>
    </w:p>
    <w:p w14:paraId="07902EC3">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根据区域水文地质资料及勘查工作成果，</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区地下水类型主要为基岩裂隙水，其现将区内含水层划分如下：</w:t>
      </w:r>
    </w:p>
    <w:p w14:paraId="415E90DC">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第四系透水不含水层（Ⅰ）</w:t>
      </w:r>
    </w:p>
    <w:p w14:paraId="63E80D3B">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四系松散堆积物主要分布在地势平坦开阔的戈壁滩中，主要由风积沙土、洪积砂砾石或二者的混合物组成，局部含基岩全风化物质。风积沙土通常为粉砂，颗粒细；砂砾石从细砂到粒径大于20cm的漂石都有分布，分选性差，且多呈次棱角状-次圆状，磨圆度差。根据钻孔岩芯编录及冲沟揭露的地层来看，地表约20到30cm通常为风积沙土或风积沙土夹砂砾石（此层风积沙土含量高于砂砾石），呈松散状，本矿区第四系松散堆积物位于地下水位以上，为透水不含水层。</w:t>
      </w:r>
    </w:p>
    <w:p w14:paraId="58506AF2">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中泥盆统北塔山组基岩裂隙弱富水性含水层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Ⅱ</w:t>
      </w:r>
      <w:r>
        <w:rPr>
          <w:rFonts w:hint="default" w:ascii="Times New Roman" w:hAnsi="Times New Roman" w:eastAsia="宋体" w:cs="Times New Roman"/>
          <w:color w:val="auto"/>
          <w:highlight w:val="none"/>
          <w:lang w:eastAsia="zh-CN"/>
        </w:rPr>
        <w:t>）</w:t>
      </w:r>
    </w:p>
    <w:p w14:paraId="3DB9B80F">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主要为中泥盆统北塔山组第三岩性段（D2b3）和第四岩性段（D2b4），岩性为千枚岩、大理岩、片理化凝灰岩、安山玢岩，岩石裂隙较发育，含裂隙潜水。</w:t>
      </w:r>
    </w:p>
    <w:p w14:paraId="18D6F5C9">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根据SZK0301水文孔对该含水层抽水试验结果（见表</w:t>
      </w:r>
      <w:r>
        <w:rPr>
          <w:rFonts w:hint="default" w:ascii="Times New Roman" w:hAnsi="Times New Roman" w:eastAsia="宋体" w:cs="Times New Roman"/>
          <w:color w:val="auto"/>
          <w:highlight w:val="none"/>
          <w:lang w:val="en-US" w:eastAsia="zh-CN"/>
        </w:rPr>
        <w:t>4.1</w:t>
      </w:r>
      <w:r>
        <w:rPr>
          <w:rFonts w:hint="default" w:ascii="Times New Roman" w:hAnsi="Times New Roman" w:eastAsia="宋体" w:cs="Times New Roman"/>
          <w:color w:val="auto"/>
          <w:highlight w:val="none"/>
        </w:rPr>
        <w:t>-1）：在以流量为0.291～0.625L/s进行抽水时，水位降深9.27～27.87m，单位涌水量为0.0224～0.0314L/s·m（换算为91mm孔径，10m降深标准涌水量为0.027L/s·m，通过计算，该含水层渗透系数为0.0065～0.0076m/d，抽水影响半径31～84m。</w:t>
      </w:r>
    </w:p>
    <w:p w14:paraId="099FEDCC">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ZK1407水文孔对该含水层抽水试验结果：在以流量为0.6028L/s进行抽水时，水位降深64.42m，单位涌水量为0.0094L/s·m（换算为91mm孔径，10m降深标准涌水量为0.0058L/s·m），通过计算，该含水层渗透系数为0.0036m/d，抽水影响半径131m。</w:t>
      </w:r>
    </w:p>
    <w:p w14:paraId="5772736A">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ZK1412水文孔对该含水层抽水试验结果：在以流量为0.1373L/s进行抽水时，水位降深42.86m，单位涌水量为0.0032L/s·m（换算为91mm孔径，10m降深标准涌水量为0.002L/s·m），通过计算，该含水层渗透系数为0.0008m/d，抽水影响半径46m。</w:t>
      </w:r>
    </w:p>
    <w:p w14:paraId="5CC28E36">
      <w:pPr>
        <w:pStyle w:val="128"/>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 xml:space="preserve">  基岩裂隙含水层钻孔抽水试验统计表</w:t>
      </w:r>
    </w:p>
    <w:tbl>
      <w:tblPr>
        <w:tblStyle w:val="33"/>
        <w:tblW w:w="5000"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15" w:type="dxa"/>
          <w:left w:w="108" w:type="dxa"/>
          <w:bottom w:w="0" w:type="dxa"/>
          <w:right w:w="108" w:type="dxa"/>
        </w:tblCellMar>
      </w:tblPr>
      <w:tblGrid>
        <w:gridCol w:w="1108"/>
        <w:gridCol w:w="723"/>
        <w:gridCol w:w="1050"/>
        <w:gridCol w:w="1064"/>
        <w:gridCol w:w="1036"/>
        <w:gridCol w:w="1036"/>
        <w:gridCol w:w="723"/>
        <w:gridCol w:w="737"/>
        <w:gridCol w:w="736"/>
        <w:gridCol w:w="961"/>
      </w:tblGrid>
      <w:tr w14:paraId="75D3CD03">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vMerge w:val="restart"/>
            <w:tcBorders>
              <w:bottom w:val="single" w:color="auto" w:sz="4" w:space="0"/>
              <w:right w:val="single" w:color="auto" w:sz="4" w:space="0"/>
            </w:tcBorders>
            <w:shd w:val="clear" w:color="auto" w:fill="auto"/>
            <w:noWrap/>
            <w:vAlign w:val="center"/>
          </w:tcPr>
          <w:p w14:paraId="2ED68C4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孔号</w:t>
            </w:r>
          </w:p>
        </w:tc>
        <w:tc>
          <w:tcPr>
            <w:tcW w:w="394" w:type="pct"/>
            <w:vMerge w:val="restart"/>
            <w:tcBorders>
              <w:left w:val="single" w:color="auto" w:sz="4" w:space="0"/>
              <w:bottom w:val="single" w:color="000000" w:sz="4" w:space="0"/>
              <w:right w:val="single" w:color="auto" w:sz="4" w:space="0"/>
            </w:tcBorders>
            <w:shd w:val="clear" w:color="auto" w:fill="auto"/>
            <w:vAlign w:val="center"/>
          </w:tcPr>
          <w:p w14:paraId="77CF5CE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降深（m）</w:t>
            </w:r>
          </w:p>
        </w:tc>
        <w:tc>
          <w:tcPr>
            <w:tcW w:w="1152" w:type="pct"/>
            <w:gridSpan w:val="2"/>
            <w:tcBorders>
              <w:left w:val="nil"/>
              <w:bottom w:val="nil"/>
              <w:right w:val="single" w:color="000000" w:sz="4" w:space="0"/>
            </w:tcBorders>
            <w:shd w:val="clear" w:color="auto" w:fill="auto"/>
            <w:vAlign w:val="center"/>
          </w:tcPr>
          <w:p w14:paraId="692BC1B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涌   水   量</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（L/s）</w:t>
            </w:r>
          </w:p>
        </w:tc>
        <w:tc>
          <w:tcPr>
            <w:tcW w:w="1129" w:type="pct"/>
            <w:gridSpan w:val="2"/>
            <w:tcBorders>
              <w:left w:val="nil"/>
              <w:bottom w:val="nil"/>
              <w:right w:val="single" w:color="000000" w:sz="4" w:space="0"/>
            </w:tcBorders>
            <w:shd w:val="clear" w:color="auto" w:fill="auto"/>
            <w:vAlign w:val="center"/>
          </w:tcPr>
          <w:p w14:paraId="4EB455F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 位 涌 水 量</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（L/ s·m ）</w:t>
            </w:r>
          </w:p>
        </w:tc>
        <w:tc>
          <w:tcPr>
            <w:tcW w:w="394" w:type="pct"/>
            <w:vMerge w:val="restart"/>
            <w:tcBorders>
              <w:left w:val="single" w:color="auto" w:sz="4" w:space="0"/>
              <w:bottom w:val="single" w:color="000000" w:sz="4" w:space="0"/>
              <w:right w:val="single" w:color="auto" w:sz="4" w:space="0"/>
            </w:tcBorders>
            <w:shd w:val="clear" w:color="auto" w:fill="auto"/>
            <w:vAlign w:val="center"/>
          </w:tcPr>
          <w:p w14:paraId="7751AFB3">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渗透</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系数</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（m/d）</w:t>
            </w:r>
          </w:p>
        </w:tc>
        <w:tc>
          <w:tcPr>
            <w:tcW w:w="401" w:type="pct"/>
            <w:vMerge w:val="restart"/>
            <w:tcBorders>
              <w:left w:val="single" w:color="auto" w:sz="4" w:space="0"/>
              <w:bottom w:val="single" w:color="000000" w:sz="4" w:space="0"/>
              <w:right w:val="single" w:color="auto" w:sz="4" w:space="0"/>
            </w:tcBorders>
            <w:shd w:val="clear" w:color="auto" w:fill="auto"/>
            <w:vAlign w:val="center"/>
          </w:tcPr>
          <w:p w14:paraId="13CE6C3A">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影响</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半径</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w:t>
            </w:r>
          </w:p>
        </w:tc>
        <w:tc>
          <w:tcPr>
            <w:tcW w:w="401" w:type="pct"/>
            <w:vMerge w:val="restart"/>
            <w:tcBorders>
              <w:left w:val="single" w:color="auto" w:sz="4" w:space="0"/>
              <w:bottom w:val="single" w:color="auto" w:sz="4" w:space="0"/>
              <w:right w:val="single" w:color="auto" w:sz="4" w:space="0"/>
            </w:tcBorders>
            <w:shd w:val="clear" w:color="auto" w:fill="auto"/>
            <w:vAlign w:val="center"/>
          </w:tcPr>
          <w:p w14:paraId="711AACD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埋深</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w:t>
            </w:r>
          </w:p>
        </w:tc>
        <w:tc>
          <w:tcPr>
            <w:tcW w:w="523" w:type="pct"/>
            <w:vMerge w:val="restart"/>
            <w:tcBorders>
              <w:left w:val="single" w:color="auto" w:sz="4" w:space="0"/>
              <w:bottom w:val="single" w:color="auto" w:sz="4" w:space="0"/>
            </w:tcBorders>
            <w:shd w:val="clear" w:color="auto" w:fill="auto"/>
            <w:vAlign w:val="center"/>
          </w:tcPr>
          <w:p w14:paraId="27655753">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标高</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w:t>
            </w:r>
          </w:p>
        </w:tc>
      </w:tr>
      <w:tr w14:paraId="28C079F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vMerge w:val="continue"/>
            <w:tcBorders>
              <w:top w:val="single" w:color="auto" w:sz="4" w:space="0"/>
              <w:bottom w:val="single" w:color="auto" w:sz="4" w:space="0"/>
              <w:right w:val="single" w:color="auto" w:sz="4" w:space="0"/>
            </w:tcBorders>
            <w:vAlign w:val="center"/>
          </w:tcPr>
          <w:p w14:paraId="596CDF5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394" w:type="pct"/>
            <w:vMerge w:val="continue"/>
            <w:tcBorders>
              <w:top w:val="single" w:color="auto" w:sz="4" w:space="0"/>
              <w:left w:val="single" w:color="auto" w:sz="4" w:space="0"/>
              <w:bottom w:val="single" w:color="000000" w:sz="4" w:space="0"/>
              <w:right w:val="single" w:color="auto" w:sz="4" w:space="0"/>
            </w:tcBorders>
            <w:vAlign w:val="center"/>
          </w:tcPr>
          <w:p w14:paraId="40C0817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572" w:type="pct"/>
            <w:tcBorders>
              <w:top w:val="single" w:color="auto" w:sz="4" w:space="0"/>
              <w:left w:val="nil"/>
              <w:bottom w:val="nil"/>
              <w:right w:val="single" w:color="auto" w:sz="4" w:space="0"/>
            </w:tcBorders>
            <w:shd w:val="clear" w:color="auto" w:fill="auto"/>
            <w:vAlign w:val="center"/>
          </w:tcPr>
          <w:p w14:paraId="3432A36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实际孔径</w:t>
            </w:r>
          </w:p>
        </w:tc>
        <w:tc>
          <w:tcPr>
            <w:tcW w:w="579" w:type="pct"/>
            <w:tcBorders>
              <w:top w:val="single" w:color="auto" w:sz="4" w:space="0"/>
              <w:left w:val="nil"/>
              <w:bottom w:val="nil"/>
              <w:right w:val="single" w:color="auto" w:sz="4" w:space="0"/>
            </w:tcBorders>
            <w:shd w:val="clear" w:color="auto" w:fill="auto"/>
            <w:vAlign w:val="center"/>
          </w:tcPr>
          <w:p w14:paraId="15B411C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标准孔径</w:t>
            </w:r>
          </w:p>
        </w:tc>
        <w:tc>
          <w:tcPr>
            <w:tcW w:w="564" w:type="pct"/>
            <w:tcBorders>
              <w:top w:val="single" w:color="auto" w:sz="4" w:space="0"/>
              <w:left w:val="nil"/>
              <w:bottom w:val="nil"/>
              <w:right w:val="single" w:color="auto" w:sz="4" w:space="0"/>
            </w:tcBorders>
            <w:shd w:val="clear" w:color="auto" w:fill="auto"/>
            <w:vAlign w:val="center"/>
          </w:tcPr>
          <w:p w14:paraId="381A7A8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实际孔径</w:t>
            </w:r>
          </w:p>
        </w:tc>
        <w:tc>
          <w:tcPr>
            <w:tcW w:w="564" w:type="pct"/>
            <w:tcBorders>
              <w:top w:val="single" w:color="auto" w:sz="4" w:space="0"/>
              <w:left w:val="nil"/>
              <w:bottom w:val="nil"/>
              <w:right w:val="single" w:color="auto" w:sz="4" w:space="0"/>
            </w:tcBorders>
            <w:shd w:val="clear" w:color="auto" w:fill="auto"/>
            <w:vAlign w:val="center"/>
          </w:tcPr>
          <w:p w14:paraId="6ADA425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标准孔径</w:t>
            </w:r>
          </w:p>
        </w:tc>
        <w:tc>
          <w:tcPr>
            <w:tcW w:w="394" w:type="pct"/>
            <w:vMerge w:val="continue"/>
            <w:tcBorders>
              <w:top w:val="single" w:color="auto" w:sz="4" w:space="0"/>
              <w:left w:val="single" w:color="auto" w:sz="4" w:space="0"/>
              <w:bottom w:val="single" w:color="000000" w:sz="4" w:space="0"/>
              <w:right w:val="single" w:color="auto" w:sz="4" w:space="0"/>
            </w:tcBorders>
            <w:vAlign w:val="center"/>
          </w:tcPr>
          <w:p w14:paraId="5230B6A9">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401" w:type="pct"/>
            <w:vMerge w:val="continue"/>
            <w:tcBorders>
              <w:top w:val="single" w:color="auto" w:sz="4" w:space="0"/>
              <w:left w:val="single" w:color="auto" w:sz="4" w:space="0"/>
              <w:bottom w:val="single" w:color="000000" w:sz="4" w:space="0"/>
              <w:right w:val="single" w:color="auto" w:sz="4" w:space="0"/>
            </w:tcBorders>
            <w:vAlign w:val="center"/>
          </w:tcPr>
          <w:p w14:paraId="31DC5952">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6D5B762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523" w:type="pct"/>
            <w:vMerge w:val="continue"/>
            <w:tcBorders>
              <w:top w:val="single" w:color="auto" w:sz="4" w:space="0"/>
              <w:left w:val="single" w:color="auto" w:sz="4" w:space="0"/>
              <w:bottom w:val="single" w:color="auto" w:sz="4" w:space="0"/>
            </w:tcBorders>
            <w:vAlign w:val="center"/>
          </w:tcPr>
          <w:p w14:paraId="68D0AE6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r>
      <w:tr w14:paraId="49DC3B44">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vMerge w:val="continue"/>
            <w:tcBorders>
              <w:top w:val="single" w:color="auto" w:sz="4" w:space="0"/>
              <w:bottom w:val="single" w:color="auto" w:sz="4" w:space="0"/>
              <w:right w:val="single" w:color="auto" w:sz="4" w:space="0"/>
            </w:tcBorders>
            <w:vAlign w:val="center"/>
          </w:tcPr>
          <w:p w14:paraId="7B13E7E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394" w:type="pct"/>
            <w:vMerge w:val="continue"/>
            <w:tcBorders>
              <w:top w:val="single" w:color="auto" w:sz="4" w:space="0"/>
              <w:left w:val="single" w:color="auto" w:sz="4" w:space="0"/>
              <w:bottom w:val="single" w:color="000000" w:sz="4" w:space="0"/>
              <w:right w:val="single" w:color="auto" w:sz="4" w:space="0"/>
            </w:tcBorders>
            <w:vAlign w:val="center"/>
          </w:tcPr>
          <w:p w14:paraId="45B537DA">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572" w:type="pct"/>
            <w:tcBorders>
              <w:top w:val="nil"/>
              <w:left w:val="nil"/>
              <w:bottom w:val="nil"/>
              <w:right w:val="single" w:color="auto" w:sz="4" w:space="0"/>
            </w:tcBorders>
            <w:shd w:val="clear" w:color="auto" w:fill="auto"/>
            <w:vAlign w:val="center"/>
          </w:tcPr>
          <w:p w14:paraId="542C8E6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实际降深</w:t>
            </w:r>
          </w:p>
        </w:tc>
        <w:tc>
          <w:tcPr>
            <w:tcW w:w="579" w:type="pct"/>
            <w:tcBorders>
              <w:top w:val="nil"/>
              <w:left w:val="nil"/>
              <w:bottom w:val="single" w:color="auto" w:sz="4" w:space="0"/>
              <w:right w:val="single" w:color="auto" w:sz="4" w:space="0"/>
            </w:tcBorders>
            <w:shd w:val="clear" w:color="auto" w:fill="auto"/>
            <w:vAlign w:val="center"/>
          </w:tcPr>
          <w:p w14:paraId="4C60921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标准降深</w:t>
            </w:r>
          </w:p>
        </w:tc>
        <w:tc>
          <w:tcPr>
            <w:tcW w:w="564" w:type="pct"/>
            <w:tcBorders>
              <w:top w:val="nil"/>
              <w:left w:val="nil"/>
              <w:bottom w:val="nil"/>
              <w:right w:val="single" w:color="auto" w:sz="4" w:space="0"/>
            </w:tcBorders>
            <w:shd w:val="clear" w:color="auto" w:fill="auto"/>
            <w:vAlign w:val="center"/>
          </w:tcPr>
          <w:p w14:paraId="2FD223F3">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实际降深</w:t>
            </w:r>
          </w:p>
        </w:tc>
        <w:tc>
          <w:tcPr>
            <w:tcW w:w="564" w:type="pct"/>
            <w:tcBorders>
              <w:top w:val="nil"/>
              <w:left w:val="nil"/>
              <w:bottom w:val="single" w:color="auto" w:sz="4" w:space="0"/>
              <w:right w:val="single" w:color="auto" w:sz="4" w:space="0"/>
            </w:tcBorders>
            <w:shd w:val="clear" w:color="auto" w:fill="auto"/>
            <w:vAlign w:val="center"/>
          </w:tcPr>
          <w:p w14:paraId="2BB9EAB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标准降深</w:t>
            </w:r>
          </w:p>
        </w:tc>
        <w:tc>
          <w:tcPr>
            <w:tcW w:w="394" w:type="pct"/>
            <w:vMerge w:val="continue"/>
            <w:tcBorders>
              <w:top w:val="single" w:color="auto" w:sz="4" w:space="0"/>
              <w:left w:val="single" w:color="auto" w:sz="4" w:space="0"/>
              <w:bottom w:val="single" w:color="000000" w:sz="4" w:space="0"/>
              <w:right w:val="single" w:color="auto" w:sz="4" w:space="0"/>
            </w:tcBorders>
            <w:vAlign w:val="center"/>
          </w:tcPr>
          <w:p w14:paraId="166DFBE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401" w:type="pct"/>
            <w:vMerge w:val="continue"/>
            <w:tcBorders>
              <w:top w:val="single" w:color="auto" w:sz="4" w:space="0"/>
              <w:left w:val="single" w:color="auto" w:sz="4" w:space="0"/>
              <w:bottom w:val="single" w:color="000000" w:sz="4" w:space="0"/>
              <w:right w:val="single" w:color="auto" w:sz="4" w:space="0"/>
            </w:tcBorders>
            <w:vAlign w:val="center"/>
          </w:tcPr>
          <w:p w14:paraId="1465476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C6FF6C9">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523" w:type="pct"/>
            <w:vMerge w:val="continue"/>
            <w:tcBorders>
              <w:top w:val="single" w:color="auto" w:sz="4" w:space="0"/>
              <w:left w:val="single" w:color="auto" w:sz="4" w:space="0"/>
              <w:bottom w:val="single" w:color="auto" w:sz="4" w:space="0"/>
            </w:tcBorders>
            <w:vAlign w:val="center"/>
          </w:tcPr>
          <w:p w14:paraId="3E5B266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cs="Times New Roman"/>
                <w:color w:val="auto"/>
                <w:sz w:val="21"/>
                <w:szCs w:val="21"/>
                <w:highlight w:val="none"/>
              </w:rPr>
            </w:pPr>
          </w:p>
        </w:tc>
      </w:tr>
      <w:tr w14:paraId="29931AB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vMerge w:val="restart"/>
            <w:tcBorders>
              <w:top w:val="nil"/>
              <w:bottom w:val="single" w:color="auto" w:sz="4" w:space="0"/>
              <w:right w:val="single" w:color="auto" w:sz="4" w:space="0"/>
            </w:tcBorders>
            <w:shd w:val="clear" w:color="auto" w:fill="auto"/>
            <w:noWrap/>
            <w:vAlign w:val="center"/>
          </w:tcPr>
          <w:p w14:paraId="20DA8C5A">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SZK301</w:t>
            </w:r>
          </w:p>
        </w:tc>
        <w:tc>
          <w:tcPr>
            <w:tcW w:w="394" w:type="pct"/>
            <w:tcBorders>
              <w:top w:val="nil"/>
              <w:left w:val="single" w:color="auto" w:sz="4" w:space="0"/>
              <w:bottom w:val="single" w:color="000000" w:sz="4" w:space="0"/>
              <w:right w:val="single" w:color="auto" w:sz="4" w:space="0"/>
            </w:tcBorders>
            <w:shd w:val="clear" w:color="auto" w:fill="auto"/>
            <w:vAlign w:val="center"/>
          </w:tcPr>
          <w:p w14:paraId="7B471AB4">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27.87</w:t>
            </w:r>
          </w:p>
        </w:tc>
        <w:tc>
          <w:tcPr>
            <w:tcW w:w="572" w:type="pct"/>
            <w:tcBorders>
              <w:top w:val="single" w:color="auto" w:sz="4" w:space="0"/>
              <w:left w:val="single" w:color="auto" w:sz="4" w:space="0"/>
              <w:bottom w:val="single" w:color="000000" w:sz="4" w:space="0"/>
              <w:right w:val="single" w:color="auto" w:sz="4" w:space="0"/>
            </w:tcBorders>
            <w:shd w:val="clear" w:color="auto" w:fill="auto"/>
            <w:vAlign w:val="center"/>
          </w:tcPr>
          <w:p w14:paraId="71D86C90">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0.625</w:t>
            </w:r>
          </w:p>
        </w:tc>
        <w:tc>
          <w:tcPr>
            <w:tcW w:w="579" w:type="pct"/>
            <w:vMerge w:val="restart"/>
            <w:tcBorders>
              <w:top w:val="nil"/>
              <w:left w:val="single" w:color="auto" w:sz="4" w:space="0"/>
              <w:bottom w:val="single" w:color="000000" w:sz="4" w:space="0"/>
              <w:right w:val="single" w:color="auto" w:sz="4" w:space="0"/>
            </w:tcBorders>
            <w:shd w:val="clear" w:color="auto" w:fill="auto"/>
            <w:noWrap/>
            <w:vAlign w:val="center"/>
          </w:tcPr>
          <w:p w14:paraId="16C9D636">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0.2695</w:t>
            </w:r>
          </w:p>
        </w:tc>
        <w:tc>
          <w:tcPr>
            <w:tcW w:w="564"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582B9FDF">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0.0224 </w:t>
            </w:r>
          </w:p>
        </w:tc>
        <w:tc>
          <w:tcPr>
            <w:tcW w:w="564" w:type="pct"/>
            <w:vMerge w:val="restart"/>
            <w:tcBorders>
              <w:top w:val="nil"/>
              <w:left w:val="single" w:color="auto" w:sz="4" w:space="0"/>
              <w:bottom w:val="single" w:color="000000" w:sz="4" w:space="0"/>
              <w:right w:val="single" w:color="auto" w:sz="4" w:space="0"/>
            </w:tcBorders>
            <w:shd w:val="clear" w:color="auto" w:fill="auto"/>
            <w:noWrap/>
            <w:vAlign w:val="center"/>
          </w:tcPr>
          <w:p w14:paraId="1CA10814">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0.0270 </w:t>
            </w:r>
          </w:p>
        </w:tc>
        <w:tc>
          <w:tcPr>
            <w:tcW w:w="394" w:type="pct"/>
            <w:tcBorders>
              <w:top w:val="nil"/>
              <w:left w:val="single" w:color="auto" w:sz="4" w:space="0"/>
              <w:bottom w:val="single" w:color="000000" w:sz="4" w:space="0"/>
              <w:right w:val="single" w:color="auto" w:sz="4" w:space="0"/>
            </w:tcBorders>
            <w:shd w:val="clear" w:color="auto" w:fill="auto"/>
            <w:noWrap/>
            <w:vAlign w:val="center"/>
          </w:tcPr>
          <w:p w14:paraId="68BFA77A">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0.0065 </w:t>
            </w:r>
          </w:p>
        </w:tc>
        <w:tc>
          <w:tcPr>
            <w:tcW w:w="401" w:type="pct"/>
            <w:tcBorders>
              <w:top w:val="nil"/>
              <w:left w:val="single" w:color="auto" w:sz="4" w:space="0"/>
              <w:bottom w:val="single" w:color="000000" w:sz="4" w:space="0"/>
              <w:right w:val="single" w:color="auto" w:sz="4" w:space="0"/>
            </w:tcBorders>
            <w:shd w:val="clear" w:color="auto" w:fill="auto"/>
            <w:noWrap/>
            <w:vAlign w:val="center"/>
          </w:tcPr>
          <w:p w14:paraId="1B88E6B6">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85 </w:t>
            </w:r>
          </w:p>
        </w:tc>
        <w:tc>
          <w:tcPr>
            <w:tcW w:w="401"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E07A377">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33.58</w:t>
            </w:r>
          </w:p>
        </w:tc>
        <w:tc>
          <w:tcPr>
            <w:tcW w:w="523" w:type="pct"/>
            <w:vMerge w:val="restart"/>
            <w:tcBorders>
              <w:top w:val="single" w:color="auto" w:sz="4" w:space="0"/>
              <w:left w:val="single" w:color="auto" w:sz="4" w:space="0"/>
              <w:bottom w:val="single" w:color="000000" w:sz="4" w:space="0"/>
            </w:tcBorders>
            <w:shd w:val="clear" w:color="auto" w:fill="auto"/>
            <w:vAlign w:val="center"/>
          </w:tcPr>
          <w:p w14:paraId="3616F3C8">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1064.888</w:t>
            </w:r>
          </w:p>
        </w:tc>
      </w:tr>
      <w:tr w14:paraId="2CA30EB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vMerge w:val="continue"/>
            <w:tcBorders>
              <w:top w:val="nil"/>
              <w:bottom w:val="single" w:color="auto" w:sz="4" w:space="0"/>
              <w:right w:val="single" w:color="auto" w:sz="4" w:space="0"/>
            </w:tcBorders>
            <w:vAlign w:val="center"/>
          </w:tcPr>
          <w:p w14:paraId="0B73ECBE">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394" w:type="pct"/>
            <w:tcBorders>
              <w:top w:val="nil"/>
              <w:left w:val="single" w:color="auto" w:sz="4" w:space="0"/>
              <w:bottom w:val="single" w:color="000000" w:sz="4" w:space="0"/>
              <w:right w:val="single" w:color="auto" w:sz="4" w:space="0"/>
            </w:tcBorders>
            <w:shd w:val="clear" w:color="auto" w:fill="auto"/>
            <w:vAlign w:val="center"/>
          </w:tcPr>
          <w:p w14:paraId="794DF2D6">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18.14</w:t>
            </w:r>
          </w:p>
        </w:tc>
        <w:tc>
          <w:tcPr>
            <w:tcW w:w="572" w:type="pct"/>
            <w:tcBorders>
              <w:top w:val="nil"/>
              <w:left w:val="single" w:color="auto" w:sz="4" w:space="0"/>
              <w:bottom w:val="single" w:color="000000" w:sz="4" w:space="0"/>
              <w:right w:val="single" w:color="auto" w:sz="4" w:space="0"/>
            </w:tcBorders>
            <w:shd w:val="clear" w:color="auto" w:fill="auto"/>
            <w:vAlign w:val="center"/>
          </w:tcPr>
          <w:p w14:paraId="3E69F653">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0.484</w:t>
            </w:r>
          </w:p>
        </w:tc>
        <w:tc>
          <w:tcPr>
            <w:tcW w:w="579" w:type="pct"/>
            <w:vMerge w:val="continue"/>
            <w:tcBorders>
              <w:top w:val="nil"/>
              <w:left w:val="single" w:color="auto" w:sz="4" w:space="0"/>
              <w:bottom w:val="single" w:color="000000" w:sz="4" w:space="0"/>
              <w:right w:val="single" w:color="auto" w:sz="4" w:space="0"/>
            </w:tcBorders>
            <w:vAlign w:val="center"/>
          </w:tcPr>
          <w:p w14:paraId="021BAE4A">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564" w:type="pct"/>
            <w:tcBorders>
              <w:top w:val="nil"/>
              <w:left w:val="single" w:color="auto" w:sz="4" w:space="0"/>
              <w:bottom w:val="single" w:color="000000" w:sz="4" w:space="0"/>
              <w:right w:val="single" w:color="auto" w:sz="4" w:space="0"/>
            </w:tcBorders>
            <w:shd w:val="clear" w:color="auto" w:fill="auto"/>
            <w:noWrap/>
            <w:vAlign w:val="center"/>
          </w:tcPr>
          <w:p w14:paraId="7AFA0214">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0.0267 </w:t>
            </w:r>
          </w:p>
        </w:tc>
        <w:tc>
          <w:tcPr>
            <w:tcW w:w="564" w:type="pct"/>
            <w:vMerge w:val="continue"/>
            <w:tcBorders>
              <w:top w:val="nil"/>
              <w:left w:val="single" w:color="auto" w:sz="4" w:space="0"/>
              <w:bottom w:val="single" w:color="000000" w:sz="4" w:space="0"/>
              <w:right w:val="single" w:color="auto" w:sz="4" w:space="0"/>
            </w:tcBorders>
            <w:vAlign w:val="center"/>
          </w:tcPr>
          <w:p w14:paraId="642EB81F">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394" w:type="pct"/>
            <w:tcBorders>
              <w:top w:val="nil"/>
              <w:left w:val="single" w:color="auto" w:sz="4" w:space="0"/>
              <w:bottom w:val="single" w:color="000000" w:sz="4" w:space="0"/>
              <w:right w:val="single" w:color="auto" w:sz="4" w:space="0"/>
            </w:tcBorders>
            <w:shd w:val="clear" w:color="auto" w:fill="auto"/>
            <w:noWrap/>
            <w:vAlign w:val="center"/>
          </w:tcPr>
          <w:p w14:paraId="6F5A5B98">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0.0073 </w:t>
            </w:r>
          </w:p>
        </w:tc>
        <w:tc>
          <w:tcPr>
            <w:tcW w:w="401" w:type="pct"/>
            <w:tcBorders>
              <w:top w:val="nil"/>
              <w:left w:val="single" w:color="auto" w:sz="4" w:space="0"/>
              <w:bottom w:val="single" w:color="000000" w:sz="4" w:space="0"/>
              <w:right w:val="single" w:color="auto" w:sz="4" w:space="0"/>
            </w:tcBorders>
            <w:shd w:val="clear" w:color="auto" w:fill="auto"/>
            <w:noWrap/>
            <w:vAlign w:val="center"/>
          </w:tcPr>
          <w:p w14:paraId="7878CA5B">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58 </w:t>
            </w:r>
          </w:p>
        </w:tc>
        <w:tc>
          <w:tcPr>
            <w:tcW w:w="401" w:type="pct"/>
            <w:vMerge w:val="continue"/>
            <w:tcBorders>
              <w:top w:val="nil"/>
              <w:left w:val="single" w:color="auto" w:sz="4" w:space="0"/>
              <w:bottom w:val="single" w:color="000000" w:sz="4" w:space="0"/>
              <w:right w:val="single" w:color="auto" w:sz="4" w:space="0"/>
            </w:tcBorders>
            <w:vAlign w:val="center"/>
          </w:tcPr>
          <w:p w14:paraId="4CF7F3E1">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523" w:type="pct"/>
            <w:vMerge w:val="continue"/>
            <w:tcBorders>
              <w:top w:val="nil"/>
              <w:left w:val="single" w:color="auto" w:sz="4" w:space="0"/>
              <w:bottom w:val="single" w:color="000000" w:sz="4" w:space="0"/>
            </w:tcBorders>
            <w:vAlign w:val="center"/>
          </w:tcPr>
          <w:p w14:paraId="5F53CB17">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r>
      <w:tr w14:paraId="1DA1955D">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vMerge w:val="continue"/>
            <w:tcBorders>
              <w:top w:val="nil"/>
              <w:bottom w:val="single" w:color="auto" w:sz="4" w:space="0"/>
              <w:right w:val="single" w:color="auto" w:sz="4" w:space="0"/>
            </w:tcBorders>
            <w:vAlign w:val="center"/>
          </w:tcPr>
          <w:p w14:paraId="067868C3">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394" w:type="pct"/>
            <w:tcBorders>
              <w:top w:val="nil"/>
              <w:left w:val="single" w:color="auto" w:sz="4" w:space="0"/>
              <w:bottom w:val="single" w:color="000000" w:sz="4" w:space="0"/>
              <w:right w:val="single" w:color="auto" w:sz="4" w:space="0"/>
            </w:tcBorders>
            <w:shd w:val="clear" w:color="auto" w:fill="auto"/>
            <w:vAlign w:val="center"/>
          </w:tcPr>
          <w:p w14:paraId="5457B1FE">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9.27</w:t>
            </w:r>
          </w:p>
        </w:tc>
        <w:tc>
          <w:tcPr>
            <w:tcW w:w="572" w:type="pct"/>
            <w:tcBorders>
              <w:top w:val="nil"/>
              <w:left w:val="single" w:color="auto" w:sz="4" w:space="0"/>
              <w:bottom w:val="single" w:color="000000" w:sz="4" w:space="0"/>
              <w:right w:val="single" w:color="auto" w:sz="4" w:space="0"/>
            </w:tcBorders>
            <w:shd w:val="clear" w:color="auto" w:fill="auto"/>
            <w:vAlign w:val="center"/>
          </w:tcPr>
          <w:p w14:paraId="43543D1B">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0.291</w:t>
            </w:r>
          </w:p>
        </w:tc>
        <w:tc>
          <w:tcPr>
            <w:tcW w:w="579" w:type="pct"/>
            <w:vMerge w:val="continue"/>
            <w:tcBorders>
              <w:top w:val="nil"/>
              <w:left w:val="single" w:color="auto" w:sz="4" w:space="0"/>
              <w:bottom w:val="single" w:color="000000" w:sz="4" w:space="0"/>
              <w:right w:val="single" w:color="auto" w:sz="4" w:space="0"/>
            </w:tcBorders>
            <w:vAlign w:val="center"/>
          </w:tcPr>
          <w:p w14:paraId="11B91ADD">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564" w:type="pct"/>
            <w:tcBorders>
              <w:top w:val="nil"/>
              <w:left w:val="single" w:color="auto" w:sz="4" w:space="0"/>
              <w:bottom w:val="single" w:color="000000" w:sz="4" w:space="0"/>
              <w:right w:val="single" w:color="auto" w:sz="4" w:space="0"/>
            </w:tcBorders>
            <w:shd w:val="clear" w:color="auto" w:fill="auto"/>
            <w:noWrap/>
            <w:vAlign w:val="center"/>
          </w:tcPr>
          <w:p w14:paraId="054852E6">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0.0314 </w:t>
            </w:r>
          </w:p>
        </w:tc>
        <w:tc>
          <w:tcPr>
            <w:tcW w:w="564" w:type="pct"/>
            <w:vMerge w:val="continue"/>
            <w:tcBorders>
              <w:top w:val="nil"/>
              <w:left w:val="single" w:color="auto" w:sz="4" w:space="0"/>
              <w:bottom w:val="single" w:color="000000" w:sz="4" w:space="0"/>
              <w:right w:val="single" w:color="auto" w:sz="4" w:space="0"/>
            </w:tcBorders>
            <w:vAlign w:val="center"/>
          </w:tcPr>
          <w:p w14:paraId="42A10763">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394" w:type="pct"/>
            <w:tcBorders>
              <w:top w:val="nil"/>
              <w:left w:val="single" w:color="auto" w:sz="4" w:space="0"/>
              <w:bottom w:val="single" w:color="000000" w:sz="4" w:space="0"/>
              <w:right w:val="single" w:color="auto" w:sz="4" w:space="0"/>
            </w:tcBorders>
            <w:shd w:val="clear" w:color="auto" w:fill="auto"/>
            <w:noWrap/>
            <w:vAlign w:val="center"/>
          </w:tcPr>
          <w:p w14:paraId="36A545E5">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0.0076 </w:t>
            </w:r>
          </w:p>
        </w:tc>
        <w:tc>
          <w:tcPr>
            <w:tcW w:w="401" w:type="pct"/>
            <w:tcBorders>
              <w:top w:val="nil"/>
              <w:left w:val="single" w:color="auto" w:sz="4" w:space="0"/>
              <w:bottom w:val="single" w:color="000000" w:sz="4" w:space="0"/>
              <w:right w:val="single" w:color="auto" w:sz="4" w:space="0"/>
            </w:tcBorders>
            <w:shd w:val="clear" w:color="auto" w:fill="auto"/>
            <w:noWrap/>
            <w:vAlign w:val="center"/>
          </w:tcPr>
          <w:p w14:paraId="7D772F5D">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31 </w:t>
            </w:r>
          </w:p>
        </w:tc>
        <w:tc>
          <w:tcPr>
            <w:tcW w:w="401" w:type="pct"/>
            <w:vMerge w:val="continue"/>
            <w:tcBorders>
              <w:top w:val="nil"/>
              <w:left w:val="single" w:color="auto" w:sz="4" w:space="0"/>
              <w:bottom w:val="single" w:color="000000" w:sz="4" w:space="0"/>
              <w:right w:val="single" w:color="auto" w:sz="4" w:space="0"/>
            </w:tcBorders>
            <w:vAlign w:val="center"/>
          </w:tcPr>
          <w:p w14:paraId="6061066F">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c>
          <w:tcPr>
            <w:tcW w:w="523" w:type="pct"/>
            <w:vMerge w:val="continue"/>
            <w:tcBorders>
              <w:top w:val="nil"/>
              <w:left w:val="single" w:color="auto" w:sz="4" w:space="0"/>
              <w:bottom w:val="single" w:color="000000" w:sz="4" w:space="0"/>
            </w:tcBorders>
            <w:vAlign w:val="center"/>
          </w:tcPr>
          <w:p w14:paraId="0540AFB6">
            <w:pPr>
              <w:keepNext w:val="0"/>
              <w:keepLines w:val="0"/>
              <w:pageBreakBefore w:val="0"/>
              <w:widowControl/>
              <w:kinsoku/>
              <w:wordWrap/>
              <w:overflowPunct/>
              <w:topLinePunct w:val="0"/>
              <w:autoSpaceDE/>
              <w:autoSpaceDN/>
              <w:bidi w:val="0"/>
              <w:spacing w:line="360" w:lineRule="exact"/>
              <w:ind w:firstLine="0" w:firstLineChars="0"/>
              <w:contextualSpacing/>
              <w:jc w:val="left"/>
              <w:textAlignment w:val="auto"/>
              <w:rPr>
                <w:rFonts w:hint="default" w:ascii="Times New Roman" w:hAnsi="Times New Roman" w:cs="Times New Roman"/>
                <w:color w:val="auto"/>
                <w:sz w:val="21"/>
                <w:szCs w:val="21"/>
                <w:highlight w:val="none"/>
              </w:rPr>
            </w:pPr>
          </w:p>
        </w:tc>
      </w:tr>
      <w:tr w14:paraId="37D39A5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tcBorders>
              <w:top w:val="nil"/>
              <w:bottom w:val="single" w:color="auto" w:sz="4" w:space="0"/>
              <w:right w:val="single" w:color="auto" w:sz="4" w:space="0"/>
            </w:tcBorders>
            <w:noWrap/>
            <w:vAlign w:val="center"/>
          </w:tcPr>
          <w:p w14:paraId="5AEBC5C2">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SZK1407</w:t>
            </w:r>
          </w:p>
        </w:tc>
        <w:tc>
          <w:tcPr>
            <w:tcW w:w="394" w:type="pct"/>
            <w:tcBorders>
              <w:top w:val="nil"/>
              <w:left w:val="single" w:color="auto" w:sz="4" w:space="0"/>
              <w:bottom w:val="single" w:color="auto" w:sz="4" w:space="0"/>
              <w:right w:val="single" w:color="auto" w:sz="4" w:space="0"/>
            </w:tcBorders>
            <w:vAlign w:val="center"/>
          </w:tcPr>
          <w:p w14:paraId="220E8D6D">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64.42</w:t>
            </w:r>
          </w:p>
        </w:tc>
        <w:tc>
          <w:tcPr>
            <w:tcW w:w="572" w:type="pct"/>
            <w:tcBorders>
              <w:top w:val="single" w:color="auto" w:sz="4" w:space="0"/>
              <w:left w:val="single" w:color="auto" w:sz="4" w:space="0"/>
              <w:bottom w:val="single" w:color="auto" w:sz="4" w:space="0"/>
              <w:right w:val="single" w:color="auto" w:sz="4" w:space="0"/>
            </w:tcBorders>
            <w:vAlign w:val="center"/>
          </w:tcPr>
          <w:p w14:paraId="2354624B">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0.6028</w:t>
            </w:r>
          </w:p>
        </w:tc>
        <w:tc>
          <w:tcPr>
            <w:tcW w:w="579" w:type="pct"/>
            <w:tcBorders>
              <w:top w:val="single" w:color="auto" w:sz="4" w:space="0"/>
              <w:left w:val="single" w:color="auto" w:sz="4" w:space="0"/>
              <w:bottom w:val="single" w:color="auto" w:sz="4" w:space="0"/>
              <w:right w:val="single" w:color="auto" w:sz="4" w:space="0"/>
            </w:tcBorders>
            <w:noWrap/>
            <w:vAlign w:val="center"/>
          </w:tcPr>
          <w:p w14:paraId="774BACF6">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0.0579</w:t>
            </w:r>
          </w:p>
        </w:tc>
        <w:tc>
          <w:tcPr>
            <w:tcW w:w="564" w:type="pct"/>
            <w:tcBorders>
              <w:top w:val="single" w:color="auto" w:sz="4" w:space="0"/>
              <w:left w:val="single" w:color="auto" w:sz="4" w:space="0"/>
              <w:bottom w:val="single" w:color="auto" w:sz="4" w:space="0"/>
              <w:right w:val="single" w:color="auto" w:sz="4" w:space="0"/>
            </w:tcBorders>
            <w:noWrap/>
            <w:vAlign w:val="center"/>
          </w:tcPr>
          <w:p w14:paraId="2D3751C7">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0.0094 </w:t>
            </w:r>
          </w:p>
        </w:tc>
        <w:tc>
          <w:tcPr>
            <w:tcW w:w="564" w:type="pct"/>
            <w:tcBorders>
              <w:top w:val="single" w:color="auto" w:sz="4" w:space="0"/>
              <w:left w:val="single" w:color="auto" w:sz="4" w:space="0"/>
              <w:bottom w:val="single" w:color="auto" w:sz="4" w:space="0"/>
              <w:right w:val="single" w:color="auto" w:sz="4" w:space="0"/>
            </w:tcBorders>
            <w:noWrap/>
            <w:vAlign w:val="center"/>
          </w:tcPr>
          <w:p w14:paraId="3E49153C">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0.0058 </w:t>
            </w:r>
          </w:p>
        </w:tc>
        <w:tc>
          <w:tcPr>
            <w:tcW w:w="394" w:type="pct"/>
            <w:tcBorders>
              <w:top w:val="single" w:color="auto" w:sz="4" w:space="0"/>
              <w:left w:val="single" w:color="auto" w:sz="4" w:space="0"/>
              <w:bottom w:val="single" w:color="auto" w:sz="4" w:space="0"/>
              <w:right w:val="single" w:color="auto" w:sz="4" w:space="0"/>
            </w:tcBorders>
            <w:noWrap/>
            <w:vAlign w:val="center"/>
          </w:tcPr>
          <w:p w14:paraId="14C085C0">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0.0036 </w:t>
            </w:r>
          </w:p>
        </w:tc>
        <w:tc>
          <w:tcPr>
            <w:tcW w:w="401" w:type="pct"/>
            <w:tcBorders>
              <w:top w:val="nil"/>
              <w:left w:val="single" w:color="auto" w:sz="4" w:space="0"/>
              <w:bottom w:val="single" w:color="auto" w:sz="4" w:space="0"/>
              <w:right w:val="single" w:color="auto" w:sz="4" w:space="0"/>
            </w:tcBorders>
            <w:noWrap/>
            <w:vAlign w:val="center"/>
          </w:tcPr>
          <w:p w14:paraId="38D7E041">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131 </w:t>
            </w:r>
          </w:p>
        </w:tc>
        <w:tc>
          <w:tcPr>
            <w:tcW w:w="401" w:type="pct"/>
            <w:tcBorders>
              <w:top w:val="nil"/>
              <w:left w:val="single" w:color="auto" w:sz="4" w:space="0"/>
              <w:bottom w:val="single" w:color="auto" w:sz="4" w:space="0"/>
              <w:right w:val="single" w:color="auto" w:sz="4" w:space="0"/>
            </w:tcBorders>
            <w:vAlign w:val="center"/>
          </w:tcPr>
          <w:p w14:paraId="4CC2FEB8">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15.9</w:t>
            </w:r>
          </w:p>
        </w:tc>
        <w:tc>
          <w:tcPr>
            <w:tcW w:w="523" w:type="pct"/>
            <w:tcBorders>
              <w:top w:val="nil"/>
              <w:left w:val="single" w:color="auto" w:sz="4" w:space="0"/>
              <w:bottom w:val="single" w:color="auto" w:sz="4" w:space="0"/>
            </w:tcBorders>
            <w:vAlign w:val="center"/>
          </w:tcPr>
          <w:p w14:paraId="6FB2C244">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1067.509</w:t>
            </w:r>
          </w:p>
        </w:tc>
      </w:tr>
      <w:tr w14:paraId="74837DC6">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08" w:type="dxa"/>
            <w:bottom w:w="0" w:type="dxa"/>
            <w:right w:w="108" w:type="dxa"/>
          </w:tblCellMar>
        </w:tblPrEx>
        <w:trPr>
          <w:trHeight w:val="340" w:hRule="atLeast"/>
        </w:trPr>
        <w:tc>
          <w:tcPr>
            <w:tcW w:w="603" w:type="pct"/>
            <w:tcBorders>
              <w:top w:val="nil"/>
              <w:right w:val="single" w:color="auto" w:sz="4" w:space="0"/>
            </w:tcBorders>
            <w:shd w:val="clear" w:color="auto" w:fill="auto"/>
            <w:noWrap/>
            <w:vAlign w:val="center"/>
          </w:tcPr>
          <w:p w14:paraId="4BD514AF">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SZK1412</w:t>
            </w:r>
          </w:p>
        </w:tc>
        <w:tc>
          <w:tcPr>
            <w:tcW w:w="394" w:type="pct"/>
            <w:tcBorders>
              <w:top w:val="nil"/>
              <w:left w:val="single" w:color="auto" w:sz="4" w:space="0"/>
              <w:right w:val="single" w:color="auto" w:sz="4" w:space="0"/>
            </w:tcBorders>
            <w:shd w:val="clear" w:color="auto" w:fill="auto"/>
            <w:vAlign w:val="center"/>
          </w:tcPr>
          <w:p w14:paraId="48875AEF">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42.86</w:t>
            </w:r>
          </w:p>
        </w:tc>
        <w:tc>
          <w:tcPr>
            <w:tcW w:w="572" w:type="pct"/>
            <w:tcBorders>
              <w:top w:val="nil"/>
              <w:left w:val="single" w:color="auto" w:sz="4" w:space="0"/>
              <w:right w:val="single" w:color="auto" w:sz="4" w:space="0"/>
            </w:tcBorders>
            <w:shd w:val="clear" w:color="auto" w:fill="auto"/>
            <w:vAlign w:val="center"/>
          </w:tcPr>
          <w:p w14:paraId="0BB8691B">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0.1373</w:t>
            </w:r>
          </w:p>
        </w:tc>
        <w:tc>
          <w:tcPr>
            <w:tcW w:w="579" w:type="pct"/>
            <w:tcBorders>
              <w:top w:val="nil"/>
              <w:left w:val="single" w:color="auto" w:sz="4" w:space="0"/>
              <w:right w:val="single" w:color="auto" w:sz="4" w:space="0"/>
            </w:tcBorders>
            <w:shd w:val="clear" w:color="auto" w:fill="auto"/>
            <w:noWrap/>
            <w:vAlign w:val="center"/>
          </w:tcPr>
          <w:p w14:paraId="3CA4E1F6">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0.0198</w:t>
            </w:r>
          </w:p>
        </w:tc>
        <w:tc>
          <w:tcPr>
            <w:tcW w:w="564" w:type="pct"/>
            <w:tcBorders>
              <w:top w:val="nil"/>
              <w:left w:val="single" w:color="auto" w:sz="4" w:space="0"/>
              <w:right w:val="single" w:color="auto" w:sz="4" w:space="0"/>
            </w:tcBorders>
            <w:shd w:val="clear" w:color="auto" w:fill="auto"/>
            <w:noWrap/>
            <w:vAlign w:val="center"/>
          </w:tcPr>
          <w:p w14:paraId="1C7D7A34">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0.0032 </w:t>
            </w:r>
          </w:p>
        </w:tc>
        <w:tc>
          <w:tcPr>
            <w:tcW w:w="564" w:type="pct"/>
            <w:tcBorders>
              <w:top w:val="nil"/>
              <w:left w:val="single" w:color="auto" w:sz="4" w:space="0"/>
              <w:right w:val="single" w:color="auto" w:sz="4" w:space="0"/>
            </w:tcBorders>
            <w:shd w:val="clear" w:color="auto" w:fill="auto"/>
            <w:noWrap/>
            <w:vAlign w:val="center"/>
          </w:tcPr>
          <w:p w14:paraId="14C5DC95">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0.0020 </w:t>
            </w:r>
          </w:p>
        </w:tc>
        <w:tc>
          <w:tcPr>
            <w:tcW w:w="394" w:type="pct"/>
            <w:tcBorders>
              <w:top w:val="nil"/>
              <w:left w:val="single" w:color="auto" w:sz="4" w:space="0"/>
              <w:right w:val="single" w:color="auto" w:sz="4" w:space="0"/>
            </w:tcBorders>
            <w:shd w:val="clear" w:color="auto" w:fill="auto"/>
            <w:noWrap/>
            <w:vAlign w:val="center"/>
          </w:tcPr>
          <w:p w14:paraId="05AC02BE">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0.0008 </w:t>
            </w:r>
          </w:p>
        </w:tc>
        <w:tc>
          <w:tcPr>
            <w:tcW w:w="401" w:type="pct"/>
            <w:tcBorders>
              <w:top w:val="nil"/>
              <w:left w:val="single" w:color="auto" w:sz="4" w:space="0"/>
              <w:right w:val="single" w:color="auto" w:sz="4" w:space="0"/>
            </w:tcBorders>
            <w:shd w:val="clear" w:color="auto" w:fill="auto"/>
            <w:noWrap/>
            <w:vAlign w:val="center"/>
          </w:tcPr>
          <w:p w14:paraId="32F1F8DC">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46 </w:t>
            </w:r>
          </w:p>
        </w:tc>
        <w:tc>
          <w:tcPr>
            <w:tcW w:w="401" w:type="pct"/>
            <w:tcBorders>
              <w:top w:val="nil"/>
              <w:left w:val="single" w:color="auto" w:sz="4" w:space="0"/>
              <w:right w:val="single" w:color="auto" w:sz="4" w:space="0"/>
            </w:tcBorders>
            <w:shd w:val="clear" w:color="auto" w:fill="auto"/>
            <w:vAlign w:val="center"/>
          </w:tcPr>
          <w:p w14:paraId="07E4CE7E">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35.18</w:t>
            </w:r>
          </w:p>
        </w:tc>
        <w:tc>
          <w:tcPr>
            <w:tcW w:w="523" w:type="pct"/>
            <w:tcBorders>
              <w:top w:val="nil"/>
              <w:left w:val="single" w:color="auto" w:sz="4" w:space="0"/>
            </w:tcBorders>
            <w:shd w:val="clear" w:color="auto" w:fill="auto"/>
            <w:vAlign w:val="center"/>
          </w:tcPr>
          <w:p w14:paraId="6FD25E95">
            <w:pPr>
              <w:keepNext w:val="0"/>
              <w:keepLines w:val="0"/>
              <w:pageBreakBefore w:val="0"/>
              <w:widowControl/>
              <w:kinsoku/>
              <w:wordWrap/>
              <w:overflowPunct/>
              <w:topLinePunct w:val="0"/>
              <w:autoSpaceDE/>
              <w:autoSpaceDN/>
              <w:bidi w:val="0"/>
              <w:spacing w:line="360" w:lineRule="exact"/>
              <w:ind w:firstLine="0" w:firstLineChars="0"/>
              <w:contextualSpacing/>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1062.624</w:t>
            </w:r>
          </w:p>
        </w:tc>
      </w:tr>
    </w:tbl>
    <w:p w14:paraId="737D1AAD">
      <w:pPr>
        <w:adjustRightInd w:val="0"/>
        <w:snapToGrid w:val="0"/>
        <w:spacing w:line="240" w:lineRule="auto"/>
        <w:ind w:firstLine="0" w:firstLineChars="0"/>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注：标准孔径、标准降深涌水量（单位涌水量）指换算为91mm孔径，10m降深的相关数据。</w:t>
      </w:r>
    </w:p>
    <w:p w14:paraId="21754188">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根据《矿区水文地质工程地质勘查规范》（GB/T 12719-2021）含水层富水性分级q≤0.1L/（s·m）</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确定该含水层为弱富水性含水层。</w:t>
      </w:r>
    </w:p>
    <w:p w14:paraId="32BCE65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隔水层（Ⅲ）</w:t>
      </w:r>
    </w:p>
    <w:p w14:paraId="13DD1523">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千枚岩、安山质类岩、花岗质类岩及大理岩等都是不溶或难溶岩，在钻孔中深部，仅在极个别部位发现溶蚀小孔，这几类基岩往往形成开启度极小甚至闭合的裂隙，因而透水性极差，形成本区基岩地下水局部相对隔水层。</w:t>
      </w:r>
    </w:p>
    <w:p w14:paraId="75031277">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②</w:t>
      </w:r>
      <w:r>
        <w:rPr>
          <w:rFonts w:hint="default" w:ascii="Times New Roman" w:hAnsi="Times New Roman" w:eastAsia="宋体" w:cs="Times New Roman"/>
          <w:color w:val="auto"/>
          <w:highlight w:val="none"/>
        </w:rPr>
        <w:t>构造破碎带的水文地质特征</w:t>
      </w:r>
    </w:p>
    <w:p w14:paraId="6401AB0E">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内破碎带主要为接触破碎带和构造破碎带，其中构造破碎带主要位于F5、F6及F7断层，根据区域水文资料，F5断层（乔夏哈拉断裂），为单层充水断层，具有一定导、储水性，但该断层对本矿区而言，属于边界断层，对矿床充水影响较小。</w:t>
      </w:r>
    </w:p>
    <w:p w14:paraId="2F0C279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内SZK0303水文孔（民井）揭穿韧性变形带（R1），根据该孔对该变形带抽水试验结果（见表7-2）：在以流量为0.142L/s进行抽水时，水位降深10.84m，单位涌水量为0.0131L/s·m（换算为91mm孔径，10m降深标准涌水量为0.027L/s·m），通过计算，该含水层渗透系数为0.0032m/d，抽水影响半径23m。根据《矿区水文地质工程地质勘查规范》（GB/T 12719-2021）含水层富水性分级q≤0.1 L/（s·m）</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确定该韧性变形带及基岩含水层富水性弱。</w:t>
      </w:r>
    </w:p>
    <w:p w14:paraId="00573D66">
      <w:pPr>
        <w:pStyle w:val="12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4.1</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破碎带钻孔抽水试验统计表</w:t>
      </w:r>
    </w:p>
    <w:tbl>
      <w:tblPr>
        <w:tblStyle w:val="33"/>
        <w:tblW w:w="5000"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15" w:type="dxa"/>
          <w:left w:w="0" w:type="dxa"/>
          <w:bottom w:w="0" w:type="dxa"/>
          <w:right w:w="0" w:type="dxa"/>
        </w:tblCellMar>
      </w:tblPr>
      <w:tblGrid>
        <w:gridCol w:w="916"/>
        <w:gridCol w:w="720"/>
        <w:gridCol w:w="1016"/>
        <w:gridCol w:w="1019"/>
        <w:gridCol w:w="1016"/>
        <w:gridCol w:w="1019"/>
        <w:gridCol w:w="919"/>
        <w:gridCol w:w="723"/>
        <w:gridCol w:w="723"/>
        <w:gridCol w:w="917"/>
      </w:tblGrid>
      <w:tr w14:paraId="3DDA347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0" w:type="dxa"/>
            <w:bottom w:w="0" w:type="dxa"/>
            <w:right w:w="0" w:type="dxa"/>
          </w:tblCellMar>
        </w:tblPrEx>
        <w:trPr>
          <w:trHeight w:val="624" w:hRule="atLeast"/>
        </w:trPr>
        <w:tc>
          <w:tcPr>
            <w:tcW w:w="510" w:type="pct"/>
            <w:vMerge w:val="restart"/>
            <w:tcBorders>
              <w:bottom w:val="single" w:color="auto" w:sz="4" w:space="0"/>
              <w:right w:val="single" w:color="auto" w:sz="4" w:space="0"/>
            </w:tcBorders>
            <w:shd w:val="clear" w:color="auto" w:fill="auto"/>
            <w:noWrap/>
            <w:vAlign w:val="center"/>
          </w:tcPr>
          <w:p w14:paraId="2DDB235C">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孔号</w:t>
            </w:r>
          </w:p>
        </w:tc>
        <w:tc>
          <w:tcPr>
            <w:tcW w:w="401" w:type="pct"/>
            <w:vMerge w:val="restart"/>
            <w:tcBorders>
              <w:left w:val="single" w:color="auto" w:sz="4" w:space="0"/>
              <w:bottom w:val="single" w:color="auto" w:sz="4" w:space="0"/>
              <w:right w:val="single" w:color="auto" w:sz="4" w:space="0"/>
            </w:tcBorders>
            <w:shd w:val="clear" w:color="auto" w:fill="auto"/>
            <w:vAlign w:val="center"/>
          </w:tcPr>
          <w:p w14:paraId="4AE847D4">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降深</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w:t>
            </w:r>
          </w:p>
        </w:tc>
        <w:tc>
          <w:tcPr>
            <w:tcW w:w="1132" w:type="pct"/>
            <w:gridSpan w:val="2"/>
            <w:tcBorders>
              <w:left w:val="nil"/>
              <w:bottom w:val="single" w:color="auto" w:sz="4" w:space="0"/>
              <w:right w:val="single" w:color="auto" w:sz="4" w:space="0"/>
            </w:tcBorders>
            <w:shd w:val="clear" w:color="auto" w:fill="auto"/>
            <w:vAlign w:val="center"/>
          </w:tcPr>
          <w:p w14:paraId="4C187C36">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涌  水  量</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（L / s）</w:t>
            </w:r>
          </w:p>
        </w:tc>
        <w:tc>
          <w:tcPr>
            <w:tcW w:w="1132" w:type="pct"/>
            <w:gridSpan w:val="2"/>
            <w:tcBorders>
              <w:left w:val="nil"/>
              <w:bottom w:val="single" w:color="auto" w:sz="4" w:space="0"/>
              <w:right w:val="single" w:color="auto" w:sz="4" w:space="0"/>
            </w:tcBorders>
            <w:shd w:val="clear" w:color="auto" w:fill="auto"/>
            <w:vAlign w:val="center"/>
          </w:tcPr>
          <w:p w14:paraId="6262088B">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 位 涌 水 量</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（L / s·m）</w:t>
            </w:r>
          </w:p>
        </w:tc>
        <w:tc>
          <w:tcPr>
            <w:tcW w:w="511" w:type="pct"/>
            <w:vMerge w:val="restart"/>
            <w:tcBorders>
              <w:left w:val="single" w:color="auto" w:sz="4" w:space="0"/>
              <w:bottom w:val="single" w:color="auto" w:sz="4" w:space="0"/>
              <w:right w:val="single" w:color="auto" w:sz="4" w:space="0"/>
            </w:tcBorders>
            <w:shd w:val="clear" w:color="auto" w:fill="auto"/>
            <w:vAlign w:val="center"/>
          </w:tcPr>
          <w:p w14:paraId="65EEB009">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渗透</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系数</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（m/d）</w:t>
            </w:r>
          </w:p>
        </w:tc>
        <w:tc>
          <w:tcPr>
            <w:tcW w:w="402" w:type="pct"/>
            <w:vMerge w:val="restart"/>
            <w:tcBorders>
              <w:left w:val="single" w:color="auto" w:sz="4" w:space="0"/>
              <w:bottom w:val="single" w:color="auto" w:sz="4" w:space="0"/>
              <w:right w:val="single" w:color="auto" w:sz="4" w:space="0"/>
            </w:tcBorders>
            <w:shd w:val="clear" w:color="auto" w:fill="auto"/>
            <w:vAlign w:val="center"/>
          </w:tcPr>
          <w:p w14:paraId="10E4268F">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影响</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半径</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w:t>
            </w:r>
          </w:p>
        </w:tc>
        <w:tc>
          <w:tcPr>
            <w:tcW w:w="402" w:type="pct"/>
            <w:vMerge w:val="restart"/>
            <w:tcBorders>
              <w:left w:val="single" w:color="auto" w:sz="4" w:space="0"/>
              <w:bottom w:val="single" w:color="auto" w:sz="4" w:space="0"/>
              <w:right w:val="single" w:color="auto" w:sz="4" w:space="0"/>
            </w:tcBorders>
            <w:shd w:val="clear" w:color="auto" w:fill="auto"/>
            <w:vAlign w:val="center"/>
          </w:tcPr>
          <w:p w14:paraId="1BA7F4E6">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埋深</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w:t>
            </w:r>
          </w:p>
        </w:tc>
        <w:tc>
          <w:tcPr>
            <w:tcW w:w="510" w:type="pct"/>
            <w:vMerge w:val="restart"/>
            <w:tcBorders>
              <w:left w:val="single" w:color="auto" w:sz="4" w:space="0"/>
              <w:bottom w:val="single" w:color="auto" w:sz="4" w:space="0"/>
            </w:tcBorders>
            <w:shd w:val="clear" w:color="auto" w:fill="auto"/>
            <w:vAlign w:val="center"/>
          </w:tcPr>
          <w:p w14:paraId="156AD0D5">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标高</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（m）</w:t>
            </w:r>
          </w:p>
        </w:tc>
      </w:tr>
      <w:tr w14:paraId="6899FD3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0" w:type="dxa"/>
            <w:bottom w:w="0" w:type="dxa"/>
            <w:right w:w="0" w:type="dxa"/>
          </w:tblCellMar>
        </w:tblPrEx>
        <w:trPr>
          <w:trHeight w:val="624" w:hRule="atLeast"/>
        </w:trPr>
        <w:tc>
          <w:tcPr>
            <w:tcW w:w="510" w:type="pct"/>
            <w:vMerge w:val="continue"/>
            <w:tcBorders>
              <w:top w:val="single" w:color="auto" w:sz="4" w:space="0"/>
              <w:bottom w:val="single" w:color="auto" w:sz="4" w:space="0"/>
              <w:right w:val="single" w:color="auto" w:sz="4" w:space="0"/>
            </w:tcBorders>
            <w:vAlign w:val="center"/>
          </w:tcPr>
          <w:p w14:paraId="771BEF87">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5C10BA0">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565" w:type="pct"/>
            <w:tcBorders>
              <w:top w:val="nil"/>
              <w:left w:val="nil"/>
              <w:bottom w:val="single" w:color="auto" w:sz="4" w:space="0"/>
              <w:right w:val="single" w:color="auto" w:sz="4" w:space="0"/>
            </w:tcBorders>
            <w:shd w:val="clear" w:color="auto" w:fill="auto"/>
            <w:vAlign w:val="center"/>
          </w:tcPr>
          <w:p w14:paraId="59E7BD15">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实际孔径</w:t>
            </w:r>
          </w:p>
          <w:p w14:paraId="2A4DC52B">
            <w:pPr>
              <w:adjustRightInd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实际降深</w:t>
            </w:r>
          </w:p>
        </w:tc>
        <w:tc>
          <w:tcPr>
            <w:tcW w:w="567" w:type="pct"/>
            <w:tcBorders>
              <w:top w:val="nil"/>
              <w:left w:val="nil"/>
              <w:bottom w:val="single" w:color="auto" w:sz="4" w:space="0"/>
              <w:right w:val="single" w:color="auto" w:sz="4" w:space="0"/>
            </w:tcBorders>
            <w:shd w:val="clear" w:color="auto" w:fill="auto"/>
            <w:vAlign w:val="center"/>
          </w:tcPr>
          <w:p w14:paraId="0491C3BD">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标准孔径</w:t>
            </w:r>
          </w:p>
          <w:p w14:paraId="670ED737">
            <w:pPr>
              <w:adjustRightInd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标准降深</w:t>
            </w:r>
          </w:p>
        </w:tc>
        <w:tc>
          <w:tcPr>
            <w:tcW w:w="565" w:type="pct"/>
            <w:tcBorders>
              <w:top w:val="nil"/>
              <w:left w:val="nil"/>
              <w:bottom w:val="single" w:color="auto" w:sz="4" w:space="0"/>
              <w:right w:val="single" w:color="auto" w:sz="4" w:space="0"/>
            </w:tcBorders>
            <w:shd w:val="clear" w:color="auto" w:fill="auto"/>
            <w:vAlign w:val="center"/>
          </w:tcPr>
          <w:p w14:paraId="3F63439B">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实际孔径</w:t>
            </w:r>
          </w:p>
          <w:p w14:paraId="5E2556FE">
            <w:pPr>
              <w:adjustRightInd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实际降深</w:t>
            </w:r>
          </w:p>
        </w:tc>
        <w:tc>
          <w:tcPr>
            <w:tcW w:w="567" w:type="pct"/>
            <w:tcBorders>
              <w:top w:val="nil"/>
              <w:left w:val="nil"/>
              <w:bottom w:val="single" w:color="auto" w:sz="4" w:space="0"/>
              <w:right w:val="single" w:color="auto" w:sz="4" w:space="0"/>
            </w:tcBorders>
            <w:shd w:val="clear" w:color="auto" w:fill="auto"/>
            <w:vAlign w:val="center"/>
          </w:tcPr>
          <w:p w14:paraId="59872544">
            <w:pPr>
              <w:widowControl/>
              <w:adjustRightIn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标准孔径</w:t>
            </w:r>
          </w:p>
          <w:p w14:paraId="30AD771F">
            <w:pPr>
              <w:adjustRightInd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标准降深</w:t>
            </w:r>
          </w:p>
        </w:tc>
        <w:tc>
          <w:tcPr>
            <w:tcW w:w="511" w:type="pct"/>
            <w:vMerge w:val="continue"/>
            <w:tcBorders>
              <w:top w:val="single" w:color="auto" w:sz="4" w:space="0"/>
              <w:left w:val="single" w:color="auto" w:sz="4" w:space="0"/>
              <w:bottom w:val="single" w:color="auto" w:sz="4" w:space="0"/>
              <w:right w:val="single" w:color="auto" w:sz="4" w:space="0"/>
            </w:tcBorders>
            <w:vAlign w:val="center"/>
          </w:tcPr>
          <w:p w14:paraId="09BFBCCD">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402" w:type="pct"/>
            <w:vMerge w:val="continue"/>
            <w:tcBorders>
              <w:top w:val="single" w:color="auto" w:sz="4" w:space="0"/>
              <w:left w:val="single" w:color="auto" w:sz="4" w:space="0"/>
              <w:bottom w:val="single" w:color="auto" w:sz="4" w:space="0"/>
              <w:right w:val="single" w:color="auto" w:sz="4" w:space="0"/>
            </w:tcBorders>
            <w:vAlign w:val="center"/>
          </w:tcPr>
          <w:p w14:paraId="1BBAC477">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402" w:type="pct"/>
            <w:vMerge w:val="continue"/>
            <w:tcBorders>
              <w:top w:val="single" w:color="auto" w:sz="4" w:space="0"/>
              <w:left w:val="single" w:color="auto" w:sz="4" w:space="0"/>
              <w:bottom w:val="single" w:color="auto" w:sz="4" w:space="0"/>
              <w:right w:val="single" w:color="auto" w:sz="4" w:space="0"/>
            </w:tcBorders>
            <w:vAlign w:val="center"/>
          </w:tcPr>
          <w:p w14:paraId="670FC15A">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510" w:type="pct"/>
            <w:vMerge w:val="continue"/>
            <w:tcBorders>
              <w:top w:val="single" w:color="auto" w:sz="4" w:space="0"/>
              <w:left w:val="single" w:color="auto" w:sz="4" w:space="0"/>
              <w:bottom w:val="single" w:color="auto" w:sz="4" w:space="0"/>
            </w:tcBorders>
            <w:vAlign w:val="center"/>
          </w:tcPr>
          <w:p w14:paraId="62797568">
            <w:pPr>
              <w:widowControl/>
              <w:spacing w:line="240" w:lineRule="auto"/>
              <w:ind w:firstLine="0" w:firstLineChars="0"/>
              <w:jc w:val="left"/>
              <w:rPr>
                <w:rFonts w:hint="default" w:ascii="Times New Roman" w:hAnsi="Times New Roman" w:cs="Times New Roman"/>
                <w:color w:val="auto"/>
                <w:sz w:val="21"/>
                <w:szCs w:val="21"/>
                <w:highlight w:val="none"/>
              </w:rPr>
            </w:pPr>
          </w:p>
        </w:tc>
      </w:tr>
      <w:tr w14:paraId="0F71748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0" w:type="dxa"/>
            <w:bottom w:w="0" w:type="dxa"/>
            <w:right w:w="0" w:type="dxa"/>
          </w:tblCellMar>
        </w:tblPrEx>
        <w:trPr>
          <w:trHeight w:val="624" w:hRule="atLeast"/>
        </w:trPr>
        <w:tc>
          <w:tcPr>
            <w:tcW w:w="510" w:type="pct"/>
            <w:tcBorders>
              <w:top w:val="nil"/>
              <w:right w:val="single" w:color="auto" w:sz="4" w:space="0"/>
            </w:tcBorders>
            <w:shd w:val="clear" w:color="auto" w:fill="auto"/>
            <w:noWrap/>
            <w:vAlign w:val="center"/>
          </w:tcPr>
          <w:p w14:paraId="7693BFB4">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SZK0303</w:t>
            </w:r>
          </w:p>
        </w:tc>
        <w:tc>
          <w:tcPr>
            <w:tcW w:w="401" w:type="pct"/>
            <w:tcBorders>
              <w:top w:val="nil"/>
              <w:left w:val="single" w:color="auto" w:sz="4" w:space="0"/>
              <w:right w:val="single" w:color="auto" w:sz="4" w:space="0"/>
            </w:tcBorders>
            <w:shd w:val="clear" w:color="auto" w:fill="auto"/>
            <w:vAlign w:val="center"/>
          </w:tcPr>
          <w:p w14:paraId="1D2E5A59">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10.84</w:t>
            </w:r>
          </w:p>
        </w:tc>
        <w:tc>
          <w:tcPr>
            <w:tcW w:w="565" w:type="pct"/>
            <w:tcBorders>
              <w:top w:val="single" w:color="auto" w:sz="4" w:space="0"/>
              <w:left w:val="single" w:color="auto" w:sz="4" w:space="0"/>
              <w:right w:val="single" w:color="auto" w:sz="4" w:space="0"/>
            </w:tcBorders>
            <w:shd w:val="clear" w:color="auto" w:fill="auto"/>
            <w:vAlign w:val="center"/>
          </w:tcPr>
          <w:p w14:paraId="164CC8D9">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0.142</w:t>
            </w:r>
          </w:p>
        </w:tc>
        <w:tc>
          <w:tcPr>
            <w:tcW w:w="567" w:type="pct"/>
            <w:tcBorders>
              <w:top w:val="single" w:color="auto" w:sz="4" w:space="0"/>
              <w:left w:val="single" w:color="auto" w:sz="4" w:space="0"/>
              <w:right w:val="single" w:color="auto" w:sz="4" w:space="0"/>
            </w:tcBorders>
            <w:shd w:val="clear" w:color="auto" w:fill="auto"/>
            <w:noWrap/>
            <w:vAlign w:val="center"/>
          </w:tcPr>
          <w:p w14:paraId="1AC1EF5F">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0.2695</w:t>
            </w:r>
          </w:p>
        </w:tc>
        <w:tc>
          <w:tcPr>
            <w:tcW w:w="565" w:type="pct"/>
            <w:tcBorders>
              <w:top w:val="single" w:color="auto" w:sz="4" w:space="0"/>
              <w:left w:val="single" w:color="auto" w:sz="4" w:space="0"/>
              <w:right w:val="single" w:color="auto" w:sz="4" w:space="0"/>
            </w:tcBorders>
            <w:shd w:val="clear" w:color="auto" w:fill="auto"/>
            <w:noWrap/>
            <w:vAlign w:val="center"/>
          </w:tcPr>
          <w:p w14:paraId="1D08CE61">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0.0131</w:t>
            </w:r>
          </w:p>
        </w:tc>
        <w:tc>
          <w:tcPr>
            <w:tcW w:w="567" w:type="pct"/>
            <w:tcBorders>
              <w:top w:val="single" w:color="auto" w:sz="4" w:space="0"/>
              <w:left w:val="single" w:color="auto" w:sz="4" w:space="0"/>
              <w:right w:val="single" w:color="auto" w:sz="4" w:space="0"/>
            </w:tcBorders>
            <w:shd w:val="clear" w:color="auto" w:fill="auto"/>
            <w:noWrap/>
            <w:vAlign w:val="center"/>
          </w:tcPr>
          <w:p w14:paraId="75E221EC">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0.0270</w:t>
            </w:r>
          </w:p>
        </w:tc>
        <w:tc>
          <w:tcPr>
            <w:tcW w:w="511" w:type="pct"/>
            <w:tcBorders>
              <w:top w:val="single" w:color="auto" w:sz="4" w:space="0"/>
              <w:left w:val="single" w:color="auto" w:sz="4" w:space="0"/>
              <w:right w:val="single" w:color="auto" w:sz="4" w:space="0"/>
            </w:tcBorders>
            <w:shd w:val="clear" w:color="auto" w:fill="auto"/>
            <w:noWrap/>
            <w:vAlign w:val="center"/>
          </w:tcPr>
          <w:p w14:paraId="7F3C4DE5">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0.0032</w:t>
            </w:r>
          </w:p>
        </w:tc>
        <w:tc>
          <w:tcPr>
            <w:tcW w:w="402" w:type="pct"/>
            <w:tcBorders>
              <w:top w:val="nil"/>
              <w:left w:val="single" w:color="auto" w:sz="4" w:space="0"/>
              <w:right w:val="single" w:color="auto" w:sz="4" w:space="0"/>
            </w:tcBorders>
            <w:shd w:val="clear" w:color="auto" w:fill="auto"/>
            <w:noWrap/>
            <w:vAlign w:val="center"/>
          </w:tcPr>
          <w:p w14:paraId="47855170">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402" w:type="pct"/>
            <w:tcBorders>
              <w:top w:val="nil"/>
              <w:left w:val="single" w:color="auto" w:sz="4" w:space="0"/>
              <w:right w:val="single" w:color="auto" w:sz="4" w:space="0"/>
            </w:tcBorders>
            <w:shd w:val="clear" w:color="auto" w:fill="auto"/>
            <w:vAlign w:val="center"/>
          </w:tcPr>
          <w:p w14:paraId="60920A48">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27.03</w:t>
            </w:r>
          </w:p>
        </w:tc>
        <w:tc>
          <w:tcPr>
            <w:tcW w:w="510" w:type="pct"/>
            <w:tcBorders>
              <w:top w:val="nil"/>
              <w:left w:val="single" w:color="auto" w:sz="4" w:space="0"/>
            </w:tcBorders>
            <w:shd w:val="clear" w:color="auto" w:fill="auto"/>
            <w:vAlign w:val="center"/>
          </w:tcPr>
          <w:p w14:paraId="5DA148C4">
            <w:pPr>
              <w:widowControl/>
              <w:spacing w:line="240" w:lineRule="auto"/>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1048.88</w:t>
            </w:r>
          </w:p>
        </w:tc>
      </w:tr>
    </w:tbl>
    <w:p w14:paraId="0E90130C">
      <w:pPr>
        <w:adjustRightInd w:val="0"/>
        <w:snapToGrid w:val="0"/>
        <w:spacing w:line="240" w:lineRule="auto"/>
        <w:ind w:firstLine="0" w:firstLineChars="0"/>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注：标准孔径、标准降深涌水量（单位涌水量）指换算为91mm孔径，10m降深的相关数据。</w:t>
      </w:r>
    </w:p>
    <w:p w14:paraId="7B29C92A">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③</w:t>
      </w:r>
      <w:r>
        <w:rPr>
          <w:rFonts w:hint="default" w:ascii="Times New Roman" w:hAnsi="Times New Roman" w:eastAsia="宋体" w:cs="Times New Roman"/>
          <w:color w:val="auto"/>
          <w:highlight w:val="none"/>
        </w:rPr>
        <w:t>地下水动态及其补给、径流与排泄</w:t>
      </w:r>
    </w:p>
    <w:p w14:paraId="26BD0778">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位于阿尔泰山山前戈壁荒漠带，在区域水文地质单元上属于地下水的补给、径流区，区内地下水主要接受上游地下水侧向径流、大气降水、春季冰雪融水的补给，地下水在水势梯度作用下沿第四系松散堆积物的孔隙或基岩的风化裂隙网络，由地势较高的部位径流到地势较低的部位，区内地下水流向总体为由东北向西南。</w:t>
      </w:r>
    </w:p>
    <w:p w14:paraId="2FC3FAA2">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本区地下水的排泄除牧区民井抽排用水外，一部分通过地表蒸发或植物蒸腾方式排泄到大气，另一部分则以径流的方式流向下游，并在下游条件适合部位以泄流或者泉水形式排泄到地表水体。</w:t>
      </w:r>
    </w:p>
    <w:p w14:paraId="5C8627F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④</w:t>
      </w:r>
      <w:r>
        <w:rPr>
          <w:rFonts w:hint="default" w:ascii="Times New Roman" w:hAnsi="Times New Roman" w:eastAsia="宋体" w:cs="Times New Roman"/>
          <w:color w:val="auto"/>
          <w:highlight w:val="none"/>
        </w:rPr>
        <w:t>地下水化学特征</w:t>
      </w:r>
    </w:p>
    <w:p w14:paraId="06ABCFEE">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根据本区钻孔本区地下水阳离子主要以Ca</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、Mg</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、Na</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、K</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为主，阴离子主要以SO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、Cl</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、HCO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、F</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为主，总硬度392～635mg/L，总碱度122～134mg/L，总酸度5.07～5.07mg/L，</w:t>
      </w:r>
      <w:r>
        <w:rPr>
          <w:rFonts w:hint="default" w:ascii="Times New Roman" w:hAnsi="Times New Roman" w:eastAsia="宋体" w:cs="Times New Roman"/>
          <w:color w:val="auto"/>
          <w:highlight w:val="none"/>
          <w:lang w:val="en-US" w:eastAsia="zh-CN"/>
        </w:rPr>
        <w:t>p</w:t>
      </w:r>
      <w:r>
        <w:rPr>
          <w:rFonts w:hint="default" w:ascii="Times New Roman" w:hAnsi="Times New Roman" w:eastAsia="宋体" w:cs="Times New Roman"/>
          <w:color w:val="auto"/>
          <w:highlight w:val="none"/>
        </w:rPr>
        <w:t>H值7.62～7.97，矿化度918～1376mg/L，水化学类型为SO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-Ca·Mg型、SO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-Ca·Mg·Na型。</w:t>
      </w:r>
    </w:p>
    <w:p w14:paraId="2CCB8997">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⑤</w:t>
      </w:r>
      <w:r>
        <w:rPr>
          <w:rFonts w:hint="default" w:ascii="Times New Roman" w:hAnsi="Times New Roman" w:eastAsia="宋体" w:cs="Times New Roman"/>
          <w:color w:val="auto"/>
          <w:highlight w:val="none"/>
        </w:rPr>
        <w:t>充水因素分析</w:t>
      </w:r>
    </w:p>
    <w:p w14:paraId="10AB1BD1">
      <w:pPr>
        <w:widowControl/>
        <w:overflowPunct w:val="0"/>
        <w:topLinePunct/>
        <w:ind w:firstLine="480"/>
        <w:rPr>
          <w:rFonts w:hint="default" w:ascii="Times New Roman" w:hAnsi="Times New Roman" w:eastAsia="宋体" w:cs="Times New Roman"/>
          <w:color w:val="auto"/>
          <w:highlight w:val="none"/>
        </w:rPr>
      </w:pPr>
      <w:bookmarkStart w:id="620" w:name="_Hlk198729699"/>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w:t>
      </w:r>
      <w:r>
        <w:rPr>
          <w:rFonts w:hint="default" w:ascii="Times New Roman" w:hAnsi="Times New Roman" w:eastAsia="宋体" w:cs="Times New Roman"/>
          <w:color w:val="auto"/>
          <w:highlight w:val="none"/>
          <w:lang w:val="en-US" w:eastAsia="zh-CN"/>
        </w:rPr>
        <w:t>评价范围</w:t>
      </w:r>
      <w:r>
        <w:rPr>
          <w:rFonts w:hint="default" w:ascii="Times New Roman" w:hAnsi="Times New Roman" w:eastAsia="宋体" w:cs="Times New Roman"/>
          <w:color w:val="auto"/>
          <w:highlight w:val="none"/>
        </w:rPr>
        <w:t>内没有地表水源，区内没有老空区赋存，不存在老空区突水问题。大气降水和基岩裂隙水是矿床的主要充水水源。</w:t>
      </w:r>
    </w:p>
    <w:p w14:paraId="0F56C86B">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充水水源</w:t>
      </w:r>
    </w:p>
    <w:p w14:paraId="0F5359C9">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.大气降水</w:t>
      </w:r>
    </w:p>
    <w:p w14:paraId="0BA82E3E">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区在区域上位于地下水径流区，区内岩石地表风化裂隙及深部裂隙均有不同程度的发育，具有一定的透水性和含水性，可接受大气降水补给</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但由于矿区年降水量稀少而蒸发量大</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大气降水对地下水补给量有限。</w:t>
      </w:r>
    </w:p>
    <w:p w14:paraId="4E02B92B">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.基岩裂隙水</w:t>
      </w:r>
    </w:p>
    <w:p w14:paraId="59868CBF">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本项目配套矿山</w:t>
      </w:r>
      <w:r>
        <w:rPr>
          <w:rFonts w:hint="default" w:ascii="Times New Roman" w:hAnsi="Times New Roman" w:eastAsia="宋体" w:cs="Times New Roman"/>
          <w:color w:val="auto"/>
          <w:highlight w:val="none"/>
        </w:rPr>
        <w:t>矿体开采标高在772～1130米，地下水水位标高在1048.88～1067.509米，矿体开采标高多位于地下水位以下。基岩裂隙水是矿井的主要充水水源，</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区内基岩裂隙含水层富水性弱，补给来源单一且有限，未来开采时矿井水易于疏干。</w:t>
      </w:r>
    </w:p>
    <w:p w14:paraId="19D26B5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充水通道</w:t>
      </w:r>
    </w:p>
    <w:p w14:paraId="386C5D98">
      <w:pPr>
        <w:widowControl/>
        <w:overflowPunct w:val="0"/>
        <w:topLinePunct/>
        <w:ind w:firstLine="480"/>
        <w:rPr>
          <w:rFonts w:hint="default" w:ascii="Times New Roman" w:hAnsi="Times New Roman" w:eastAsia="宋体" w:cs="Times New Roman"/>
          <w:color w:val="auto"/>
          <w:highlight w:val="none"/>
        </w:rPr>
      </w:pPr>
      <w:bookmarkStart w:id="621" w:name="_Toc20389"/>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.破碎带</w:t>
      </w:r>
      <w:bookmarkEnd w:id="621"/>
    </w:p>
    <w:p w14:paraId="304F4F29">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区内主要表现为接触破碎带和构造破碎带。破碎带岩石破碎，裂隙发育，连通性好，具良好的透水性，与矿床连通，形成充水通道。</w:t>
      </w:r>
    </w:p>
    <w:p w14:paraId="6D9CA18C">
      <w:pPr>
        <w:widowControl/>
        <w:overflowPunct w:val="0"/>
        <w:topLinePunct/>
        <w:ind w:firstLine="480"/>
        <w:rPr>
          <w:rFonts w:hint="default" w:ascii="Times New Roman" w:hAnsi="Times New Roman" w:eastAsia="宋体" w:cs="Times New Roman"/>
          <w:color w:val="auto"/>
          <w:highlight w:val="none"/>
        </w:rPr>
      </w:pPr>
      <w:bookmarkStart w:id="622" w:name="_Toc29602"/>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.围岩裂隙</w:t>
      </w:r>
      <w:bookmarkEnd w:id="622"/>
    </w:p>
    <w:p w14:paraId="2CEE66E8">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围岩发育有不同性质的裂隙与矿体裂隙相互连通，是地下水进入矿体的主要通道，各类围岩裂隙均有不同程度的发育，</w:t>
      </w:r>
      <w:r>
        <w:rPr>
          <w:rFonts w:hint="default" w:cs="Times New Roman"/>
          <w:color w:val="auto"/>
          <w:highlight w:val="none"/>
          <w:lang w:eastAsia="zh-CN"/>
        </w:rPr>
        <w:t>具有</w:t>
      </w:r>
      <w:r>
        <w:rPr>
          <w:rFonts w:hint="default" w:ascii="Times New Roman" w:hAnsi="Times New Roman" w:eastAsia="宋体" w:cs="Times New Roman"/>
          <w:color w:val="auto"/>
          <w:highlight w:val="none"/>
        </w:rPr>
        <w:t>一定连通性和导水性。</w:t>
      </w:r>
    </w:p>
    <w:p w14:paraId="50EE8D40">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充水强度</w:t>
      </w:r>
    </w:p>
    <w:p w14:paraId="6AADA837">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矿区所处区域降水少而蒸发量大，区内地下水以裂隙含水层为主，富水性弱，地下水补给条件一般；区内矿床充水通道主要为破碎带及围岩裂隙，综合充水水源及通道，本区充水强度中等。</w:t>
      </w:r>
    </w:p>
    <w:p w14:paraId="1CB44DE7">
      <w:pPr>
        <w:widowControl/>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项目区水文地质见图4.1-1。</w:t>
      </w:r>
    </w:p>
    <w:bookmarkEnd w:id="620"/>
    <w:p w14:paraId="146E0852">
      <w:pPr>
        <w:pStyle w:val="4"/>
        <w:rPr>
          <w:rFonts w:hint="default" w:ascii="Times New Roman" w:hAnsi="Times New Roman" w:eastAsia="宋体" w:cs="Times New Roman"/>
          <w:color w:val="auto"/>
          <w:highlight w:val="none"/>
        </w:rPr>
      </w:pPr>
      <w:bookmarkStart w:id="623" w:name="_Toc21961"/>
      <w:bookmarkStart w:id="624" w:name="_Toc5387"/>
      <w:bookmarkStart w:id="625" w:name="_Toc9782"/>
      <w:r>
        <w:rPr>
          <w:rFonts w:hint="default" w:ascii="Times New Roman" w:hAnsi="Times New Roman" w:eastAsia="宋体" w:cs="Times New Roman"/>
          <w:color w:val="auto"/>
          <w:highlight w:val="none"/>
        </w:rPr>
        <w:t>4.1.5</w:t>
      </w:r>
      <w:bookmarkEnd w:id="623"/>
      <w:bookmarkEnd w:id="624"/>
      <w:bookmarkEnd w:id="625"/>
      <w:r>
        <w:rPr>
          <w:rFonts w:hint="default" w:ascii="Times New Roman" w:hAnsi="Times New Roman" w:eastAsia="宋体" w:cs="Times New Roman"/>
          <w:color w:val="auto"/>
          <w:highlight w:val="none"/>
        </w:rPr>
        <w:t>地震烈度</w:t>
      </w:r>
    </w:p>
    <w:p w14:paraId="54FEACD1">
      <w:pPr>
        <w:widowControl/>
        <w:overflowPunct w:val="0"/>
        <w:topLinePunct/>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矿区位于阿尔泰地震带西南段，本区地震活动较为频繁，主要是由卡依尔特—二台大断裂的活动所引起的。在历次地震中，以1931年8月11日发生的闻名中外的八级富蕴大地震为最，震中位于矿区东部的卡拉先格尔山区（东经89°54′，北纬46°44.5′），震源深度为20km，形成了北起买增萨依，南到阿尔曼特山北坡长达17km的地震带。在主体走滑段的水平位移，一般为6</w:t>
      </w:r>
      <w:r>
        <w:rPr>
          <w:rFonts w:hint="default"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rPr>
        <w:t>10m，最大位移位于震中区南端的阿克萨依，为14m。在此次大地震7天之后，又发生了一次7.25级的余震。在近期，也多次发生地震活动。</w:t>
      </w:r>
    </w:p>
    <w:p w14:paraId="17F77708">
      <w:pPr>
        <w:pStyle w:val="128"/>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4.1-4  </w:t>
      </w:r>
      <w:r>
        <w:rPr>
          <w:rFonts w:hint="default" w:ascii="Times New Roman" w:hAnsi="Times New Roman" w:cs="Times New Roman"/>
          <w:color w:val="auto"/>
          <w:highlight w:val="none"/>
        </w:rPr>
        <w:t xml:space="preserve">  富蕴—青河一带地震记录表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2235"/>
        <w:gridCol w:w="2235"/>
        <w:gridCol w:w="1202"/>
        <w:gridCol w:w="1061"/>
      </w:tblGrid>
      <w:tr w14:paraId="17B6D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vMerge w:val="restart"/>
            <w:shd w:val="clear" w:color="auto" w:fill="auto"/>
            <w:vAlign w:val="center"/>
          </w:tcPr>
          <w:p w14:paraId="4BE6425E">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时间</w:t>
            </w:r>
            <w:r>
              <w:rPr>
                <w:rFonts w:hint="default" w:ascii="Times New Roman" w:hAnsi="Times New Roman" w:cs="Times New Roman"/>
                <w:b/>
                <w:bCs/>
                <w:color w:val="auto"/>
                <w:sz w:val="21"/>
                <w:szCs w:val="21"/>
                <w:highlight w:val="none"/>
              </w:rPr>
              <w:br w:type="textWrapping"/>
            </w:r>
            <w:r>
              <w:rPr>
                <w:rFonts w:hint="default" w:ascii="Times New Roman" w:hAnsi="Times New Roman" w:cs="Times New Roman"/>
                <w:b/>
                <w:bCs/>
                <w:color w:val="auto"/>
                <w:sz w:val="21"/>
                <w:szCs w:val="21"/>
                <w:highlight w:val="none"/>
              </w:rPr>
              <w:t>年月日</w:t>
            </w:r>
          </w:p>
        </w:tc>
        <w:tc>
          <w:tcPr>
            <w:tcW w:w="2436" w:type="pct"/>
            <w:gridSpan w:val="2"/>
            <w:shd w:val="clear" w:color="auto" w:fill="auto"/>
            <w:vAlign w:val="center"/>
          </w:tcPr>
          <w:p w14:paraId="5B8CF3A7">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位 置</w:t>
            </w:r>
          </w:p>
        </w:tc>
        <w:tc>
          <w:tcPr>
            <w:tcW w:w="655" w:type="pct"/>
            <w:vMerge w:val="restart"/>
            <w:shd w:val="clear" w:color="auto" w:fill="auto"/>
            <w:vAlign w:val="center"/>
          </w:tcPr>
          <w:p w14:paraId="496C2FE6">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震级</w:t>
            </w:r>
          </w:p>
        </w:tc>
        <w:tc>
          <w:tcPr>
            <w:tcW w:w="579" w:type="pct"/>
            <w:vMerge w:val="restart"/>
            <w:shd w:val="clear" w:color="auto" w:fill="auto"/>
            <w:vAlign w:val="center"/>
          </w:tcPr>
          <w:p w14:paraId="5676696A">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精度</w:t>
            </w:r>
          </w:p>
        </w:tc>
      </w:tr>
      <w:tr w14:paraId="7F3BD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vMerge w:val="continue"/>
            <w:vAlign w:val="center"/>
          </w:tcPr>
          <w:p w14:paraId="5DB0A7D9">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1218" w:type="pct"/>
            <w:shd w:val="clear" w:color="auto" w:fill="auto"/>
            <w:vAlign w:val="center"/>
          </w:tcPr>
          <w:p w14:paraId="5D241728">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东 经</w:t>
            </w:r>
          </w:p>
        </w:tc>
        <w:tc>
          <w:tcPr>
            <w:tcW w:w="1218" w:type="pct"/>
            <w:shd w:val="clear" w:color="auto" w:fill="auto"/>
            <w:vAlign w:val="center"/>
          </w:tcPr>
          <w:p w14:paraId="4C9945E1">
            <w:pPr>
              <w:widowControl/>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北 纬</w:t>
            </w:r>
          </w:p>
        </w:tc>
        <w:tc>
          <w:tcPr>
            <w:tcW w:w="655" w:type="pct"/>
            <w:vMerge w:val="continue"/>
            <w:vAlign w:val="center"/>
          </w:tcPr>
          <w:p w14:paraId="2F1A953E">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579" w:type="pct"/>
            <w:vMerge w:val="continue"/>
            <w:vAlign w:val="center"/>
          </w:tcPr>
          <w:p w14:paraId="29DC3076">
            <w:pPr>
              <w:widowControl/>
              <w:spacing w:line="240" w:lineRule="auto"/>
              <w:ind w:firstLine="0" w:firstLineChars="0"/>
              <w:jc w:val="left"/>
              <w:rPr>
                <w:rFonts w:hint="default" w:ascii="Times New Roman" w:hAnsi="Times New Roman" w:cs="Times New Roman"/>
                <w:color w:val="auto"/>
                <w:sz w:val="21"/>
                <w:szCs w:val="21"/>
                <w:highlight w:val="none"/>
              </w:rPr>
            </w:pPr>
          </w:p>
        </w:tc>
      </w:tr>
      <w:tr w14:paraId="1515C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35A24466">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1917.7.31</w:t>
            </w:r>
          </w:p>
        </w:tc>
        <w:tc>
          <w:tcPr>
            <w:tcW w:w="1218" w:type="pct"/>
            <w:shd w:val="clear" w:color="auto" w:fill="auto"/>
            <w:vAlign w:val="center"/>
          </w:tcPr>
          <w:p w14:paraId="2D26D5FF">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45EC626A">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46°54'00"</w:t>
            </w:r>
          </w:p>
        </w:tc>
        <w:tc>
          <w:tcPr>
            <w:tcW w:w="655" w:type="pct"/>
            <w:shd w:val="clear" w:color="auto" w:fill="auto"/>
            <w:vAlign w:val="center"/>
          </w:tcPr>
          <w:p w14:paraId="188860FD">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579" w:type="pct"/>
            <w:shd w:val="clear" w:color="auto" w:fill="auto"/>
            <w:vAlign w:val="center"/>
          </w:tcPr>
          <w:p w14:paraId="42FD93A4">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25AF5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7FFBF021">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1917.11.28</w:t>
            </w:r>
          </w:p>
        </w:tc>
        <w:tc>
          <w:tcPr>
            <w:tcW w:w="1218" w:type="pct"/>
            <w:shd w:val="clear" w:color="auto" w:fill="auto"/>
            <w:vAlign w:val="center"/>
          </w:tcPr>
          <w:p w14:paraId="7F3812C0">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25345E31">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46°54'00"</w:t>
            </w:r>
          </w:p>
        </w:tc>
        <w:tc>
          <w:tcPr>
            <w:tcW w:w="655" w:type="pct"/>
            <w:shd w:val="clear" w:color="auto" w:fill="auto"/>
            <w:vAlign w:val="center"/>
          </w:tcPr>
          <w:p w14:paraId="650E3CD0">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579" w:type="pct"/>
            <w:shd w:val="clear" w:color="auto" w:fill="auto"/>
            <w:vAlign w:val="center"/>
          </w:tcPr>
          <w:p w14:paraId="6E3FEE8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20832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5360E949">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1920.10.28</w:t>
            </w:r>
          </w:p>
        </w:tc>
        <w:tc>
          <w:tcPr>
            <w:tcW w:w="1218" w:type="pct"/>
            <w:shd w:val="clear" w:color="auto" w:fill="auto"/>
            <w:vAlign w:val="center"/>
          </w:tcPr>
          <w:p w14:paraId="47E2895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89°00'00"</w:t>
            </w:r>
          </w:p>
        </w:tc>
        <w:tc>
          <w:tcPr>
            <w:tcW w:w="1218" w:type="pct"/>
            <w:shd w:val="clear" w:color="auto" w:fill="auto"/>
            <w:vAlign w:val="center"/>
          </w:tcPr>
          <w:p w14:paraId="58BC6137">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46°54'00"</w:t>
            </w:r>
          </w:p>
        </w:tc>
        <w:tc>
          <w:tcPr>
            <w:tcW w:w="655" w:type="pct"/>
            <w:shd w:val="clear" w:color="auto" w:fill="auto"/>
            <w:vAlign w:val="center"/>
          </w:tcPr>
          <w:p w14:paraId="4DEA702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5.25</w:t>
            </w:r>
          </w:p>
        </w:tc>
        <w:tc>
          <w:tcPr>
            <w:tcW w:w="579" w:type="pct"/>
            <w:shd w:val="clear" w:color="auto" w:fill="auto"/>
            <w:noWrap/>
            <w:vAlign w:val="center"/>
          </w:tcPr>
          <w:p w14:paraId="35DDFEC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4D70F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62E94DB6">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1931.8.11</w:t>
            </w:r>
          </w:p>
        </w:tc>
        <w:tc>
          <w:tcPr>
            <w:tcW w:w="1218" w:type="pct"/>
            <w:shd w:val="clear" w:color="auto" w:fill="auto"/>
            <w:vAlign w:val="center"/>
          </w:tcPr>
          <w:p w14:paraId="2B571DD4">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89°54'30″</w:t>
            </w:r>
          </w:p>
        </w:tc>
        <w:tc>
          <w:tcPr>
            <w:tcW w:w="1218" w:type="pct"/>
            <w:shd w:val="clear" w:color="auto" w:fill="auto"/>
            <w:vAlign w:val="center"/>
          </w:tcPr>
          <w:p w14:paraId="48201845">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46°48'30"</w:t>
            </w:r>
          </w:p>
        </w:tc>
        <w:tc>
          <w:tcPr>
            <w:tcW w:w="655" w:type="pct"/>
            <w:shd w:val="clear" w:color="auto" w:fill="auto"/>
            <w:vAlign w:val="center"/>
          </w:tcPr>
          <w:p w14:paraId="124FE92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579" w:type="pct"/>
            <w:shd w:val="clear" w:color="auto" w:fill="auto"/>
            <w:vAlign w:val="center"/>
          </w:tcPr>
          <w:p w14:paraId="1EAF7D91">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宏观</w:t>
            </w:r>
          </w:p>
        </w:tc>
      </w:tr>
      <w:tr w14:paraId="57C72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00CEF8B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1931.8.11</w:t>
            </w:r>
          </w:p>
        </w:tc>
        <w:tc>
          <w:tcPr>
            <w:tcW w:w="1218" w:type="pct"/>
            <w:shd w:val="clear" w:color="auto" w:fill="auto"/>
            <w:vAlign w:val="center"/>
          </w:tcPr>
          <w:p w14:paraId="1F295237">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0F43BC8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46°54'00"</w:t>
            </w:r>
          </w:p>
        </w:tc>
        <w:tc>
          <w:tcPr>
            <w:tcW w:w="655" w:type="pct"/>
            <w:shd w:val="clear" w:color="auto" w:fill="auto"/>
            <w:vAlign w:val="center"/>
          </w:tcPr>
          <w:p w14:paraId="34A392D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579" w:type="pct"/>
            <w:shd w:val="clear" w:color="auto" w:fill="auto"/>
            <w:vAlign w:val="center"/>
          </w:tcPr>
          <w:p w14:paraId="0246235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r>
      <w:tr w14:paraId="0D95E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0F3A4A83">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1931.8.16</w:t>
            </w:r>
          </w:p>
        </w:tc>
        <w:tc>
          <w:tcPr>
            <w:tcW w:w="1218" w:type="pct"/>
            <w:shd w:val="clear" w:color="auto" w:fill="auto"/>
            <w:vAlign w:val="center"/>
          </w:tcPr>
          <w:p w14:paraId="4A494F1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89°97'00″</w:t>
            </w:r>
          </w:p>
        </w:tc>
        <w:tc>
          <w:tcPr>
            <w:tcW w:w="1218" w:type="pct"/>
            <w:shd w:val="clear" w:color="auto" w:fill="auto"/>
            <w:vAlign w:val="center"/>
          </w:tcPr>
          <w:p w14:paraId="796D0F55">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47°12'00"</w:t>
            </w:r>
          </w:p>
        </w:tc>
        <w:tc>
          <w:tcPr>
            <w:tcW w:w="655" w:type="pct"/>
            <w:shd w:val="clear" w:color="auto" w:fill="auto"/>
            <w:vAlign w:val="center"/>
          </w:tcPr>
          <w:p w14:paraId="67F21D1F">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5.25</w:t>
            </w:r>
          </w:p>
        </w:tc>
        <w:tc>
          <w:tcPr>
            <w:tcW w:w="579" w:type="pct"/>
            <w:shd w:val="clear" w:color="auto" w:fill="auto"/>
            <w:vAlign w:val="center"/>
          </w:tcPr>
          <w:p w14:paraId="4E54282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r>
      <w:tr w14:paraId="58D34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4AE9247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1931.8.18</w:t>
            </w:r>
          </w:p>
        </w:tc>
        <w:tc>
          <w:tcPr>
            <w:tcW w:w="1218" w:type="pct"/>
            <w:shd w:val="clear" w:color="auto" w:fill="auto"/>
            <w:vAlign w:val="center"/>
          </w:tcPr>
          <w:p w14:paraId="6D29CAE4">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775973DA">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47°24'00"</w:t>
            </w:r>
          </w:p>
        </w:tc>
        <w:tc>
          <w:tcPr>
            <w:tcW w:w="655" w:type="pct"/>
            <w:shd w:val="clear" w:color="auto" w:fill="auto"/>
            <w:vAlign w:val="center"/>
          </w:tcPr>
          <w:p w14:paraId="3DBE691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7.25</w:t>
            </w:r>
          </w:p>
        </w:tc>
        <w:tc>
          <w:tcPr>
            <w:tcW w:w="579" w:type="pct"/>
            <w:shd w:val="clear" w:color="auto" w:fill="auto"/>
            <w:noWrap/>
            <w:vAlign w:val="center"/>
          </w:tcPr>
          <w:p w14:paraId="4CD314D6">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10E2E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3BA6B857">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1931.8.24</w:t>
            </w:r>
          </w:p>
        </w:tc>
        <w:tc>
          <w:tcPr>
            <w:tcW w:w="1218" w:type="pct"/>
            <w:shd w:val="clear" w:color="auto" w:fill="auto"/>
            <w:vAlign w:val="center"/>
          </w:tcPr>
          <w:p w14:paraId="05FABC6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7F1B3467">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46°54'00"</w:t>
            </w:r>
          </w:p>
        </w:tc>
        <w:tc>
          <w:tcPr>
            <w:tcW w:w="655" w:type="pct"/>
            <w:shd w:val="clear" w:color="auto" w:fill="auto"/>
            <w:vAlign w:val="center"/>
          </w:tcPr>
          <w:p w14:paraId="51B643F6">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579" w:type="pct"/>
            <w:shd w:val="clear" w:color="auto" w:fill="auto"/>
            <w:vAlign w:val="center"/>
          </w:tcPr>
          <w:p w14:paraId="585A079D">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r>
      <w:tr w14:paraId="1C18A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6B5D6F1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1931.8.26</w:t>
            </w:r>
          </w:p>
        </w:tc>
        <w:tc>
          <w:tcPr>
            <w:tcW w:w="1218" w:type="pct"/>
            <w:shd w:val="clear" w:color="auto" w:fill="auto"/>
            <w:vAlign w:val="center"/>
          </w:tcPr>
          <w:p w14:paraId="7A7C58CA">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0F673280">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46°54'00"</w:t>
            </w:r>
          </w:p>
        </w:tc>
        <w:tc>
          <w:tcPr>
            <w:tcW w:w="655" w:type="pct"/>
            <w:shd w:val="clear" w:color="auto" w:fill="auto"/>
            <w:vAlign w:val="center"/>
          </w:tcPr>
          <w:p w14:paraId="0509086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579" w:type="pct"/>
            <w:shd w:val="clear" w:color="auto" w:fill="auto"/>
            <w:vAlign w:val="center"/>
          </w:tcPr>
          <w:p w14:paraId="46934DB3">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r>
      <w:tr w14:paraId="1CA17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7974BDBF">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1931.11.5</w:t>
            </w:r>
          </w:p>
        </w:tc>
        <w:tc>
          <w:tcPr>
            <w:tcW w:w="1218" w:type="pct"/>
            <w:shd w:val="clear" w:color="auto" w:fill="auto"/>
            <w:vAlign w:val="center"/>
          </w:tcPr>
          <w:p w14:paraId="0EA04A17">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36471804">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47°00'00"</w:t>
            </w:r>
          </w:p>
        </w:tc>
        <w:tc>
          <w:tcPr>
            <w:tcW w:w="655" w:type="pct"/>
            <w:shd w:val="clear" w:color="auto" w:fill="auto"/>
            <w:vAlign w:val="center"/>
          </w:tcPr>
          <w:p w14:paraId="60712C1D">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6.25</w:t>
            </w:r>
          </w:p>
        </w:tc>
        <w:tc>
          <w:tcPr>
            <w:tcW w:w="579" w:type="pct"/>
            <w:shd w:val="clear" w:color="auto" w:fill="auto"/>
            <w:vAlign w:val="center"/>
          </w:tcPr>
          <w:p w14:paraId="70B64C7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r>
      <w:tr w14:paraId="4667C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794E1E4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1933.1.22</w:t>
            </w:r>
          </w:p>
        </w:tc>
        <w:tc>
          <w:tcPr>
            <w:tcW w:w="1218" w:type="pct"/>
            <w:shd w:val="clear" w:color="auto" w:fill="auto"/>
            <w:vAlign w:val="center"/>
          </w:tcPr>
          <w:p w14:paraId="44ED14FD">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89°30'00"</w:t>
            </w:r>
          </w:p>
        </w:tc>
        <w:tc>
          <w:tcPr>
            <w:tcW w:w="1218" w:type="pct"/>
            <w:shd w:val="clear" w:color="auto" w:fill="auto"/>
            <w:vAlign w:val="center"/>
          </w:tcPr>
          <w:p w14:paraId="564AFD8F">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47°00'00″</w:t>
            </w:r>
          </w:p>
        </w:tc>
        <w:tc>
          <w:tcPr>
            <w:tcW w:w="655" w:type="pct"/>
            <w:shd w:val="clear" w:color="auto" w:fill="auto"/>
            <w:vAlign w:val="center"/>
          </w:tcPr>
          <w:p w14:paraId="15EE3403">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579" w:type="pct"/>
            <w:shd w:val="clear" w:color="auto" w:fill="auto"/>
            <w:vAlign w:val="center"/>
          </w:tcPr>
          <w:p w14:paraId="6E4E217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r>
      <w:tr w14:paraId="35D67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16417844">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1933.2.13</w:t>
            </w:r>
          </w:p>
        </w:tc>
        <w:tc>
          <w:tcPr>
            <w:tcW w:w="1218" w:type="pct"/>
            <w:shd w:val="clear" w:color="auto" w:fill="auto"/>
            <w:vAlign w:val="center"/>
          </w:tcPr>
          <w:p w14:paraId="68AF967A">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90°30'00"</w:t>
            </w:r>
          </w:p>
        </w:tc>
        <w:tc>
          <w:tcPr>
            <w:tcW w:w="1218" w:type="pct"/>
            <w:shd w:val="clear" w:color="auto" w:fill="auto"/>
            <w:vAlign w:val="center"/>
          </w:tcPr>
          <w:p w14:paraId="332CB4F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46°18'00"</w:t>
            </w:r>
          </w:p>
        </w:tc>
        <w:tc>
          <w:tcPr>
            <w:tcW w:w="655" w:type="pct"/>
            <w:shd w:val="clear" w:color="auto" w:fill="auto"/>
            <w:vAlign w:val="center"/>
          </w:tcPr>
          <w:p w14:paraId="5528329D">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579" w:type="pct"/>
            <w:shd w:val="clear" w:color="auto" w:fill="auto"/>
            <w:noWrap/>
            <w:vAlign w:val="center"/>
          </w:tcPr>
          <w:p w14:paraId="022A8FA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17313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007D6FC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1939.1.1</w:t>
            </w:r>
          </w:p>
        </w:tc>
        <w:tc>
          <w:tcPr>
            <w:tcW w:w="1218" w:type="pct"/>
            <w:shd w:val="clear" w:color="auto" w:fill="auto"/>
            <w:vAlign w:val="center"/>
          </w:tcPr>
          <w:p w14:paraId="673515F4">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90°00'00"</w:t>
            </w:r>
          </w:p>
        </w:tc>
        <w:tc>
          <w:tcPr>
            <w:tcW w:w="1218" w:type="pct"/>
            <w:shd w:val="clear" w:color="auto" w:fill="auto"/>
            <w:vAlign w:val="center"/>
          </w:tcPr>
          <w:p w14:paraId="7A981F7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46°54'00"</w:t>
            </w:r>
          </w:p>
        </w:tc>
        <w:tc>
          <w:tcPr>
            <w:tcW w:w="655" w:type="pct"/>
            <w:shd w:val="clear" w:color="auto" w:fill="auto"/>
            <w:vAlign w:val="center"/>
          </w:tcPr>
          <w:p w14:paraId="38FCC84A">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579" w:type="pct"/>
            <w:shd w:val="clear" w:color="auto" w:fill="auto"/>
            <w:vAlign w:val="center"/>
          </w:tcPr>
          <w:p w14:paraId="549C9C9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5A98E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56DD8D71">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1970.5.15</w:t>
            </w:r>
          </w:p>
        </w:tc>
        <w:tc>
          <w:tcPr>
            <w:tcW w:w="1218" w:type="pct"/>
            <w:shd w:val="clear" w:color="auto" w:fill="auto"/>
            <w:vAlign w:val="center"/>
          </w:tcPr>
          <w:p w14:paraId="0C8809C3">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89°18'00"</w:t>
            </w:r>
          </w:p>
        </w:tc>
        <w:tc>
          <w:tcPr>
            <w:tcW w:w="1218" w:type="pct"/>
            <w:shd w:val="clear" w:color="auto" w:fill="auto"/>
            <w:vAlign w:val="center"/>
          </w:tcPr>
          <w:p w14:paraId="59EB2BE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47°24'00"</w:t>
            </w:r>
          </w:p>
        </w:tc>
        <w:tc>
          <w:tcPr>
            <w:tcW w:w="655" w:type="pct"/>
            <w:shd w:val="clear" w:color="auto" w:fill="auto"/>
            <w:vAlign w:val="center"/>
          </w:tcPr>
          <w:p w14:paraId="2E00CB69">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579" w:type="pct"/>
            <w:shd w:val="clear" w:color="auto" w:fill="auto"/>
            <w:noWrap/>
            <w:vAlign w:val="center"/>
          </w:tcPr>
          <w:p w14:paraId="6F884A57">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49A6F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37929643">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1971.11.24</w:t>
            </w:r>
          </w:p>
        </w:tc>
        <w:tc>
          <w:tcPr>
            <w:tcW w:w="1218" w:type="pct"/>
            <w:shd w:val="clear" w:color="auto" w:fill="auto"/>
            <w:vAlign w:val="center"/>
          </w:tcPr>
          <w:p w14:paraId="0D9B47B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90°12'00"</w:t>
            </w:r>
          </w:p>
        </w:tc>
        <w:tc>
          <w:tcPr>
            <w:tcW w:w="1218" w:type="pct"/>
            <w:shd w:val="clear" w:color="auto" w:fill="auto"/>
            <w:vAlign w:val="center"/>
          </w:tcPr>
          <w:p w14:paraId="191B9E0A">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46°48'00"</w:t>
            </w:r>
          </w:p>
        </w:tc>
        <w:tc>
          <w:tcPr>
            <w:tcW w:w="655" w:type="pct"/>
            <w:shd w:val="clear" w:color="auto" w:fill="auto"/>
            <w:vAlign w:val="center"/>
          </w:tcPr>
          <w:p w14:paraId="538A9596">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79" w:type="pct"/>
            <w:shd w:val="clear" w:color="auto" w:fill="auto"/>
            <w:noWrap/>
            <w:vAlign w:val="center"/>
          </w:tcPr>
          <w:p w14:paraId="06997EED">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0F127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26915F9E">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1972.11.28</w:t>
            </w:r>
          </w:p>
        </w:tc>
        <w:tc>
          <w:tcPr>
            <w:tcW w:w="1218" w:type="pct"/>
            <w:shd w:val="clear" w:color="auto" w:fill="auto"/>
            <w:vAlign w:val="center"/>
          </w:tcPr>
          <w:p w14:paraId="320E0837">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89°40'00"</w:t>
            </w:r>
          </w:p>
        </w:tc>
        <w:tc>
          <w:tcPr>
            <w:tcW w:w="1218" w:type="pct"/>
            <w:shd w:val="clear" w:color="auto" w:fill="auto"/>
            <w:vAlign w:val="center"/>
          </w:tcPr>
          <w:p w14:paraId="5F5DFB5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47°23'00"</w:t>
            </w:r>
          </w:p>
        </w:tc>
        <w:tc>
          <w:tcPr>
            <w:tcW w:w="655" w:type="pct"/>
            <w:shd w:val="clear" w:color="auto" w:fill="auto"/>
            <w:vAlign w:val="center"/>
          </w:tcPr>
          <w:p w14:paraId="337F74B9">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79" w:type="pct"/>
            <w:shd w:val="clear" w:color="auto" w:fill="auto"/>
            <w:noWrap/>
            <w:vAlign w:val="center"/>
          </w:tcPr>
          <w:p w14:paraId="3BADA151">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44EB0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538D2D01">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1973.12.6</w:t>
            </w:r>
          </w:p>
        </w:tc>
        <w:tc>
          <w:tcPr>
            <w:tcW w:w="1218" w:type="pct"/>
            <w:shd w:val="clear" w:color="auto" w:fill="auto"/>
            <w:vAlign w:val="center"/>
          </w:tcPr>
          <w:p w14:paraId="6A045408">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90°10'00"</w:t>
            </w:r>
          </w:p>
        </w:tc>
        <w:tc>
          <w:tcPr>
            <w:tcW w:w="1218" w:type="pct"/>
            <w:shd w:val="clear" w:color="auto" w:fill="auto"/>
            <w:vAlign w:val="center"/>
          </w:tcPr>
          <w:p w14:paraId="43189A7C">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46°45'00"</w:t>
            </w:r>
          </w:p>
        </w:tc>
        <w:tc>
          <w:tcPr>
            <w:tcW w:w="655" w:type="pct"/>
            <w:shd w:val="clear" w:color="auto" w:fill="auto"/>
            <w:vAlign w:val="center"/>
          </w:tcPr>
          <w:p w14:paraId="21EB7040">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579" w:type="pct"/>
            <w:shd w:val="clear" w:color="auto" w:fill="auto"/>
            <w:noWrap/>
            <w:vAlign w:val="center"/>
          </w:tcPr>
          <w:p w14:paraId="603DFBA0">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0B213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1" w:type="pct"/>
            <w:shd w:val="clear" w:color="auto" w:fill="auto"/>
            <w:vAlign w:val="center"/>
          </w:tcPr>
          <w:p w14:paraId="06ACB19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1980.12.16</w:t>
            </w:r>
          </w:p>
        </w:tc>
        <w:tc>
          <w:tcPr>
            <w:tcW w:w="1218" w:type="pct"/>
            <w:shd w:val="clear" w:color="auto" w:fill="auto"/>
            <w:vAlign w:val="center"/>
          </w:tcPr>
          <w:p w14:paraId="2A2633A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90°24'00"</w:t>
            </w:r>
          </w:p>
        </w:tc>
        <w:tc>
          <w:tcPr>
            <w:tcW w:w="1218" w:type="pct"/>
            <w:shd w:val="clear" w:color="auto" w:fill="auto"/>
            <w:vAlign w:val="center"/>
          </w:tcPr>
          <w:p w14:paraId="1698EEFB">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46°60'00"</w:t>
            </w:r>
          </w:p>
        </w:tc>
        <w:tc>
          <w:tcPr>
            <w:tcW w:w="655" w:type="pct"/>
            <w:shd w:val="clear" w:color="auto" w:fill="auto"/>
            <w:vAlign w:val="center"/>
          </w:tcPr>
          <w:p w14:paraId="0414CE15">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w:t>
            </w:r>
          </w:p>
        </w:tc>
        <w:tc>
          <w:tcPr>
            <w:tcW w:w="579" w:type="pct"/>
            <w:shd w:val="clear" w:color="auto" w:fill="auto"/>
            <w:noWrap/>
            <w:vAlign w:val="center"/>
          </w:tcPr>
          <w:p w14:paraId="2D32A644">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bl>
    <w:p w14:paraId="439D68F9">
      <w:pPr>
        <w:widowControl/>
        <w:overflowPunct w:val="0"/>
        <w:topLinePunct/>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（2）区域稳定性评价</w:t>
      </w:r>
    </w:p>
    <w:p w14:paraId="2E9505DF">
      <w:pPr>
        <w:widowControl/>
        <w:overflowPunct w:val="0"/>
        <w:topLinePunct/>
        <w:ind w:firstLine="480"/>
        <w:rPr>
          <w:rFonts w:hint="default" w:ascii="Times New Roman" w:hAnsi="Times New Roman" w:cs="Times New Roman"/>
          <w:color w:val="auto"/>
          <w:kern w:val="0"/>
          <w:highlight w:val="none"/>
        </w:rPr>
      </w:pPr>
      <w:r>
        <w:rPr>
          <w:rFonts w:hint="default" w:ascii="Times New Roman" w:hAnsi="Times New Roman" w:eastAsia="宋体" w:cs="Times New Roman"/>
          <w:color w:val="auto"/>
          <w:kern w:val="0"/>
          <w:highlight w:val="none"/>
        </w:rPr>
        <w:t>区域地壳稳定性是地壳现代活动程度的综合反映，是由地球内力和外力作用共同决定的，它和地质灾害的发生密切相关</w:t>
      </w:r>
      <w:r>
        <w:rPr>
          <w:rFonts w:hint="default" w:ascii="Times New Roman" w:hAnsi="Times New Roman" w:cs="Times New Roman"/>
          <w:color w:val="auto"/>
          <w:kern w:val="0"/>
          <w:highlight w:val="none"/>
        </w:rPr>
        <w:t>。根据地壳结构、新生代地壳形变、现代构造应力场、地震震级、地震基本烈度、地震动峰值加速度等指标，根据《中国地震动参数区划图》（GB18306-2015），矿区所在地区地震动峰值加速度为0.2g（图7-2），根据中华人民共和国国家标准</w:t>
      </w:r>
      <w:r>
        <w:rPr>
          <w:rFonts w:hint="default" w:cs="Times New Roman"/>
          <w:color w:val="auto"/>
          <w:kern w:val="0"/>
          <w:highlight w:val="none"/>
          <w:lang w:eastAsia="zh-CN"/>
        </w:rPr>
        <w:t>《建筑抗震设计标准》（GB/T 50011-2010[2024年版]）</w:t>
      </w:r>
      <w:r>
        <w:rPr>
          <w:rFonts w:hint="default" w:ascii="Times New Roman" w:hAnsi="Times New Roman" w:cs="Times New Roman"/>
          <w:color w:val="auto"/>
          <w:kern w:val="0"/>
          <w:highlight w:val="none"/>
        </w:rPr>
        <w:t>，其所对应地震基本烈度为Ⅷ度，其所在区域地壳稳定性为次不稳定区，工程建设条件中等适宜须加强抗震和工程措施。</w:t>
      </w:r>
    </w:p>
    <w:p w14:paraId="2D93C7BF">
      <w:pPr>
        <w:pStyle w:val="128"/>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4.1-5  </w:t>
      </w:r>
      <w:r>
        <w:rPr>
          <w:rFonts w:hint="default" w:ascii="Times New Roman" w:hAnsi="Times New Roman" w:cs="Times New Roman"/>
          <w:color w:val="auto"/>
          <w:highlight w:val="none"/>
        </w:rPr>
        <w:t xml:space="preserve">  地震动峰值加速度与地震烈度对照表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476"/>
        <w:gridCol w:w="1686"/>
        <w:gridCol w:w="1484"/>
        <w:gridCol w:w="1560"/>
        <w:gridCol w:w="1161"/>
      </w:tblGrid>
      <w:tr w14:paraId="01D1F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586" w:type="dxa"/>
            <w:vAlign w:val="center"/>
          </w:tcPr>
          <w:p w14:paraId="1962B1F2">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fldChar w:fldCharType="begin"/>
            </w:r>
            <w:r>
              <w:rPr>
                <w:rFonts w:hint="default" w:ascii="Times New Roman" w:hAnsi="Times New Roman" w:cs="Times New Roman"/>
                <w:b/>
                <w:bCs/>
                <w:color w:val="auto"/>
                <w:sz w:val="21"/>
                <w:szCs w:val="20"/>
                <w:highlight w:val="none"/>
              </w:rPr>
              <w:instrText xml:space="preserve"> = 2 \* ROMAN </w:instrText>
            </w:r>
            <w:r>
              <w:rPr>
                <w:rFonts w:hint="default" w:ascii="Times New Roman" w:hAnsi="Times New Roman" w:cs="Times New Roman"/>
                <w:b/>
                <w:bCs/>
                <w:color w:val="auto"/>
                <w:sz w:val="21"/>
                <w:szCs w:val="20"/>
                <w:highlight w:val="none"/>
              </w:rPr>
              <w:fldChar w:fldCharType="separate"/>
            </w:r>
            <w:r>
              <w:rPr>
                <w:rFonts w:hint="default" w:ascii="Times New Roman" w:hAnsi="Times New Roman" w:cs="Times New Roman"/>
                <w:b/>
                <w:bCs/>
                <w:color w:val="auto"/>
                <w:sz w:val="21"/>
                <w:szCs w:val="20"/>
                <w:highlight w:val="none"/>
              </w:rPr>
              <w:t>II</w:t>
            </w:r>
            <w:r>
              <w:rPr>
                <w:rFonts w:hint="default" w:ascii="Times New Roman" w:hAnsi="Times New Roman" w:cs="Times New Roman"/>
                <w:b/>
                <w:bCs/>
                <w:color w:val="auto"/>
                <w:sz w:val="21"/>
                <w:szCs w:val="20"/>
                <w:highlight w:val="none"/>
              </w:rPr>
              <w:fldChar w:fldCharType="end"/>
            </w:r>
            <w:r>
              <w:rPr>
                <w:rFonts w:hint="default" w:ascii="Times New Roman" w:hAnsi="Times New Roman" w:cs="Times New Roman"/>
                <w:b/>
                <w:bCs/>
                <w:color w:val="auto"/>
                <w:sz w:val="21"/>
                <w:szCs w:val="20"/>
                <w:highlight w:val="none"/>
              </w:rPr>
              <w:t>类场地地震动峰值加速度</w:t>
            </w:r>
          </w:p>
        </w:tc>
        <w:tc>
          <w:tcPr>
            <w:tcW w:w="1476" w:type="dxa"/>
            <w:vAlign w:val="center"/>
          </w:tcPr>
          <w:p w14:paraId="7A51564B">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0.04g≤αmax</w:t>
            </w:r>
          </w:p>
          <w:p w14:paraId="1D688318">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fldChar w:fldCharType="begin"/>
            </w:r>
            <w:r>
              <w:rPr>
                <w:rFonts w:hint="default" w:ascii="Times New Roman" w:hAnsi="Times New Roman" w:cs="Times New Roman"/>
                <w:b/>
                <w:bCs/>
                <w:color w:val="auto"/>
                <w:sz w:val="21"/>
                <w:szCs w:val="20"/>
                <w:highlight w:val="none"/>
              </w:rPr>
              <w:instrText xml:space="preserve"> = 2 \* ROMAN </w:instrText>
            </w:r>
            <w:r>
              <w:rPr>
                <w:rFonts w:hint="default" w:ascii="Times New Roman" w:hAnsi="Times New Roman" w:cs="Times New Roman"/>
                <w:b/>
                <w:bCs/>
                <w:color w:val="auto"/>
                <w:sz w:val="21"/>
                <w:szCs w:val="20"/>
                <w:highlight w:val="none"/>
              </w:rPr>
              <w:fldChar w:fldCharType="separate"/>
            </w:r>
            <w:r>
              <w:rPr>
                <w:rFonts w:hint="default" w:ascii="Times New Roman" w:hAnsi="Times New Roman" w:cs="Times New Roman"/>
                <w:b/>
                <w:bCs/>
                <w:color w:val="auto"/>
                <w:sz w:val="21"/>
                <w:szCs w:val="20"/>
                <w:highlight w:val="none"/>
              </w:rPr>
              <w:t>II</w:t>
            </w:r>
            <w:r>
              <w:rPr>
                <w:rFonts w:hint="default" w:ascii="Times New Roman" w:hAnsi="Times New Roman" w:cs="Times New Roman"/>
                <w:b/>
                <w:bCs/>
                <w:color w:val="auto"/>
                <w:sz w:val="21"/>
                <w:szCs w:val="20"/>
                <w:highlight w:val="none"/>
              </w:rPr>
              <w:fldChar w:fldCharType="end"/>
            </w:r>
            <w:r>
              <w:rPr>
                <w:rFonts w:hint="default" w:ascii="Times New Roman" w:hAnsi="Times New Roman" w:cs="Times New Roman"/>
                <w:b/>
                <w:bCs/>
                <w:color w:val="auto"/>
                <w:sz w:val="21"/>
                <w:szCs w:val="20"/>
                <w:highlight w:val="none"/>
              </w:rPr>
              <w:t>＜0.09g</w:t>
            </w:r>
          </w:p>
        </w:tc>
        <w:tc>
          <w:tcPr>
            <w:tcW w:w="1686" w:type="dxa"/>
            <w:vAlign w:val="center"/>
          </w:tcPr>
          <w:p w14:paraId="4D79EF55">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0.09g≤α</w:t>
            </w:r>
          </w:p>
          <w:p w14:paraId="59DF71E2">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max</w:t>
            </w:r>
            <w:r>
              <w:rPr>
                <w:rFonts w:hint="default" w:ascii="Times New Roman" w:hAnsi="Times New Roman" w:cs="Times New Roman"/>
                <w:b/>
                <w:bCs/>
                <w:color w:val="auto"/>
                <w:sz w:val="21"/>
                <w:szCs w:val="20"/>
                <w:highlight w:val="none"/>
              </w:rPr>
              <w:fldChar w:fldCharType="begin"/>
            </w:r>
            <w:r>
              <w:rPr>
                <w:rFonts w:hint="default" w:ascii="Times New Roman" w:hAnsi="Times New Roman" w:cs="Times New Roman"/>
                <w:b/>
                <w:bCs/>
                <w:color w:val="auto"/>
                <w:sz w:val="21"/>
                <w:szCs w:val="20"/>
                <w:highlight w:val="none"/>
              </w:rPr>
              <w:instrText xml:space="preserve"> = 2 \* ROMAN </w:instrText>
            </w:r>
            <w:r>
              <w:rPr>
                <w:rFonts w:hint="default" w:ascii="Times New Roman" w:hAnsi="Times New Roman" w:cs="Times New Roman"/>
                <w:b/>
                <w:bCs/>
                <w:color w:val="auto"/>
                <w:sz w:val="21"/>
                <w:szCs w:val="20"/>
                <w:highlight w:val="none"/>
              </w:rPr>
              <w:fldChar w:fldCharType="separate"/>
            </w:r>
            <w:r>
              <w:rPr>
                <w:rFonts w:hint="default" w:ascii="Times New Roman" w:hAnsi="Times New Roman" w:cs="Times New Roman"/>
                <w:b/>
                <w:bCs/>
                <w:color w:val="auto"/>
                <w:sz w:val="21"/>
                <w:szCs w:val="20"/>
                <w:highlight w:val="none"/>
              </w:rPr>
              <w:t>II</w:t>
            </w:r>
            <w:r>
              <w:rPr>
                <w:rFonts w:hint="default" w:ascii="Times New Roman" w:hAnsi="Times New Roman" w:cs="Times New Roman"/>
                <w:b/>
                <w:bCs/>
                <w:color w:val="auto"/>
                <w:sz w:val="21"/>
                <w:szCs w:val="20"/>
                <w:highlight w:val="none"/>
              </w:rPr>
              <w:fldChar w:fldCharType="end"/>
            </w:r>
            <w:r>
              <w:rPr>
                <w:rFonts w:hint="default" w:ascii="Times New Roman" w:hAnsi="Times New Roman" w:cs="Times New Roman"/>
                <w:b/>
                <w:bCs/>
                <w:color w:val="auto"/>
                <w:sz w:val="21"/>
                <w:szCs w:val="20"/>
                <w:highlight w:val="none"/>
              </w:rPr>
              <w:t>＜0.19g</w:t>
            </w:r>
          </w:p>
        </w:tc>
        <w:tc>
          <w:tcPr>
            <w:tcW w:w="1484" w:type="dxa"/>
            <w:vAlign w:val="center"/>
          </w:tcPr>
          <w:p w14:paraId="6C20DB6B">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0.19g≤α</w:t>
            </w:r>
          </w:p>
          <w:p w14:paraId="438E7C6D">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max</w:t>
            </w:r>
            <w:r>
              <w:rPr>
                <w:rFonts w:hint="default" w:ascii="Times New Roman" w:hAnsi="Times New Roman" w:cs="Times New Roman"/>
                <w:b/>
                <w:bCs/>
                <w:color w:val="auto"/>
                <w:sz w:val="21"/>
                <w:szCs w:val="20"/>
                <w:highlight w:val="none"/>
              </w:rPr>
              <w:fldChar w:fldCharType="begin"/>
            </w:r>
            <w:r>
              <w:rPr>
                <w:rFonts w:hint="default" w:ascii="Times New Roman" w:hAnsi="Times New Roman" w:cs="Times New Roman"/>
                <w:b/>
                <w:bCs/>
                <w:color w:val="auto"/>
                <w:sz w:val="21"/>
                <w:szCs w:val="20"/>
                <w:highlight w:val="none"/>
              </w:rPr>
              <w:instrText xml:space="preserve"> = 2 \* ROMAN </w:instrText>
            </w:r>
            <w:r>
              <w:rPr>
                <w:rFonts w:hint="default" w:ascii="Times New Roman" w:hAnsi="Times New Roman" w:cs="Times New Roman"/>
                <w:b/>
                <w:bCs/>
                <w:color w:val="auto"/>
                <w:sz w:val="21"/>
                <w:szCs w:val="20"/>
                <w:highlight w:val="none"/>
              </w:rPr>
              <w:fldChar w:fldCharType="separate"/>
            </w:r>
            <w:r>
              <w:rPr>
                <w:rFonts w:hint="default" w:ascii="Times New Roman" w:hAnsi="Times New Roman" w:cs="Times New Roman"/>
                <w:b/>
                <w:bCs/>
                <w:color w:val="auto"/>
                <w:sz w:val="21"/>
                <w:szCs w:val="20"/>
                <w:highlight w:val="none"/>
              </w:rPr>
              <w:t>II</w:t>
            </w:r>
            <w:r>
              <w:rPr>
                <w:rFonts w:hint="default" w:ascii="Times New Roman" w:hAnsi="Times New Roman" w:cs="Times New Roman"/>
                <w:b/>
                <w:bCs/>
                <w:color w:val="auto"/>
                <w:sz w:val="21"/>
                <w:szCs w:val="20"/>
                <w:highlight w:val="none"/>
              </w:rPr>
              <w:fldChar w:fldCharType="end"/>
            </w:r>
            <w:r>
              <w:rPr>
                <w:rFonts w:hint="default" w:ascii="Times New Roman" w:hAnsi="Times New Roman" w:cs="Times New Roman"/>
                <w:b/>
                <w:bCs/>
                <w:color w:val="auto"/>
                <w:sz w:val="21"/>
                <w:szCs w:val="20"/>
                <w:highlight w:val="none"/>
              </w:rPr>
              <w:t>＜0.38g</w:t>
            </w:r>
          </w:p>
        </w:tc>
        <w:tc>
          <w:tcPr>
            <w:tcW w:w="1560" w:type="dxa"/>
            <w:vAlign w:val="center"/>
          </w:tcPr>
          <w:p w14:paraId="4C483272">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0.38g≤α</w:t>
            </w:r>
          </w:p>
          <w:p w14:paraId="08C418E2">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max</w:t>
            </w:r>
            <w:r>
              <w:rPr>
                <w:rFonts w:hint="default" w:ascii="Times New Roman" w:hAnsi="Times New Roman" w:cs="Times New Roman"/>
                <w:b/>
                <w:bCs/>
                <w:color w:val="auto"/>
                <w:sz w:val="21"/>
                <w:szCs w:val="20"/>
                <w:highlight w:val="none"/>
              </w:rPr>
              <w:fldChar w:fldCharType="begin"/>
            </w:r>
            <w:r>
              <w:rPr>
                <w:rFonts w:hint="default" w:ascii="Times New Roman" w:hAnsi="Times New Roman" w:cs="Times New Roman"/>
                <w:b/>
                <w:bCs/>
                <w:color w:val="auto"/>
                <w:sz w:val="21"/>
                <w:szCs w:val="20"/>
                <w:highlight w:val="none"/>
              </w:rPr>
              <w:instrText xml:space="preserve"> = 2 \* ROMAN </w:instrText>
            </w:r>
            <w:r>
              <w:rPr>
                <w:rFonts w:hint="default" w:ascii="Times New Roman" w:hAnsi="Times New Roman" w:cs="Times New Roman"/>
                <w:b/>
                <w:bCs/>
                <w:color w:val="auto"/>
                <w:sz w:val="21"/>
                <w:szCs w:val="20"/>
                <w:highlight w:val="none"/>
              </w:rPr>
              <w:fldChar w:fldCharType="separate"/>
            </w:r>
            <w:r>
              <w:rPr>
                <w:rFonts w:hint="default" w:ascii="Times New Roman" w:hAnsi="Times New Roman" w:cs="Times New Roman"/>
                <w:b/>
                <w:bCs/>
                <w:color w:val="auto"/>
                <w:sz w:val="21"/>
                <w:szCs w:val="20"/>
                <w:highlight w:val="none"/>
              </w:rPr>
              <w:t>II</w:t>
            </w:r>
            <w:r>
              <w:rPr>
                <w:rFonts w:hint="default" w:ascii="Times New Roman" w:hAnsi="Times New Roman" w:cs="Times New Roman"/>
                <w:b/>
                <w:bCs/>
                <w:color w:val="auto"/>
                <w:sz w:val="21"/>
                <w:szCs w:val="20"/>
                <w:highlight w:val="none"/>
              </w:rPr>
              <w:fldChar w:fldCharType="end"/>
            </w:r>
            <w:r>
              <w:rPr>
                <w:rFonts w:hint="default" w:ascii="Times New Roman" w:hAnsi="Times New Roman" w:cs="Times New Roman"/>
                <w:b/>
                <w:bCs/>
                <w:color w:val="auto"/>
                <w:sz w:val="21"/>
                <w:szCs w:val="20"/>
                <w:highlight w:val="none"/>
              </w:rPr>
              <w:t>＜0.75g</w:t>
            </w:r>
          </w:p>
        </w:tc>
        <w:tc>
          <w:tcPr>
            <w:tcW w:w="1161" w:type="dxa"/>
            <w:vAlign w:val="center"/>
          </w:tcPr>
          <w:p w14:paraId="65FB44EE">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αmax</w:t>
            </w:r>
            <w:r>
              <w:rPr>
                <w:rFonts w:hint="default" w:ascii="Times New Roman" w:hAnsi="Times New Roman" w:cs="Times New Roman"/>
                <w:b/>
                <w:bCs/>
                <w:color w:val="auto"/>
                <w:sz w:val="21"/>
                <w:szCs w:val="20"/>
                <w:highlight w:val="none"/>
              </w:rPr>
              <w:fldChar w:fldCharType="begin"/>
            </w:r>
            <w:r>
              <w:rPr>
                <w:rFonts w:hint="default" w:ascii="Times New Roman" w:hAnsi="Times New Roman" w:cs="Times New Roman"/>
                <w:b/>
                <w:bCs/>
                <w:color w:val="auto"/>
                <w:sz w:val="21"/>
                <w:szCs w:val="20"/>
                <w:highlight w:val="none"/>
              </w:rPr>
              <w:instrText xml:space="preserve"> = 2 \* ROMAN </w:instrText>
            </w:r>
            <w:r>
              <w:rPr>
                <w:rFonts w:hint="default" w:ascii="Times New Roman" w:hAnsi="Times New Roman" w:cs="Times New Roman"/>
                <w:b/>
                <w:bCs/>
                <w:color w:val="auto"/>
                <w:sz w:val="21"/>
                <w:szCs w:val="20"/>
                <w:highlight w:val="none"/>
              </w:rPr>
              <w:fldChar w:fldCharType="separate"/>
            </w:r>
            <w:r>
              <w:rPr>
                <w:rFonts w:hint="default" w:ascii="Times New Roman" w:hAnsi="Times New Roman" w:cs="Times New Roman"/>
                <w:b/>
                <w:bCs/>
                <w:color w:val="auto"/>
                <w:sz w:val="21"/>
                <w:szCs w:val="20"/>
                <w:highlight w:val="none"/>
              </w:rPr>
              <w:t>II</w:t>
            </w:r>
            <w:r>
              <w:rPr>
                <w:rFonts w:hint="default" w:ascii="Times New Roman" w:hAnsi="Times New Roman" w:cs="Times New Roman"/>
                <w:b/>
                <w:bCs/>
                <w:color w:val="auto"/>
                <w:sz w:val="21"/>
                <w:szCs w:val="20"/>
                <w:highlight w:val="none"/>
              </w:rPr>
              <w:fldChar w:fldCharType="end"/>
            </w:r>
            <w:r>
              <w:rPr>
                <w:rFonts w:hint="default" w:ascii="Times New Roman" w:hAnsi="Times New Roman" w:cs="Times New Roman"/>
                <w:b/>
                <w:bCs/>
                <w:color w:val="auto"/>
                <w:sz w:val="21"/>
                <w:szCs w:val="20"/>
                <w:highlight w:val="none"/>
              </w:rPr>
              <w:t>≥</w:t>
            </w:r>
          </w:p>
          <w:p w14:paraId="73904C74">
            <w:pPr>
              <w:adjustRightInd w:val="0"/>
              <w:snapToGrid w:val="0"/>
              <w:spacing w:line="240" w:lineRule="exact"/>
              <w:ind w:firstLine="0" w:firstLineChars="0"/>
              <w:jc w:val="center"/>
              <w:rPr>
                <w:rFonts w:hint="default" w:ascii="Times New Roman" w:hAnsi="Times New Roman" w:cs="Times New Roman"/>
                <w:b/>
                <w:bCs/>
                <w:color w:val="auto"/>
                <w:sz w:val="21"/>
                <w:szCs w:val="20"/>
                <w:highlight w:val="none"/>
              </w:rPr>
            </w:pPr>
            <w:r>
              <w:rPr>
                <w:rFonts w:hint="default" w:ascii="Times New Roman" w:hAnsi="Times New Roman" w:cs="Times New Roman"/>
                <w:b/>
                <w:bCs/>
                <w:color w:val="auto"/>
                <w:sz w:val="21"/>
                <w:szCs w:val="20"/>
                <w:highlight w:val="none"/>
              </w:rPr>
              <w:t>0.75g</w:t>
            </w:r>
          </w:p>
        </w:tc>
      </w:tr>
      <w:tr w14:paraId="3F397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86" w:type="dxa"/>
            <w:vAlign w:val="center"/>
          </w:tcPr>
          <w:p w14:paraId="6E11DEFE">
            <w:pPr>
              <w:adjustRightInd w:val="0"/>
              <w:snapToGrid w:val="0"/>
              <w:spacing w:line="240" w:lineRule="exact"/>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地震烈度</w:t>
            </w:r>
          </w:p>
        </w:tc>
        <w:tc>
          <w:tcPr>
            <w:tcW w:w="1476" w:type="dxa"/>
            <w:vAlign w:val="center"/>
          </w:tcPr>
          <w:p w14:paraId="3EA4A386">
            <w:pPr>
              <w:adjustRightInd w:val="0"/>
              <w:snapToGrid w:val="0"/>
              <w:spacing w:line="240" w:lineRule="exact"/>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fldChar w:fldCharType="begin"/>
            </w:r>
            <w:r>
              <w:rPr>
                <w:rFonts w:hint="default" w:ascii="Times New Roman" w:hAnsi="Times New Roman" w:cs="Times New Roman"/>
                <w:color w:val="auto"/>
                <w:sz w:val="21"/>
                <w:szCs w:val="20"/>
                <w:highlight w:val="none"/>
              </w:rPr>
              <w:instrText xml:space="preserve"> = 6 \* ROMAN </w:instrText>
            </w:r>
            <w:r>
              <w:rPr>
                <w:rFonts w:hint="default" w:ascii="Times New Roman" w:hAnsi="Times New Roman" w:cs="Times New Roman"/>
                <w:color w:val="auto"/>
                <w:sz w:val="21"/>
                <w:szCs w:val="20"/>
                <w:highlight w:val="none"/>
              </w:rPr>
              <w:fldChar w:fldCharType="separate"/>
            </w:r>
            <w:r>
              <w:rPr>
                <w:rFonts w:hint="default" w:ascii="Times New Roman" w:hAnsi="Times New Roman" w:cs="Times New Roman"/>
                <w:color w:val="auto"/>
                <w:sz w:val="21"/>
                <w:szCs w:val="20"/>
                <w:highlight w:val="none"/>
              </w:rPr>
              <w:t>VI</w:t>
            </w:r>
            <w:r>
              <w:rPr>
                <w:rFonts w:hint="default" w:ascii="Times New Roman" w:hAnsi="Times New Roman" w:cs="Times New Roman"/>
                <w:color w:val="auto"/>
                <w:sz w:val="21"/>
                <w:szCs w:val="20"/>
                <w:highlight w:val="none"/>
              </w:rPr>
              <w:fldChar w:fldCharType="end"/>
            </w:r>
          </w:p>
        </w:tc>
        <w:tc>
          <w:tcPr>
            <w:tcW w:w="1686" w:type="dxa"/>
            <w:vAlign w:val="center"/>
          </w:tcPr>
          <w:p w14:paraId="4D220FCA">
            <w:pPr>
              <w:adjustRightInd w:val="0"/>
              <w:snapToGrid w:val="0"/>
              <w:spacing w:line="240" w:lineRule="exact"/>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fldChar w:fldCharType="begin"/>
            </w:r>
            <w:r>
              <w:rPr>
                <w:rFonts w:hint="default" w:ascii="Times New Roman" w:hAnsi="Times New Roman" w:cs="Times New Roman"/>
                <w:color w:val="auto"/>
                <w:sz w:val="21"/>
                <w:szCs w:val="20"/>
                <w:highlight w:val="none"/>
              </w:rPr>
              <w:instrText xml:space="preserve"> = 7 \* ROMAN </w:instrText>
            </w:r>
            <w:r>
              <w:rPr>
                <w:rFonts w:hint="default" w:ascii="Times New Roman" w:hAnsi="Times New Roman" w:cs="Times New Roman"/>
                <w:color w:val="auto"/>
                <w:sz w:val="21"/>
                <w:szCs w:val="20"/>
                <w:highlight w:val="none"/>
              </w:rPr>
              <w:fldChar w:fldCharType="separate"/>
            </w:r>
            <w:r>
              <w:rPr>
                <w:rFonts w:hint="default" w:ascii="Times New Roman" w:hAnsi="Times New Roman" w:cs="Times New Roman"/>
                <w:color w:val="auto"/>
                <w:sz w:val="21"/>
                <w:szCs w:val="20"/>
                <w:highlight w:val="none"/>
              </w:rPr>
              <w:t>VII</w:t>
            </w:r>
            <w:r>
              <w:rPr>
                <w:rFonts w:hint="default" w:ascii="Times New Roman" w:hAnsi="Times New Roman" w:cs="Times New Roman"/>
                <w:color w:val="auto"/>
                <w:sz w:val="21"/>
                <w:szCs w:val="20"/>
                <w:highlight w:val="none"/>
              </w:rPr>
              <w:fldChar w:fldCharType="end"/>
            </w:r>
          </w:p>
        </w:tc>
        <w:tc>
          <w:tcPr>
            <w:tcW w:w="1484" w:type="dxa"/>
            <w:vAlign w:val="center"/>
          </w:tcPr>
          <w:p w14:paraId="2EC4967E">
            <w:pPr>
              <w:adjustRightInd w:val="0"/>
              <w:snapToGrid w:val="0"/>
              <w:spacing w:line="240" w:lineRule="exact"/>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fldChar w:fldCharType="begin"/>
            </w:r>
            <w:r>
              <w:rPr>
                <w:rFonts w:hint="default" w:ascii="Times New Roman" w:hAnsi="Times New Roman" w:cs="Times New Roman"/>
                <w:color w:val="auto"/>
                <w:sz w:val="21"/>
                <w:szCs w:val="20"/>
                <w:highlight w:val="none"/>
              </w:rPr>
              <w:instrText xml:space="preserve"> = 8 \* ROMAN </w:instrText>
            </w:r>
            <w:r>
              <w:rPr>
                <w:rFonts w:hint="default" w:ascii="Times New Roman" w:hAnsi="Times New Roman" w:cs="Times New Roman"/>
                <w:color w:val="auto"/>
                <w:sz w:val="21"/>
                <w:szCs w:val="20"/>
                <w:highlight w:val="none"/>
              </w:rPr>
              <w:fldChar w:fldCharType="separate"/>
            </w:r>
            <w:r>
              <w:rPr>
                <w:rFonts w:hint="default" w:ascii="Times New Roman" w:hAnsi="Times New Roman" w:cs="Times New Roman"/>
                <w:color w:val="auto"/>
                <w:sz w:val="21"/>
                <w:szCs w:val="20"/>
                <w:highlight w:val="none"/>
              </w:rPr>
              <w:t>VIII</w:t>
            </w:r>
            <w:r>
              <w:rPr>
                <w:rFonts w:hint="default" w:ascii="Times New Roman" w:hAnsi="Times New Roman" w:cs="Times New Roman"/>
                <w:color w:val="auto"/>
                <w:sz w:val="21"/>
                <w:szCs w:val="20"/>
                <w:highlight w:val="none"/>
              </w:rPr>
              <w:fldChar w:fldCharType="end"/>
            </w:r>
          </w:p>
        </w:tc>
        <w:tc>
          <w:tcPr>
            <w:tcW w:w="1560" w:type="dxa"/>
            <w:vAlign w:val="center"/>
          </w:tcPr>
          <w:p w14:paraId="46CE3F02">
            <w:pPr>
              <w:adjustRightInd w:val="0"/>
              <w:snapToGrid w:val="0"/>
              <w:spacing w:line="240" w:lineRule="exact"/>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fldChar w:fldCharType="begin"/>
            </w:r>
            <w:r>
              <w:rPr>
                <w:rFonts w:hint="default" w:ascii="Times New Roman" w:hAnsi="Times New Roman" w:cs="Times New Roman"/>
                <w:color w:val="auto"/>
                <w:sz w:val="21"/>
                <w:szCs w:val="20"/>
                <w:highlight w:val="none"/>
              </w:rPr>
              <w:instrText xml:space="preserve"> = 9 \* ROMAN </w:instrText>
            </w:r>
            <w:r>
              <w:rPr>
                <w:rFonts w:hint="default" w:ascii="Times New Roman" w:hAnsi="Times New Roman" w:cs="Times New Roman"/>
                <w:color w:val="auto"/>
                <w:sz w:val="21"/>
                <w:szCs w:val="20"/>
                <w:highlight w:val="none"/>
              </w:rPr>
              <w:fldChar w:fldCharType="separate"/>
            </w:r>
            <w:r>
              <w:rPr>
                <w:rFonts w:hint="default" w:ascii="Times New Roman" w:hAnsi="Times New Roman" w:cs="Times New Roman"/>
                <w:color w:val="auto"/>
                <w:sz w:val="21"/>
                <w:szCs w:val="20"/>
                <w:highlight w:val="none"/>
              </w:rPr>
              <w:t>IX</w:t>
            </w:r>
            <w:r>
              <w:rPr>
                <w:rFonts w:hint="default" w:ascii="Times New Roman" w:hAnsi="Times New Roman" w:cs="Times New Roman"/>
                <w:color w:val="auto"/>
                <w:sz w:val="21"/>
                <w:szCs w:val="20"/>
                <w:highlight w:val="none"/>
              </w:rPr>
              <w:fldChar w:fldCharType="end"/>
            </w:r>
          </w:p>
        </w:tc>
        <w:tc>
          <w:tcPr>
            <w:tcW w:w="1161" w:type="dxa"/>
            <w:vAlign w:val="center"/>
          </w:tcPr>
          <w:p w14:paraId="71540465">
            <w:pPr>
              <w:adjustRightInd w:val="0"/>
              <w:snapToGrid w:val="0"/>
              <w:spacing w:line="240" w:lineRule="exact"/>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w:t>
            </w:r>
            <w:r>
              <w:rPr>
                <w:rFonts w:hint="default" w:ascii="Times New Roman" w:hAnsi="Times New Roman" w:cs="Times New Roman"/>
                <w:color w:val="auto"/>
                <w:sz w:val="21"/>
                <w:szCs w:val="20"/>
                <w:highlight w:val="none"/>
              </w:rPr>
              <w:fldChar w:fldCharType="begin"/>
            </w:r>
            <w:r>
              <w:rPr>
                <w:rFonts w:hint="default" w:ascii="Times New Roman" w:hAnsi="Times New Roman" w:cs="Times New Roman"/>
                <w:color w:val="auto"/>
                <w:sz w:val="21"/>
                <w:szCs w:val="20"/>
                <w:highlight w:val="none"/>
              </w:rPr>
              <w:instrText xml:space="preserve"> = 10 \* ROMAN </w:instrText>
            </w:r>
            <w:r>
              <w:rPr>
                <w:rFonts w:hint="default" w:ascii="Times New Roman" w:hAnsi="Times New Roman" w:cs="Times New Roman"/>
                <w:color w:val="auto"/>
                <w:sz w:val="21"/>
                <w:szCs w:val="20"/>
                <w:highlight w:val="none"/>
              </w:rPr>
              <w:fldChar w:fldCharType="separate"/>
            </w:r>
            <w:r>
              <w:rPr>
                <w:rFonts w:hint="default" w:ascii="Times New Roman" w:hAnsi="Times New Roman" w:cs="Times New Roman"/>
                <w:color w:val="auto"/>
                <w:sz w:val="21"/>
                <w:szCs w:val="20"/>
                <w:highlight w:val="none"/>
              </w:rPr>
              <w:t>X</w:t>
            </w:r>
            <w:r>
              <w:rPr>
                <w:rFonts w:hint="default" w:ascii="Times New Roman" w:hAnsi="Times New Roman" w:cs="Times New Roman"/>
                <w:color w:val="auto"/>
                <w:sz w:val="21"/>
                <w:szCs w:val="20"/>
                <w:highlight w:val="none"/>
              </w:rPr>
              <w:fldChar w:fldCharType="end"/>
            </w:r>
          </w:p>
        </w:tc>
      </w:tr>
    </w:tbl>
    <w:p w14:paraId="76D9ED1D">
      <w:pPr>
        <w:spacing w:line="240" w:lineRule="auto"/>
        <w:ind w:firstLine="0" w:firstLineChars="0"/>
        <w:contextualSpacing/>
        <w:jc w:val="center"/>
        <w:rPr>
          <w:rFonts w:hint="default" w:ascii="Times New Roman" w:hAnsi="Times New Roman" w:cs="Times New Roman"/>
          <w:color w:val="auto"/>
          <w:highlight w:val="none"/>
        </w:rPr>
      </w:pPr>
    </w:p>
    <w:p w14:paraId="52561612">
      <w:pPr>
        <w:spacing w:line="240" w:lineRule="auto"/>
        <w:ind w:firstLine="0" w:firstLineChars="0"/>
        <w:contextualSpacing/>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5313045" cy="3454400"/>
            <wp:effectExtent l="0" t="0" r="1905" b="12700"/>
            <wp:docPr id="945237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7841" name="图片 1"/>
                    <pic:cNvPicPr>
                      <a:picLocks noChangeAspect="1"/>
                    </pic:cNvPicPr>
                  </pic:nvPicPr>
                  <pic:blipFill>
                    <a:blip r:embed="rId41"/>
                    <a:stretch>
                      <a:fillRect/>
                    </a:stretch>
                  </pic:blipFill>
                  <pic:spPr>
                    <a:xfrm>
                      <a:off x="0" y="0"/>
                      <a:ext cx="5329294" cy="3465463"/>
                    </a:xfrm>
                    <a:prstGeom prst="rect">
                      <a:avLst/>
                    </a:prstGeom>
                  </pic:spPr>
                </pic:pic>
              </a:graphicData>
            </a:graphic>
          </wp:inline>
        </w:drawing>
      </w:r>
    </w:p>
    <w:p w14:paraId="64FED97D">
      <w:pPr>
        <w:widowControl/>
        <w:overflowPunct w:val="0"/>
        <w:topLinePunct/>
        <w:ind w:firstLine="48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highlight w:val="none"/>
        </w:rPr>
        <w:t>图</w:t>
      </w:r>
      <w:r>
        <w:rPr>
          <w:rFonts w:hint="default" w:ascii="Times New Roman" w:hAnsi="Times New Roman" w:cs="Times New Roman"/>
          <w:b/>
          <w:bCs/>
          <w:color w:val="auto"/>
          <w:highlight w:val="none"/>
          <w:lang w:val="en-US" w:eastAsia="zh-CN"/>
        </w:rPr>
        <w:t xml:space="preserve">4.1-2  </w:t>
      </w:r>
      <w:r>
        <w:rPr>
          <w:rFonts w:hint="default" w:ascii="Times New Roman" w:hAnsi="Times New Roman" w:cs="Times New Roman"/>
          <w:b/>
          <w:bCs/>
          <w:color w:val="auto"/>
          <w:highlight w:val="none"/>
        </w:rPr>
        <w:t xml:space="preserve">  地震动峰加速度区划图</w:t>
      </w:r>
    </w:p>
    <w:p w14:paraId="71DDEB7B">
      <w:pPr>
        <w:pStyle w:val="3"/>
        <w:rPr>
          <w:rFonts w:hint="default" w:ascii="Times New Roman" w:hAnsi="Times New Roman" w:cs="Times New Roman"/>
          <w:color w:val="auto"/>
          <w:highlight w:val="none"/>
        </w:rPr>
      </w:pPr>
      <w:bookmarkStart w:id="626" w:name="_Toc14371"/>
      <w:bookmarkStart w:id="627" w:name="_Toc3192"/>
      <w:bookmarkStart w:id="628" w:name="_Toc107413895"/>
      <w:bookmarkStart w:id="629" w:name="_Toc30264"/>
      <w:bookmarkStart w:id="630" w:name="_Toc12837"/>
      <w:bookmarkStart w:id="631" w:name="_Toc107414662"/>
      <w:bookmarkStart w:id="632" w:name="_Toc13643"/>
      <w:r>
        <w:rPr>
          <w:rFonts w:hint="default" w:ascii="Times New Roman" w:hAnsi="Times New Roman" w:cs="Times New Roman"/>
          <w:color w:val="auto"/>
          <w:highlight w:val="none"/>
        </w:rPr>
        <w:t>4.2</w:t>
      </w:r>
      <w:bookmarkStart w:id="633" w:name="_Toc611"/>
      <w:bookmarkStart w:id="634" w:name="_Toc5163"/>
      <w:bookmarkStart w:id="635" w:name="_Toc10930"/>
      <w:bookmarkStart w:id="636" w:name="_Toc15748"/>
      <w:bookmarkStart w:id="637" w:name="_Toc27679"/>
      <w:bookmarkStart w:id="638" w:name="_Toc23905"/>
      <w:bookmarkStart w:id="639" w:name="_Toc26966"/>
      <w:bookmarkStart w:id="640" w:name="_Toc31678"/>
      <w:bookmarkStart w:id="641" w:name="_Toc7315"/>
      <w:bookmarkStart w:id="642" w:name="_Toc14680"/>
      <w:bookmarkStart w:id="643" w:name="_Toc20695"/>
      <w:bookmarkStart w:id="644" w:name="_Toc13419"/>
      <w:bookmarkStart w:id="645" w:name="_Toc20418"/>
      <w:r>
        <w:rPr>
          <w:rFonts w:hint="default" w:ascii="Times New Roman" w:hAnsi="Times New Roman" w:cs="Times New Roman"/>
          <w:color w:val="auto"/>
          <w:highlight w:val="none"/>
        </w:rPr>
        <w:t>环境质量现状调查与评价</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929F456">
      <w:pPr>
        <w:pStyle w:val="4"/>
        <w:rPr>
          <w:rFonts w:hint="default" w:ascii="Times New Roman" w:hAnsi="Times New Roman" w:cs="Times New Roman"/>
          <w:color w:val="auto"/>
          <w:highlight w:val="none"/>
        </w:rPr>
      </w:pPr>
      <w:bookmarkStart w:id="646" w:name="_Toc6403"/>
      <w:bookmarkStart w:id="647" w:name="_Toc5243"/>
      <w:bookmarkStart w:id="648" w:name="_Toc24390"/>
      <w:bookmarkStart w:id="649" w:name="_Toc391741196"/>
      <w:bookmarkStart w:id="650" w:name="_Toc24064"/>
      <w:bookmarkStart w:id="651" w:name="_Toc12143"/>
      <w:bookmarkStart w:id="652" w:name="_Toc32466"/>
      <w:bookmarkStart w:id="653" w:name="_Toc21136"/>
      <w:bookmarkStart w:id="654" w:name="_Toc19413"/>
      <w:bookmarkStart w:id="655" w:name="_Toc341282358"/>
      <w:bookmarkStart w:id="656" w:name="_Toc484105105"/>
      <w:bookmarkStart w:id="657" w:name="_Toc10860"/>
      <w:bookmarkStart w:id="658" w:name="_Toc370052902"/>
      <w:bookmarkStart w:id="659" w:name="_Toc493523109"/>
      <w:bookmarkStart w:id="660" w:name="_Toc4027"/>
      <w:bookmarkStart w:id="661" w:name="_Toc12180"/>
      <w:r>
        <w:rPr>
          <w:rFonts w:hint="default" w:ascii="Times New Roman" w:hAnsi="Times New Roman" w:cs="Times New Roman"/>
          <w:color w:val="auto"/>
          <w:highlight w:val="none"/>
        </w:rPr>
        <w:t>4.2.1大气环境现状调查与评价</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5B1DC5E9">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4.2.1.1环境空气质量现状调查及区域达标判定</w:t>
      </w:r>
    </w:p>
    <w:p w14:paraId="71D8898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大气环境》（HJ2.2-2018）要求，</w:t>
      </w:r>
      <w:r>
        <w:rPr>
          <w:rFonts w:hint="default" w:ascii="Times New Roman" w:hAnsi="Times New Roman" w:eastAsia="宋体" w:cs="Times New Roman"/>
          <w:color w:val="auto"/>
          <w:kern w:val="0"/>
          <w:szCs w:val="21"/>
          <w:highlight w:val="none"/>
          <w:lang w:val="en-US" w:eastAsia="zh-CN"/>
        </w:rPr>
        <w:t>本次评价收集了新疆阿勒泰地区</w:t>
      </w:r>
      <w:r>
        <w:rPr>
          <w:rFonts w:hint="default" w:cs="Times New Roman"/>
          <w:color w:val="auto"/>
          <w:kern w:val="0"/>
          <w:szCs w:val="21"/>
          <w:highlight w:val="none"/>
          <w:lang w:val="en-US" w:eastAsia="zh-CN"/>
        </w:rPr>
        <w:t>2023</w:t>
      </w:r>
      <w:r>
        <w:rPr>
          <w:rFonts w:hint="default" w:ascii="Times New Roman" w:hAnsi="Times New Roman" w:eastAsia="宋体" w:cs="Times New Roman"/>
          <w:color w:val="auto"/>
          <w:kern w:val="0"/>
          <w:szCs w:val="21"/>
          <w:highlight w:val="none"/>
          <w:lang w:val="en-US" w:eastAsia="zh-CN"/>
        </w:rPr>
        <w:t>年度环境空气质量情况数据</w:t>
      </w:r>
      <w:r>
        <w:rPr>
          <w:rFonts w:hint="default" w:ascii="Times New Roman" w:hAnsi="Times New Roman" w:cs="Times New Roman"/>
          <w:color w:val="auto"/>
          <w:highlight w:val="none"/>
          <w:lang w:bidi="ar"/>
        </w:rPr>
        <w:t>，</w:t>
      </w:r>
      <w:r>
        <w:rPr>
          <w:rFonts w:hint="default" w:ascii="Times New Roman" w:hAnsi="Times New Roman" w:cs="Times New Roman"/>
          <w:color w:val="auto"/>
          <w:highlight w:val="none"/>
        </w:rPr>
        <w:t>作为本项目环境空气现状评价基本污染物SO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、CO和O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的数据来源。</w:t>
      </w:r>
    </w:p>
    <w:p w14:paraId="6F0662F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（1）评价方法：基本污染物（SO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）按照《</w:t>
      </w:r>
      <w:r>
        <w:rPr>
          <w:rFonts w:hint="default" w:cs="Times New Roman"/>
          <w:color w:val="auto"/>
          <w:highlight w:val="none"/>
          <w:lang w:eastAsia="zh-CN"/>
        </w:rPr>
        <w:t>环境空气质量评价技术规范</w:t>
      </w:r>
      <w:r>
        <w:rPr>
          <w:rFonts w:hint="default" w:ascii="Times New Roman" w:hAnsi="Times New Roman" w:cs="Times New Roman"/>
          <w:color w:val="auto"/>
          <w:highlight w:val="none"/>
        </w:rPr>
        <w:t>》（</w:t>
      </w:r>
      <w:r>
        <w:rPr>
          <w:rFonts w:hint="default" w:cs="Times New Roman"/>
          <w:color w:val="auto"/>
          <w:highlight w:val="none"/>
          <w:lang w:eastAsia="zh-CN"/>
        </w:rPr>
        <w:t>HJ 663-2026</w:t>
      </w:r>
      <w:r>
        <w:rPr>
          <w:rFonts w:hint="default" w:ascii="Times New Roman" w:hAnsi="Times New Roman" w:cs="Times New Roman"/>
          <w:color w:val="auto"/>
          <w:highlight w:val="none"/>
        </w:rPr>
        <w:t>）中各评价项目的年评价指标进行判定。年评价指标中的年均浓度和相应百分位数24h平均或8h平均质量浓度满足</w:t>
      </w:r>
      <w:r>
        <w:rPr>
          <w:rFonts w:hint="default" w:ascii="Times New Roman" w:hAnsi="Times New Roman" w:cs="Times New Roman"/>
          <w:color w:val="auto"/>
          <w:highlight w:val="none"/>
          <w:lang w:val="zh-CN"/>
        </w:rPr>
        <w:t>《环境空气质量标准》（</w:t>
      </w:r>
      <w:r>
        <w:rPr>
          <w:rFonts w:hint="default" w:cs="Times New Roman"/>
          <w:color w:val="auto"/>
          <w:highlight w:val="none"/>
          <w:lang w:val="zh-CN"/>
        </w:rPr>
        <w:t>GB 3095-2026</w:t>
      </w:r>
      <w:r>
        <w:rPr>
          <w:rFonts w:hint="default" w:ascii="Times New Roman" w:hAnsi="Times New Roman" w:cs="Times New Roman"/>
          <w:color w:val="auto"/>
          <w:highlight w:val="none"/>
          <w:lang w:val="zh-CN"/>
        </w:rPr>
        <w:t>）中二级浓度限值要求的即为达标。</w:t>
      </w:r>
      <w:r>
        <w:rPr>
          <w:rFonts w:hint="default" w:ascii="Times New Roman" w:hAnsi="Times New Roman" w:cs="Times New Roman"/>
          <w:color w:val="auto"/>
          <w:highlight w:val="none"/>
        </w:rPr>
        <w:t>对于超标的污染物，计算其超标倍数和超标率。</w:t>
      </w:r>
    </w:p>
    <w:p w14:paraId="2A7E771D">
      <w:pPr>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根据《环境影响评价技术导则 大气环境》（HJ2.2-2018），对采用多个长期监测点位数据进行现状评价的，取各污染物相同时刻各监测点位的浓度平均值，作为评价范围内环境空气保护目标及网格点环境质量现状浓度，计算方法见以下公式：</w:t>
      </w:r>
    </w:p>
    <w:p w14:paraId="32CAC0C6">
      <w:pPr>
        <w:pStyle w:val="133"/>
        <w:bidi w:val="0"/>
        <w:rPr>
          <w:rFonts w:hint="default" w:ascii="Times New Roman" w:hAnsi="Times New Roman" w:eastAsia="宋体" w:cs="Times New Roman"/>
          <w:color w:val="auto"/>
          <w:highlight w:val="none"/>
          <w:lang w:val="en-US" w:eastAsia="zh-CN"/>
        </w:rPr>
      </w:pPr>
      <m:oMathPara>
        <m:oMath>
          <m:sSub>
            <m:sSubPr>
              <m:ctrlPr>
                <w:rPr>
                  <w:rFonts w:hint="default" w:ascii="Cambria Math" w:hAnsi="Cambria Math" w:cs="Times New Roman"/>
                  <w:b/>
                  <w:color w:val="auto"/>
                  <w:highlight w:val="none"/>
                  <w:lang w:val="en-US"/>
                </w:rPr>
              </m:ctrlPr>
            </m:sSubPr>
            <m:e>
              <m:r>
                <m:rPr>
                  <m:nor/>
                  <m:sty m:val="b"/>
                </m:rPr>
                <w:rPr>
                  <w:rFonts w:hint="default" w:ascii="Times New Roman" w:hAnsi="Times New Roman" w:cs="Times New Roman"/>
                  <w:b/>
                  <w:color w:val="auto"/>
                  <w:highlight w:val="none"/>
                  <w:lang w:val="en-US"/>
                </w:rPr>
                <m:t>ρ</m:t>
              </m:r>
              <m:ctrlPr>
                <w:rPr>
                  <w:rFonts w:hint="default" w:ascii="Cambria Math" w:hAnsi="Cambria Math" w:cs="Times New Roman"/>
                  <w:b/>
                  <w:color w:val="auto"/>
                  <w:highlight w:val="none"/>
                  <w:lang w:val="en-US"/>
                </w:rPr>
              </m:ctrlPr>
            </m:e>
            <m:sub>
              <m:r>
                <m:rPr>
                  <m:nor/>
                  <m:sty m:val="b"/>
                </m:rPr>
                <w:rPr>
                  <w:rFonts w:hint="default" w:ascii="Times New Roman" w:hAnsi="Times New Roman" w:cs="Times New Roman"/>
                  <w:b/>
                  <w:i w:val="0"/>
                  <w:color w:val="auto"/>
                  <w:highlight w:val="none"/>
                  <w:lang w:val="en-US" w:eastAsia="zh-CN"/>
                </w:rPr>
                <m:t>现状</m:t>
              </m:r>
              <m:d>
                <m:dPr>
                  <m:ctrlPr>
                    <w:rPr>
                      <w:rFonts w:hint="default" w:ascii="Cambria Math" w:hAnsi="Cambria Math" w:cs="Times New Roman"/>
                      <w:b/>
                      <w:color w:val="auto"/>
                      <w:highlight w:val="none"/>
                      <w:lang w:val="en-US" w:eastAsia="zh-CN"/>
                    </w:rPr>
                  </m:ctrlPr>
                </m:dPr>
                <m:e>
                  <m:r>
                    <m:rPr>
                      <m:nor/>
                      <m:sty m:val="b"/>
                    </m:rPr>
                    <w:rPr>
                      <w:rFonts w:hint="default" w:ascii="Times New Roman" w:hAnsi="Times New Roman" w:cs="Times New Roman"/>
                      <w:b/>
                      <w:color w:val="auto"/>
                      <w:highlight w:val="none"/>
                      <w:lang w:val="en-US" w:eastAsia="zh-CN"/>
                    </w:rPr>
                    <m:t>x</m:t>
                  </m:r>
                  <m:r>
                    <m:rPr>
                      <m:nor/>
                      <m:sty m:val="b"/>
                    </m:rPr>
                    <w:rPr>
                      <w:rFonts w:hint="default" w:ascii="Times New Roman" w:hAnsi="Times New Roman" w:cs="Times New Roman"/>
                      <w:b/>
                      <w:i w:val="0"/>
                      <w:color w:val="auto"/>
                      <w:highlight w:val="none"/>
                      <w:lang w:val="en-US" w:eastAsia="zh-CN"/>
                    </w:rPr>
                    <m:t>，</m:t>
                  </m:r>
                  <m:r>
                    <m:rPr>
                      <m:nor/>
                      <m:sty m:val="b"/>
                    </m:rPr>
                    <w:rPr>
                      <w:rFonts w:hint="default" w:ascii="Times New Roman" w:hAnsi="Times New Roman" w:cs="Times New Roman"/>
                      <w:b/>
                      <w:color w:val="auto"/>
                      <w:highlight w:val="none"/>
                      <w:lang w:val="en-US" w:eastAsia="zh-CN"/>
                    </w:rPr>
                    <m:t>y</m:t>
                  </m:r>
                  <m:ctrlPr>
                    <w:rPr>
                      <w:rFonts w:hint="default" w:ascii="Cambria Math" w:hAnsi="Cambria Math" w:cs="Times New Roman"/>
                      <w:b/>
                      <w:color w:val="auto"/>
                      <w:highlight w:val="none"/>
                      <w:lang w:val="en-US" w:eastAsia="zh-CN"/>
                    </w:rPr>
                  </m:ctrlPr>
                </m:e>
              </m:d>
              <m:ctrlPr>
                <w:rPr>
                  <w:rFonts w:hint="default" w:ascii="Cambria Math" w:hAnsi="Cambria Math" w:cs="Times New Roman"/>
                  <w:b/>
                  <w:color w:val="auto"/>
                  <w:highlight w:val="none"/>
                  <w:lang w:val="en-US"/>
                </w:rPr>
              </m:ctrlPr>
            </m:sub>
          </m:sSub>
          <m:r>
            <m:rPr>
              <m:nor/>
              <m:sty m:val="b"/>
            </m:rPr>
            <w:rPr>
              <w:rFonts w:hint="default" w:ascii="Times New Roman" w:hAnsi="Times New Roman" w:cs="Times New Roman"/>
              <w:b/>
              <w:i w:val="0"/>
              <w:color w:val="auto"/>
              <w:highlight w:val="none"/>
              <w:lang w:val="en-US" w:eastAsia="zh-CN"/>
            </w:rPr>
            <m:t>=</m:t>
          </m:r>
          <m:f>
            <m:fPr>
              <m:ctrlPr>
                <w:rPr>
                  <w:rFonts w:hint="default" w:ascii="Cambria Math" w:hAnsi="Cambria Math" w:cs="Times New Roman"/>
                  <w:b/>
                  <w:color w:val="auto"/>
                  <w:highlight w:val="none"/>
                  <w:lang w:val="en-US" w:eastAsia="zh-CN"/>
                </w:rPr>
              </m:ctrlPr>
            </m:fPr>
            <m:num>
              <m:r>
                <m:rPr>
                  <m:nor/>
                  <m:sty m:val="b"/>
                </m:rPr>
                <w:rPr>
                  <w:rFonts w:hint="default" w:ascii="Times New Roman" w:hAnsi="Times New Roman" w:cs="Times New Roman"/>
                  <w:b/>
                  <w:i w:val="0"/>
                  <w:color w:val="auto"/>
                  <w:highlight w:val="none"/>
                  <w:lang w:val="en-US" w:eastAsia="zh-CN"/>
                </w:rPr>
                <m:t>1</m:t>
              </m:r>
              <m:ctrlPr>
                <w:rPr>
                  <w:rFonts w:hint="default" w:ascii="Cambria Math" w:hAnsi="Cambria Math" w:cs="Times New Roman"/>
                  <w:b/>
                  <w:color w:val="auto"/>
                  <w:highlight w:val="none"/>
                  <w:lang w:val="en-US" w:eastAsia="zh-CN"/>
                </w:rPr>
              </m:ctrlPr>
            </m:num>
            <m:den>
              <m:r>
                <m:rPr>
                  <m:nor/>
                  <m:sty m:val="b"/>
                </m:rPr>
                <w:rPr>
                  <w:rFonts w:hint="default" w:ascii="Times New Roman" w:hAnsi="Times New Roman" w:cs="Times New Roman"/>
                  <w:b/>
                  <w:color w:val="auto"/>
                  <w:highlight w:val="none"/>
                  <w:lang w:val="en-US" w:eastAsia="zh-CN"/>
                </w:rPr>
                <m:t>n</m:t>
              </m:r>
              <m:ctrlPr>
                <w:rPr>
                  <w:rFonts w:hint="default" w:ascii="Cambria Math" w:hAnsi="Cambria Math" w:cs="Times New Roman"/>
                  <w:b/>
                  <w:color w:val="auto"/>
                  <w:highlight w:val="none"/>
                  <w:lang w:val="en-US" w:eastAsia="zh-CN"/>
                </w:rPr>
              </m:ctrlPr>
            </m:den>
          </m:f>
          <m:nary>
            <m:naryPr>
              <m:chr m:val="∑"/>
              <m:limLoc m:val="undOvr"/>
              <m:ctrlPr>
                <w:rPr>
                  <w:rFonts w:hint="default" w:ascii="Cambria Math" w:hAnsi="Cambria Math" w:cs="Times New Roman"/>
                  <w:b/>
                  <w:color w:val="auto"/>
                  <w:highlight w:val="none"/>
                  <w:lang w:val="en-US" w:eastAsia="zh-CN"/>
                </w:rPr>
              </m:ctrlPr>
            </m:naryPr>
            <m:sub>
              <m:r>
                <m:rPr>
                  <m:nor/>
                  <m:sty m:val="b"/>
                </m:rPr>
                <w:rPr>
                  <w:rFonts w:hint="default" w:ascii="Times New Roman" w:hAnsi="Times New Roman" w:cs="Times New Roman"/>
                  <w:b/>
                  <w:color w:val="auto"/>
                  <w:highlight w:val="none"/>
                  <w:lang w:val="en-US" w:eastAsia="zh-CN"/>
                </w:rPr>
                <m:t>j</m:t>
              </m:r>
              <m:r>
                <m:rPr>
                  <m:nor/>
                  <m:sty m:val="b"/>
                </m:rPr>
                <w:rPr>
                  <w:rFonts w:hint="default" w:ascii="Times New Roman" w:hAnsi="Times New Roman" w:cs="Times New Roman"/>
                  <w:b/>
                  <w:i w:val="0"/>
                  <w:color w:val="auto"/>
                  <w:highlight w:val="none"/>
                  <w:lang w:val="en-US" w:eastAsia="zh-CN"/>
                </w:rPr>
                <m:t>=1</m:t>
              </m:r>
              <m:ctrlPr>
                <w:rPr>
                  <w:rFonts w:hint="default" w:ascii="Cambria Math" w:hAnsi="Cambria Math" w:cs="Times New Roman"/>
                  <w:b/>
                  <w:color w:val="auto"/>
                  <w:highlight w:val="none"/>
                  <w:lang w:val="en-US" w:eastAsia="zh-CN"/>
                </w:rPr>
              </m:ctrlPr>
            </m:sub>
            <m:sup>
              <m:r>
                <m:rPr>
                  <m:nor/>
                  <m:sty m:val="b"/>
                </m:rPr>
                <w:rPr>
                  <w:rFonts w:hint="default" w:ascii="Times New Roman" w:hAnsi="Times New Roman" w:cs="Times New Roman"/>
                  <w:b/>
                  <w:color w:val="auto"/>
                  <w:highlight w:val="none"/>
                  <w:lang w:val="en-US" w:eastAsia="zh-CN"/>
                </w:rPr>
                <m:t>n</m:t>
              </m:r>
              <m:ctrlPr>
                <w:rPr>
                  <w:rFonts w:hint="default" w:ascii="Cambria Math" w:hAnsi="Cambria Math" w:cs="Times New Roman"/>
                  <w:b/>
                  <w:color w:val="auto"/>
                  <w:highlight w:val="none"/>
                  <w:lang w:val="en-US" w:eastAsia="zh-CN"/>
                </w:rPr>
              </m:ctrlPr>
            </m:sup>
            <m:e>
              <m:sSub>
                <m:sSubPr>
                  <m:ctrlPr>
                    <w:rPr>
                      <w:rFonts w:hint="default" w:ascii="Cambria Math" w:hAnsi="Cambria Math" w:cs="Times New Roman"/>
                      <w:b/>
                      <w:color w:val="auto"/>
                      <w:highlight w:val="none"/>
                      <w:lang w:val="en-US" w:eastAsia="zh-CN"/>
                    </w:rPr>
                  </m:ctrlPr>
                </m:sSubPr>
                <m:e>
                  <m:r>
                    <m:rPr>
                      <m:nor/>
                      <m:sty m:val="b"/>
                    </m:rPr>
                    <w:rPr>
                      <w:rFonts w:hint="default" w:ascii="Times New Roman" w:hAnsi="Times New Roman" w:cs="Times New Roman"/>
                      <w:b/>
                      <w:color w:val="auto"/>
                      <w:highlight w:val="none"/>
                      <w:lang w:val="en-US"/>
                    </w:rPr>
                    <m:t>ρ</m:t>
                  </m:r>
                  <m:ctrlPr>
                    <w:rPr>
                      <w:rFonts w:hint="default" w:ascii="Cambria Math" w:hAnsi="Cambria Math" w:cs="Times New Roman"/>
                      <w:b/>
                      <w:color w:val="auto"/>
                      <w:highlight w:val="none"/>
                      <w:lang w:val="en-US" w:eastAsia="zh-CN"/>
                    </w:rPr>
                  </m:ctrlPr>
                </m:e>
                <m:sub>
                  <m:r>
                    <m:rPr>
                      <m:nor/>
                      <m:sty m:val="b"/>
                    </m:rPr>
                    <w:rPr>
                      <w:rFonts w:hint="default" w:ascii="Times New Roman" w:hAnsi="Times New Roman" w:cs="Times New Roman"/>
                      <w:b/>
                      <w:i w:val="0"/>
                      <w:color w:val="auto"/>
                      <w:highlight w:val="none"/>
                      <w:lang w:val="en-US" w:eastAsia="zh-CN"/>
                    </w:rPr>
                    <m:t>现状</m:t>
                  </m:r>
                  <m:d>
                    <m:dPr>
                      <m:ctrlPr>
                        <w:rPr>
                          <w:rFonts w:hint="default" w:ascii="Cambria Math" w:hAnsi="Cambria Math" w:cs="Times New Roman"/>
                          <w:b/>
                          <w:color w:val="auto"/>
                          <w:highlight w:val="none"/>
                          <w:lang w:val="en-US" w:eastAsia="zh-CN"/>
                        </w:rPr>
                      </m:ctrlPr>
                    </m:dPr>
                    <m:e>
                      <m:r>
                        <m:rPr>
                          <m:nor/>
                          <m:sty m:val="b"/>
                        </m:rPr>
                        <w:rPr>
                          <w:rFonts w:hint="default" w:ascii="Times New Roman" w:hAnsi="Times New Roman" w:cs="Times New Roman"/>
                          <w:b/>
                          <w:color w:val="auto"/>
                          <w:highlight w:val="none"/>
                          <w:lang w:val="en-US" w:eastAsia="zh-CN"/>
                        </w:rPr>
                        <m:t>j</m:t>
                      </m:r>
                      <m:r>
                        <m:rPr>
                          <m:nor/>
                          <m:sty m:val="b"/>
                        </m:rPr>
                        <w:rPr>
                          <w:rFonts w:hint="default" w:ascii="Times New Roman" w:hAnsi="Times New Roman" w:cs="Times New Roman"/>
                          <w:b/>
                          <w:i w:val="0"/>
                          <w:color w:val="auto"/>
                          <w:highlight w:val="none"/>
                          <w:lang w:val="en-US" w:eastAsia="zh-CN"/>
                        </w:rPr>
                        <m:t>，</m:t>
                      </m:r>
                      <m:r>
                        <m:rPr>
                          <m:nor/>
                          <m:sty m:val="b"/>
                        </m:rPr>
                        <w:rPr>
                          <w:rFonts w:hint="default" w:ascii="Times New Roman" w:hAnsi="Times New Roman" w:cs="Times New Roman"/>
                          <w:b/>
                          <w:color w:val="auto"/>
                          <w:highlight w:val="none"/>
                          <w:lang w:val="en-US" w:eastAsia="zh-CN"/>
                        </w:rPr>
                        <m:t>t</m:t>
                      </m:r>
                      <m:ctrlPr>
                        <w:rPr>
                          <w:rFonts w:hint="default" w:ascii="Cambria Math" w:hAnsi="Cambria Math" w:cs="Times New Roman"/>
                          <w:b/>
                          <w:color w:val="auto"/>
                          <w:highlight w:val="none"/>
                          <w:lang w:val="en-US" w:eastAsia="zh-CN"/>
                        </w:rPr>
                      </m:ctrlPr>
                    </m:e>
                  </m:d>
                  <m:ctrlPr>
                    <w:rPr>
                      <w:rFonts w:hint="default" w:ascii="Cambria Math" w:hAnsi="Cambria Math" w:cs="Times New Roman"/>
                      <w:b/>
                      <w:color w:val="auto"/>
                      <w:highlight w:val="none"/>
                      <w:lang w:val="en-US" w:eastAsia="zh-CN"/>
                    </w:rPr>
                  </m:ctrlPr>
                </m:sub>
              </m:sSub>
              <m:ctrlPr>
                <w:rPr>
                  <w:rFonts w:hint="default" w:ascii="Cambria Math" w:hAnsi="Cambria Math" w:cs="Times New Roman"/>
                  <w:b/>
                  <w:color w:val="auto"/>
                  <w:highlight w:val="none"/>
                  <w:lang w:val="en-US" w:eastAsia="zh-CN"/>
                </w:rPr>
              </m:ctrlPr>
            </m:e>
          </m:nary>
        </m:oMath>
      </m:oMathPara>
    </w:p>
    <w:p w14:paraId="6534A324">
      <w:pPr>
        <w:bidi w:val="0"/>
        <w:rPr>
          <w:rFonts w:hint="default" w:ascii="Times New Roman" w:hAnsi="Times New Roman" w:cs="Times New Roman"/>
          <w:b w:val="0"/>
          <w:bCs w:val="0"/>
          <w:color w:val="auto"/>
          <w:highlight w:val="none"/>
          <w:lang w:val="en-US" w:eastAsia="zh-CN"/>
        </w:rPr>
      </w:pPr>
    </w:p>
    <w:p w14:paraId="02E2C7D5">
      <w:pPr>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式中：ρ</w:t>
      </w:r>
      <w:r>
        <w:rPr>
          <w:rFonts w:hint="default" w:ascii="Times New Roman" w:hAnsi="Times New Roman" w:cs="Times New Roman"/>
          <w:b w:val="0"/>
          <w:bCs w:val="0"/>
          <w:color w:val="auto"/>
          <w:highlight w:val="none"/>
          <w:vertAlign w:val="subscript"/>
          <w:lang w:val="en-US" w:eastAsia="zh-CN"/>
        </w:rPr>
        <w:t>现状（x，y，t）</w:t>
      </w:r>
      <w:r>
        <w:rPr>
          <w:rFonts w:hint="default" w:ascii="Times New Roman" w:hAnsi="Times New Roman" w:cs="Times New Roman"/>
          <w:b w:val="0"/>
          <w:bCs w:val="0"/>
          <w:color w:val="auto"/>
          <w:highlight w:val="none"/>
          <w:lang w:val="en-US" w:eastAsia="zh-CN"/>
        </w:rPr>
        <w:t>——环境空气保护目标及网格点（x，y）在t时刻环境质量现状浓度，μg/m</w:t>
      </w:r>
      <w:r>
        <w:rPr>
          <w:rFonts w:hint="default" w:ascii="Times New Roman" w:hAnsi="Times New Roman" w:cs="Times New Roman"/>
          <w:b w:val="0"/>
          <w:bCs w:val="0"/>
          <w:color w:val="auto"/>
          <w:highlight w:val="none"/>
          <w:vertAlign w:val="superscript"/>
          <w:lang w:val="en-US" w:eastAsia="zh-CN"/>
        </w:rPr>
        <w:t>3</w:t>
      </w:r>
      <w:r>
        <w:rPr>
          <w:rFonts w:hint="default" w:ascii="Times New Roman" w:hAnsi="Times New Roman" w:cs="Times New Roman"/>
          <w:b w:val="0"/>
          <w:bCs w:val="0"/>
          <w:color w:val="auto"/>
          <w:highlight w:val="none"/>
          <w:lang w:val="en-US" w:eastAsia="zh-CN"/>
        </w:rPr>
        <w:t>；</w:t>
      </w:r>
    </w:p>
    <w:p w14:paraId="6010915B">
      <w:pPr>
        <w:bidi w:val="0"/>
        <w:ind w:firstLine="1200" w:firstLineChars="50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ρ</w:t>
      </w:r>
      <w:r>
        <w:rPr>
          <w:rFonts w:hint="default" w:ascii="Times New Roman" w:hAnsi="Times New Roman" w:cs="Times New Roman"/>
          <w:b w:val="0"/>
          <w:bCs w:val="0"/>
          <w:color w:val="auto"/>
          <w:highlight w:val="none"/>
          <w:vertAlign w:val="subscript"/>
          <w:lang w:val="en-US" w:eastAsia="zh-CN"/>
        </w:rPr>
        <w:t>现状（j，t）</w:t>
      </w:r>
      <w:r>
        <w:rPr>
          <w:rFonts w:hint="default" w:ascii="Times New Roman" w:hAnsi="Times New Roman" w:cs="Times New Roman"/>
          <w:b w:val="0"/>
          <w:bCs w:val="0"/>
          <w:color w:val="auto"/>
          <w:highlight w:val="none"/>
          <w:lang w:val="en-US" w:eastAsia="zh-CN"/>
        </w:rPr>
        <w:t>——第j个监测点位在t时刻环境质量现状浓度（包括短期浓度和长期浓度），μg/m</w:t>
      </w:r>
      <w:r>
        <w:rPr>
          <w:rFonts w:hint="default" w:ascii="Times New Roman" w:hAnsi="Times New Roman" w:cs="Times New Roman"/>
          <w:b w:val="0"/>
          <w:bCs w:val="0"/>
          <w:color w:val="auto"/>
          <w:highlight w:val="none"/>
          <w:vertAlign w:val="superscript"/>
          <w:lang w:val="en-US" w:eastAsia="zh-CN"/>
        </w:rPr>
        <w:t>3</w:t>
      </w:r>
      <w:r>
        <w:rPr>
          <w:rFonts w:hint="default" w:ascii="Times New Roman" w:hAnsi="Times New Roman" w:cs="Times New Roman"/>
          <w:b w:val="0"/>
          <w:bCs w:val="0"/>
          <w:color w:val="auto"/>
          <w:highlight w:val="none"/>
          <w:lang w:val="en-US" w:eastAsia="zh-CN"/>
        </w:rPr>
        <w:t>；</w:t>
      </w:r>
    </w:p>
    <w:p w14:paraId="5A4D3E8A">
      <w:pPr>
        <w:pStyle w:val="92"/>
        <w:overflowPunct w:val="0"/>
        <w:topLinePunct/>
        <w:spacing w:line="480" w:lineRule="exact"/>
        <w:ind w:firstLine="1300" w:firstLineChars="500"/>
        <w:jc w:val="both"/>
        <w:rPr>
          <w:rFonts w:hint="default" w:ascii="Times New Roman" w:hAnsi="Times New Roman" w:cs="Times New Roman"/>
          <w:color w:val="auto"/>
          <w:szCs w:val="24"/>
          <w:highlight w:val="none"/>
        </w:rPr>
      </w:pPr>
      <w:r>
        <w:rPr>
          <w:rFonts w:hint="default" w:ascii="Times New Roman" w:hAnsi="Times New Roman" w:cs="Times New Roman"/>
          <w:b w:val="0"/>
          <w:bCs w:val="0"/>
          <w:color w:val="auto"/>
          <w:highlight w:val="none"/>
          <w:lang w:val="en-US" w:eastAsia="zh-CN"/>
        </w:rPr>
        <w:t>n——长期监测点位数。</w:t>
      </w:r>
    </w:p>
    <w:p w14:paraId="42EEAD5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（2）空气质量达标区判定</w:t>
      </w:r>
    </w:p>
    <w:p w14:paraId="67143CD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区域空气质量达标情况见表4.2-1。</w:t>
      </w:r>
    </w:p>
    <w:p w14:paraId="40568B99">
      <w:pPr>
        <w:pStyle w:val="58"/>
        <w:spacing w:line="48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w:t>
      </w:r>
      <w:r>
        <w:rPr>
          <w:rFonts w:hint="default" w:ascii="Times New Roman" w:hAnsi="Times New Roman" w:cs="Times New Roman"/>
          <w:b/>
          <w:bCs/>
          <w:color w:val="auto"/>
          <w:highlight w:val="none"/>
        </w:rPr>
        <w:noBreakHyphen/>
      </w:r>
      <w:r>
        <w:rPr>
          <w:rFonts w:hint="default" w:ascii="Times New Roman" w:hAnsi="Times New Roman" w:cs="Times New Roman"/>
          <w:b/>
          <w:bCs/>
          <w:color w:val="auto"/>
          <w:highlight w:val="none"/>
        </w:rPr>
        <w:t>1    区域空气质量现状评价表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48"/>
        <w:gridCol w:w="1851"/>
        <w:gridCol w:w="1768"/>
        <w:gridCol w:w="1618"/>
        <w:gridCol w:w="1908"/>
        <w:gridCol w:w="881"/>
      </w:tblGrid>
      <w:tr w14:paraId="12AB57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trPr>
        <w:tc>
          <w:tcPr>
            <w:tcW w:w="626" w:type="pct"/>
            <w:tcBorders>
              <w:tl2br w:val="nil"/>
              <w:tr2bl w:val="nil"/>
            </w:tcBorders>
            <w:vAlign w:val="center"/>
          </w:tcPr>
          <w:p w14:paraId="30F540AC">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监测因子</w:t>
            </w:r>
          </w:p>
        </w:tc>
        <w:tc>
          <w:tcPr>
            <w:tcW w:w="1008" w:type="pct"/>
            <w:tcBorders>
              <w:tl2br w:val="nil"/>
              <w:tr2bl w:val="nil"/>
            </w:tcBorders>
            <w:vAlign w:val="center"/>
          </w:tcPr>
          <w:p w14:paraId="4D56D555">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年评价指标</w:t>
            </w:r>
          </w:p>
        </w:tc>
        <w:tc>
          <w:tcPr>
            <w:tcW w:w="963" w:type="pct"/>
            <w:tcBorders>
              <w:tl2br w:val="nil"/>
              <w:tr2bl w:val="nil"/>
            </w:tcBorders>
            <w:vAlign w:val="center"/>
          </w:tcPr>
          <w:p w14:paraId="691F1611">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现状浓度（μg/m</w:t>
            </w:r>
            <w:r>
              <w:rPr>
                <w:rFonts w:hint="default" w:ascii="Times New Roman" w:hAnsi="Times New Roman" w:cs="Times New Roman"/>
                <w:b/>
                <w:bCs/>
                <w:color w:val="auto"/>
                <w:highlight w:val="none"/>
                <w:vertAlign w:val="superscript"/>
                <w:lang w:val="en-US" w:eastAsia="zh-CN"/>
              </w:rPr>
              <w:t>3</w:t>
            </w:r>
            <w:r>
              <w:rPr>
                <w:rFonts w:hint="default" w:ascii="Times New Roman" w:hAnsi="Times New Roman" w:cs="Times New Roman"/>
                <w:b/>
                <w:bCs/>
                <w:color w:val="auto"/>
                <w:highlight w:val="none"/>
                <w:lang w:val="en-US" w:eastAsia="zh-CN"/>
              </w:rPr>
              <w:t>）</w:t>
            </w:r>
          </w:p>
        </w:tc>
        <w:tc>
          <w:tcPr>
            <w:tcW w:w="881" w:type="pct"/>
            <w:tcBorders>
              <w:tl2br w:val="nil"/>
              <w:tr2bl w:val="nil"/>
            </w:tcBorders>
            <w:vAlign w:val="center"/>
          </w:tcPr>
          <w:p w14:paraId="18DD7A46">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标准值（μg/m</w:t>
            </w:r>
            <w:r>
              <w:rPr>
                <w:rFonts w:hint="default" w:ascii="Times New Roman" w:hAnsi="Times New Roman" w:cs="Times New Roman"/>
                <w:b/>
                <w:bCs/>
                <w:color w:val="auto"/>
                <w:highlight w:val="none"/>
                <w:vertAlign w:val="superscript"/>
                <w:lang w:val="en-US" w:eastAsia="zh-CN"/>
              </w:rPr>
              <w:t>3</w:t>
            </w:r>
            <w:r>
              <w:rPr>
                <w:rFonts w:hint="default" w:ascii="Times New Roman" w:hAnsi="Times New Roman" w:cs="Times New Roman"/>
                <w:b/>
                <w:bCs/>
                <w:color w:val="auto"/>
                <w:highlight w:val="none"/>
                <w:lang w:val="en-US" w:eastAsia="zh-CN"/>
              </w:rPr>
              <w:t>）</w:t>
            </w:r>
          </w:p>
        </w:tc>
        <w:tc>
          <w:tcPr>
            <w:tcW w:w="1039" w:type="pct"/>
            <w:tcBorders>
              <w:tl2br w:val="nil"/>
              <w:tr2bl w:val="nil"/>
            </w:tcBorders>
            <w:vAlign w:val="center"/>
          </w:tcPr>
          <w:p w14:paraId="60BF7491">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最大浓度占标率（%）</w:t>
            </w:r>
          </w:p>
        </w:tc>
        <w:tc>
          <w:tcPr>
            <w:tcW w:w="480" w:type="pct"/>
            <w:tcBorders>
              <w:tl2br w:val="nil"/>
              <w:tr2bl w:val="nil"/>
            </w:tcBorders>
            <w:vAlign w:val="center"/>
          </w:tcPr>
          <w:p w14:paraId="09014514">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达标情况</w:t>
            </w:r>
          </w:p>
        </w:tc>
      </w:tr>
      <w:tr w14:paraId="1C0044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6" w:type="pct"/>
            <w:tcBorders>
              <w:tl2br w:val="nil"/>
              <w:tr2bl w:val="nil"/>
            </w:tcBorders>
            <w:vAlign w:val="center"/>
          </w:tcPr>
          <w:p w14:paraId="6FE224B3">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SO</w:t>
            </w:r>
            <w:r>
              <w:rPr>
                <w:rFonts w:hint="default" w:ascii="Times New Roman" w:hAnsi="Times New Roman" w:cs="Times New Roman"/>
                <w:b w:val="0"/>
                <w:bCs w:val="0"/>
                <w:color w:val="auto"/>
                <w:highlight w:val="none"/>
                <w:vertAlign w:val="subscript"/>
                <w:lang w:val="en-US" w:eastAsia="zh-CN"/>
              </w:rPr>
              <w:t>2</w:t>
            </w:r>
          </w:p>
        </w:tc>
        <w:tc>
          <w:tcPr>
            <w:tcW w:w="1851" w:type="dxa"/>
            <w:tcBorders>
              <w:tl2br w:val="nil"/>
              <w:tr2bl w:val="nil"/>
            </w:tcBorders>
            <w:vAlign w:val="center"/>
          </w:tcPr>
          <w:p w14:paraId="0C7E5065">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年平均值</w:t>
            </w:r>
          </w:p>
        </w:tc>
        <w:tc>
          <w:tcPr>
            <w:tcW w:w="1768" w:type="dxa"/>
            <w:tcBorders>
              <w:tl2br w:val="nil"/>
              <w:tr2bl w:val="nil"/>
            </w:tcBorders>
            <w:vAlign w:val="center"/>
          </w:tcPr>
          <w:p w14:paraId="225661AC">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4</w:t>
            </w:r>
          </w:p>
        </w:tc>
        <w:tc>
          <w:tcPr>
            <w:tcW w:w="1618" w:type="dxa"/>
            <w:tcBorders>
              <w:tl2br w:val="nil"/>
              <w:tr2bl w:val="nil"/>
            </w:tcBorders>
            <w:vAlign w:val="center"/>
          </w:tcPr>
          <w:p w14:paraId="6609461A">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1908" w:type="dxa"/>
            <w:tcBorders>
              <w:tl2br w:val="nil"/>
              <w:tr2bl w:val="nil"/>
            </w:tcBorders>
            <w:vAlign w:val="center"/>
          </w:tcPr>
          <w:p w14:paraId="22B76E68">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6.7</w:t>
            </w:r>
          </w:p>
        </w:tc>
        <w:tc>
          <w:tcPr>
            <w:tcW w:w="480" w:type="pct"/>
            <w:tcBorders>
              <w:tl2br w:val="nil"/>
              <w:tr2bl w:val="nil"/>
            </w:tcBorders>
            <w:vAlign w:val="center"/>
          </w:tcPr>
          <w:p w14:paraId="7973F312">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0BD6B0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6" w:type="pct"/>
            <w:tcBorders>
              <w:tl2br w:val="nil"/>
              <w:tr2bl w:val="nil"/>
            </w:tcBorders>
            <w:vAlign w:val="center"/>
          </w:tcPr>
          <w:p w14:paraId="076F3C42">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2</w:t>
            </w:r>
          </w:p>
        </w:tc>
        <w:tc>
          <w:tcPr>
            <w:tcW w:w="1851" w:type="dxa"/>
            <w:tcBorders>
              <w:tl2br w:val="nil"/>
              <w:tr2bl w:val="nil"/>
            </w:tcBorders>
            <w:vAlign w:val="center"/>
          </w:tcPr>
          <w:p w14:paraId="0AF53817">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年平均值</w:t>
            </w:r>
          </w:p>
        </w:tc>
        <w:tc>
          <w:tcPr>
            <w:tcW w:w="1768" w:type="dxa"/>
            <w:tcBorders>
              <w:tl2br w:val="nil"/>
              <w:tr2bl w:val="nil"/>
            </w:tcBorders>
            <w:vAlign w:val="center"/>
          </w:tcPr>
          <w:p w14:paraId="235E6994">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14</w:t>
            </w:r>
          </w:p>
        </w:tc>
        <w:tc>
          <w:tcPr>
            <w:tcW w:w="1618" w:type="dxa"/>
            <w:tcBorders>
              <w:tl2br w:val="nil"/>
              <w:tr2bl w:val="nil"/>
            </w:tcBorders>
            <w:vAlign w:val="center"/>
          </w:tcPr>
          <w:p w14:paraId="2F290334">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w:t>
            </w:r>
          </w:p>
        </w:tc>
        <w:tc>
          <w:tcPr>
            <w:tcW w:w="1908" w:type="dxa"/>
            <w:tcBorders>
              <w:tl2br w:val="nil"/>
              <w:tr2bl w:val="nil"/>
            </w:tcBorders>
            <w:vAlign w:val="center"/>
          </w:tcPr>
          <w:p w14:paraId="6A63C49F">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35.0</w:t>
            </w:r>
          </w:p>
        </w:tc>
        <w:tc>
          <w:tcPr>
            <w:tcW w:w="480" w:type="pct"/>
            <w:tcBorders>
              <w:tl2br w:val="nil"/>
              <w:tr2bl w:val="nil"/>
            </w:tcBorders>
            <w:vAlign w:val="center"/>
          </w:tcPr>
          <w:p w14:paraId="1EF66319">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56390F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6" w:type="pct"/>
            <w:tcBorders>
              <w:tl2br w:val="nil"/>
              <w:tr2bl w:val="nil"/>
            </w:tcBorders>
            <w:vAlign w:val="center"/>
          </w:tcPr>
          <w:p w14:paraId="449A516B">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PM</w:t>
            </w:r>
            <w:r>
              <w:rPr>
                <w:rFonts w:hint="default" w:ascii="Times New Roman" w:hAnsi="Times New Roman" w:cs="Times New Roman"/>
                <w:b w:val="0"/>
                <w:bCs w:val="0"/>
                <w:color w:val="auto"/>
                <w:highlight w:val="none"/>
                <w:vertAlign w:val="subscript"/>
                <w:lang w:val="en-US" w:eastAsia="zh-CN"/>
              </w:rPr>
              <w:t>10</w:t>
            </w:r>
          </w:p>
        </w:tc>
        <w:tc>
          <w:tcPr>
            <w:tcW w:w="1851" w:type="dxa"/>
            <w:tcBorders>
              <w:tl2br w:val="nil"/>
              <w:tr2bl w:val="nil"/>
            </w:tcBorders>
            <w:vAlign w:val="center"/>
          </w:tcPr>
          <w:p w14:paraId="2098A8DA">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年平均值</w:t>
            </w:r>
          </w:p>
        </w:tc>
        <w:tc>
          <w:tcPr>
            <w:tcW w:w="1768" w:type="dxa"/>
            <w:tcBorders>
              <w:tl2br w:val="nil"/>
              <w:tr2bl w:val="nil"/>
            </w:tcBorders>
            <w:vAlign w:val="center"/>
          </w:tcPr>
          <w:p w14:paraId="3E889430">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25</w:t>
            </w:r>
          </w:p>
        </w:tc>
        <w:tc>
          <w:tcPr>
            <w:tcW w:w="1618" w:type="dxa"/>
            <w:tcBorders>
              <w:tl2br w:val="nil"/>
              <w:tr2bl w:val="nil"/>
            </w:tcBorders>
            <w:vAlign w:val="center"/>
          </w:tcPr>
          <w:p w14:paraId="69911C76">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1908" w:type="dxa"/>
            <w:tcBorders>
              <w:tl2br w:val="nil"/>
              <w:tr2bl w:val="nil"/>
            </w:tcBorders>
            <w:vAlign w:val="center"/>
          </w:tcPr>
          <w:p w14:paraId="64DBA793">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35.7</w:t>
            </w:r>
          </w:p>
        </w:tc>
        <w:tc>
          <w:tcPr>
            <w:tcW w:w="480" w:type="pct"/>
            <w:tcBorders>
              <w:tl2br w:val="nil"/>
              <w:tr2bl w:val="nil"/>
            </w:tcBorders>
            <w:vAlign w:val="center"/>
          </w:tcPr>
          <w:p w14:paraId="2D7E1134">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达标</w:t>
            </w:r>
          </w:p>
        </w:tc>
      </w:tr>
      <w:tr w14:paraId="32F5CC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6" w:type="pct"/>
            <w:tcBorders>
              <w:tl2br w:val="nil"/>
              <w:tr2bl w:val="nil"/>
            </w:tcBorders>
            <w:vAlign w:val="center"/>
          </w:tcPr>
          <w:p w14:paraId="4ED479FA">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PM</w:t>
            </w:r>
            <w:r>
              <w:rPr>
                <w:rFonts w:hint="default" w:ascii="Times New Roman" w:hAnsi="Times New Roman" w:cs="Times New Roman"/>
                <w:b w:val="0"/>
                <w:bCs w:val="0"/>
                <w:color w:val="auto"/>
                <w:highlight w:val="none"/>
                <w:vertAlign w:val="subscript"/>
                <w:lang w:val="en-US" w:eastAsia="zh-CN"/>
              </w:rPr>
              <w:t>2.5</w:t>
            </w:r>
          </w:p>
        </w:tc>
        <w:tc>
          <w:tcPr>
            <w:tcW w:w="1851" w:type="dxa"/>
            <w:tcBorders>
              <w:tl2br w:val="nil"/>
              <w:tr2bl w:val="nil"/>
            </w:tcBorders>
            <w:vAlign w:val="center"/>
          </w:tcPr>
          <w:p w14:paraId="4EBEAEA4">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年平均值</w:t>
            </w:r>
          </w:p>
        </w:tc>
        <w:tc>
          <w:tcPr>
            <w:tcW w:w="1768" w:type="dxa"/>
            <w:tcBorders>
              <w:tl2br w:val="nil"/>
              <w:tr2bl w:val="nil"/>
            </w:tcBorders>
            <w:vAlign w:val="center"/>
          </w:tcPr>
          <w:p w14:paraId="23C474E8">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7</w:t>
            </w:r>
          </w:p>
        </w:tc>
        <w:tc>
          <w:tcPr>
            <w:tcW w:w="1618" w:type="dxa"/>
            <w:tcBorders>
              <w:tl2br w:val="nil"/>
              <w:tr2bl w:val="nil"/>
            </w:tcBorders>
            <w:vAlign w:val="center"/>
          </w:tcPr>
          <w:p w14:paraId="2B59D9C8">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1908" w:type="dxa"/>
            <w:tcBorders>
              <w:tl2br w:val="nil"/>
              <w:tr2bl w:val="nil"/>
            </w:tcBorders>
            <w:vAlign w:val="center"/>
          </w:tcPr>
          <w:p w14:paraId="62933E1B">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20.0</w:t>
            </w:r>
          </w:p>
        </w:tc>
        <w:tc>
          <w:tcPr>
            <w:tcW w:w="480" w:type="pct"/>
            <w:tcBorders>
              <w:tl2br w:val="nil"/>
              <w:tr2bl w:val="nil"/>
            </w:tcBorders>
            <w:vAlign w:val="center"/>
          </w:tcPr>
          <w:p w14:paraId="6C00FFB9">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22C520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6" w:type="pct"/>
            <w:tcBorders>
              <w:tl2br w:val="nil"/>
              <w:tr2bl w:val="nil"/>
            </w:tcBorders>
            <w:vAlign w:val="center"/>
          </w:tcPr>
          <w:p w14:paraId="4875A106">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CO</w:t>
            </w:r>
          </w:p>
        </w:tc>
        <w:tc>
          <w:tcPr>
            <w:tcW w:w="1851" w:type="dxa"/>
            <w:tcBorders>
              <w:tl2br w:val="nil"/>
              <w:tr2bl w:val="nil"/>
            </w:tcBorders>
            <w:vAlign w:val="center"/>
          </w:tcPr>
          <w:p w14:paraId="7DA47304">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24小时平均第95百分位数</w:t>
            </w:r>
          </w:p>
        </w:tc>
        <w:tc>
          <w:tcPr>
            <w:tcW w:w="1768" w:type="dxa"/>
            <w:tcBorders>
              <w:tl2br w:val="nil"/>
              <w:tr2bl w:val="nil"/>
            </w:tcBorders>
            <w:vAlign w:val="center"/>
          </w:tcPr>
          <w:p w14:paraId="39FF2158">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r>
              <w:rPr>
                <w:rFonts w:hint="default" w:cs="Times New Roman"/>
                <w:color w:val="auto"/>
                <w:highlight w:val="none"/>
                <w:lang w:val="en-US" w:eastAsia="zh-CN"/>
              </w:rPr>
              <w:t>7</w:t>
            </w:r>
            <w:r>
              <w:rPr>
                <w:rFonts w:hint="default" w:ascii="Times New Roman" w:hAnsi="Times New Roman" w:cs="Times New Roman"/>
                <w:color w:val="auto"/>
                <w:highlight w:val="none"/>
                <w:lang w:val="en-US" w:eastAsia="zh-CN"/>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w:t>
            </w:r>
          </w:p>
        </w:tc>
        <w:tc>
          <w:tcPr>
            <w:tcW w:w="1618" w:type="dxa"/>
            <w:tcBorders>
              <w:tl2br w:val="nil"/>
              <w:tr2bl w:val="nil"/>
            </w:tcBorders>
            <w:vAlign w:val="center"/>
          </w:tcPr>
          <w:p w14:paraId="78257F2C">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w:t>
            </w:r>
          </w:p>
        </w:tc>
        <w:tc>
          <w:tcPr>
            <w:tcW w:w="1908" w:type="dxa"/>
            <w:tcBorders>
              <w:tl2br w:val="nil"/>
              <w:tr2bl w:val="nil"/>
            </w:tcBorders>
            <w:vAlign w:val="center"/>
          </w:tcPr>
          <w:p w14:paraId="657B8B5C">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17.5</w:t>
            </w:r>
          </w:p>
        </w:tc>
        <w:tc>
          <w:tcPr>
            <w:tcW w:w="480" w:type="pct"/>
            <w:tcBorders>
              <w:tl2br w:val="nil"/>
              <w:tr2bl w:val="nil"/>
            </w:tcBorders>
            <w:vAlign w:val="center"/>
          </w:tcPr>
          <w:p w14:paraId="519496CC">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5B953A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6" w:type="pct"/>
            <w:tcBorders>
              <w:tl2br w:val="nil"/>
              <w:tr2bl w:val="nil"/>
            </w:tcBorders>
            <w:vAlign w:val="center"/>
          </w:tcPr>
          <w:p w14:paraId="30439931">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O</w:t>
            </w:r>
            <w:r>
              <w:rPr>
                <w:rFonts w:hint="default" w:ascii="Times New Roman" w:hAnsi="Times New Roman" w:cs="Times New Roman"/>
                <w:b w:val="0"/>
                <w:bCs w:val="0"/>
                <w:color w:val="auto"/>
                <w:highlight w:val="none"/>
                <w:vertAlign w:val="subscript"/>
                <w:lang w:val="en-US" w:eastAsia="zh-CN"/>
              </w:rPr>
              <w:t>3</w:t>
            </w:r>
          </w:p>
        </w:tc>
        <w:tc>
          <w:tcPr>
            <w:tcW w:w="1851" w:type="dxa"/>
            <w:tcBorders>
              <w:tl2br w:val="nil"/>
              <w:tr2bl w:val="nil"/>
            </w:tcBorders>
            <w:vAlign w:val="center"/>
          </w:tcPr>
          <w:p w14:paraId="2B6CFB50">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最大8小时平均</w:t>
            </w:r>
          </w:p>
          <w:p w14:paraId="79B28816">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第90百分位数</w:t>
            </w:r>
          </w:p>
        </w:tc>
        <w:tc>
          <w:tcPr>
            <w:tcW w:w="1768" w:type="dxa"/>
            <w:tcBorders>
              <w:tl2br w:val="nil"/>
              <w:tr2bl w:val="nil"/>
            </w:tcBorders>
            <w:vAlign w:val="center"/>
          </w:tcPr>
          <w:p w14:paraId="5B1A2223">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111</w:t>
            </w:r>
          </w:p>
        </w:tc>
        <w:tc>
          <w:tcPr>
            <w:tcW w:w="1618" w:type="dxa"/>
            <w:tcBorders>
              <w:tl2br w:val="nil"/>
              <w:tr2bl w:val="nil"/>
            </w:tcBorders>
            <w:vAlign w:val="center"/>
          </w:tcPr>
          <w:p w14:paraId="40A9CCA3">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160</w:t>
            </w:r>
          </w:p>
        </w:tc>
        <w:tc>
          <w:tcPr>
            <w:tcW w:w="1908" w:type="dxa"/>
            <w:tcBorders>
              <w:tl2br w:val="nil"/>
              <w:tr2bl w:val="nil"/>
            </w:tcBorders>
            <w:vAlign w:val="center"/>
          </w:tcPr>
          <w:p w14:paraId="23D312D8">
            <w:pPr>
              <w:pStyle w:val="132"/>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69.4</w:t>
            </w:r>
          </w:p>
        </w:tc>
        <w:tc>
          <w:tcPr>
            <w:tcW w:w="480" w:type="pct"/>
            <w:tcBorders>
              <w:tl2br w:val="nil"/>
              <w:tr2bl w:val="nil"/>
            </w:tcBorders>
            <w:vAlign w:val="center"/>
          </w:tcPr>
          <w:p w14:paraId="5EB446CA">
            <w:pPr>
              <w:pStyle w:val="132"/>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bl>
    <w:p w14:paraId="49C90310">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根据环境空气监测数据表明，区域环境空气中SO</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年平均浓度、NO</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年平均浓度、PM</w:t>
      </w:r>
      <w:r>
        <w:rPr>
          <w:rFonts w:hint="default" w:ascii="Times New Roman" w:hAnsi="Times New Roman" w:cs="Times New Roman"/>
          <w:color w:val="auto"/>
          <w:kern w:val="0"/>
          <w:highlight w:val="none"/>
          <w:vertAlign w:val="subscript"/>
        </w:rPr>
        <w:t>10</w:t>
      </w:r>
      <w:r>
        <w:rPr>
          <w:rFonts w:hint="default" w:ascii="Times New Roman" w:hAnsi="Times New Roman" w:cs="Times New Roman"/>
          <w:color w:val="auto"/>
          <w:kern w:val="0"/>
          <w:highlight w:val="none"/>
        </w:rPr>
        <w:t>、PM</w:t>
      </w:r>
      <w:r>
        <w:rPr>
          <w:rFonts w:hint="default" w:ascii="Times New Roman" w:hAnsi="Times New Roman" w:cs="Times New Roman"/>
          <w:color w:val="auto"/>
          <w:kern w:val="0"/>
          <w:highlight w:val="none"/>
          <w:vertAlign w:val="subscript"/>
        </w:rPr>
        <w:t>2.5</w:t>
      </w:r>
      <w:r>
        <w:rPr>
          <w:rFonts w:hint="default" w:ascii="Times New Roman" w:hAnsi="Times New Roman" w:cs="Times New Roman"/>
          <w:color w:val="auto"/>
          <w:kern w:val="0"/>
          <w:highlight w:val="none"/>
        </w:rPr>
        <w:t>年平均浓度</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CO 24小时平均浓度和O</w:t>
      </w:r>
      <w:r>
        <w:rPr>
          <w:rFonts w:hint="default" w:ascii="Times New Roman" w:hAnsi="Times New Roman" w:cs="Times New Roman"/>
          <w:color w:val="auto"/>
          <w:kern w:val="0"/>
          <w:highlight w:val="none"/>
          <w:vertAlign w:val="subscript"/>
        </w:rPr>
        <w:t>3</w:t>
      </w:r>
      <w:r>
        <w:rPr>
          <w:rFonts w:hint="default" w:ascii="Times New Roman" w:hAnsi="Times New Roman" w:cs="Times New Roman"/>
          <w:color w:val="auto"/>
          <w:kern w:val="0"/>
          <w:highlight w:val="none"/>
        </w:rPr>
        <w:t>日最大8小时浓度均满足《环境空气质量标准》（</w:t>
      </w:r>
      <w:r>
        <w:rPr>
          <w:rFonts w:hint="default" w:cs="Times New Roman"/>
          <w:color w:val="auto"/>
          <w:kern w:val="0"/>
          <w:highlight w:val="none"/>
          <w:lang w:eastAsia="zh-CN"/>
        </w:rPr>
        <w:t>GB 3095-2026</w:t>
      </w:r>
      <w:r>
        <w:rPr>
          <w:rFonts w:hint="default" w:ascii="Times New Roman" w:hAnsi="Times New Roman" w:cs="Times New Roman"/>
          <w:color w:val="auto"/>
          <w:kern w:val="0"/>
          <w:highlight w:val="none"/>
        </w:rPr>
        <w:t>）中</w:t>
      </w:r>
      <w:r>
        <w:rPr>
          <w:rFonts w:hint="default" w:cs="Times New Roman"/>
          <w:color w:val="auto"/>
          <w:kern w:val="0"/>
          <w:highlight w:val="none"/>
          <w:lang w:val="en-US" w:eastAsia="zh-CN"/>
        </w:rPr>
        <w:t>过渡阶段</w:t>
      </w:r>
      <w:r>
        <w:rPr>
          <w:rFonts w:hint="default" w:ascii="Times New Roman" w:hAnsi="Times New Roman" w:cs="Times New Roman"/>
          <w:color w:val="auto"/>
          <w:kern w:val="0"/>
          <w:highlight w:val="none"/>
        </w:rPr>
        <w:t>二级标准要求，属于环境空气质量达标区。</w:t>
      </w:r>
    </w:p>
    <w:p w14:paraId="2CC42441">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4.2.1.2其他污染物环境质量现状调查与评价</w:t>
      </w:r>
    </w:p>
    <w:p w14:paraId="4059090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其他污染物主要为本项目特征污染物TSP，采用现场补充监测的方式进行调查。</w:t>
      </w:r>
    </w:p>
    <w:p w14:paraId="67868DE0">
      <w:pPr>
        <w:ind w:firstLine="464"/>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（1）监测点布设</w:t>
      </w:r>
    </w:p>
    <w:p w14:paraId="25D7B91E">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根据项目特点、结合评价区域环境空气保护目标和区域环境情况，本次评价共设</w:t>
      </w:r>
      <w:r>
        <w:rPr>
          <w:rFonts w:hint="default" w:cs="Times New Roman"/>
          <w:color w:val="auto"/>
          <w:spacing w:val="-4"/>
          <w:highlight w:val="none"/>
          <w:lang w:val="en-US" w:eastAsia="zh-CN"/>
        </w:rPr>
        <w:t>1</w:t>
      </w:r>
      <w:r>
        <w:rPr>
          <w:rFonts w:hint="default" w:ascii="Times New Roman" w:hAnsi="Times New Roman" w:cs="Times New Roman"/>
          <w:color w:val="auto"/>
          <w:spacing w:val="-4"/>
          <w:highlight w:val="none"/>
        </w:rPr>
        <w:t>个环境空气质量监测点，监测布点图见图4.2-1。</w:t>
      </w:r>
    </w:p>
    <w:p w14:paraId="15D946F8">
      <w:pPr>
        <w:pStyle w:val="58"/>
        <w:spacing w:line="48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表4.2-2    区域空气质量现状监测点位布置情况</w:t>
      </w:r>
    </w:p>
    <w:tbl>
      <w:tblPr>
        <w:tblStyle w:val="33"/>
        <w:tblW w:w="91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1346"/>
        <w:gridCol w:w="2850"/>
        <w:gridCol w:w="1110"/>
        <w:gridCol w:w="2004"/>
        <w:gridCol w:w="1136"/>
      </w:tblGrid>
      <w:tr w14:paraId="790EA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Align w:val="center"/>
          </w:tcPr>
          <w:p w14:paraId="4FD290C1">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编号</w:t>
            </w:r>
          </w:p>
        </w:tc>
        <w:tc>
          <w:tcPr>
            <w:tcW w:w="1346" w:type="dxa"/>
            <w:vAlign w:val="center"/>
          </w:tcPr>
          <w:p w14:paraId="44945F15">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监测点名称</w:t>
            </w:r>
          </w:p>
        </w:tc>
        <w:tc>
          <w:tcPr>
            <w:tcW w:w="2850" w:type="dxa"/>
            <w:vAlign w:val="center"/>
          </w:tcPr>
          <w:p w14:paraId="009515D6">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监测点坐标</w:t>
            </w:r>
          </w:p>
        </w:tc>
        <w:tc>
          <w:tcPr>
            <w:tcW w:w="1110" w:type="dxa"/>
            <w:vAlign w:val="center"/>
          </w:tcPr>
          <w:p w14:paraId="4222158B">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监测因子</w:t>
            </w:r>
          </w:p>
        </w:tc>
        <w:tc>
          <w:tcPr>
            <w:tcW w:w="2004" w:type="dxa"/>
            <w:vAlign w:val="center"/>
          </w:tcPr>
          <w:p w14:paraId="2BAC4D04">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监测时间</w:t>
            </w:r>
          </w:p>
        </w:tc>
        <w:tc>
          <w:tcPr>
            <w:tcW w:w="1136" w:type="dxa"/>
            <w:vAlign w:val="center"/>
          </w:tcPr>
          <w:p w14:paraId="019EDBEF">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14:paraId="7DFBE8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Align w:val="center"/>
          </w:tcPr>
          <w:p w14:paraId="6F954D3F">
            <w:pPr>
              <w:pStyle w:val="83"/>
              <w:spacing w:line="360" w:lineRule="exact"/>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1#</w:t>
            </w:r>
          </w:p>
        </w:tc>
        <w:tc>
          <w:tcPr>
            <w:tcW w:w="1346" w:type="dxa"/>
            <w:vAlign w:val="center"/>
          </w:tcPr>
          <w:p w14:paraId="0BD7F0D6">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选矿厂</w:t>
            </w:r>
          </w:p>
        </w:tc>
        <w:tc>
          <w:tcPr>
            <w:tcW w:w="2850" w:type="dxa"/>
            <w:vAlign w:val="center"/>
          </w:tcPr>
          <w:p w14:paraId="3068A2EE">
            <w:pPr>
              <w:pStyle w:val="83"/>
              <w:spacing w:line="360" w:lineRule="exact"/>
              <w:rPr>
                <w:rFonts w:hint="default" w:ascii="Times New Roman" w:hAnsi="Times New Roman" w:cs="Times New Roman"/>
                <w:color w:val="auto"/>
                <w:szCs w:val="21"/>
                <w:highlight w:val="none"/>
                <w:lang w:val="zh-CN"/>
              </w:rPr>
            </w:pPr>
            <w:r>
              <w:rPr>
                <w:rFonts w:hint="default" w:ascii="Times New Roman" w:hAnsi="Times New Roman" w:cs="Times New Roman" w:eastAsiaTheme="minorEastAsia"/>
                <w:color w:val="auto"/>
                <w:kern w:val="0"/>
                <w:sz w:val="22"/>
                <w:szCs w:val="22"/>
                <w:highlight w:val="none"/>
                <w:lang w:val="en-US" w:eastAsia="zh-CN" w:bidi="ar-SA"/>
              </w:rPr>
              <w:t>89°48'58.89"</w:t>
            </w:r>
            <w:r>
              <w:rPr>
                <w:rFonts w:hint="default" w:cs="Times New Roman" w:eastAsiaTheme="minorEastAsia"/>
                <w:color w:val="auto"/>
                <w:kern w:val="0"/>
                <w:sz w:val="22"/>
                <w:szCs w:val="22"/>
                <w:highlight w:val="none"/>
                <w:lang w:val="en-US" w:eastAsia="zh-CN" w:bidi="ar-SA"/>
              </w:rPr>
              <w:t>，</w:t>
            </w:r>
            <w:r>
              <w:rPr>
                <w:rFonts w:hint="default" w:ascii="Times New Roman" w:hAnsi="Times New Roman" w:cs="Times New Roman" w:eastAsiaTheme="minorEastAsia"/>
                <w:color w:val="auto"/>
                <w:kern w:val="0"/>
                <w:sz w:val="22"/>
                <w:szCs w:val="22"/>
                <w:highlight w:val="none"/>
                <w:lang w:val="en-US" w:eastAsia="zh-CN" w:bidi="ar-SA"/>
              </w:rPr>
              <w:t>46°44'38.36"</w:t>
            </w:r>
          </w:p>
        </w:tc>
        <w:tc>
          <w:tcPr>
            <w:tcW w:w="1110" w:type="dxa"/>
            <w:vAlign w:val="center"/>
          </w:tcPr>
          <w:p w14:paraId="7712192C">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TSP</w:t>
            </w:r>
          </w:p>
        </w:tc>
        <w:tc>
          <w:tcPr>
            <w:tcW w:w="2004" w:type="dxa"/>
            <w:vAlign w:val="center"/>
          </w:tcPr>
          <w:p w14:paraId="3E16A818">
            <w:pPr>
              <w:pStyle w:val="83"/>
              <w:spacing w:line="36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202</w:t>
            </w:r>
            <w:r>
              <w:rPr>
                <w:rFonts w:hint="default"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default"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default" w:cs="Times New Roman"/>
                <w:color w:val="auto"/>
                <w:szCs w:val="21"/>
                <w:highlight w:val="none"/>
                <w:lang w:val="en-US" w:eastAsia="zh-CN"/>
              </w:rPr>
              <w:t>9</w:t>
            </w:r>
            <w:r>
              <w:rPr>
                <w:rFonts w:hint="default" w:ascii="Times New Roman" w:hAnsi="Times New Roman" w:cs="Times New Roman"/>
                <w:color w:val="auto"/>
                <w:szCs w:val="21"/>
                <w:highlight w:val="none"/>
              </w:rPr>
              <w:t>~202</w:t>
            </w:r>
            <w:r>
              <w:rPr>
                <w:rFonts w:hint="default"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default"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default" w:cs="Times New Roman"/>
                <w:color w:val="auto"/>
                <w:szCs w:val="21"/>
                <w:highlight w:val="none"/>
                <w:lang w:val="en-US" w:eastAsia="zh-CN"/>
              </w:rPr>
              <w:t>16</w:t>
            </w:r>
          </w:p>
        </w:tc>
        <w:tc>
          <w:tcPr>
            <w:tcW w:w="1136" w:type="dxa"/>
            <w:vAlign w:val="center"/>
          </w:tcPr>
          <w:p w14:paraId="6EC52061">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现场监测</w:t>
            </w:r>
          </w:p>
        </w:tc>
      </w:tr>
    </w:tbl>
    <w:p w14:paraId="29487173">
      <w:pPr>
        <w:ind w:firstLine="464"/>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（2）监测时间与监测单位</w:t>
      </w:r>
    </w:p>
    <w:p w14:paraId="4928EF78">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连续监测7天日均值，由新疆西域质信检验检测有限公司完成检测、分析。</w:t>
      </w:r>
    </w:p>
    <w:p w14:paraId="6EBB7B22">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（3）监测结果</w:t>
      </w:r>
    </w:p>
    <w:p w14:paraId="3F73291E">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监测结果及评价结果见表4.2-3。</w:t>
      </w:r>
    </w:p>
    <w:p w14:paraId="7A7F6E30">
      <w:pPr>
        <w:pStyle w:val="58"/>
        <w:spacing w:line="48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w:t>
      </w:r>
      <w:r>
        <w:rPr>
          <w:rFonts w:hint="default" w:ascii="Times New Roman" w:hAnsi="Times New Roman" w:cs="Times New Roman"/>
          <w:b/>
          <w:bCs/>
          <w:color w:val="auto"/>
          <w:highlight w:val="none"/>
        </w:rPr>
        <w:noBreakHyphen/>
      </w:r>
      <w:r>
        <w:rPr>
          <w:rFonts w:hint="default" w:ascii="Times New Roman" w:hAnsi="Times New Roman" w:cs="Times New Roman"/>
          <w:b/>
          <w:bCs/>
          <w:color w:val="auto"/>
          <w:highlight w:val="none"/>
        </w:rPr>
        <w:t>3    项目区其他污染物监测结果及评价结果</w:t>
      </w:r>
    </w:p>
    <w:tbl>
      <w:tblPr>
        <w:tblStyle w:val="33"/>
        <w:tblW w:w="91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4"/>
        <w:gridCol w:w="709"/>
        <w:gridCol w:w="1701"/>
        <w:gridCol w:w="2410"/>
        <w:gridCol w:w="1799"/>
        <w:gridCol w:w="914"/>
        <w:gridCol w:w="821"/>
      </w:tblGrid>
      <w:tr w14:paraId="10C35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4" w:type="dxa"/>
            <w:vAlign w:val="center"/>
          </w:tcPr>
          <w:p w14:paraId="1BC6A7D8">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709" w:type="dxa"/>
            <w:vAlign w:val="center"/>
          </w:tcPr>
          <w:p w14:paraId="1FB80F0F">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监测项目</w:t>
            </w:r>
          </w:p>
        </w:tc>
        <w:tc>
          <w:tcPr>
            <w:tcW w:w="1701" w:type="dxa"/>
            <w:vAlign w:val="center"/>
          </w:tcPr>
          <w:p w14:paraId="71E9E0B1">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日均值浓度范围（μg/m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2410" w:type="dxa"/>
            <w:vAlign w:val="center"/>
          </w:tcPr>
          <w:p w14:paraId="178BD01F">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标准值（μg/m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799" w:type="dxa"/>
            <w:vAlign w:val="center"/>
          </w:tcPr>
          <w:p w14:paraId="5454992F">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最大浓度占标率（%）</w:t>
            </w:r>
          </w:p>
        </w:tc>
        <w:tc>
          <w:tcPr>
            <w:tcW w:w="914" w:type="dxa"/>
            <w:vAlign w:val="center"/>
          </w:tcPr>
          <w:p w14:paraId="2E1AF8F8">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超标率（%）</w:t>
            </w:r>
          </w:p>
        </w:tc>
        <w:tc>
          <w:tcPr>
            <w:tcW w:w="821" w:type="dxa"/>
            <w:vAlign w:val="center"/>
          </w:tcPr>
          <w:p w14:paraId="451B77EB">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达标</w:t>
            </w:r>
          </w:p>
          <w:p w14:paraId="1B564596">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情况</w:t>
            </w:r>
          </w:p>
        </w:tc>
      </w:tr>
      <w:tr w14:paraId="7C97B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4" w:type="dxa"/>
            <w:vAlign w:val="center"/>
          </w:tcPr>
          <w:p w14:paraId="522362FA">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709" w:type="dxa"/>
            <w:vAlign w:val="center"/>
          </w:tcPr>
          <w:p w14:paraId="4F3BCFBD">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TSP</w:t>
            </w:r>
          </w:p>
        </w:tc>
        <w:tc>
          <w:tcPr>
            <w:tcW w:w="1701" w:type="dxa"/>
            <w:vAlign w:val="center"/>
          </w:tcPr>
          <w:p w14:paraId="06977536">
            <w:pPr>
              <w:pStyle w:val="83"/>
              <w:spacing w:line="360" w:lineRule="exact"/>
              <w:rPr>
                <w:rFonts w:hint="default" w:ascii="Times New Roman" w:hAnsi="Times New Roman" w:eastAsia="宋体" w:cs="Times New Roman"/>
                <w:color w:val="auto"/>
                <w:szCs w:val="21"/>
                <w:highlight w:val="none"/>
                <w:lang w:val="en-US" w:eastAsia="zh-CN"/>
              </w:rPr>
            </w:pPr>
            <w:r>
              <w:rPr>
                <w:rFonts w:hint="default" w:cs="Times New Roman"/>
                <w:color w:val="auto"/>
                <w:szCs w:val="21"/>
                <w:highlight w:val="none"/>
                <w:lang w:val="en-US" w:eastAsia="zh-CN"/>
              </w:rPr>
              <w:t>174-227</w:t>
            </w:r>
          </w:p>
        </w:tc>
        <w:tc>
          <w:tcPr>
            <w:tcW w:w="2410" w:type="dxa"/>
            <w:vAlign w:val="center"/>
          </w:tcPr>
          <w:p w14:paraId="2EFFFF1A">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1799" w:type="dxa"/>
            <w:vAlign w:val="center"/>
          </w:tcPr>
          <w:p w14:paraId="6572D34E">
            <w:pPr>
              <w:pStyle w:val="83"/>
              <w:spacing w:line="360" w:lineRule="exact"/>
              <w:rPr>
                <w:rFonts w:hint="default" w:ascii="Times New Roman" w:hAnsi="Times New Roman" w:eastAsia="宋体" w:cs="Times New Roman"/>
                <w:color w:val="auto"/>
                <w:szCs w:val="21"/>
                <w:highlight w:val="none"/>
                <w:lang w:val="en-US" w:eastAsia="zh-CN"/>
              </w:rPr>
            </w:pPr>
            <w:r>
              <w:rPr>
                <w:rFonts w:hint="default" w:cs="Times New Roman"/>
                <w:color w:val="auto"/>
                <w:szCs w:val="21"/>
                <w:highlight w:val="none"/>
                <w:lang w:val="en-US" w:eastAsia="zh-CN"/>
              </w:rPr>
              <w:t>75.7</w:t>
            </w:r>
          </w:p>
        </w:tc>
        <w:tc>
          <w:tcPr>
            <w:tcW w:w="914" w:type="dxa"/>
            <w:vAlign w:val="center"/>
          </w:tcPr>
          <w:p w14:paraId="24EC22CC">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821" w:type="dxa"/>
            <w:vAlign w:val="center"/>
          </w:tcPr>
          <w:p w14:paraId="50BB2B24">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768BA68F">
      <w:pPr>
        <w:ind w:firstLine="480"/>
        <w:rPr>
          <w:rFonts w:hint="default" w:ascii="Times New Roman" w:hAnsi="Times New Roman" w:cs="Times New Roman"/>
          <w:color w:val="auto"/>
          <w:spacing w:val="-4"/>
          <w:highlight w:val="none"/>
        </w:rPr>
      </w:pPr>
      <w:r>
        <w:rPr>
          <w:rFonts w:hint="default" w:ascii="Times New Roman" w:hAnsi="Times New Roman" w:cs="Times New Roman"/>
          <w:color w:val="auto"/>
          <w:highlight w:val="none"/>
          <w:lang w:val="en-US" w:eastAsia="zh-CN"/>
        </w:rPr>
        <w:t>以上监测与评价结果表明：区域环境空气质量中TSP监测因子24小时均值均符合《环境空气质量标准》（</w:t>
      </w:r>
      <w:r>
        <w:rPr>
          <w:rFonts w:hint="default" w:cs="Times New Roman"/>
          <w:color w:val="auto"/>
          <w:highlight w:val="none"/>
          <w:lang w:val="en-US" w:eastAsia="zh-CN"/>
        </w:rPr>
        <w:t>GB 3095-2026</w:t>
      </w:r>
      <w:r>
        <w:rPr>
          <w:rFonts w:hint="default" w:ascii="Times New Roman" w:hAnsi="Times New Roman" w:cs="Times New Roman"/>
          <w:color w:val="auto"/>
          <w:highlight w:val="none"/>
          <w:lang w:val="en-US" w:eastAsia="zh-CN"/>
        </w:rPr>
        <w:t>）二级标准，项目所在区域环境空气质量较好。</w:t>
      </w:r>
    </w:p>
    <w:p w14:paraId="2F6E92E8">
      <w:pPr>
        <w:pStyle w:val="4"/>
        <w:rPr>
          <w:rFonts w:hint="default" w:ascii="Times New Roman" w:hAnsi="Times New Roman" w:cs="Times New Roman"/>
          <w:color w:val="auto"/>
          <w:highlight w:val="none"/>
        </w:rPr>
      </w:pPr>
      <w:bookmarkStart w:id="662" w:name="_Toc9217"/>
      <w:bookmarkStart w:id="663" w:name="_Toc18222"/>
      <w:bookmarkStart w:id="664" w:name="_Toc21084"/>
      <w:bookmarkStart w:id="665" w:name="_Toc24273"/>
      <w:bookmarkStart w:id="666" w:name="_Toc12019"/>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水环境质量现状调查与评价</w:t>
      </w:r>
      <w:bookmarkEnd w:id="662"/>
      <w:bookmarkEnd w:id="663"/>
      <w:bookmarkEnd w:id="664"/>
      <w:bookmarkEnd w:id="665"/>
      <w:bookmarkEnd w:id="666"/>
    </w:p>
    <w:p w14:paraId="51706F88">
      <w:pP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距离本项目最近的水体为尾矿库北侧1.02km处的喀拉通克河左支一河，根据本项目4月现场踏勘情况，</w:t>
      </w:r>
      <w:r>
        <w:rPr>
          <w:rFonts w:hint="default" w:ascii="Times New Roman" w:hAnsi="Times New Roman" w:cs="Times New Roman"/>
          <w:bCs/>
          <w:color w:val="auto"/>
          <w:kern w:val="0"/>
          <w:szCs w:val="21"/>
          <w:highlight w:val="none"/>
          <w:lang w:val="en-US" w:eastAsia="zh-CN"/>
        </w:rPr>
        <w:t>喀拉通克河左支一河</w:t>
      </w:r>
      <w:r>
        <w:rPr>
          <w:rFonts w:hint="default" w:cs="Times New Roman"/>
          <w:bCs/>
          <w:color w:val="auto"/>
          <w:kern w:val="0"/>
          <w:szCs w:val="21"/>
          <w:highlight w:val="none"/>
          <w:lang w:val="en-US" w:eastAsia="zh-CN"/>
        </w:rPr>
        <w:t>为干枯现状，无地表水体，</w:t>
      </w:r>
      <w:r>
        <w:rPr>
          <w:rFonts w:hint="default" w:ascii="Times New Roman" w:hAnsi="Times New Roman" w:cs="Times New Roman"/>
          <w:color w:val="auto"/>
          <w:highlight w:val="none"/>
          <w:lang w:val="en-US" w:eastAsia="zh-CN"/>
        </w:rPr>
        <w:t>故本次不对地表水环境质量进行评价。</w:t>
      </w:r>
      <w:r>
        <w:rPr>
          <w:rFonts w:hint="default" w:cs="Times New Roman"/>
          <w:color w:val="auto"/>
          <w:highlight w:val="none"/>
          <w:lang w:val="en-US" w:eastAsia="zh-CN"/>
        </w:rPr>
        <w:t>本项目</w:t>
      </w:r>
      <w:r>
        <w:rPr>
          <w:rFonts w:hint="default" w:ascii="Times New Roman" w:hAnsi="Times New Roman" w:cs="Times New Roman"/>
          <w:color w:val="auto"/>
          <w:highlight w:val="none"/>
          <w:lang w:val="en-US" w:eastAsia="zh-CN"/>
        </w:rPr>
        <w:t>地下水现状监测情况如下。</w:t>
      </w:r>
    </w:p>
    <w:p w14:paraId="3D2DDDB0">
      <w:pPr>
        <w:pStyle w:val="5"/>
        <w:ind w:firstLine="48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4.2.</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地下水水位现状调查</w:t>
      </w:r>
    </w:p>
    <w:p w14:paraId="60F6802A">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本项目引用</w:t>
      </w:r>
      <w:r>
        <w:rPr>
          <w:rFonts w:hint="default" w:ascii="Times New Roman" w:hAnsi="Times New Roman" w:cs="Times New Roman"/>
          <w:color w:val="auto"/>
          <w:highlight w:val="none"/>
        </w:rPr>
        <w:t>《新疆富蕴县阿克塔斯矿区金矿详查报告》（202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月）</w:t>
      </w:r>
      <w:r>
        <w:rPr>
          <w:rFonts w:hint="default" w:ascii="Times New Roman" w:hAnsi="Times New Roman" w:eastAsia="宋体" w:cs="Times New Roman"/>
          <w:color w:val="auto"/>
          <w:sz w:val="24"/>
          <w:szCs w:val="24"/>
          <w:highlight w:val="none"/>
          <w:lang w:val="en-US" w:eastAsia="zh-CN"/>
        </w:rPr>
        <w:t>中勘查钻孔揭露的第四系潜水位及厚度分布成果，本项目地下水环境评价等级为二级，</w:t>
      </w:r>
      <w:r>
        <w:rPr>
          <w:rFonts w:hint="default" w:ascii="Times New Roman" w:hAnsi="Times New Roman" w:cs="Times New Roman"/>
          <w:color w:val="auto"/>
          <w:sz w:val="24"/>
          <w:szCs w:val="24"/>
          <w:highlight w:val="none"/>
          <w:lang w:val="en-US" w:eastAsia="zh-CN"/>
        </w:rPr>
        <w:t>地下水水位监测点位宜大区相应评价级别地下水水质监测点位，本次设置了5个地下水水质监测点位</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10个地下水水位监测点位，因此水位</w:t>
      </w:r>
      <w:r>
        <w:rPr>
          <w:rFonts w:hint="default" w:ascii="Times New Roman" w:hAnsi="Times New Roman" w:eastAsia="宋体" w:cs="Times New Roman"/>
          <w:color w:val="auto"/>
          <w:sz w:val="24"/>
          <w:szCs w:val="24"/>
          <w:highlight w:val="none"/>
          <w:lang w:val="en-US" w:eastAsia="zh-CN"/>
        </w:rPr>
        <w:t>监测点满足《环境影响评价技术导则</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地下水环境》（HJ610-2016）</w:t>
      </w:r>
      <w:r>
        <w:rPr>
          <w:rFonts w:hint="default" w:ascii="Times New Roman" w:hAnsi="Times New Roman" w:cs="Times New Roman"/>
          <w:color w:val="auto"/>
          <w:sz w:val="24"/>
          <w:szCs w:val="24"/>
          <w:highlight w:val="none"/>
          <w:lang w:val="en-US" w:eastAsia="zh-CN"/>
        </w:rPr>
        <w:t>水位</w:t>
      </w:r>
      <w:r>
        <w:rPr>
          <w:rFonts w:hint="default" w:ascii="Times New Roman" w:hAnsi="Times New Roman" w:eastAsia="宋体" w:cs="Times New Roman"/>
          <w:color w:val="auto"/>
          <w:sz w:val="24"/>
          <w:szCs w:val="24"/>
          <w:highlight w:val="none"/>
          <w:lang w:val="en-US" w:eastAsia="zh-CN"/>
        </w:rPr>
        <w:t>监测要求。</w:t>
      </w:r>
      <w:r>
        <w:rPr>
          <w:rFonts w:hint="default" w:ascii="Times New Roman" w:hAnsi="Times New Roman" w:cs="Times New Roman"/>
          <w:color w:val="auto"/>
          <w:sz w:val="24"/>
          <w:szCs w:val="24"/>
          <w:highlight w:val="none"/>
          <w:lang w:val="en-US" w:eastAsia="zh-CN"/>
        </w:rPr>
        <w:t>区域地下水水位</w:t>
      </w:r>
      <w:r>
        <w:rPr>
          <w:rFonts w:hint="default" w:ascii="Times New Roman" w:hAnsi="Times New Roman" w:eastAsia="宋体" w:cs="Times New Roman"/>
          <w:color w:val="auto"/>
          <w:sz w:val="24"/>
          <w:szCs w:val="24"/>
          <w:highlight w:val="none"/>
          <w:lang w:val="en-US" w:eastAsia="zh-CN"/>
        </w:rPr>
        <w:t>统计表见下表。</w:t>
      </w:r>
    </w:p>
    <w:p w14:paraId="60EB1A32">
      <w:pPr>
        <w:pStyle w:val="58"/>
        <w:spacing w:line="480" w:lineRule="exact"/>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表4.2-4    地下水水位监测点信息一览表</w:t>
      </w:r>
    </w:p>
    <w:tbl>
      <w:tblPr>
        <w:tblStyle w:val="99"/>
        <w:tblW w:w="51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79"/>
        <w:gridCol w:w="1696"/>
        <w:gridCol w:w="1779"/>
        <w:gridCol w:w="1498"/>
        <w:gridCol w:w="1484"/>
        <w:gridCol w:w="2247"/>
      </w:tblGrid>
      <w:tr w14:paraId="7C7C1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477" w:type="dxa"/>
            <w:vAlign w:val="center"/>
          </w:tcPr>
          <w:p w14:paraId="7F392109">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编号</w:t>
            </w:r>
          </w:p>
        </w:tc>
        <w:tc>
          <w:tcPr>
            <w:tcW w:w="1690" w:type="dxa"/>
            <w:vAlign w:val="center"/>
          </w:tcPr>
          <w:p w14:paraId="5789F5C7">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孔号</w:t>
            </w:r>
          </w:p>
        </w:tc>
        <w:tc>
          <w:tcPr>
            <w:tcW w:w="1773" w:type="dxa"/>
            <w:shd w:val="clear" w:color="auto" w:fill="auto"/>
            <w:vAlign w:val="center"/>
          </w:tcPr>
          <w:p w14:paraId="76528124">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en-US"/>
              </w:rPr>
              <w:t>含水层</w:t>
            </w:r>
          </w:p>
        </w:tc>
        <w:tc>
          <w:tcPr>
            <w:tcW w:w="1493" w:type="dxa"/>
            <w:shd w:val="clear" w:color="auto" w:fill="auto"/>
            <w:vAlign w:val="center"/>
          </w:tcPr>
          <w:p w14:paraId="373D048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en-US" w:bidi="ar-SA"/>
              </w:rPr>
            </w:pPr>
            <w:r>
              <w:rPr>
                <w:rFonts w:hint="default" w:ascii="Times New Roman" w:hAnsi="Times New Roman" w:eastAsia="宋体" w:cs="Times New Roman"/>
                <w:b/>
                <w:bCs/>
                <w:color w:val="auto"/>
                <w:sz w:val="21"/>
                <w:szCs w:val="21"/>
                <w:highlight w:val="none"/>
                <w:lang w:val="en-US" w:eastAsia="zh-CN"/>
              </w:rPr>
              <w:t>标高（m）</w:t>
            </w:r>
          </w:p>
        </w:tc>
        <w:tc>
          <w:tcPr>
            <w:tcW w:w="1479" w:type="dxa"/>
            <w:vAlign w:val="center"/>
          </w:tcPr>
          <w:p w14:paraId="1C30FBED">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en-US"/>
              </w:rPr>
            </w:pPr>
            <w:r>
              <w:rPr>
                <w:rFonts w:hint="default" w:ascii="Times New Roman" w:hAnsi="Times New Roman" w:eastAsia="宋体" w:cs="Times New Roman"/>
                <w:b/>
                <w:bCs/>
                <w:color w:val="auto"/>
                <w:sz w:val="21"/>
                <w:szCs w:val="21"/>
                <w:highlight w:val="none"/>
                <w:lang w:val="en-US" w:eastAsia="en-US"/>
              </w:rPr>
              <w:t>水位</w:t>
            </w:r>
            <w:r>
              <w:rPr>
                <w:rFonts w:hint="default" w:ascii="Times New Roman" w:hAnsi="Times New Roman" w:eastAsia="宋体" w:cs="Times New Roman"/>
                <w:b/>
                <w:bCs/>
                <w:color w:val="auto"/>
                <w:sz w:val="21"/>
                <w:szCs w:val="21"/>
                <w:highlight w:val="none"/>
                <w:lang w:val="en-US" w:eastAsia="zh-CN"/>
              </w:rPr>
              <w:t>埋深</w:t>
            </w:r>
            <w:r>
              <w:rPr>
                <w:rFonts w:hint="default" w:ascii="Times New Roman" w:hAnsi="Times New Roman" w:eastAsia="宋体" w:cs="Times New Roman"/>
                <w:b/>
                <w:bCs/>
                <w:color w:val="auto"/>
                <w:sz w:val="21"/>
                <w:szCs w:val="21"/>
                <w:highlight w:val="none"/>
                <w:lang w:val="en-US" w:eastAsia="en-US"/>
              </w:rPr>
              <w:t>（m）</w:t>
            </w:r>
          </w:p>
        </w:tc>
        <w:tc>
          <w:tcPr>
            <w:tcW w:w="2240" w:type="dxa"/>
            <w:vAlign w:val="center"/>
          </w:tcPr>
          <w:p w14:paraId="6C0F2881">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备注</w:t>
            </w:r>
          </w:p>
        </w:tc>
      </w:tr>
      <w:tr w14:paraId="2CF7C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3CD38E82">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1</w:t>
            </w:r>
          </w:p>
        </w:tc>
        <w:tc>
          <w:tcPr>
            <w:tcW w:w="1690" w:type="dxa"/>
            <w:shd w:val="clear" w:color="auto" w:fill="auto"/>
            <w:vAlign w:val="center"/>
          </w:tcPr>
          <w:p w14:paraId="32B1AE91">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SZK301</w:t>
            </w:r>
          </w:p>
        </w:tc>
        <w:tc>
          <w:tcPr>
            <w:tcW w:w="1773" w:type="dxa"/>
            <w:shd w:val="clear" w:color="auto" w:fill="auto"/>
            <w:vAlign w:val="center"/>
          </w:tcPr>
          <w:p w14:paraId="5581197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基岩裂隙含水层</w:t>
            </w:r>
          </w:p>
        </w:tc>
        <w:tc>
          <w:tcPr>
            <w:tcW w:w="1493" w:type="dxa"/>
            <w:shd w:val="clear" w:color="auto" w:fill="auto"/>
            <w:vAlign w:val="center"/>
          </w:tcPr>
          <w:p w14:paraId="6704CC4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1064.888</w:t>
            </w:r>
          </w:p>
        </w:tc>
        <w:tc>
          <w:tcPr>
            <w:tcW w:w="1479" w:type="dxa"/>
            <w:vAlign w:val="center"/>
          </w:tcPr>
          <w:p w14:paraId="4B99366C">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33.58</w:t>
            </w:r>
          </w:p>
        </w:tc>
        <w:tc>
          <w:tcPr>
            <w:tcW w:w="2240" w:type="dxa"/>
            <w:vAlign w:val="center"/>
          </w:tcPr>
          <w:p w14:paraId="1322F297">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水位</w:t>
            </w:r>
            <w:r>
              <w:rPr>
                <w:rFonts w:hint="default" w:ascii="Times New Roman" w:hAnsi="Times New Roman" w:eastAsia="宋体" w:cs="Times New Roman"/>
                <w:b w:val="0"/>
                <w:bCs w:val="0"/>
                <w:color w:val="auto"/>
                <w:sz w:val="21"/>
                <w:szCs w:val="21"/>
                <w:highlight w:val="none"/>
                <w:lang w:val="en-US" w:eastAsia="en-US"/>
              </w:rPr>
              <w:t>监测</w:t>
            </w:r>
            <w:r>
              <w:rPr>
                <w:rFonts w:hint="default" w:ascii="Times New Roman" w:hAnsi="Times New Roman" w:eastAsia="宋体" w:cs="Times New Roman"/>
                <w:b w:val="0"/>
                <w:bCs w:val="0"/>
                <w:color w:val="auto"/>
                <w:sz w:val="21"/>
                <w:szCs w:val="21"/>
                <w:highlight w:val="none"/>
                <w:lang w:val="en-US" w:eastAsia="zh-CN"/>
              </w:rPr>
              <w:t>孔</w:t>
            </w:r>
          </w:p>
        </w:tc>
      </w:tr>
      <w:tr w14:paraId="19237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1A23D57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2</w:t>
            </w:r>
          </w:p>
        </w:tc>
        <w:tc>
          <w:tcPr>
            <w:tcW w:w="1690" w:type="dxa"/>
            <w:shd w:val="clear" w:color="auto" w:fill="auto"/>
            <w:vAlign w:val="center"/>
          </w:tcPr>
          <w:p w14:paraId="79000AC9">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SZK1407</w:t>
            </w:r>
          </w:p>
        </w:tc>
        <w:tc>
          <w:tcPr>
            <w:tcW w:w="1773" w:type="dxa"/>
            <w:shd w:val="clear" w:color="auto" w:fill="auto"/>
            <w:vAlign w:val="center"/>
          </w:tcPr>
          <w:p w14:paraId="6A270AA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基岩裂隙含水层</w:t>
            </w:r>
          </w:p>
        </w:tc>
        <w:tc>
          <w:tcPr>
            <w:tcW w:w="1493" w:type="dxa"/>
            <w:shd w:val="clear" w:color="auto" w:fill="auto"/>
            <w:vAlign w:val="center"/>
          </w:tcPr>
          <w:p w14:paraId="496E38C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1067.509</w:t>
            </w:r>
          </w:p>
        </w:tc>
        <w:tc>
          <w:tcPr>
            <w:tcW w:w="1479" w:type="dxa"/>
            <w:vAlign w:val="center"/>
          </w:tcPr>
          <w:p w14:paraId="4262C58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15.9</w:t>
            </w:r>
          </w:p>
        </w:tc>
        <w:tc>
          <w:tcPr>
            <w:tcW w:w="2240" w:type="dxa"/>
            <w:vAlign w:val="center"/>
          </w:tcPr>
          <w:p w14:paraId="7CF9BE88">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水位</w:t>
            </w:r>
            <w:r>
              <w:rPr>
                <w:rFonts w:hint="default" w:ascii="Times New Roman" w:hAnsi="Times New Roman" w:eastAsia="宋体" w:cs="Times New Roman"/>
                <w:b w:val="0"/>
                <w:bCs w:val="0"/>
                <w:color w:val="auto"/>
                <w:sz w:val="21"/>
                <w:szCs w:val="21"/>
                <w:highlight w:val="none"/>
                <w:lang w:val="en-US" w:eastAsia="en-US"/>
              </w:rPr>
              <w:t>监测</w:t>
            </w:r>
            <w:r>
              <w:rPr>
                <w:rFonts w:hint="default" w:ascii="Times New Roman" w:hAnsi="Times New Roman" w:eastAsia="宋体" w:cs="Times New Roman"/>
                <w:b w:val="0"/>
                <w:bCs w:val="0"/>
                <w:color w:val="auto"/>
                <w:sz w:val="21"/>
                <w:szCs w:val="21"/>
                <w:highlight w:val="none"/>
                <w:lang w:val="en-US" w:eastAsia="zh-CN"/>
              </w:rPr>
              <w:t>孔</w:t>
            </w:r>
          </w:p>
        </w:tc>
      </w:tr>
      <w:tr w14:paraId="601F1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5C1B5190">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3</w:t>
            </w:r>
          </w:p>
        </w:tc>
        <w:tc>
          <w:tcPr>
            <w:tcW w:w="1690" w:type="dxa"/>
            <w:shd w:val="clear" w:color="auto" w:fill="auto"/>
            <w:vAlign w:val="center"/>
          </w:tcPr>
          <w:p w14:paraId="62C436CA">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SZK1412</w:t>
            </w:r>
          </w:p>
        </w:tc>
        <w:tc>
          <w:tcPr>
            <w:tcW w:w="1773" w:type="dxa"/>
            <w:shd w:val="clear" w:color="auto" w:fill="auto"/>
            <w:vAlign w:val="center"/>
          </w:tcPr>
          <w:p w14:paraId="32885571">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基岩裂隙含水层</w:t>
            </w:r>
          </w:p>
        </w:tc>
        <w:tc>
          <w:tcPr>
            <w:tcW w:w="1493" w:type="dxa"/>
            <w:shd w:val="clear" w:color="auto" w:fill="auto"/>
            <w:vAlign w:val="center"/>
          </w:tcPr>
          <w:p w14:paraId="4E774B44">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1062.624</w:t>
            </w:r>
          </w:p>
        </w:tc>
        <w:tc>
          <w:tcPr>
            <w:tcW w:w="1479" w:type="dxa"/>
            <w:vAlign w:val="center"/>
          </w:tcPr>
          <w:p w14:paraId="6CA80868">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35.18</w:t>
            </w:r>
          </w:p>
        </w:tc>
        <w:tc>
          <w:tcPr>
            <w:tcW w:w="2240" w:type="dxa"/>
            <w:vAlign w:val="center"/>
          </w:tcPr>
          <w:p w14:paraId="417024C2">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水位</w:t>
            </w:r>
            <w:r>
              <w:rPr>
                <w:rFonts w:hint="default" w:ascii="Times New Roman" w:hAnsi="Times New Roman" w:eastAsia="宋体" w:cs="Times New Roman"/>
                <w:b w:val="0"/>
                <w:bCs w:val="0"/>
                <w:color w:val="auto"/>
                <w:sz w:val="21"/>
                <w:szCs w:val="21"/>
                <w:highlight w:val="none"/>
                <w:lang w:val="en-US" w:eastAsia="en-US"/>
              </w:rPr>
              <w:t>监测</w:t>
            </w:r>
            <w:r>
              <w:rPr>
                <w:rFonts w:hint="default" w:ascii="Times New Roman" w:hAnsi="Times New Roman" w:eastAsia="宋体" w:cs="Times New Roman"/>
                <w:b w:val="0"/>
                <w:bCs w:val="0"/>
                <w:color w:val="auto"/>
                <w:sz w:val="21"/>
                <w:szCs w:val="21"/>
                <w:highlight w:val="none"/>
                <w:lang w:val="en-US" w:eastAsia="zh-CN"/>
              </w:rPr>
              <w:t>孔</w:t>
            </w:r>
          </w:p>
        </w:tc>
      </w:tr>
      <w:tr w14:paraId="14F63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52D433EE">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4</w:t>
            </w:r>
          </w:p>
        </w:tc>
        <w:tc>
          <w:tcPr>
            <w:tcW w:w="1690" w:type="dxa"/>
            <w:shd w:val="clear" w:color="auto" w:fill="auto"/>
            <w:vAlign w:val="center"/>
          </w:tcPr>
          <w:p w14:paraId="45FA811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SZK0303</w:t>
            </w:r>
          </w:p>
        </w:tc>
        <w:tc>
          <w:tcPr>
            <w:tcW w:w="1773" w:type="dxa"/>
            <w:shd w:val="clear" w:color="auto" w:fill="auto"/>
            <w:vAlign w:val="center"/>
          </w:tcPr>
          <w:p w14:paraId="4F1CB3AD">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基岩裂隙含水层</w:t>
            </w:r>
          </w:p>
        </w:tc>
        <w:tc>
          <w:tcPr>
            <w:tcW w:w="1493" w:type="dxa"/>
            <w:shd w:val="clear" w:color="auto" w:fill="auto"/>
            <w:vAlign w:val="center"/>
          </w:tcPr>
          <w:p w14:paraId="441259F2">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1048.88</w:t>
            </w:r>
          </w:p>
        </w:tc>
        <w:tc>
          <w:tcPr>
            <w:tcW w:w="1479" w:type="dxa"/>
            <w:vAlign w:val="center"/>
          </w:tcPr>
          <w:p w14:paraId="2BDA68DE">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en-US"/>
              </w:rPr>
              <w:t>27.03</w:t>
            </w:r>
          </w:p>
        </w:tc>
        <w:tc>
          <w:tcPr>
            <w:tcW w:w="2240" w:type="dxa"/>
            <w:vAlign w:val="center"/>
          </w:tcPr>
          <w:p w14:paraId="05567ADC">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水位</w:t>
            </w:r>
            <w:r>
              <w:rPr>
                <w:rFonts w:hint="default" w:ascii="Times New Roman" w:hAnsi="Times New Roman" w:eastAsia="宋体" w:cs="Times New Roman"/>
                <w:b w:val="0"/>
                <w:bCs w:val="0"/>
                <w:color w:val="auto"/>
                <w:sz w:val="21"/>
                <w:szCs w:val="21"/>
                <w:highlight w:val="none"/>
                <w:lang w:val="en-US" w:eastAsia="en-US"/>
              </w:rPr>
              <w:t>监测</w:t>
            </w:r>
            <w:r>
              <w:rPr>
                <w:rFonts w:hint="default" w:ascii="Times New Roman" w:hAnsi="Times New Roman" w:eastAsia="宋体" w:cs="Times New Roman"/>
                <w:b w:val="0"/>
                <w:bCs w:val="0"/>
                <w:color w:val="auto"/>
                <w:sz w:val="21"/>
                <w:szCs w:val="21"/>
                <w:highlight w:val="none"/>
                <w:lang w:val="en-US" w:eastAsia="zh-CN"/>
              </w:rPr>
              <w:t>孔</w:t>
            </w:r>
          </w:p>
        </w:tc>
      </w:tr>
      <w:tr w14:paraId="3BA2B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7A203AF7">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en-US"/>
              </w:rPr>
              <w:t>5</w:t>
            </w:r>
          </w:p>
        </w:tc>
        <w:tc>
          <w:tcPr>
            <w:tcW w:w="1690" w:type="dxa"/>
            <w:shd w:val="clear" w:color="auto" w:fill="auto"/>
            <w:vAlign w:val="center"/>
          </w:tcPr>
          <w:p w14:paraId="741C2646">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AZK1408</w:t>
            </w:r>
          </w:p>
        </w:tc>
        <w:tc>
          <w:tcPr>
            <w:tcW w:w="1773" w:type="dxa"/>
            <w:shd w:val="clear" w:color="auto" w:fill="auto"/>
            <w:vAlign w:val="center"/>
          </w:tcPr>
          <w:p w14:paraId="10D687CE">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裂隙构造带裂隙水</w:t>
            </w:r>
          </w:p>
        </w:tc>
        <w:tc>
          <w:tcPr>
            <w:tcW w:w="1493" w:type="dxa"/>
            <w:shd w:val="clear" w:color="auto" w:fill="auto"/>
            <w:vAlign w:val="center"/>
          </w:tcPr>
          <w:p w14:paraId="5C24E53D">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1087.88</w:t>
            </w:r>
          </w:p>
        </w:tc>
        <w:tc>
          <w:tcPr>
            <w:tcW w:w="1479" w:type="dxa"/>
            <w:vAlign w:val="center"/>
          </w:tcPr>
          <w:p w14:paraId="3DA1DF0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55.52</w:t>
            </w:r>
          </w:p>
        </w:tc>
        <w:tc>
          <w:tcPr>
            <w:tcW w:w="2240" w:type="dxa"/>
            <w:vAlign w:val="center"/>
          </w:tcPr>
          <w:p w14:paraId="4F1C43F2">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施工钻孔</w:t>
            </w:r>
          </w:p>
        </w:tc>
      </w:tr>
      <w:tr w14:paraId="2BE6C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1431F2B9">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1690" w:type="dxa"/>
            <w:vAlign w:val="center"/>
          </w:tcPr>
          <w:p w14:paraId="3ECB39D2">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AZK3403</w:t>
            </w:r>
          </w:p>
        </w:tc>
        <w:tc>
          <w:tcPr>
            <w:tcW w:w="1773" w:type="dxa"/>
            <w:vAlign w:val="center"/>
          </w:tcPr>
          <w:p w14:paraId="7ED67D00">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裂隙构造带裂隙水</w:t>
            </w:r>
          </w:p>
        </w:tc>
        <w:tc>
          <w:tcPr>
            <w:tcW w:w="1493" w:type="dxa"/>
            <w:shd w:val="clear" w:color="auto" w:fill="auto"/>
            <w:vAlign w:val="center"/>
          </w:tcPr>
          <w:p w14:paraId="11A01B21">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1084.15</w:t>
            </w:r>
          </w:p>
        </w:tc>
        <w:tc>
          <w:tcPr>
            <w:tcW w:w="1479" w:type="dxa"/>
            <w:shd w:val="clear" w:color="auto" w:fill="auto"/>
            <w:vAlign w:val="center"/>
          </w:tcPr>
          <w:p w14:paraId="73B6BDA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21.10</w:t>
            </w:r>
          </w:p>
        </w:tc>
        <w:tc>
          <w:tcPr>
            <w:tcW w:w="2240" w:type="dxa"/>
            <w:vAlign w:val="center"/>
          </w:tcPr>
          <w:p w14:paraId="61F6715C">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施工钻孔</w:t>
            </w:r>
          </w:p>
        </w:tc>
      </w:tr>
      <w:tr w14:paraId="55CA0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5A0AC626">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1690" w:type="dxa"/>
            <w:vAlign w:val="center"/>
          </w:tcPr>
          <w:p w14:paraId="200E9A7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AZK3601</w:t>
            </w:r>
          </w:p>
        </w:tc>
        <w:tc>
          <w:tcPr>
            <w:tcW w:w="1773" w:type="dxa"/>
            <w:vAlign w:val="center"/>
          </w:tcPr>
          <w:p w14:paraId="5B0BB40E">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裂隙构造带裂隙水</w:t>
            </w:r>
          </w:p>
        </w:tc>
        <w:tc>
          <w:tcPr>
            <w:tcW w:w="1493" w:type="dxa"/>
            <w:shd w:val="clear" w:color="auto" w:fill="auto"/>
            <w:vAlign w:val="center"/>
          </w:tcPr>
          <w:p w14:paraId="3D2D399D">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1085.25</w:t>
            </w:r>
          </w:p>
        </w:tc>
        <w:tc>
          <w:tcPr>
            <w:tcW w:w="1479" w:type="dxa"/>
            <w:shd w:val="clear" w:color="auto" w:fill="auto"/>
            <w:vAlign w:val="center"/>
          </w:tcPr>
          <w:p w14:paraId="1BF42BB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24.91</w:t>
            </w:r>
          </w:p>
        </w:tc>
        <w:tc>
          <w:tcPr>
            <w:tcW w:w="2240" w:type="dxa"/>
            <w:vAlign w:val="center"/>
          </w:tcPr>
          <w:p w14:paraId="330522E4">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施工钻孔</w:t>
            </w:r>
          </w:p>
        </w:tc>
      </w:tr>
      <w:tr w14:paraId="29C77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0CA218FE">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1690" w:type="dxa"/>
            <w:vAlign w:val="center"/>
          </w:tcPr>
          <w:p w14:paraId="7AE76310">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AZK0714</w:t>
            </w:r>
          </w:p>
        </w:tc>
        <w:tc>
          <w:tcPr>
            <w:tcW w:w="1773" w:type="dxa"/>
            <w:vAlign w:val="center"/>
          </w:tcPr>
          <w:p w14:paraId="2FD8626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裂隙构造带裂隙水</w:t>
            </w:r>
          </w:p>
        </w:tc>
        <w:tc>
          <w:tcPr>
            <w:tcW w:w="1493" w:type="dxa"/>
            <w:shd w:val="clear" w:color="auto" w:fill="auto"/>
            <w:vAlign w:val="center"/>
          </w:tcPr>
          <w:p w14:paraId="43EE02FE">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1107.65</w:t>
            </w:r>
          </w:p>
        </w:tc>
        <w:tc>
          <w:tcPr>
            <w:tcW w:w="1479" w:type="dxa"/>
            <w:shd w:val="clear" w:color="auto" w:fill="auto"/>
            <w:vAlign w:val="center"/>
          </w:tcPr>
          <w:p w14:paraId="46B4FA1A">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29.28</w:t>
            </w:r>
          </w:p>
        </w:tc>
        <w:tc>
          <w:tcPr>
            <w:tcW w:w="2240" w:type="dxa"/>
            <w:vAlign w:val="center"/>
          </w:tcPr>
          <w:p w14:paraId="3C49A0A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施工钻孔</w:t>
            </w:r>
          </w:p>
        </w:tc>
      </w:tr>
      <w:tr w14:paraId="59243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27217930">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1690" w:type="dxa"/>
            <w:vAlign w:val="center"/>
          </w:tcPr>
          <w:p w14:paraId="216536C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AZK1110</w:t>
            </w:r>
          </w:p>
        </w:tc>
        <w:tc>
          <w:tcPr>
            <w:tcW w:w="1773" w:type="dxa"/>
            <w:vAlign w:val="center"/>
          </w:tcPr>
          <w:p w14:paraId="364C29E2">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裂隙构造带裂隙水</w:t>
            </w:r>
          </w:p>
        </w:tc>
        <w:tc>
          <w:tcPr>
            <w:tcW w:w="1493" w:type="dxa"/>
            <w:shd w:val="clear" w:color="auto" w:fill="auto"/>
            <w:vAlign w:val="center"/>
          </w:tcPr>
          <w:p w14:paraId="3A6598D1">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1114.88</w:t>
            </w:r>
          </w:p>
        </w:tc>
        <w:tc>
          <w:tcPr>
            <w:tcW w:w="1479" w:type="dxa"/>
            <w:shd w:val="clear" w:color="auto" w:fill="auto"/>
            <w:vAlign w:val="center"/>
          </w:tcPr>
          <w:p w14:paraId="2C1922EC">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12.40</w:t>
            </w:r>
          </w:p>
        </w:tc>
        <w:tc>
          <w:tcPr>
            <w:tcW w:w="2240" w:type="dxa"/>
            <w:vAlign w:val="center"/>
          </w:tcPr>
          <w:p w14:paraId="4926F9B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施工钻孔</w:t>
            </w:r>
          </w:p>
        </w:tc>
      </w:tr>
      <w:tr w14:paraId="32895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77" w:type="dxa"/>
            <w:vAlign w:val="center"/>
          </w:tcPr>
          <w:p w14:paraId="25C1268D">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690" w:type="dxa"/>
            <w:vAlign w:val="center"/>
          </w:tcPr>
          <w:p w14:paraId="1F75327A">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AZK1410</w:t>
            </w:r>
          </w:p>
        </w:tc>
        <w:tc>
          <w:tcPr>
            <w:tcW w:w="1773" w:type="dxa"/>
            <w:vAlign w:val="center"/>
          </w:tcPr>
          <w:p w14:paraId="7E5E405C">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裂隙构造带裂隙水</w:t>
            </w:r>
          </w:p>
        </w:tc>
        <w:tc>
          <w:tcPr>
            <w:tcW w:w="1493" w:type="dxa"/>
            <w:shd w:val="clear" w:color="auto" w:fill="auto"/>
            <w:vAlign w:val="center"/>
          </w:tcPr>
          <w:p w14:paraId="4599BB7C">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1103.21</w:t>
            </w:r>
          </w:p>
        </w:tc>
        <w:tc>
          <w:tcPr>
            <w:tcW w:w="1479" w:type="dxa"/>
            <w:shd w:val="clear" w:color="auto" w:fill="auto"/>
            <w:vAlign w:val="center"/>
          </w:tcPr>
          <w:p w14:paraId="017E398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29.54</w:t>
            </w:r>
          </w:p>
        </w:tc>
        <w:tc>
          <w:tcPr>
            <w:tcW w:w="2240" w:type="dxa"/>
            <w:vAlign w:val="center"/>
          </w:tcPr>
          <w:p w14:paraId="5AC0CB09">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施工钻孔</w:t>
            </w:r>
          </w:p>
        </w:tc>
      </w:tr>
    </w:tbl>
    <w:p w14:paraId="4D72980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b/>
          <w:bCs/>
          <w:snapToGrid/>
          <w:color w:val="auto"/>
          <w:spacing w:val="0"/>
          <w:w w:val="100"/>
          <w:kern w:val="2"/>
          <w:sz w:val="24"/>
          <w:szCs w:val="24"/>
          <w:highlight w:val="none"/>
          <w:lang w:val="en-US" w:eastAsia="zh-CN" w:bidi="ar-SA"/>
        </w:rPr>
        <w:t>地下水水质现状调查及评价</w:t>
      </w:r>
    </w:p>
    <w:p w14:paraId="61362D31">
      <w:pPr>
        <w:overflowPunct w:val="0"/>
        <w:topLinePunct/>
        <w:ind w:firstLine="476"/>
        <w:rPr>
          <w:rFonts w:hint="default" w:ascii="Times New Roman" w:hAnsi="Times New Roman" w:eastAsia="宋体" w:cs="Times New Roman"/>
          <w:color w:val="auto"/>
          <w:spacing w:val="-1"/>
          <w:position w:val="2"/>
          <w:highlight w:val="none"/>
        </w:rPr>
      </w:pP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lang w:val="en-US" w:eastAsia="zh-CN"/>
        </w:rPr>
        <w:t>1</w:t>
      </w: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rPr>
        <w:t>监测时间与监测单位</w:t>
      </w:r>
    </w:p>
    <w:p w14:paraId="6FDE50D6">
      <w:pPr>
        <w:overflowPunct w:val="0"/>
        <w:topLinePunct/>
        <w:ind w:firstLine="476"/>
        <w:rPr>
          <w:rFonts w:hint="default" w:ascii="Times New Roman" w:hAnsi="Times New Roman" w:cs="Times New Roman"/>
          <w:color w:val="auto"/>
          <w:spacing w:val="-1"/>
          <w:position w:val="2"/>
          <w:highlight w:val="none"/>
        </w:rPr>
      </w:pPr>
      <w:r>
        <w:rPr>
          <w:rFonts w:hint="default" w:ascii="Times New Roman" w:hAnsi="Times New Roman" w:cs="Times New Roman"/>
          <w:color w:val="auto"/>
          <w:spacing w:val="-1"/>
          <w:position w:val="2"/>
          <w:highlight w:val="none"/>
        </w:rPr>
        <w:t>监测时间：202</w:t>
      </w:r>
      <w:r>
        <w:rPr>
          <w:rFonts w:hint="default" w:cs="Times New Roman"/>
          <w:color w:val="auto"/>
          <w:spacing w:val="-1"/>
          <w:position w:val="2"/>
          <w:highlight w:val="none"/>
          <w:lang w:val="en-US" w:eastAsia="zh-CN"/>
        </w:rPr>
        <w:t>6</w:t>
      </w:r>
      <w:r>
        <w:rPr>
          <w:rFonts w:hint="default" w:ascii="Times New Roman" w:hAnsi="Times New Roman" w:cs="Times New Roman"/>
          <w:color w:val="auto"/>
          <w:spacing w:val="-1"/>
          <w:position w:val="2"/>
          <w:highlight w:val="none"/>
        </w:rPr>
        <w:t>年</w:t>
      </w:r>
      <w:r>
        <w:rPr>
          <w:rFonts w:hint="default" w:cs="Times New Roman"/>
          <w:color w:val="auto"/>
          <w:spacing w:val="-1"/>
          <w:position w:val="2"/>
          <w:highlight w:val="none"/>
          <w:lang w:val="en-US" w:eastAsia="zh-CN"/>
        </w:rPr>
        <w:t>4</w:t>
      </w:r>
      <w:r>
        <w:rPr>
          <w:rFonts w:hint="default" w:ascii="Times New Roman" w:hAnsi="Times New Roman" w:cs="Times New Roman"/>
          <w:color w:val="auto"/>
          <w:spacing w:val="-1"/>
          <w:position w:val="2"/>
          <w:highlight w:val="none"/>
        </w:rPr>
        <w:t>月1</w:t>
      </w:r>
      <w:r>
        <w:rPr>
          <w:rFonts w:hint="default" w:cs="Times New Roman"/>
          <w:color w:val="auto"/>
          <w:spacing w:val="-1"/>
          <w:position w:val="2"/>
          <w:highlight w:val="none"/>
          <w:lang w:val="en-US" w:eastAsia="zh-CN"/>
        </w:rPr>
        <w:t>0</w:t>
      </w:r>
      <w:r>
        <w:rPr>
          <w:rFonts w:hint="default" w:ascii="Times New Roman" w:hAnsi="Times New Roman" w:cs="Times New Roman"/>
          <w:color w:val="auto"/>
          <w:spacing w:val="-1"/>
          <w:position w:val="2"/>
          <w:highlight w:val="none"/>
        </w:rPr>
        <w:t>日。</w:t>
      </w:r>
    </w:p>
    <w:p w14:paraId="2AC4E7F5">
      <w:pPr>
        <w:overflowPunct w:val="0"/>
        <w:topLinePunct/>
        <w:ind w:firstLine="480"/>
        <w:rPr>
          <w:rFonts w:hint="default" w:ascii="Times New Roman" w:hAnsi="Times New Roman" w:cs="Times New Roman"/>
          <w:color w:val="auto"/>
          <w:spacing w:val="-1"/>
          <w:position w:val="2"/>
          <w:highlight w:val="none"/>
        </w:rPr>
      </w:pPr>
      <w:r>
        <w:rPr>
          <w:rFonts w:hint="default" w:ascii="Times New Roman" w:hAnsi="Times New Roman" w:cs="Times New Roman"/>
          <w:color w:val="auto"/>
          <w:highlight w:val="none"/>
        </w:rPr>
        <w:t>监测单位：</w:t>
      </w:r>
      <w:r>
        <w:rPr>
          <w:rFonts w:hint="default" w:ascii="Times New Roman" w:hAnsi="Times New Roman" w:cs="Times New Roman"/>
          <w:color w:val="auto"/>
          <w:spacing w:val="-4"/>
          <w:highlight w:val="none"/>
        </w:rPr>
        <w:t>新疆西域质信检验检测有限公司</w:t>
      </w:r>
      <w:r>
        <w:rPr>
          <w:rFonts w:hint="default" w:ascii="Times New Roman" w:hAnsi="Times New Roman" w:cs="Times New Roman"/>
          <w:color w:val="auto"/>
          <w:highlight w:val="none"/>
        </w:rPr>
        <w:t>。</w:t>
      </w:r>
    </w:p>
    <w:p w14:paraId="0872DABB">
      <w:pPr>
        <w:overflowPunct w:val="0"/>
        <w:topLinePunct/>
        <w:ind w:firstLine="476"/>
        <w:rPr>
          <w:rFonts w:hint="default" w:ascii="Times New Roman" w:hAnsi="Times New Roman" w:eastAsia="宋体" w:cs="Times New Roman"/>
          <w:color w:val="auto"/>
          <w:spacing w:val="-1"/>
          <w:position w:val="2"/>
          <w:highlight w:val="none"/>
        </w:rPr>
      </w:pP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lang w:val="en-US" w:eastAsia="zh-CN"/>
        </w:rPr>
        <w:t>2</w:t>
      </w: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rPr>
        <w:t>监测点布设</w:t>
      </w:r>
    </w:p>
    <w:p w14:paraId="0911A23A">
      <w:pPr>
        <w:overflowPunct w:val="0"/>
        <w:topLinePunct/>
        <w:ind w:firstLine="47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pacing w:val="-1"/>
          <w:position w:val="2"/>
          <w:highlight w:val="none"/>
        </w:rPr>
        <w:t>项目区地下水环境质量现状评价执行《地下水质量标准》（GB/T14848-2017）中的Ⅲ类标准。</w:t>
      </w:r>
      <w:r>
        <w:rPr>
          <w:rFonts w:hint="default" w:cs="Times New Roman"/>
          <w:color w:val="auto"/>
          <w:spacing w:val="-1"/>
          <w:position w:val="2"/>
          <w:highlight w:val="none"/>
          <w:lang w:val="en-US" w:eastAsia="zh-CN"/>
        </w:rPr>
        <w:t>其中石油类执行《地表水环境质量标准》（GB 3838-2002）中Ⅲ类标准。</w:t>
      </w:r>
    </w:p>
    <w:p w14:paraId="0305EE2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本项目地下水评价等级为二级。根据《环境影响评价技术导则 地下水环境》（HJ610-2016），本项目潜水含水层的水质监测点应不少于5个。</w:t>
      </w:r>
      <w:r>
        <w:rPr>
          <w:rFonts w:hint="default" w:ascii="Times New Roman" w:hAnsi="Times New Roman" w:cs="Times New Roman"/>
          <w:color w:val="auto"/>
          <w:highlight w:val="none"/>
          <w:lang w:val="en-US" w:eastAsia="zh-CN"/>
        </w:rPr>
        <w:t>本次共设置5口地下水监测井，</w:t>
      </w:r>
      <w:r>
        <w:rPr>
          <w:rFonts w:hint="default" w:ascii="Times New Roman" w:hAnsi="Times New Roman" w:cs="Times New Roman"/>
          <w:color w:val="auto"/>
          <w:highlight w:val="none"/>
        </w:rPr>
        <w:t>地下水监测点具体位置见表4.2-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、图4.2-1。</w:t>
      </w:r>
    </w:p>
    <w:p w14:paraId="23E8FCB2">
      <w:pPr>
        <w:adjustRightInd w:val="0"/>
        <w:snapToGrid w:val="0"/>
        <w:ind w:firstLine="0" w:firstLineChars="0"/>
        <w:jc w:val="center"/>
        <w:rPr>
          <w:rFonts w:hint="default" w:ascii="Times New Roman" w:hAnsi="Times New Roman" w:cs="Times New Roman"/>
          <w:b/>
          <w:color w:val="auto"/>
          <w:kern w:val="0"/>
          <w:szCs w:val="22"/>
          <w:highlight w:val="none"/>
          <w:lang w:val="zh-CN"/>
        </w:rPr>
      </w:pPr>
    </w:p>
    <w:p w14:paraId="21DD6D7A">
      <w:pPr>
        <w:adjustRightInd w:val="0"/>
        <w:snapToGrid w:val="0"/>
        <w:ind w:firstLine="0" w:firstLineChars="0"/>
        <w:jc w:val="center"/>
        <w:rPr>
          <w:rFonts w:hint="default" w:ascii="Times New Roman" w:hAnsi="Times New Roman" w:cs="Times New Roman"/>
          <w:b/>
          <w:color w:val="auto"/>
          <w:kern w:val="0"/>
          <w:szCs w:val="22"/>
          <w:highlight w:val="none"/>
          <w:lang w:val="zh-CN"/>
        </w:rPr>
      </w:pPr>
      <w:r>
        <w:rPr>
          <w:rFonts w:hint="default" w:ascii="Times New Roman" w:hAnsi="Times New Roman" w:cs="Times New Roman"/>
          <w:b/>
          <w:color w:val="auto"/>
          <w:kern w:val="0"/>
          <w:szCs w:val="22"/>
          <w:highlight w:val="none"/>
          <w:lang w:val="zh-CN"/>
        </w:rPr>
        <w:t>表4.2-</w:t>
      </w:r>
      <w:r>
        <w:rPr>
          <w:rFonts w:hint="default" w:ascii="Times New Roman" w:hAnsi="Times New Roman" w:cs="Times New Roman"/>
          <w:b/>
          <w:color w:val="auto"/>
          <w:kern w:val="0"/>
          <w:szCs w:val="22"/>
          <w:highlight w:val="none"/>
          <w:lang w:val="en-US" w:eastAsia="zh-CN"/>
        </w:rPr>
        <w:t>4</w:t>
      </w:r>
      <w:r>
        <w:rPr>
          <w:rFonts w:hint="default" w:ascii="Times New Roman" w:hAnsi="Times New Roman" w:cs="Times New Roman"/>
          <w:b/>
          <w:color w:val="auto"/>
          <w:kern w:val="0"/>
          <w:szCs w:val="22"/>
          <w:highlight w:val="none"/>
          <w:lang w:val="zh-CN"/>
        </w:rPr>
        <w:t xml:space="preserve">    地下水监测点位情况表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2242"/>
        <w:gridCol w:w="2277"/>
        <w:gridCol w:w="1952"/>
      </w:tblGrid>
      <w:tr w14:paraId="2CF40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1" w:type="pct"/>
            <w:tcBorders>
              <w:tl2br w:val="nil"/>
              <w:tr2bl w:val="nil"/>
            </w:tcBorders>
            <w:vAlign w:val="center"/>
          </w:tcPr>
          <w:p w14:paraId="1485E61F">
            <w:pPr>
              <w:tabs>
                <w:tab w:val="left" w:pos="1080"/>
                <w:tab w:val="left" w:pos="6090"/>
              </w:tabs>
              <w:overflowPunct w:val="0"/>
              <w:topLinePunct/>
              <w:snapToGrid w:val="0"/>
              <w:spacing w:line="360" w:lineRule="exact"/>
              <w:ind w:left="-120" w:leftChars="-50" w:right="-120" w:rightChars="-50" w:firstLine="422"/>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点位名称</w:t>
            </w:r>
          </w:p>
        </w:tc>
        <w:tc>
          <w:tcPr>
            <w:tcW w:w="1222" w:type="pct"/>
            <w:tcBorders>
              <w:tl2br w:val="nil"/>
              <w:tr2bl w:val="nil"/>
            </w:tcBorders>
            <w:vAlign w:val="center"/>
          </w:tcPr>
          <w:p w14:paraId="5562C126">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经度</w:t>
            </w:r>
          </w:p>
        </w:tc>
        <w:tc>
          <w:tcPr>
            <w:tcW w:w="1241" w:type="pct"/>
            <w:tcBorders>
              <w:tl2br w:val="nil"/>
              <w:tr2bl w:val="nil"/>
            </w:tcBorders>
            <w:vAlign w:val="center"/>
          </w:tcPr>
          <w:p w14:paraId="6CA540C8">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纬度</w:t>
            </w:r>
          </w:p>
        </w:tc>
        <w:tc>
          <w:tcPr>
            <w:tcW w:w="1064" w:type="pct"/>
            <w:tcBorders>
              <w:tl2br w:val="nil"/>
              <w:tr2bl w:val="nil"/>
            </w:tcBorders>
            <w:vAlign w:val="center"/>
          </w:tcPr>
          <w:p w14:paraId="14AC29E3">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b/>
                <w:color w:val="auto"/>
                <w:sz w:val="21"/>
                <w:highlight w:val="none"/>
                <w:lang w:val="en-US" w:eastAsia="zh-CN"/>
              </w:rPr>
            </w:pPr>
            <w:r>
              <w:rPr>
                <w:rFonts w:hint="default" w:cs="Times New Roman"/>
                <w:b/>
                <w:color w:val="auto"/>
                <w:sz w:val="21"/>
                <w:highlight w:val="none"/>
                <w:lang w:val="en-US" w:eastAsia="zh-CN"/>
              </w:rPr>
              <w:t>与项目区距离（km）</w:t>
            </w:r>
          </w:p>
        </w:tc>
      </w:tr>
      <w:tr w14:paraId="7E92A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1" w:type="pct"/>
            <w:tcBorders>
              <w:tl2br w:val="nil"/>
              <w:tr2bl w:val="nil"/>
            </w:tcBorders>
            <w:vAlign w:val="center"/>
          </w:tcPr>
          <w:p w14:paraId="4A2F48B0">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地下水监测井1#</w:t>
            </w:r>
          </w:p>
        </w:tc>
        <w:tc>
          <w:tcPr>
            <w:tcW w:w="1222" w:type="pct"/>
            <w:tcBorders>
              <w:tl2br w:val="nil"/>
              <w:tr2bl w:val="nil"/>
            </w:tcBorders>
            <w:vAlign w:val="center"/>
          </w:tcPr>
          <w:p w14:paraId="2EB07B9F">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E：89°47′54.36″</w:t>
            </w:r>
          </w:p>
        </w:tc>
        <w:tc>
          <w:tcPr>
            <w:tcW w:w="1241" w:type="pct"/>
            <w:tcBorders>
              <w:tl2br w:val="nil"/>
              <w:tr2bl w:val="nil"/>
            </w:tcBorders>
            <w:vAlign w:val="center"/>
          </w:tcPr>
          <w:p w14:paraId="16BC6BB9">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N：46°43′59.91″</w:t>
            </w:r>
          </w:p>
        </w:tc>
        <w:tc>
          <w:tcPr>
            <w:tcW w:w="1064" w:type="pct"/>
            <w:tcBorders>
              <w:tl2br w:val="nil"/>
              <w:tr2bl w:val="nil"/>
            </w:tcBorders>
            <w:vAlign w:val="center"/>
          </w:tcPr>
          <w:p w14:paraId="3CE32E71">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1.45</w:t>
            </w:r>
          </w:p>
        </w:tc>
      </w:tr>
      <w:tr w14:paraId="76342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1" w:type="pct"/>
            <w:tcBorders>
              <w:tl2br w:val="nil"/>
              <w:tr2bl w:val="nil"/>
            </w:tcBorders>
            <w:vAlign w:val="center"/>
          </w:tcPr>
          <w:p w14:paraId="4439A9F1">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地下水监测井2#</w:t>
            </w:r>
          </w:p>
        </w:tc>
        <w:tc>
          <w:tcPr>
            <w:tcW w:w="1222" w:type="pct"/>
            <w:tcBorders>
              <w:tl2br w:val="nil"/>
              <w:tr2bl w:val="nil"/>
            </w:tcBorders>
            <w:vAlign w:val="center"/>
          </w:tcPr>
          <w:p w14:paraId="03442CCD">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E：89°47′51.04″</w:t>
            </w:r>
          </w:p>
        </w:tc>
        <w:tc>
          <w:tcPr>
            <w:tcW w:w="1241" w:type="pct"/>
            <w:tcBorders>
              <w:tl2br w:val="nil"/>
              <w:tr2bl w:val="nil"/>
            </w:tcBorders>
            <w:vAlign w:val="center"/>
          </w:tcPr>
          <w:p w14:paraId="54CD2A39">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N：46°44′5.24″</w:t>
            </w:r>
          </w:p>
        </w:tc>
        <w:tc>
          <w:tcPr>
            <w:tcW w:w="1064" w:type="pct"/>
            <w:tcBorders>
              <w:tl2br w:val="nil"/>
              <w:tr2bl w:val="nil"/>
            </w:tcBorders>
            <w:vAlign w:val="center"/>
          </w:tcPr>
          <w:p w14:paraId="56A2DFE6">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1.41</w:t>
            </w:r>
          </w:p>
        </w:tc>
      </w:tr>
      <w:tr w14:paraId="7D12A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1" w:type="pct"/>
            <w:tcBorders>
              <w:tl2br w:val="nil"/>
              <w:tr2bl w:val="nil"/>
            </w:tcBorders>
            <w:vAlign w:val="center"/>
          </w:tcPr>
          <w:p w14:paraId="39E48FDD">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地下水监测井3#</w:t>
            </w:r>
          </w:p>
        </w:tc>
        <w:tc>
          <w:tcPr>
            <w:tcW w:w="1222" w:type="pct"/>
            <w:tcBorders>
              <w:tl2br w:val="nil"/>
              <w:tr2bl w:val="nil"/>
            </w:tcBorders>
            <w:vAlign w:val="center"/>
          </w:tcPr>
          <w:p w14:paraId="176CE914">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E：89°4</w:t>
            </w:r>
            <w:r>
              <w:rPr>
                <w:rFonts w:hint="default"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′59.75″</w:t>
            </w:r>
          </w:p>
        </w:tc>
        <w:tc>
          <w:tcPr>
            <w:tcW w:w="1241" w:type="pct"/>
            <w:tcBorders>
              <w:tl2br w:val="nil"/>
              <w:tr2bl w:val="nil"/>
            </w:tcBorders>
            <w:vAlign w:val="center"/>
          </w:tcPr>
          <w:p w14:paraId="45E851C7">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N：4</w:t>
            </w:r>
            <w:r>
              <w:rPr>
                <w:rFonts w:hint="default"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°44′5.64″</w:t>
            </w:r>
          </w:p>
        </w:tc>
        <w:tc>
          <w:tcPr>
            <w:tcW w:w="1064" w:type="pct"/>
            <w:tcBorders>
              <w:tl2br w:val="nil"/>
              <w:tr2bl w:val="nil"/>
            </w:tcBorders>
            <w:vAlign w:val="center"/>
          </w:tcPr>
          <w:p w14:paraId="71F28A7B">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1.25</w:t>
            </w:r>
          </w:p>
        </w:tc>
      </w:tr>
      <w:tr w14:paraId="2492A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1" w:type="pct"/>
            <w:tcBorders>
              <w:tl2br w:val="nil"/>
              <w:tr2bl w:val="nil"/>
            </w:tcBorders>
            <w:vAlign w:val="center"/>
          </w:tcPr>
          <w:p w14:paraId="78F8AECC">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地下水监测井</w:t>
            </w:r>
            <w:r>
              <w:rPr>
                <w:rFonts w:hint="default"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w:t>
            </w:r>
          </w:p>
        </w:tc>
        <w:tc>
          <w:tcPr>
            <w:tcW w:w="1222" w:type="pct"/>
            <w:tcBorders>
              <w:tl2br w:val="nil"/>
              <w:tr2bl w:val="nil"/>
            </w:tcBorders>
            <w:vAlign w:val="center"/>
          </w:tcPr>
          <w:p w14:paraId="5ADFE9FB">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E：89°47′52.26″</w:t>
            </w:r>
          </w:p>
        </w:tc>
        <w:tc>
          <w:tcPr>
            <w:tcW w:w="1241" w:type="pct"/>
            <w:tcBorders>
              <w:tl2br w:val="nil"/>
              <w:tr2bl w:val="nil"/>
            </w:tcBorders>
            <w:vAlign w:val="center"/>
          </w:tcPr>
          <w:p w14:paraId="63938E8C">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N：46°44′19.89″</w:t>
            </w:r>
          </w:p>
        </w:tc>
        <w:tc>
          <w:tcPr>
            <w:tcW w:w="1064" w:type="pct"/>
            <w:tcBorders>
              <w:tl2br w:val="nil"/>
              <w:tr2bl w:val="nil"/>
            </w:tcBorders>
            <w:vAlign w:val="center"/>
          </w:tcPr>
          <w:p w14:paraId="1733A961">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1.19</w:t>
            </w:r>
          </w:p>
        </w:tc>
      </w:tr>
      <w:tr w14:paraId="63D0D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1" w:type="pct"/>
            <w:tcBorders>
              <w:tl2br w:val="nil"/>
              <w:tr2bl w:val="nil"/>
            </w:tcBorders>
            <w:vAlign w:val="center"/>
          </w:tcPr>
          <w:p w14:paraId="43CBC63F">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地下水监测井</w:t>
            </w:r>
            <w:r>
              <w:rPr>
                <w:rFonts w:hint="default"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tc>
        <w:tc>
          <w:tcPr>
            <w:tcW w:w="1222" w:type="pct"/>
            <w:tcBorders>
              <w:tl2br w:val="nil"/>
              <w:tr2bl w:val="nil"/>
            </w:tcBorders>
            <w:vAlign w:val="center"/>
          </w:tcPr>
          <w:p w14:paraId="66E48A3C">
            <w:pPr>
              <w:overflowPunct/>
              <w:topLinePunct w:val="0"/>
              <w:snapToGrid w:val="0"/>
              <w:spacing w:line="240" w:lineRule="auto"/>
              <w:ind w:left="72"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E：89°44′15.12″</w:t>
            </w:r>
          </w:p>
        </w:tc>
        <w:tc>
          <w:tcPr>
            <w:tcW w:w="1241" w:type="pct"/>
            <w:tcBorders>
              <w:tl2br w:val="nil"/>
              <w:tr2bl w:val="nil"/>
            </w:tcBorders>
            <w:vAlign w:val="center"/>
          </w:tcPr>
          <w:p w14:paraId="4982EF8B">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N：46°43′15.27″</w:t>
            </w:r>
          </w:p>
        </w:tc>
        <w:tc>
          <w:tcPr>
            <w:tcW w:w="1064" w:type="pct"/>
            <w:tcBorders>
              <w:tl2br w:val="nil"/>
              <w:tr2bl w:val="nil"/>
            </w:tcBorders>
            <w:vAlign w:val="center"/>
          </w:tcPr>
          <w:p w14:paraId="3ABBB748">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6.20</w:t>
            </w:r>
          </w:p>
        </w:tc>
      </w:tr>
    </w:tbl>
    <w:p w14:paraId="39C9AB1A">
      <w:pPr>
        <w:overflowPunct w:val="0"/>
        <w:topLinePunct/>
        <w:ind w:firstLine="476"/>
        <w:rPr>
          <w:rFonts w:hint="default" w:ascii="Times New Roman" w:hAnsi="Times New Roman" w:eastAsia="宋体" w:cs="Times New Roman"/>
          <w:color w:val="auto"/>
          <w:spacing w:val="-1"/>
          <w:position w:val="2"/>
          <w:highlight w:val="none"/>
        </w:rPr>
      </w:pP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lang w:val="en-US" w:eastAsia="zh-CN"/>
        </w:rPr>
        <w:t>3</w:t>
      </w: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rPr>
        <w:t>监测项目</w:t>
      </w:r>
    </w:p>
    <w:p w14:paraId="4CE6E82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r>
        <w:rPr>
          <w:rFonts w:hint="default" w:cs="Times New Roman"/>
          <w:color w:val="auto"/>
          <w:highlight w:val="none"/>
          <w:lang w:eastAsia="zh-CN"/>
        </w:rPr>
        <w:t>、</w:t>
      </w:r>
      <w:r>
        <w:rPr>
          <w:rFonts w:hint="default" w:ascii="Times New Roman" w:hAnsi="Times New Roman" w:cs="Times New Roman"/>
          <w:color w:val="auto"/>
          <w:highlight w:val="none"/>
        </w:rPr>
        <w:t>高锰酸盐指数(COD</w:t>
      </w:r>
      <w:r>
        <w:rPr>
          <w:rFonts w:hint="default" w:ascii="Times New Roman" w:hAnsi="Times New Roman" w:cs="Times New Roman"/>
          <w:color w:val="auto"/>
          <w:highlight w:val="none"/>
          <w:vertAlign w:val="subscript"/>
        </w:rPr>
        <w:t>Mn</w:t>
      </w:r>
      <w:r>
        <w:rPr>
          <w:rFonts w:hint="default" w:ascii="Times New Roman" w:hAnsi="Times New Roman" w:cs="Times New Roman"/>
          <w:color w:val="auto"/>
          <w:highlight w:val="none"/>
        </w:rPr>
        <w:t>法)</w:t>
      </w:r>
      <w:r>
        <w:rPr>
          <w:rFonts w:hint="default" w:cs="Times New Roman"/>
          <w:color w:val="auto"/>
          <w:highlight w:val="none"/>
          <w:lang w:eastAsia="zh-CN"/>
        </w:rPr>
        <w:t>、</w:t>
      </w:r>
      <w:r>
        <w:rPr>
          <w:rFonts w:hint="default" w:ascii="Times New Roman" w:hAnsi="Times New Roman" w:cs="Times New Roman"/>
          <w:color w:val="auto"/>
          <w:highlight w:val="none"/>
        </w:rPr>
        <w:t>总硬度（以CaCO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计）</w:t>
      </w:r>
      <w:r>
        <w:rPr>
          <w:rFonts w:hint="default" w:cs="Times New Roman"/>
          <w:color w:val="auto"/>
          <w:highlight w:val="none"/>
          <w:lang w:eastAsia="zh-CN"/>
        </w:rPr>
        <w:t>、</w:t>
      </w:r>
      <w:r>
        <w:rPr>
          <w:rFonts w:hint="default" w:ascii="Times New Roman" w:hAnsi="Times New Roman" w:cs="Times New Roman"/>
          <w:color w:val="auto"/>
          <w:highlight w:val="none"/>
        </w:rPr>
        <w:t>溶解性总固体</w:t>
      </w:r>
      <w:r>
        <w:rPr>
          <w:rFonts w:hint="default" w:cs="Times New Roman"/>
          <w:color w:val="auto"/>
          <w:highlight w:val="none"/>
          <w:lang w:eastAsia="zh-CN"/>
        </w:rPr>
        <w:t>、</w:t>
      </w:r>
      <w:r>
        <w:rPr>
          <w:rFonts w:hint="default" w:ascii="Times New Roman" w:hAnsi="Times New Roman" w:cs="Times New Roman"/>
          <w:color w:val="auto"/>
          <w:highlight w:val="none"/>
        </w:rPr>
        <w:t>氨氮（以N计）</w:t>
      </w:r>
      <w:r>
        <w:rPr>
          <w:rFonts w:hint="default" w:cs="Times New Roman"/>
          <w:color w:val="auto"/>
          <w:highlight w:val="none"/>
          <w:lang w:eastAsia="zh-CN"/>
        </w:rPr>
        <w:t>、</w:t>
      </w:r>
      <w:r>
        <w:rPr>
          <w:rFonts w:hint="default" w:ascii="Times New Roman" w:hAnsi="Times New Roman" w:cs="Times New Roman"/>
          <w:color w:val="auto"/>
          <w:highlight w:val="none"/>
        </w:rPr>
        <w:t>挥发酚（以苯酚计）</w:t>
      </w:r>
      <w:r>
        <w:rPr>
          <w:rFonts w:hint="default" w:cs="Times New Roman"/>
          <w:color w:val="auto"/>
          <w:highlight w:val="none"/>
          <w:lang w:eastAsia="zh-CN"/>
        </w:rPr>
        <w:t>、</w:t>
      </w:r>
      <w:r>
        <w:rPr>
          <w:rFonts w:hint="default" w:ascii="Times New Roman" w:hAnsi="Times New Roman" w:cs="Times New Roman"/>
          <w:color w:val="auto"/>
          <w:highlight w:val="none"/>
        </w:rPr>
        <w:t>硫酸盐（以SO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计）</w:t>
      </w:r>
      <w:r>
        <w:rPr>
          <w:rFonts w:hint="default" w:cs="Times New Roman"/>
          <w:color w:val="auto"/>
          <w:highlight w:val="none"/>
          <w:lang w:eastAsia="zh-CN"/>
        </w:rPr>
        <w:t>、</w:t>
      </w:r>
      <w:r>
        <w:rPr>
          <w:rFonts w:hint="default" w:ascii="Times New Roman" w:hAnsi="Times New Roman" w:cs="Times New Roman"/>
          <w:color w:val="auto"/>
          <w:highlight w:val="none"/>
        </w:rPr>
        <w:t>亚硝酸盐（以N计）</w:t>
      </w:r>
      <w:r>
        <w:rPr>
          <w:rFonts w:hint="default" w:cs="Times New Roman"/>
          <w:color w:val="auto"/>
          <w:highlight w:val="none"/>
          <w:lang w:eastAsia="zh-CN"/>
        </w:rPr>
        <w:t>、</w:t>
      </w:r>
      <w:r>
        <w:rPr>
          <w:rFonts w:hint="default" w:ascii="Times New Roman" w:hAnsi="Times New Roman" w:cs="Times New Roman"/>
          <w:color w:val="auto"/>
          <w:highlight w:val="none"/>
        </w:rPr>
        <w:t>硝酸盐（以N计）</w:t>
      </w:r>
      <w:r>
        <w:rPr>
          <w:rFonts w:hint="default" w:cs="Times New Roman"/>
          <w:color w:val="auto"/>
          <w:highlight w:val="none"/>
          <w:lang w:eastAsia="zh-CN"/>
        </w:rPr>
        <w:t>、</w:t>
      </w:r>
      <w:r>
        <w:rPr>
          <w:rFonts w:hint="default" w:ascii="Times New Roman" w:hAnsi="Times New Roman" w:cs="Times New Roman"/>
          <w:color w:val="auto"/>
          <w:highlight w:val="none"/>
        </w:rPr>
        <w:t>氰化物</w:t>
      </w:r>
      <w:r>
        <w:rPr>
          <w:rFonts w:hint="default" w:cs="Times New Roman"/>
          <w:color w:val="auto"/>
          <w:highlight w:val="none"/>
          <w:lang w:eastAsia="zh-CN"/>
        </w:rPr>
        <w:t>、</w:t>
      </w:r>
      <w:r>
        <w:rPr>
          <w:rFonts w:hint="default" w:ascii="Times New Roman" w:hAnsi="Times New Roman" w:cs="Times New Roman"/>
          <w:color w:val="auto"/>
          <w:highlight w:val="none"/>
        </w:rPr>
        <w:t>氯化物（以Cl</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计）</w:t>
      </w:r>
      <w:r>
        <w:rPr>
          <w:rFonts w:hint="default" w:cs="Times New Roman"/>
          <w:color w:val="auto"/>
          <w:highlight w:val="none"/>
          <w:lang w:eastAsia="zh-CN"/>
        </w:rPr>
        <w:t>、</w:t>
      </w:r>
      <w:r>
        <w:rPr>
          <w:rFonts w:hint="default" w:ascii="Times New Roman" w:hAnsi="Times New Roman" w:cs="Times New Roman"/>
          <w:color w:val="auto"/>
          <w:highlight w:val="none"/>
        </w:rPr>
        <w:t>铬（六价）</w:t>
      </w:r>
      <w:r>
        <w:rPr>
          <w:rFonts w:hint="default" w:cs="Times New Roman"/>
          <w:color w:val="auto"/>
          <w:highlight w:val="none"/>
          <w:lang w:eastAsia="zh-CN"/>
        </w:rPr>
        <w:t>、</w:t>
      </w:r>
      <w:r>
        <w:rPr>
          <w:rFonts w:hint="default" w:ascii="Times New Roman" w:hAnsi="Times New Roman" w:cs="Times New Roman"/>
          <w:color w:val="auto"/>
          <w:highlight w:val="none"/>
        </w:rPr>
        <w:t>碳酸根离子</w:t>
      </w:r>
      <w:r>
        <w:rPr>
          <w:rFonts w:hint="default" w:cs="Times New Roman"/>
          <w:color w:val="auto"/>
          <w:highlight w:val="none"/>
          <w:lang w:eastAsia="zh-CN"/>
        </w:rPr>
        <w:t>、</w:t>
      </w:r>
      <w:r>
        <w:rPr>
          <w:rFonts w:hint="default" w:ascii="Times New Roman" w:hAnsi="Times New Roman" w:cs="Times New Roman"/>
          <w:color w:val="auto"/>
          <w:highlight w:val="none"/>
        </w:rPr>
        <w:t>碳酸氢根离子</w:t>
      </w:r>
      <w:r>
        <w:rPr>
          <w:rFonts w:hint="default" w:cs="Times New Roman"/>
          <w:color w:val="auto"/>
          <w:highlight w:val="none"/>
          <w:lang w:eastAsia="zh-CN"/>
        </w:rPr>
        <w:t>、</w:t>
      </w:r>
      <w:r>
        <w:rPr>
          <w:rFonts w:hint="default"/>
          <w:color w:val="auto"/>
          <w:highlight w:val="none"/>
        </w:rPr>
        <w:t>钾</w:t>
      </w:r>
      <w:r>
        <w:rPr>
          <w:rFonts w:hint="default"/>
          <w:color w:val="auto"/>
          <w:highlight w:val="none"/>
          <w:lang w:eastAsia="zh-CN"/>
        </w:rPr>
        <w:t>、</w:t>
      </w:r>
      <w:r>
        <w:rPr>
          <w:rFonts w:hint="default"/>
          <w:color w:val="auto"/>
          <w:highlight w:val="none"/>
        </w:rPr>
        <w:t>钠</w:t>
      </w:r>
      <w:r>
        <w:rPr>
          <w:rFonts w:hint="default"/>
          <w:color w:val="auto"/>
          <w:highlight w:val="none"/>
          <w:lang w:eastAsia="zh-CN"/>
        </w:rPr>
        <w:t>、</w:t>
      </w:r>
      <w:r>
        <w:rPr>
          <w:rFonts w:hint="default"/>
          <w:color w:val="auto"/>
          <w:highlight w:val="none"/>
        </w:rPr>
        <w:t>钙</w:t>
      </w:r>
      <w:r>
        <w:rPr>
          <w:rFonts w:hint="default"/>
          <w:color w:val="auto"/>
          <w:highlight w:val="none"/>
          <w:lang w:eastAsia="zh-CN"/>
        </w:rPr>
        <w:t>、</w:t>
      </w:r>
      <w:r>
        <w:rPr>
          <w:rFonts w:hint="default"/>
          <w:color w:val="auto"/>
          <w:highlight w:val="none"/>
        </w:rPr>
        <w:t>镁</w:t>
      </w:r>
      <w:r>
        <w:rPr>
          <w:rFonts w:hint="default"/>
          <w:color w:val="auto"/>
          <w:highlight w:val="none"/>
          <w:lang w:eastAsia="zh-CN"/>
        </w:rPr>
        <w:t>、</w:t>
      </w:r>
      <w:r>
        <w:rPr>
          <w:rFonts w:hint="default"/>
          <w:color w:val="auto"/>
          <w:highlight w:val="none"/>
        </w:rPr>
        <w:t>砷</w:t>
      </w:r>
      <w:r>
        <w:rPr>
          <w:rFonts w:hint="default"/>
          <w:color w:val="auto"/>
          <w:highlight w:val="none"/>
          <w:lang w:eastAsia="zh-CN"/>
        </w:rPr>
        <w:t>、</w:t>
      </w:r>
      <w:r>
        <w:rPr>
          <w:rFonts w:hint="default"/>
          <w:color w:val="auto"/>
          <w:highlight w:val="none"/>
        </w:rPr>
        <w:t>汞</w:t>
      </w:r>
      <w:r>
        <w:rPr>
          <w:rFonts w:hint="default"/>
          <w:color w:val="auto"/>
          <w:highlight w:val="none"/>
          <w:lang w:eastAsia="zh-CN"/>
        </w:rPr>
        <w:t>、</w:t>
      </w:r>
      <w:r>
        <w:rPr>
          <w:rFonts w:hint="default"/>
          <w:color w:val="auto"/>
          <w:highlight w:val="none"/>
        </w:rPr>
        <w:t>铅</w:t>
      </w:r>
      <w:r>
        <w:rPr>
          <w:rFonts w:hint="default"/>
          <w:color w:val="auto"/>
          <w:highlight w:val="none"/>
          <w:lang w:eastAsia="zh-CN"/>
        </w:rPr>
        <w:t>、</w:t>
      </w:r>
      <w:r>
        <w:rPr>
          <w:rFonts w:hint="default"/>
          <w:color w:val="auto"/>
          <w:highlight w:val="none"/>
        </w:rPr>
        <w:t>镉</w:t>
      </w:r>
      <w:r>
        <w:rPr>
          <w:rFonts w:hint="default"/>
          <w:color w:val="auto"/>
          <w:highlight w:val="none"/>
          <w:lang w:eastAsia="zh-CN"/>
        </w:rPr>
        <w:t>、</w:t>
      </w:r>
      <w:r>
        <w:rPr>
          <w:rFonts w:hint="default"/>
          <w:color w:val="auto"/>
          <w:highlight w:val="none"/>
        </w:rPr>
        <w:t>铁</w:t>
      </w:r>
      <w:r>
        <w:rPr>
          <w:rFonts w:hint="default"/>
          <w:color w:val="auto"/>
          <w:highlight w:val="none"/>
          <w:lang w:eastAsia="zh-CN"/>
        </w:rPr>
        <w:t>、</w:t>
      </w:r>
      <w:r>
        <w:rPr>
          <w:rFonts w:hint="default"/>
          <w:color w:val="auto"/>
          <w:highlight w:val="none"/>
        </w:rPr>
        <w:t>锰</w:t>
      </w:r>
      <w:r>
        <w:rPr>
          <w:rFonts w:hint="default"/>
          <w:color w:val="auto"/>
          <w:highlight w:val="none"/>
          <w:lang w:eastAsia="zh-CN"/>
        </w:rPr>
        <w:t>、</w:t>
      </w:r>
      <w:r>
        <w:rPr>
          <w:rFonts w:hint="default"/>
          <w:color w:val="auto"/>
          <w:highlight w:val="none"/>
        </w:rPr>
        <w:t>铜</w:t>
      </w:r>
      <w:r>
        <w:rPr>
          <w:rFonts w:hint="default"/>
          <w:color w:val="auto"/>
          <w:highlight w:val="none"/>
          <w:lang w:eastAsia="zh-CN"/>
        </w:rPr>
        <w:t>、</w:t>
      </w:r>
      <w:r>
        <w:rPr>
          <w:rFonts w:hint="default"/>
          <w:color w:val="auto"/>
          <w:highlight w:val="none"/>
        </w:rPr>
        <w:t>锌</w:t>
      </w:r>
      <w:r>
        <w:rPr>
          <w:rFonts w:hint="default"/>
          <w:color w:val="auto"/>
          <w:highlight w:val="none"/>
          <w:lang w:eastAsia="zh-CN"/>
        </w:rPr>
        <w:t>、</w:t>
      </w:r>
      <w:r>
        <w:rPr>
          <w:rFonts w:hint="default"/>
          <w:color w:val="auto"/>
          <w:highlight w:val="none"/>
        </w:rPr>
        <w:t>铝</w:t>
      </w:r>
      <w:r>
        <w:rPr>
          <w:rFonts w:hint="default"/>
          <w:color w:val="auto"/>
          <w:highlight w:val="none"/>
          <w:lang w:eastAsia="zh-CN"/>
        </w:rPr>
        <w:t>、</w:t>
      </w:r>
      <w:r>
        <w:rPr>
          <w:rFonts w:hint="default"/>
          <w:color w:val="auto"/>
          <w:highlight w:val="none"/>
        </w:rPr>
        <w:t>氟化物</w:t>
      </w:r>
      <w:r>
        <w:rPr>
          <w:rFonts w:hint="default"/>
          <w:color w:val="auto"/>
          <w:highlight w:val="none"/>
          <w:lang w:eastAsia="zh-CN"/>
        </w:rPr>
        <w:t>、</w:t>
      </w:r>
      <w:r>
        <w:rPr>
          <w:rFonts w:hint="default"/>
          <w:color w:val="auto"/>
          <w:highlight w:val="none"/>
        </w:rPr>
        <w:t>石油类</w:t>
      </w:r>
      <w:r>
        <w:rPr>
          <w:rFonts w:hint="default"/>
          <w:color w:val="auto"/>
          <w:highlight w:val="none"/>
          <w:lang w:eastAsia="zh-CN"/>
        </w:rPr>
        <w:t>、</w:t>
      </w:r>
      <w:r>
        <w:rPr>
          <w:rFonts w:hint="default"/>
          <w:color w:val="auto"/>
          <w:highlight w:val="none"/>
        </w:rPr>
        <w:t>总大肠菌群</w:t>
      </w:r>
      <w:r>
        <w:rPr>
          <w:rFonts w:hint="default"/>
          <w:color w:val="auto"/>
          <w:highlight w:val="none"/>
          <w:lang w:eastAsia="zh-CN"/>
        </w:rPr>
        <w:t>、</w:t>
      </w:r>
      <w:r>
        <w:rPr>
          <w:rFonts w:hint="default"/>
          <w:color w:val="auto"/>
          <w:highlight w:val="none"/>
        </w:rPr>
        <w:t>菌落总数</w:t>
      </w:r>
      <w:r>
        <w:rPr>
          <w:rFonts w:hint="default" w:ascii="Times New Roman" w:hAnsi="Times New Roman" w:cs="Times New Roman"/>
          <w:color w:val="auto"/>
          <w:highlight w:val="none"/>
        </w:rPr>
        <w:t>。</w:t>
      </w:r>
    </w:p>
    <w:p w14:paraId="04BBA6DD">
      <w:pPr>
        <w:overflowPunct w:val="0"/>
        <w:topLinePunct/>
        <w:ind w:firstLine="476"/>
        <w:rPr>
          <w:rFonts w:hint="default" w:ascii="Times New Roman" w:hAnsi="Times New Roman" w:eastAsia="宋体" w:cs="Times New Roman"/>
          <w:color w:val="auto"/>
          <w:spacing w:val="-1"/>
          <w:position w:val="2"/>
          <w:highlight w:val="none"/>
        </w:rPr>
      </w:pP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lang w:val="en-US" w:eastAsia="zh-CN"/>
        </w:rPr>
        <w:t>4</w:t>
      </w: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rPr>
        <w:t>评价标准</w:t>
      </w:r>
    </w:p>
    <w:p w14:paraId="465D8299">
      <w:pPr>
        <w:overflowPunct w:val="0"/>
        <w:topLinePunct/>
        <w:adjustRightInd w:val="0"/>
        <w:snapToGrid w:val="0"/>
        <w:ind w:firstLine="476"/>
        <w:rPr>
          <w:rFonts w:hint="default" w:ascii="Times New Roman" w:hAnsi="Times New Roman" w:cs="Times New Roman"/>
          <w:color w:val="auto"/>
          <w:spacing w:val="-1"/>
          <w:position w:val="2"/>
          <w:highlight w:val="none"/>
        </w:rPr>
      </w:pPr>
      <w:r>
        <w:rPr>
          <w:rFonts w:hint="default" w:ascii="Times New Roman" w:hAnsi="Times New Roman" w:cs="Times New Roman"/>
          <w:color w:val="auto"/>
          <w:spacing w:val="-1"/>
          <w:position w:val="2"/>
          <w:highlight w:val="none"/>
        </w:rPr>
        <w:t>本项目地下水评价标准执行《地下水质量标准》（GB/T14848-2017）中的Ⅲ类标准。</w:t>
      </w:r>
    </w:p>
    <w:p w14:paraId="7AA7BFF6">
      <w:pPr>
        <w:overflowPunct w:val="0"/>
        <w:topLinePunct/>
        <w:ind w:firstLine="476"/>
        <w:rPr>
          <w:rFonts w:hint="default" w:ascii="Times New Roman" w:hAnsi="Times New Roman" w:eastAsia="宋体" w:cs="Times New Roman"/>
          <w:color w:val="auto"/>
          <w:spacing w:val="-1"/>
          <w:position w:val="2"/>
          <w:highlight w:val="none"/>
        </w:rPr>
      </w:pP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lang w:val="en-US" w:eastAsia="zh-CN"/>
        </w:rPr>
        <w:t>5</w:t>
      </w: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rPr>
        <w:t>评价方法</w:t>
      </w:r>
    </w:p>
    <w:p w14:paraId="00DA8FFD">
      <w:pPr>
        <w:pStyle w:val="32"/>
        <w:overflowPunct w:val="0"/>
        <w:topLinePunct/>
        <w:ind w:left="0" w:leftChars="0" w:firstLine="476"/>
        <w:rPr>
          <w:rFonts w:hint="default" w:ascii="Times New Roman" w:hAnsi="Times New Roman" w:cs="Times New Roman"/>
          <w:color w:val="auto"/>
          <w:spacing w:val="-1"/>
          <w:position w:val="2"/>
          <w:sz w:val="24"/>
          <w:highlight w:val="none"/>
        </w:rPr>
      </w:pPr>
      <w:r>
        <w:rPr>
          <w:rFonts w:hint="default" w:ascii="Times New Roman" w:hAnsi="Times New Roman" w:cs="Times New Roman"/>
          <w:color w:val="auto"/>
          <w:spacing w:val="-1"/>
          <w:position w:val="2"/>
          <w:sz w:val="24"/>
          <w:highlight w:val="none"/>
        </w:rPr>
        <w:t>评价方法采用单因子标准指数法，计算公式：</w:t>
      </w:r>
    </w:p>
    <w:p w14:paraId="20024704">
      <w:pPr>
        <w:spacing w:line="240" w:lineRule="atLeast"/>
        <w:ind w:firstLine="960" w:firstLineChars="400"/>
        <w:jc w:val="center"/>
        <w:rPr>
          <w:rFonts w:hint="default" w:ascii="Times New Roman" w:hAnsi="Times New Roman" w:cs="Times New Roman"/>
          <w:color w:val="auto"/>
          <w:highlight w:val="none"/>
        </w:rPr>
      </w:pPr>
      <w:r>
        <w:rPr>
          <w:rFonts w:hint="default" w:ascii="Times New Roman" w:hAnsi="Times New Roman" w:cs="Times New Roman"/>
          <w:color w:val="auto"/>
          <w:position w:val="-30"/>
          <w:highlight w:val="none"/>
        </w:rPr>
        <w:object>
          <v:shape id="_x0000_i1028" o:spt="75" type="#_x0000_t75" style="height:36pt;width:54pt;" o:ole="t" filled="f" o:preferrelative="t" stroked="f" coordsize="21600,21600">
            <v:path/>
            <v:fill on="f" focussize="0,0"/>
            <v:stroke on="f" joinstyle="miter"/>
            <v:imagedata r:id="rId43" o:title=""/>
            <o:lock v:ext="edit" aspectratio="t"/>
            <w10:wrap type="none"/>
            <w10:anchorlock/>
          </v:shape>
          <o:OLEObject Type="Embed" ProgID="Equation.2" ShapeID="_x0000_i1028" DrawAspect="Content" ObjectID="_1468075728" r:id="rId42">
            <o:LockedField>false</o:LockedField>
          </o:OLEObject>
        </w:object>
      </w:r>
    </w:p>
    <w:p w14:paraId="57C0574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式中：S</w:t>
      </w:r>
      <w:r>
        <w:rPr>
          <w:rFonts w:hint="default" w:ascii="Times New Roman" w:hAnsi="Times New Roman" w:cs="Times New Roman"/>
          <w:color w:val="auto"/>
          <w:highlight w:val="none"/>
          <w:vertAlign w:val="subscript"/>
        </w:rPr>
        <w:t>i,j</w:t>
      </w:r>
      <w:r>
        <w:rPr>
          <w:rFonts w:hint="default" w:ascii="Times New Roman" w:hAnsi="Times New Roman" w:cs="Times New Roman"/>
          <w:color w:val="auto"/>
          <w:highlight w:val="none"/>
        </w:rPr>
        <w:t>——评价因子i的水质指数，大于1表明该水质因子超标；</w:t>
      </w:r>
    </w:p>
    <w:p w14:paraId="4ADFCF3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C</w:t>
      </w:r>
      <w:r>
        <w:rPr>
          <w:rFonts w:hint="default" w:ascii="Times New Roman" w:hAnsi="Times New Roman" w:cs="Times New Roman"/>
          <w:color w:val="auto"/>
          <w:highlight w:val="none"/>
          <w:vertAlign w:val="subscript"/>
        </w:rPr>
        <w:t>i,j</w:t>
      </w:r>
      <w:r>
        <w:rPr>
          <w:rFonts w:hint="default" w:ascii="Times New Roman" w:hAnsi="Times New Roman" w:cs="Times New Roman"/>
          <w:color w:val="auto"/>
          <w:highlight w:val="none"/>
        </w:rPr>
        <w:t>——评价因子i在j点的实测统计代表值，mg/L；</w:t>
      </w:r>
    </w:p>
    <w:p w14:paraId="6F40283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C</w:t>
      </w:r>
      <w:r>
        <w:rPr>
          <w:rFonts w:hint="default" w:ascii="Times New Roman" w:hAnsi="Times New Roman" w:cs="Times New Roman"/>
          <w:color w:val="auto"/>
          <w:highlight w:val="none"/>
          <w:vertAlign w:val="subscript"/>
        </w:rPr>
        <w:t>si</w:t>
      </w:r>
      <w:r>
        <w:rPr>
          <w:rFonts w:hint="default" w:ascii="Times New Roman" w:hAnsi="Times New Roman" w:cs="Times New Roman"/>
          <w:color w:val="auto"/>
          <w:highlight w:val="none"/>
        </w:rPr>
        <w:t>——评价因子i的水质评价标准限值，mg/L。</w:t>
      </w:r>
    </w:p>
    <w:p w14:paraId="1C5FBAEF">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pH值的指数计算公式：</w:t>
      </w:r>
    </w:p>
    <w:p w14:paraId="1B787B15">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pict>
          <v:shape id="对象 1609" o:spid="_x0000_s2098" o:spt="75" type="#_x0000_t75" style="position:absolute;left:0pt;margin-left:140.95pt;margin-top:3.05pt;height:35.8pt;width:157.05pt;z-index:251678720;mso-width-relative:page;mso-height-relative:page;" o:ole="t" filled="f" o:preferrelative="t" stroked="f" coordsize="21600,21600">
            <v:path/>
            <v:fill on="f" focussize="0,0"/>
            <v:stroke on="f" joinstyle="miter"/>
            <v:imagedata r:id="rId45" o:title=""/>
            <o:lock v:ext="edit" aspectratio="t"/>
          </v:shape>
          <o:OLEObject Type="Embed" ProgID="Equation.3" ShapeID="对象 1609" DrawAspect="Content" ObjectID="_1468075729" r:id="rId44">
            <o:LockedField>false</o:LockedField>
          </o:OLEObject>
        </w:pict>
      </w:r>
    </w:p>
    <w:p w14:paraId="3084139A">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pict>
          <v:shape id="对象 1610" o:spid="_x0000_s2099" o:spt="75" type="#_x0000_t75" style="position:absolute;left:0pt;margin-left:142.7pt;margin-top:17.7pt;height:35.7pt;width:156.55pt;z-index:251660288;mso-width-relative:page;mso-height-relative:page;" o:ole="t" filled="f" o:preferrelative="t" stroked="f" coordsize="21600,21600">
            <v:path/>
            <v:fill on="f" focussize="0,0"/>
            <v:stroke on="f" joinstyle="miter"/>
            <v:imagedata r:id="rId47" o:title=""/>
            <o:lock v:ext="edit" aspectratio="t"/>
          </v:shape>
          <o:OLEObject Type="Embed" ProgID="Equation.3" ShapeID="对象 1610" DrawAspect="Content" ObjectID="_1468075730" r:id="rId46">
            <o:LockedField>false</o:LockedField>
          </o:OLEObject>
        </w:pict>
      </w:r>
    </w:p>
    <w:p w14:paraId="0577FD0F">
      <w:pPr>
        <w:overflowPunct w:val="0"/>
        <w:topLinePunct/>
        <w:ind w:firstLine="480"/>
        <w:textAlignment w:val="baseline"/>
        <w:rPr>
          <w:rFonts w:hint="default" w:ascii="Times New Roman" w:hAnsi="Times New Roman" w:cs="Times New Roman"/>
          <w:color w:val="auto"/>
          <w:highlight w:val="none"/>
        </w:rPr>
      </w:pPr>
    </w:p>
    <w:p w14:paraId="0A5AED92">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式中：S</w:t>
      </w:r>
      <w:r>
        <w:rPr>
          <w:rFonts w:hint="default" w:ascii="Times New Roman" w:hAnsi="Times New Roman" w:cs="Times New Roman"/>
          <w:color w:val="auto"/>
          <w:highlight w:val="none"/>
          <w:vertAlign w:val="subscript"/>
        </w:rPr>
        <w:t>pH，j</w:t>
      </w:r>
      <w:r>
        <w:rPr>
          <w:rFonts w:hint="default" w:ascii="Times New Roman" w:hAnsi="Times New Roman" w:cs="Times New Roman"/>
          <w:color w:val="auto"/>
          <w:highlight w:val="none"/>
        </w:rPr>
        <w:t>——pH值的指数，大于1表明该水质因子超标；</w:t>
      </w:r>
    </w:p>
    <w:p w14:paraId="0A4D4F7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pH</w:t>
      </w:r>
      <w:r>
        <w:rPr>
          <w:rFonts w:hint="default" w:ascii="Times New Roman" w:hAnsi="Times New Roman" w:cs="Times New Roman"/>
          <w:color w:val="auto"/>
          <w:highlight w:val="none"/>
          <w:vertAlign w:val="subscript"/>
        </w:rPr>
        <w:t>j</w:t>
      </w:r>
      <w:r>
        <w:rPr>
          <w:rFonts w:hint="default" w:ascii="Times New Roman" w:hAnsi="Times New Roman" w:cs="Times New Roman"/>
          <w:color w:val="auto"/>
          <w:highlight w:val="none"/>
        </w:rPr>
        <w:t>——pH值实测统计代表值；</w:t>
      </w:r>
    </w:p>
    <w:p w14:paraId="2B72A2C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pH</w:t>
      </w:r>
      <w:r>
        <w:rPr>
          <w:rFonts w:hint="default" w:ascii="Times New Roman" w:hAnsi="Times New Roman" w:cs="Times New Roman"/>
          <w:color w:val="auto"/>
          <w:highlight w:val="none"/>
          <w:vertAlign w:val="subscript"/>
        </w:rPr>
        <w:t>sd</w:t>
      </w:r>
      <w:r>
        <w:rPr>
          <w:rFonts w:hint="default" w:ascii="Times New Roman" w:hAnsi="Times New Roman" w:cs="Times New Roman"/>
          <w:color w:val="auto"/>
          <w:highlight w:val="none"/>
        </w:rPr>
        <w:t>——评价标准中pH值的下限值；</w:t>
      </w:r>
    </w:p>
    <w:p w14:paraId="3ED0BFF0">
      <w:pPr>
        <w:pStyle w:val="52"/>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pH</w:t>
      </w:r>
      <w:r>
        <w:rPr>
          <w:rFonts w:hint="default" w:ascii="Times New Roman" w:hAnsi="Times New Roman" w:cs="Times New Roman"/>
          <w:color w:val="auto"/>
          <w:highlight w:val="none"/>
          <w:vertAlign w:val="subscript"/>
        </w:rPr>
        <w:t>su</w:t>
      </w:r>
      <w:r>
        <w:rPr>
          <w:rFonts w:hint="default" w:ascii="Times New Roman" w:hAnsi="Times New Roman" w:cs="Times New Roman"/>
          <w:color w:val="auto"/>
          <w:highlight w:val="none"/>
        </w:rPr>
        <w:t>——评价标准中pH值的上限值。</w:t>
      </w:r>
    </w:p>
    <w:p w14:paraId="3E41FC07">
      <w:pPr>
        <w:pStyle w:val="52"/>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评价水质参数的标准指数＞1时，表明该水质参数超过了规定的水质标准，已经不能满足使用要求。</w:t>
      </w:r>
    </w:p>
    <w:p w14:paraId="2670C73C">
      <w:pPr>
        <w:overflowPunct w:val="0"/>
        <w:topLinePunct/>
        <w:ind w:firstLine="476"/>
        <w:rPr>
          <w:rFonts w:hint="default" w:ascii="Times New Roman" w:hAnsi="Times New Roman" w:eastAsia="宋体" w:cs="Times New Roman"/>
          <w:color w:val="auto"/>
          <w:spacing w:val="-1"/>
          <w:position w:val="2"/>
          <w:highlight w:val="none"/>
        </w:rPr>
      </w:pP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lang w:val="en-US" w:eastAsia="zh-CN"/>
        </w:rPr>
        <w:t>6</w:t>
      </w:r>
      <w:r>
        <w:rPr>
          <w:rFonts w:hint="default" w:ascii="Times New Roman" w:hAnsi="Times New Roman" w:eastAsia="宋体" w:cs="Times New Roman"/>
          <w:color w:val="auto"/>
          <w:spacing w:val="-1"/>
          <w:position w:val="2"/>
          <w:highlight w:val="none"/>
          <w:lang w:eastAsia="zh-CN"/>
        </w:rPr>
        <w:t>）</w:t>
      </w:r>
      <w:r>
        <w:rPr>
          <w:rFonts w:hint="default" w:ascii="Times New Roman" w:hAnsi="Times New Roman" w:eastAsia="宋体" w:cs="Times New Roman"/>
          <w:color w:val="auto"/>
          <w:spacing w:val="-1"/>
          <w:position w:val="2"/>
          <w:highlight w:val="none"/>
        </w:rPr>
        <w:t>监测结果</w:t>
      </w:r>
    </w:p>
    <w:p w14:paraId="308E2B1F">
      <w:pPr>
        <w:overflowPunct w:val="0"/>
        <w:topLinePunct/>
        <w:adjustRightInd w:val="0"/>
        <w:snapToGrid w:val="0"/>
        <w:ind w:firstLine="476"/>
        <w:rPr>
          <w:rFonts w:hint="default" w:ascii="Times New Roman" w:hAnsi="Times New Roman" w:cs="Times New Roman"/>
          <w:color w:val="auto"/>
          <w:spacing w:val="-1"/>
          <w:position w:val="2"/>
          <w:highlight w:val="none"/>
        </w:rPr>
        <w:sectPr>
          <w:footerReference r:id="rId22" w:type="default"/>
          <w:pgSz w:w="11906" w:h="16838"/>
          <w:pgMar w:top="1474" w:right="1474" w:bottom="1474" w:left="1474" w:header="850" w:footer="1134" w:gutter="0"/>
          <w:cols w:space="720" w:num="1"/>
          <w:docGrid w:linePitch="312" w:charSpace="0"/>
        </w:sectPr>
      </w:pPr>
      <w:r>
        <w:rPr>
          <w:rFonts w:hint="default" w:ascii="Times New Roman" w:hAnsi="Times New Roman" w:cs="Times New Roman"/>
          <w:color w:val="auto"/>
          <w:highlight w:val="none"/>
          <w:lang w:val="en-US" w:eastAsia="zh-CN"/>
        </w:rPr>
        <w:t>项目区地下水环境质量现状评价结果详见表4.2-6，地下水水质监测结果统计分析情况见表4.2-7，地下水八大离子电荷平衡分析见表4.2-8</w:t>
      </w:r>
      <w:r>
        <w:rPr>
          <w:rFonts w:hint="default" w:ascii="Times New Roman" w:hAnsi="Times New Roman" w:cs="Times New Roman"/>
          <w:color w:val="auto"/>
          <w:spacing w:val="-1"/>
          <w:position w:val="2"/>
          <w:highlight w:val="none"/>
        </w:rPr>
        <w:t>。</w:t>
      </w:r>
    </w:p>
    <w:p w14:paraId="21000F7E">
      <w:pPr>
        <w:pStyle w:val="1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表4.2-6    地下水现状监测及评价结果</w:t>
      </w:r>
    </w:p>
    <w:tbl>
      <w:tblPr>
        <w:tblStyle w:val="134"/>
        <w:tblW w:w="5073"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fixed"/>
        <w:tblCellMar>
          <w:top w:w="0" w:type="dxa"/>
          <w:left w:w="57" w:type="dxa"/>
          <w:bottom w:w="0" w:type="dxa"/>
          <w:right w:w="57" w:type="dxa"/>
        </w:tblCellMar>
      </w:tblPr>
      <w:tblGrid>
        <w:gridCol w:w="235"/>
        <w:gridCol w:w="1126"/>
        <w:gridCol w:w="1072"/>
        <w:gridCol w:w="828"/>
        <w:gridCol w:w="1339"/>
        <w:gridCol w:w="828"/>
        <w:gridCol w:w="1339"/>
        <w:gridCol w:w="828"/>
        <w:gridCol w:w="1339"/>
        <w:gridCol w:w="828"/>
        <w:gridCol w:w="1340"/>
        <w:gridCol w:w="829"/>
        <w:gridCol w:w="1340"/>
        <w:gridCol w:w="895"/>
      </w:tblGrid>
      <w:tr w14:paraId="20EC56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57" w:type="dxa"/>
            <w:bottom w:w="0" w:type="dxa"/>
            <w:right w:w="57" w:type="dxa"/>
          </w:tblCellMar>
        </w:tblPrEx>
        <w:trPr>
          <w:trHeight w:val="340" w:hRule="atLeast"/>
          <w:tblHeader/>
          <w:jc w:val="center"/>
        </w:trPr>
        <w:tc>
          <w:tcPr>
            <w:tcW w:w="83" w:type="pct"/>
            <w:vMerge w:val="restart"/>
            <w:tcBorders>
              <w:tl2br w:val="nil"/>
              <w:tr2bl w:val="nil"/>
            </w:tcBorders>
            <w:shd w:val="clear" w:color="auto" w:fill="auto"/>
            <w:tcMar>
              <w:left w:w="0" w:type="dxa"/>
              <w:right w:w="0" w:type="dxa"/>
            </w:tcMar>
            <w:vAlign w:val="center"/>
          </w:tcPr>
          <w:p w14:paraId="3A83AE4E">
            <w:pPr>
              <w:pStyle w:val="132"/>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397" w:type="pct"/>
            <w:vMerge w:val="restart"/>
            <w:tcBorders>
              <w:tl2br w:val="nil"/>
              <w:tr2bl w:val="nil"/>
            </w:tcBorders>
            <w:shd w:val="clear" w:color="auto" w:fill="auto"/>
            <w:vAlign w:val="center"/>
          </w:tcPr>
          <w:p w14:paraId="49EC36A6">
            <w:pPr>
              <w:pStyle w:val="132"/>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监测项目</w:t>
            </w:r>
          </w:p>
        </w:tc>
        <w:tc>
          <w:tcPr>
            <w:tcW w:w="378" w:type="pct"/>
            <w:vMerge w:val="restart"/>
            <w:tcBorders>
              <w:tl2br w:val="nil"/>
              <w:tr2bl w:val="nil"/>
            </w:tcBorders>
            <w:shd w:val="clear" w:color="auto" w:fill="auto"/>
            <w:vAlign w:val="center"/>
          </w:tcPr>
          <w:p w14:paraId="69BE24DE">
            <w:pPr>
              <w:pStyle w:val="132"/>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单位</w:t>
            </w:r>
          </w:p>
        </w:tc>
        <w:tc>
          <w:tcPr>
            <w:tcW w:w="764" w:type="pct"/>
            <w:gridSpan w:val="2"/>
            <w:tcBorders>
              <w:tl2br w:val="nil"/>
              <w:tr2bl w:val="nil"/>
            </w:tcBorders>
            <w:shd w:val="clear" w:color="auto" w:fill="auto"/>
            <w:vAlign w:val="center"/>
          </w:tcPr>
          <w:p w14:paraId="3B22DF21">
            <w:pPr>
              <w:pStyle w:val="132"/>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1#</w:t>
            </w:r>
          </w:p>
        </w:tc>
        <w:tc>
          <w:tcPr>
            <w:tcW w:w="764" w:type="pct"/>
            <w:gridSpan w:val="2"/>
            <w:tcBorders>
              <w:tl2br w:val="nil"/>
              <w:tr2bl w:val="nil"/>
            </w:tcBorders>
            <w:shd w:val="clear" w:color="auto" w:fill="auto"/>
            <w:vAlign w:val="center"/>
          </w:tcPr>
          <w:p w14:paraId="25B7F86C">
            <w:pPr>
              <w:pStyle w:val="132"/>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2#</w:t>
            </w:r>
          </w:p>
        </w:tc>
        <w:tc>
          <w:tcPr>
            <w:tcW w:w="764" w:type="pct"/>
            <w:gridSpan w:val="2"/>
            <w:tcBorders>
              <w:tl2br w:val="nil"/>
              <w:tr2bl w:val="nil"/>
            </w:tcBorders>
            <w:shd w:val="clear" w:color="auto" w:fill="auto"/>
            <w:vAlign w:val="center"/>
          </w:tcPr>
          <w:p w14:paraId="0036B77E">
            <w:pPr>
              <w:pStyle w:val="132"/>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3#</w:t>
            </w:r>
          </w:p>
        </w:tc>
        <w:tc>
          <w:tcPr>
            <w:tcW w:w="764" w:type="pct"/>
            <w:gridSpan w:val="2"/>
            <w:tcBorders>
              <w:tl2br w:val="nil"/>
              <w:tr2bl w:val="nil"/>
            </w:tcBorders>
            <w:shd w:val="clear" w:color="auto" w:fill="auto"/>
            <w:vAlign w:val="center"/>
          </w:tcPr>
          <w:p w14:paraId="3B55C3CB">
            <w:pPr>
              <w:pStyle w:val="132"/>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w:t>
            </w:r>
          </w:p>
        </w:tc>
        <w:tc>
          <w:tcPr>
            <w:tcW w:w="764" w:type="pct"/>
            <w:gridSpan w:val="2"/>
            <w:tcBorders>
              <w:tl2br w:val="nil"/>
              <w:tr2bl w:val="nil"/>
            </w:tcBorders>
            <w:shd w:val="clear" w:color="auto" w:fill="auto"/>
            <w:vAlign w:val="center"/>
          </w:tcPr>
          <w:p w14:paraId="0AEE7F74">
            <w:pPr>
              <w:pStyle w:val="132"/>
              <w:bidi w:val="0"/>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w:t>
            </w:r>
          </w:p>
        </w:tc>
        <w:tc>
          <w:tcPr>
            <w:tcW w:w="315" w:type="pct"/>
            <w:vMerge w:val="restart"/>
            <w:tcBorders>
              <w:tl2br w:val="nil"/>
              <w:tr2bl w:val="nil"/>
            </w:tcBorders>
            <w:shd w:val="clear" w:color="auto" w:fill="auto"/>
            <w:vAlign w:val="center"/>
          </w:tcPr>
          <w:p w14:paraId="6DD8EC12">
            <w:pPr>
              <w:pStyle w:val="132"/>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标准</w:t>
            </w:r>
            <w:r>
              <w:rPr>
                <w:rFonts w:hint="default" w:ascii="Times New Roman" w:hAnsi="Times New Roman" w:cs="Times New Roman"/>
                <w:b/>
                <w:bCs/>
                <w:color w:val="auto"/>
                <w:highlight w:val="none"/>
                <w:lang w:val="en-US" w:eastAsia="zh-CN"/>
              </w:rPr>
              <w:t>限值</w:t>
            </w:r>
          </w:p>
          <w:p w14:paraId="63CB7C5A">
            <w:pPr>
              <w:pStyle w:val="132"/>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mg/L</w:t>
            </w:r>
          </w:p>
        </w:tc>
      </w:tr>
      <w:tr w14:paraId="52CE8D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340" w:hRule="atLeast"/>
          <w:tblHeader/>
          <w:jc w:val="center"/>
        </w:trPr>
        <w:tc>
          <w:tcPr>
            <w:tcW w:w="83" w:type="pct"/>
            <w:vMerge w:val="continue"/>
            <w:tcBorders>
              <w:tl2br w:val="nil"/>
              <w:tr2bl w:val="nil"/>
            </w:tcBorders>
            <w:shd w:val="clear" w:color="auto" w:fill="auto"/>
            <w:tcMar>
              <w:left w:w="0" w:type="dxa"/>
              <w:right w:w="0" w:type="dxa"/>
            </w:tcMar>
            <w:vAlign w:val="center"/>
          </w:tcPr>
          <w:p w14:paraId="714701E4">
            <w:pPr>
              <w:pStyle w:val="132"/>
              <w:bidi w:val="0"/>
              <w:jc w:val="center"/>
              <w:rPr>
                <w:rFonts w:hint="default" w:ascii="Times New Roman" w:hAnsi="Times New Roman" w:cs="Times New Roman"/>
                <w:b/>
                <w:bCs/>
                <w:color w:val="auto"/>
                <w:highlight w:val="none"/>
              </w:rPr>
            </w:pPr>
          </w:p>
        </w:tc>
        <w:tc>
          <w:tcPr>
            <w:tcW w:w="397" w:type="pct"/>
            <w:vMerge w:val="continue"/>
            <w:tcBorders>
              <w:tl2br w:val="nil"/>
              <w:tr2bl w:val="nil"/>
            </w:tcBorders>
            <w:shd w:val="clear" w:color="auto" w:fill="auto"/>
            <w:vAlign w:val="center"/>
          </w:tcPr>
          <w:p w14:paraId="1E6E7363">
            <w:pPr>
              <w:pStyle w:val="132"/>
              <w:bidi w:val="0"/>
              <w:jc w:val="center"/>
              <w:rPr>
                <w:rFonts w:hint="default" w:ascii="Times New Roman" w:hAnsi="Times New Roman" w:cs="Times New Roman"/>
                <w:b/>
                <w:bCs/>
                <w:color w:val="auto"/>
                <w:highlight w:val="none"/>
              </w:rPr>
            </w:pPr>
          </w:p>
        </w:tc>
        <w:tc>
          <w:tcPr>
            <w:tcW w:w="378" w:type="pct"/>
            <w:vMerge w:val="continue"/>
            <w:tcBorders>
              <w:tl2br w:val="nil"/>
              <w:tr2bl w:val="nil"/>
            </w:tcBorders>
            <w:shd w:val="clear" w:color="auto" w:fill="auto"/>
            <w:vAlign w:val="center"/>
          </w:tcPr>
          <w:p w14:paraId="0083FB68">
            <w:pPr>
              <w:pStyle w:val="132"/>
              <w:bidi w:val="0"/>
              <w:jc w:val="center"/>
              <w:rPr>
                <w:rFonts w:hint="default" w:ascii="Times New Roman" w:hAnsi="Times New Roman" w:cs="Times New Roman"/>
                <w:b/>
                <w:bCs/>
                <w:color w:val="auto"/>
                <w:highlight w:val="none"/>
              </w:rPr>
            </w:pPr>
          </w:p>
        </w:tc>
        <w:tc>
          <w:tcPr>
            <w:tcW w:w="764" w:type="pct"/>
            <w:gridSpan w:val="2"/>
            <w:tcBorders>
              <w:tl2br w:val="nil"/>
              <w:tr2bl w:val="nil"/>
            </w:tcBorders>
            <w:shd w:val="clear" w:color="auto" w:fill="auto"/>
            <w:vAlign w:val="center"/>
          </w:tcPr>
          <w:p w14:paraId="7C522E5A">
            <w:pPr>
              <w:pStyle w:val="132"/>
              <w:bidi w:val="0"/>
              <w:ind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cs="Times New Roman"/>
                <w:b/>
                <w:bCs/>
                <w:color w:val="auto"/>
                <w:kern w:val="0"/>
                <w:sz w:val="21"/>
                <w:szCs w:val="24"/>
                <w:highlight w:val="none"/>
                <w:lang w:val="en-US" w:eastAsia="zh-CN" w:bidi="ar-SA"/>
              </w:rPr>
              <w:t>1</w:t>
            </w:r>
            <w:r>
              <w:rPr>
                <w:rFonts w:hint="default" w:ascii="Times New Roman" w:hAnsi="Times New Roman" w:eastAsia="宋体" w:cs="Times New Roman"/>
                <w:b/>
                <w:bCs/>
                <w:color w:val="auto"/>
                <w:kern w:val="0"/>
                <w:sz w:val="21"/>
                <w:szCs w:val="24"/>
                <w:highlight w:val="none"/>
                <w:lang w:val="en-US" w:eastAsia="zh-CN" w:bidi="ar-SA"/>
              </w:rPr>
              <w:t>#监测井</w:t>
            </w:r>
          </w:p>
        </w:tc>
        <w:tc>
          <w:tcPr>
            <w:tcW w:w="764" w:type="pct"/>
            <w:gridSpan w:val="2"/>
            <w:tcBorders>
              <w:tl2br w:val="nil"/>
              <w:tr2bl w:val="nil"/>
            </w:tcBorders>
            <w:shd w:val="clear" w:color="auto" w:fill="auto"/>
            <w:vAlign w:val="center"/>
          </w:tcPr>
          <w:p w14:paraId="0A956999">
            <w:pPr>
              <w:pStyle w:val="132"/>
              <w:bidi w:val="0"/>
              <w:ind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cs="Times New Roman"/>
                <w:b/>
                <w:bCs/>
                <w:color w:val="auto"/>
                <w:kern w:val="0"/>
                <w:sz w:val="21"/>
                <w:szCs w:val="24"/>
                <w:highlight w:val="none"/>
                <w:lang w:val="en-US" w:eastAsia="zh-CN" w:bidi="ar-SA"/>
              </w:rPr>
              <w:t>2</w:t>
            </w:r>
            <w:r>
              <w:rPr>
                <w:rFonts w:hint="default" w:ascii="Times New Roman" w:hAnsi="Times New Roman" w:eastAsia="宋体" w:cs="Times New Roman"/>
                <w:b/>
                <w:bCs/>
                <w:color w:val="auto"/>
                <w:kern w:val="0"/>
                <w:sz w:val="21"/>
                <w:szCs w:val="24"/>
                <w:highlight w:val="none"/>
                <w:lang w:val="en-US" w:eastAsia="zh-CN" w:bidi="ar-SA"/>
              </w:rPr>
              <w:t>#监测井</w:t>
            </w:r>
          </w:p>
        </w:tc>
        <w:tc>
          <w:tcPr>
            <w:tcW w:w="764" w:type="pct"/>
            <w:gridSpan w:val="2"/>
            <w:tcBorders>
              <w:tl2br w:val="nil"/>
              <w:tr2bl w:val="nil"/>
            </w:tcBorders>
            <w:shd w:val="clear" w:color="auto" w:fill="auto"/>
            <w:vAlign w:val="center"/>
          </w:tcPr>
          <w:p w14:paraId="7A7ABB90">
            <w:pPr>
              <w:pStyle w:val="132"/>
              <w:bidi w:val="0"/>
              <w:ind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cs="Times New Roman"/>
                <w:b/>
                <w:bCs/>
                <w:color w:val="auto"/>
                <w:kern w:val="0"/>
                <w:sz w:val="21"/>
                <w:szCs w:val="24"/>
                <w:highlight w:val="none"/>
                <w:lang w:val="en-US" w:eastAsia="zh-CN" w:bidi="ar-SA"/>
              </w:rPr>
              <w:t>3</w:t>
            </w:r>
            <w:r>
              <w:rPr>
                <w:rFonts w:hint="default" w:ascii="Times New Roman" w:hAnsi="Times New Roman" w:eastAsia="宋体" w:cs="Times New Roman"/>
                <w:b/>
                <w:bCs/>
                <w:color w:val="auto"/>
                <w:kern w:val="0"/>
                <w:sz w:val="21"/>
                <w:szCs w:val="24"/>
                <w:highlight w:val="none"/>
                <w:lang w:val="en-US" w:eastAsia="zh-CN" w:bidi="ar-SA"/>
              </w:rPr>
              <w:t>#监测井</w:t>
            </w:r>
          </w:p>
        </w:tc>
        <w:tc>
          <w:tcPr>
            <w:tcW w:w="764" w:type="pct"/>
            <w:gridSpan w:val="2"/>
            <w:tcBorders>
              <w:tl2br w:val="nil"/>
              <w:tr2bl w:val="nil"/>
            </w:tcBorders>
            <w:shd w:val="clear" w:color="auto" w:fill="auto"/>
            <w:vAlign w:val="center"/>
          </w:tcPr>
          <w:p w14:paraId="0D9C666E">
            <w:pPr>
              <w:pStyle w:val="132"/>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kern w:val="0"/>
                <w:sz w:val="21"/>
                <w:szCs w:val="24"/>
                <w:highlight w:val="none"/>
                <w:lang w:val="en-US" w:eastAsia="zh-CN" w:bidi="ar-SA"/>
              </w:rPr>
              <w:t>4</w:t>
            </w:r>
            <w:r>
              <w:rPr>
                <w:rFonts w:hint="default" w:ascii="Times New Roman" w:hAnsi="Times New Roman" w:eastAsia="宋体" w:cs="Times New Roman"/>
                <w:b/>
                <w:bCs/>
                <w:color w:val="auto"/>
                <w:kern w:val="0"/>
                <w:sz w:val="21"/>
                <w:szCs w:val="24"/>
                <w:highlight w:val="none"/>
                <w:lang w:val="en-US" w:eastAsia="zh-CN" w:bidi="ar-SA"/>
              </w:rPr>
              <w:t>#监测井</w:t>
            </w:r>
          </w:p>
        </w:tc>
        <w:tc>
          <w:tcPr>
            <w:tcW w:w="764" w:type="pct"/>
            <w:gridSpan w:val="2"/>
            <w:tcBorders>
              <w:tl2br w:val="nil"/>
              <w:tr2bl w:val="nil"/>
            </w:tcBorders>
            <w:shd w:val="clear" w:color="auto" w:fill="auto"/>
            <w:vAlign w:val="center"/>
          </w:tcPr>
          <w:p w14:paraId="0CF4E2B1">
            <w:pPr>
              <w:pStyle w:val="132"/>
              <w:bidi w:val="0"/>
              <w:ind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cs="Times New Roman"/>
                <w:b/>
                <w:bCs/>
                <w:color w:val="auto"/>
                <w:kern w:val="0"/>
                <w:sz w:val="21"/>
                <w:szCs w:val="24"/>
                <w:highlight w:val="none"/>
                <w:lang w:val="en-US" w:eastAsia="zh-CN" w:bidi="ar-SA"/>
              </w:rPr>
              <w:t>5</w:t>
            </w:r>
            <w:r>
              <w:rPr>
                <w:rFonts w:hint="default" w:ascii="Times New Roman" w:hAnsi="Times New Roman" w:eastAsia="宋体" w:cs="Times New Roman"/>
                <w:b/>
                <w:bCs/>
                <w:color w:val="auto"/>
                <w:kern w:val="0"/>
                <w:sz w:val="21"/>
                <w:szCs w:val="24"/>
                <w:highlight w:val="none"/>
                <w:lang w:val="en-US" w:eastAsia="zh-CN" w:bidi="ar-SA"/>
              </w:rPr>
              <w:t>#监测井</w:t>
            </w:r>
          </w:p>
        </w:tc>
        <w:tc>
          <w:tcPr>
            <w:tcW w:w="315" w:type="pct"/>
            <w:vMerge w:val="continue"/>
            <w:tcBorders>
              <w:tl2br w:val="nil"/>
              <w:tr2bl w:val="nil"/>
            </w:tcBorders>
            <w:shd w:val="clear" w:color="auto" w:fill="auto"/>
            <w:vAlign w:val="center"/>
          </w:tcPr>
          <w:p w14:paraId="53B0F5FB">
            <w:pPr>
              <w:pStyle w:val="132"/>
              <w:bidi w:val="0"/>
              <w:jc w:val="center"/>
              <w:rPr>
                <w:rFonts w:hint="default" w:ascii="Times New Roman" w:hAnsi="Times New Roman" w:cs="Times New Roman"/>
                <w:b/>
                <w:bCs/>
                <w:color w:val="auto"/>
                <w:highlight w:val="none"/>
              </w:rPr>
            </w:pPr>
          </w:p>
        </w:tc>
      </w:tr>
      <w:tr w14:paraId="56D9FA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340" w:hRule="atLeast"/>
          <w:tblHeader/>
          <w:jc w:val="center"/>
        </w:trPr>
        <w:tc>
          <w:tcPr>
            <w:tcW w:w="83" w:type="pct"/>
            <w:vMerge w:val="continue"/>
            <w:tcBorders>
              <w:tl2br w:val="nil"/>
              <w:tr2bl w:val="nil"/>
            </w:tcBorders>
            <w:shd w:val="clear" w:color="auto" w:fill="auto"/>
            <w:tcMar>
              <w:left w:w="0" w:type="dxa"/>
              <w:right w:w="0" w:type="dxa"/>
            </w:tcMar>
            <w:vAlign w:val="center"/>
          </w:tcPr>
          <w:p w14:paraId="3743A8EA">
            <w:pPr>
              <w:pStyle w:val="132"/>
              <w:bidi w:val="0"/>
              <w:jc w:val="center"/>
              <w:rPr>
                <w:rFonts w:hint="default" w:ascii="Times New Roman" w:hAnsi="Times New Roman" w:cs="Times New Roman"/>
                <w:b/>
                <w:bCs/>
                <w:color w:val="auto"/>
                <w:highlight w:val="none"/>
              </w:rPr>
            </w:pPr>
          </w:p>
        </w:tc>
        <w:tc>
          <w:tcPr>
            <w:tcW w:w="397" w:type="pct"/>
            <w:vMerge w:val="continue"/>
            <w:tcBorders>
              <w:tl2br w:val="nil"/>
              <w:tr2bl w:val="nil"/>
            </w:tcBorders>
            <w:shd w:val="clear" w:color="auto" w:fill="auto"/>
            <w:vAlign w:val="center"/>
          </w:tcPr>
          <w:p w14:paraId="517C29F3">
            <w:pPr>
              <w:pStyle w:val="132"/>
              <w:bidi w:val="0"/>
              <w:jc w:val="center"/>
              <w:rPr>
                <w:rFonts w:hint="default" w:ascii="Times New Roman" w:hAnsi="Times New Roman" w:cs="Times New Roman"/>
                <w:b/>
                <w:bCs/>
                <w:color w:val="auto"/>
                <w:highlight w:val="none"/>
              </w:rPr>
            </w:pPr>
          </w:p>
        </w:tc>
        <w:tc>
          <w:tcPr>
            <w:tcW w:w="378" w:type="pct"/>
            <w:vMerge w:val="continue"/>
            <w:tcBorders>
              <w:tl2br w:val="nil"/>
              <w:tr2bl w:val="nil"/>
            </w:tcBorders>
            <w:shd w:val="clear" w:color="auto" w:fill="auto"/>
            <w:vAlign w:val="center"/>
          </w:tcPr>
          <w:p w14:paraId="47FFB495">
            <w:pPr>
              <w:pStyle w:val="132"/>
              <w:bidi w:val="0"/>
              <w:jc w:val="center"/>
              <w:rPr>
                <w:rFonts w:hint="default" w:ascii="Times New Roman" w:hAnsi="Times New Roman" w:cs="Times New Roman"/>
                <w:b/>
                <w:bCs/>
                <w:color w:val="auto"/>
                <w:highlight w:val="none"/>
              </w:rPr>
            </w:pPr>
          </w:p>
        </w:tc>
        <w:tc>
          <w:tcPr>
            <w:tcW w:w="292" w:type="pct"/>
            <w:tcBorders>
              <w:tl2br w:val="nil"/>
              <w:tr2bl w:val="nil"/>
            </w:tcBorders>
            <w:shd w:val="clear" w:color="auto" w:fill="auto"/>
            <w:vAlign w:val="center"/>
          </w:tcPr>
          <w:p w14:paraId="76137709">
            <w:pPr>
              <w:pStyle w:val="132"/>
              <w:bidi w:val="0"/>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rPr>
              <w:t>监测值</w:t>
            </w:r>
          </w:p>
        </w:tc>
        <w:tc>
          <w:tcPr>
            <w:tcW w:w="472" w:type="pct"/>
            <w:tcBorders>
              <w:tl2br w:val="nil"/>
              <w:tr2bl w:val="nil"/>
            </w:tcBorders>
            <w:shd w:val="clear" w:color="auto" w:fill="auto"/>
            <w:vAlign w:val="center"/>
          </w:tcPr>
          <w:p w14:paraId="5A1A735C">
            <w:pPr>
              <w:pStyle w:val="132"/>
              <w:bidi w:val="0"/>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rPr>
              <w:t>评价值</w:t>
            </w:r>
          </w:p>
        </w:tc>
        <w:tc>
          <w:tcPr>
            <w:tcW w:w="292" w:type="pct"/>
            <w:tcBorders>
              <w:tl2br w:val="nil"/>
              <w:tr2bl w:val="nil"/>
            </w:tcBorders>
            <w:shd w:val="clear" w:color="auto" w:fill="auto"/>
            <w:vAlign w:val="center"/>
          </w:tcPr>
          <w:p w14:paraId="260DB944">
            <w:pPr>
              <w:pStyle w:val="132"/>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监测值</w:t>
            </w:r>
          </w:p>
        </w:tc>
        <w:tc>
          <w:tcPr>
            <w:tcW w:w="472" w:type="pct"/>
            <w:tcBorders>
              <w:tl2br w:val="nil"/>
              <w:tr2bl w:val="nil"/>
            </w:tcBorders>
            <w:shd w:val="clear" w:color="auto" w:fill="auto"/>
            <w:vAlign w:val="center"/>
          </w:tcPr>
          <w:p w14:paraId="063C2883">
            <w:pPr>
              <w:pStyle w:val="132"/>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评价值</w:t>
            </w:r>
          </w:p>
        </w:tc>
        <w:tc>
          <w:tcPr>
            <w:tcW w:w="292" w:type="pct"/>
            <w:tcBorders>
              <w:tl2br w:val="nil"/>
              <w:tr2bl w:val="nil"/>
            </w:tcBorders>
            <w:shd w:val="clear" w:color="auto" w:fill="auto"/>
            <w:vAlign w:val="center"/>
          </w:tcPr>
          <w:p w14:paraId="3A8140C1">
            <w:pPr>
              <w:pStyle w:val="132"/>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监测值</w:t>
            </w:r>
          </w:p>
        </w:tc>
        <w:tc>
          <w:tcPr>
            <w:tcW w:w="472" w:type="pct"/>
            <w:tcBorders>
              <w:tl2br w:val="nil"/>
              <w:tr2bl w:val="nil"/>
            </w:tcBorders>
            <w:shd w:val="clear" w:color="auto" w:fill="auto"/>
            <w:vAlign w:val="center"/>
          </w:tcPr>
          <w:p w14:paraId="6AAF3EF2">
            <w:pPr>
              <w:pStyle w:val="132"/>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评价值</w:t>
            </w:r>
          </w:p>
        </w:tc>
        <w:tc>
          <w:tcPr>
            <w:tcW w:w="292" w:type="pct"/>
            <w:tcBorders>
              <w:tl2br w:val="nil"/>
              <w:tr2bl w:val="nil"/>
            </w:tcBorders>
            <w:shd w:val="clear" w:color="auto" w:fill="auto"/>
            <w:vAlign w:val="center"/>
          </w:tcPr>
          <w:p w14:paraId="0B224D79">
            <w:pPr>
              <w:pStyle w:val="132"/>
              <w:bidi w:val="0"/>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rPr>
              <w:t>监测值</w:t>
            </w:r>
          </w:p>
        </w:tc>
        <w:tc>
          <w:tcPr>
            <w:tcW w:w="472" w:type="pct"/>
            <w:tcBorders>
              <w:tl2br w:val="nil"/>
              <w:tr2bl w:val="nil"/>
            </w:tcBorders>
            <w:shd w:val="clear" w:color="auto" w:fill="auto"/>
            <w:vAlign w:val="center"/>
          </w:tcPr>
          <w:p w14:paraId="13990E76">
            <w:pPr>
              <w:pStyle w:val="132"/>
              <w:bidi w:val="0"/>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rPr>
              <w:t>评价值</w:t>
            </w:r>
          </w:p>
        </w:tc>
        <w:tc>
          <w:tcPr>
            <w:tcW w:w="292" w:type="pct"/>
            <w:tcBorders>
              <w:tl2br w:val="nil"/>
              <w:tr2bl w:val="nil"/>
            </w:tcBorders>
            <w:shd w:val="clear" w:color="auto" w:fill="auto"/>
            <w:vAlign w:val="center"/>
          </w:tcPr>
          <w:p w14:paraId="0F36DFEC">
            <w:pPr>
              <w:pStyle w:val="132"/>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监测值</w:t>
            </w:r>
          </w:p>
        </w:tc>
        <w:tc>
          <w:tcPr>
            <w:tcW w:w="472" w:type="pct"/>
            <w:tcBorders>
              <w:tl2br w:val="nil"/>
              <w:tr2bl w:val="nil"/>
            </w:tcBorders>
            <w:shd w:val="clear" w:color="auto" w:fill="auto"/>
            <w:vAlign w:val="center"/>
          </w:tcPr>
          <w:p w14:paraId="273D9A1D">
            <w:pPr>
              <w:pStyle w:val="132"/>
              <w:bidi w:val="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评价值</w:t>
            </w:r>
          </w:p>
        </w:tc>
        <w:tc>
          <w:tcPr>
            <w:tcW w:w="315" w:type="pct"/>
            <w:vMerge w:val="continue"/>
            <w:tcBorders>
              <w:tl2br w:val="nil"/>
              <w:tr2bl w:val="nil"/>
            </w:tcBorders>
            <w:shd w:val="clear" w:color="auto" w:fill="auto"/>
            <w:vAlign w:val="center"/>
          </w:tcPr>
          <w:p w14:paraId="7FA622E9">
            <w:pPr>
              <w:pStyle w:val="132"/>
              <w:bidi w:val="0"/>
              <w:jc w:val="center"/>
              <w:rPr>
                <w:rFonts w:hint="default" w:ascii="Times New Roman" w:hAnsi="Times New Roman" w:cs="Times New Roman"/>
                <w:b/>
                <w:bCs/>
                <w:color w:val="auto"/>
                <w:highlight w:val="none"/>
              </w:rPr>
            </w:pPr>
          </w:p>
        </w:tc>
      </w:tr>
      <w:tr w14:paraId="43AF11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01FCD0DB">
            <w:pPr>
              <w:pStyle w:val="132"/>
              <w:bidi w:val="0"/>
              <w:ind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color w:val="auto"/>
                <w:highlight w:val="none"/>
              </w:rPr>
              <w:t>1</w:t>
            </w:r>
          </w:p>
        </w:tc>
        <w:tc>
          <w:tcPr>
            <w:tcW w:w="397" w:type="pct"/>
            <w:tcBorders>
              <w:tl2br w:val="nil"/>
              <w:tr2bl w:val="nil"/>
            </w:tcBorders>
            <w:shd w:val="clear" w:color="auto" w:fill="auto"/>
            <w:vAlign w:val="center"/>
          </w:tcPr>
          <w:p w14:paraId="7BDB6C3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378" w:type="pct"/>
            <w:tcBorders>
              <w:tl2br w:val="nil"/>
              <w:tr2bl w:val="nil"/>
            </w:tcBorders>
            <w:shd w:val="clear" w:color="auto" w:fill="auto"/>
            <w:vAlign w:val="center"/>
          </w:tcPr>
          <w:p w14:paraId="4C85D05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无量纲</w:t>
            </w:r>
          </w:p>
        </w:tc>
        <w:tc>
          <w:tcPr>
            <w:tcW w:w="292" w:type="pct"/>
            <w:tcBorders>
              <w:tl2br w:val="nil"/>
              <w:tr2bl w:val="nil"/>
            </w:tcBorders>
            <w:shd w:val="clear" w:color="auto" w:fill="auto"/>
            <w:vAlign w:val="center"/>
          </w:tcPr>
          <w:p w14:paraId="1390C10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472" w:type="pct"/>
            <w:tcBorders>
              <w:tl2br w:val="nil"/>
              <w:tr2bl w:val="nil"/>
            </w:tcBorders>
            <w:shd w:val="clear" w:color="auto" w:fill="auto"/>
            <w:vAlign w:val="center"/>
          </w:tcPr>
          <w:p w14:paraId="4B394CA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292" w:type="pct"/>
            <w:tcBorders>
              <w:tl2br w:val="nil"/>
              <w:tr2bl w:val="nil"/>
            </w:tcBorders>
            <w:shd w:val="clear" w:color="auto" w:fill="auto"/>
            <w:vAlign w:val="center"/>
          </w:tcPr>
          <w:p w14:paraId="71F91D2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472" w:type="pct"/>
            <w:tcBorders>
              <w:tl2br w:val="nil"/>
              <w:tr2bl w:val="nil"/>
            </w:tcBorders>
            <w:shd w:val="clear" w:color="auto" w:fill="auto"/>
            <w:vAlign w:val="center"/>
          </w:tcPr>
          <w:p w14:paraId="4894E68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292" w:type="pct"/>
            <w:tcBorders>
              <w:tl2br w:val="nil"/>
              <w:tr2bl w:val="nil"/>
            </w:tcBorders>
            <w:shd w:val="clear" w:color="auto" w:fill="auto"/>
            <w:vAlign w:val="center"/>
          </w:tcPr>
          <w:p w14:paraId="441370F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472" w:type="pct"/>
            <w:tcBorders>
              <w:tl2br w:val="nil"/>
              <w:tr2bl w:val="nil"/>
            </w:tcBorders>
            <w:shd w:val="clear" w:color="auto" w:fill="auto"/>
            <w:vAlign w:val="center"/>
          </w:tcPr>
          <w:p w14:paraId="2704474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292" w:type="pct"/>
            <w:tcBorders>
              <w:tl2br w:val="nil"/>
              <w:tr2bl w:val="nil"/>
            </w:tcBorders>
            <w:shd w:val="clear" w:color="auto" w:fill="auto"/>
            <w:vAlign w:val="center"/>
          </w:tcPr>
          <w:p w14:paraId="24DCDD8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472" w:type="pct"/>
            <w:tcBorders>
              <w:tl2br w:val="nil"/>
              <w:tr2bl w:val="nil"/>
            </w:tcBorders>
            <w:shd w:val="clear" w:color="auto" w:fill="auto"/>
            <w:vAlign w:val="center"/>
          </w:tcPr>
          <w:p w14:paraId="0CCBFE1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292" w:type="pct"/>
            <w:tcBorders>
              <w:tl2br w:val="nil"/>
              <w:tr2bl w:val="nil"/>
            </w:tcBorders>
            <w:shd w:val="clear" w:color="auto" w:fill="auto"/>
            <w:vAlign w:val="center"/>
          </w:tcPr>
          <w:p w14:paraId="273B4A6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472" w:type="pct"/>
            <w:tcBorders>
              <w:tl2br w:val="nil"/>
              <w:tr2bl w:val="nil"/>
            </w:tcBorders>
            <w:shd w:val="clear" w:color="auto" w:fill="auto"/>
            <w:vAlign w:val="center"/>
          </w:tcPr>
          <w:p w14:paraId="3C6B7E1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315" w:type="pct"/>
            <w:tcBorders>
              <w:tl2br w:val="nil"/>
              <w:tr2bl w:val="nil"/>
            </w:tcBorders>
            <w:shd w:val="clear" w:color="auto" w:fill="auto"/>
            <w:vAlign w:val="center"/>
          </w:tcPr>
          <w:p w14:paraId="0F5DE41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6.5-8.5</w:t>
            </w:r>
          </w:p>
        </w:tc>
      </w:tr>
      <w:tr w14:paraId="0470ED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32D2C9D4">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97" w:type="pct"/>
            <w:tcBorders>
              <w:tl2br w:val="nil"/>
              <w:tr2bl w:val="nil"/>
            </w:tcBorders>
            <w:shd w:val="clear" w:color="auto" w:fill="auto"/>
            <w:vAlign w:val="center"/>
          </w:tcPr>
          <w:p w14:paraId="3689971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耗氧量(COD</w:t>
            </w:r>
            <w:r>
              <w:rPr>
                <w:rStyle w:val="138"/>
                <w:rFonts w:eastAsia="宋体"/>
                <w:color w:val="auto"/>
                <w:highlight w:val="none"/>
                <w:lang w:val="en-US" w:eastAsia="zh-CN" w:bidi="ar"/>
              </w:rPr>
              <w:t>Mn</w:t>
            </w:r>
            <w:r>
              <w:rPr>
                <w:rFonts w:hint="default" w:ascii="Times New Roman" w:hAnsi="Times New Roman" w:eastAsia="宋体" w:cs="Times New Roman"/>
                <w:i w:val="0"/>
                <w:iCs w:val="0"/>
                <w:color w:val="auto"/>
                <w:kern w:val="0"/>
                <w:sz w:val="21"/>
                <w:szCs w:val="21"/>
                <w:highlight w:val="none"/>
                <w:u w:val="none"/>
                <w:lang w:val="en-US" w:eastAsia="zh-CN" w:bidi="ar"/>
              </w:rPr>
              <w:t>法)</w:t>
            </w:r>
          </w:p>
        </w:tc>
        <w:tc>
          <w:tcPr>
            <w:tcW w:w="378" w:type="pct"/>
            <w:tcBorders>
              <w:tl2br w:val="nil"/>
              <w:tr2bl w:val="nil"/>
            </w:tcBorders>
            <w:shd w:val="clear" w:color="auto" w:fill="auto"/>
            <w:vAlign w:val="center"/>
          </w:tcPr>
          <w:p w14:paraId="1EA578C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2D81B1E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472" w:type="pct"/>
            <w:tcBorders>
              <w:tl2br w:val="nil"/>
              <w:tr2bl w:val="nil"/>
            </w:tcBorders>
            <w:shd w:val="clear" w:color="auto" w:fill="auto"/>
            <w:vAlign w:val="center"/>
          </w:tcPr>
          <w:p w14:paraId="6ED583F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0.5</w:t>
            </w:r>
          </w:p>
        </w:tc>
        <w:tc>
          <w:tcPr>
            <w:tcW w:w="292" w:type="pct"/>
            <w:tcBorders>
              <w:tl2br w:val="nil"/>
              <w:tr2bl w:val="nil"/>
            </w:tcBorders>
            <w:shd w:val="clear" w:color="auto" w:fill="auto"/>
            <w:vAlign w:val="center"/>
          </w:tcPr>
          <w:p w14:paraId="6EECC15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472" w:type="pct"/>
            <w:tcBorders>
              <w:tl2br w:val="nil"/>
              <w:tr2bl w:val="nil"/>
            </w:tcBorders>
            <w:shd w:val="clear" w:color="auto" w:fill="auto"/>
            <w:vAlign w:val="center"/>
          </w:tcPr>
          <w:p w14:paraId="0427EF8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w:t>
            </w:r>
          </w:p>
        </w:tc>
        <w:tc>
          <w:tcPr>
            <w:tcW w:w="292" w:type="pct"/>
            <w:tcBorders>
              <w:tl2br w:val="nil"/>
              <w:tr2bl w:val="nil"/>
            </w:tcBorders>
            <w:shd w:val="clear" w:color="auto" w:fill="auto"/>
            <w:vAlign w:val="center"/>
          </w:tcPr>
          <w:p w14:paraId="5C416BD0">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472" w:type="pct"/>
            <w:tcBorders>
              <w:tl2br w:val="nil"/>
              <w:tr2bl w:val="nil"/>
            </w:tcBorders>
            <w:shd w:val="clear" w:color="auto" w:fill="auto"/>
            <w:vAlign w:val="center"/>
          </w:tcPr>
          <w:p w14:paraId="2EC70A0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0.567</w:t>
            </w:r>
          </w:p>
        </w:tc>
        <w:tc>
          <w:tcPr>
            <w:tcW w:w="292" w:type="pct"/>
            <w:tcBorders>
              <w:tl2br w:val="nil"/>
              <w:tr2bl w:val="nil"/>
            </w:tcBorders>
            <w:shd w:val="clear" w:color="auto" w:fill="auto"/>
            <w:vAlign w:val="center"/>
          </w:tcPr>
          <w:p w14:paraId="280EDA60">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472" w:type="pct"/>
            <w:tcBorders>
              <w:tl2br w:val="nil"/>
              <w:tr2bl w:val="nil"/>
            </w:tcBorders>
            <w:shd w:val="clear" w:color="auto" w:fill="auto"/>
            <w:vAlign w:val="center"/>
          </w:tcPr>
          <w:p w14:paraId="2A8758B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0.533</w:t>
            </w:r>
          </w:p>
        </w:tc>
        <w:tc>
          <w:tcPr>
            <w:tcW w:w="292" w:type="pct"/>
            <w:tcBorders>
              <w:tl2br w:val="nil"/>
              <w:tr2bl w:val="nil"/>
            </w:tcBorders>
            <w:shd w:val="clear" w:color="auto" w:fill="auto"/>
            <w:vAlign w:val="center"/>
          </w:tcPr>
          <w:p w14:paraId="7B2B6DD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472" w:type="pct"/>
            <w:tcBorders>
              <w:tl2br w:val="nil"/>
              <w:tr2bl w:val="nil"/>
            </w:tcBorders>
            <w:shd w:val="clear" w:color="auto" w:fill="auto"/>
            <w:vAlign w:val="center"/>
          </w:tcPr>
          <w:p w14:paraId="3858A15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0.633</w:t>
            </w:r>
          </w:p>
        </w:tc>
        <w:tc>
          <w:tcPr>
            <w:tcW w:w="315" w:type="pct"/>
            <w:tcBorders>
              <w:tl2br w:val="nil"/>
              <w:tr2bl w:val="nil"/>
            </w:tcBorders>
            <w:shd w:val="clear" w:color="auto" w:fill="auto"/>
            <w:vAlign w:val="center"/>
          </w:tcPr>
          <w:p w14:paraId="356D743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3</w:t>
            </w:r>
          </w:p>
        </w:tc>
      </w:tr>
      <w:tr w14:paraId="1A3204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1BE934C2">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397" w:type="pct"/>
            <w:tcBorders>
              <w:tl2br w:val="nil"/>
              <w:tr2bl w:val="nil"/>
            </w:tcBorders>
            <w:shd w:val="clear" w:color="auto" w:fill="auto"/>
            <w:vAlign w:val="center"/>
          </w:tcPr>
          <w:p w14:paraId="00F36448">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总硬度（以CaCO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计）</w:t>
            </w:r>
          </w:p>
        </w:tc>
        <w:tc>
          <w:tcPr>
            <w:tcW w:w="378" w:type="pct"/>
            <w:tcBorders>
              <w:tl2br w:val="nil"/>
              <w:tr2bl w:val="nil"/>
            </w:tcBorders>
            <w:shd w:val="clear" w:color="auto" w:fill="auto"/>
            <w:vAlign w:val="center"/>
          </w:tcPr>
          <w:p w14:paraId="25ABDF71">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562C620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261.3</w:t>
            </w:r>
          </w:p>
        </w:tc>
        <w:tc>
          <w:tcPr>
            <w:tcW w:w="472" w:type="pct"/>
            <w:tcBorders>
              <w:tl2br w:val="nil"/>
              <w:tr2bl w:val="nil"/>
            </w:tcBorders>
            <w:shd w:val="clear" w:color="auto" w:fill="auto"/>
            <w:vAlign w:val="center"/>
          </w:tcPr>
          <w:p w14:paraId="1994B4F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0.58</w:t>
            </w:r>
            <w:r>
              <w:rPr>
                <w:rFonts w:hint="default" w:ascii="Times New Roman" w:hAnsi="Times New Roman" w:cs="Times New Roman"/>
                <w:i w:val="0"/>
                <w:iCs w:val="0"/>
                <w:color w:val="auto"/>
                <w:kern w:val="0"/>
                <w:sz w:val="22"/>
                <w:szCs w:val="22"/>
                <w:highlight w:val="none"/>
                <w:u w:val="none"/>
                <w:lang w:val="en-US" w:eastAsia="zh-CN" w:bidi="ar"/>
              </w:rPr>
              <w:t>1</w:t>
            </w:r>
          </w:p>
        </w:tc>
        <w:tc>
          <w:tcPr>
            <w:tcW w:w="292" w:type="pct"/>
            <w:tcBorders>
              <w:tl2br w:val="nil"/>
              <w:tr2bl w:val="nil"/>
            </w:tcBorders>
            <w:shd w:val="clear" w:color="auto" w:fill="auto"/>
            <w:vAlign w:val="center"/>
          </w:tcPr>
          <w:p w14:paraId="29ADB00F">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269.5</w:t>
            </w:r>
          </w:p>
        </w:tc>
        <w:tc>
          <w:tcPr>
            <w:tcW w:w="472" w:type="pct"/>
            <w:tcBorders>
              <w:tl2br w:val="nil"/>
              <w:tr2bl w:val="nil"/>
            </w:tcBorders>
            <w:shd w:val="clear" w:color="auto" w:fill="auto"/>
            <w:vAlign w:val="center"/>
          </w:tcPr>
          <w:p w14:paraId="0F25E54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0.599</w:t>
            </w:r>
          </w:p>
        </w:tc>
        <w:tc>
          <w:tcPr>
            <w:tcW w:w="292" w:type="pct"/>
            <w:tcBorders>
              <w:tl2br w:val="nil"/>
              <w:tr2bl w:val="nil"/>
            </w:tcBorders>
            <w:shd w:val="clear" w:color="auto" w:fill="auto"/>
            <w:vAlign w:val="center"/>
          </w:tcPr>
          <w:p w14:paraId="3C2F9221">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245.1</w:t>
            </w:r>
          </w:p>
        </w:tc>
        <w:tc>
          <w:tcPr>
            <w:tcW w:w="472" w:type="pct"/>
            <w:tcBorders>
              <w:tl2br w:val="nil"/>
              <w:tr2bl w:val="nil"/>
            </w:tcBorders>
            <w:shd w:val="clear" w:color="auto" w:fill="auto"/>
            <w:vAlign w:val="center"/>
          </w:tcPr>
          <w:p w14:paraId="4F3968B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0.54</w:t>
            </w:r>
            <w:r>
              <w:rPr>
                <w:rFonts w:hint="default" w:ascii="Times New Roman" w:hAnsi="Times New Roman" w:cs="Times New Roman"/>
                <w:i w:val="0"/>
                <w:iCs w:val="0"/>
                <w:color w:val="auto"/>
                <w:kern w:val="0"/>
                <w:sz w:val="22"/>
                <w:szCs w:val="22"/>
                <w:highlight w:val="none"/>
                <w:u w:val="none"/>
                <w:lang w:val="en-US" w:eastAsia="zh-CN" w:bidi="ar"/>
              </w:rPr>
              <w:t>5</w:t>
            </w:r>
          </w:p>
        </w:tc>
        <w:tc>
          <w:tcPr>
            <w:tcW w:w="292" w:type="pct"/>
            <w:tcBorders>
              <w:tl2br w:val="nil"/>
              <w:tr2bl w:val="nil"/>
            </w:tcBorders>
            <w:shd w:val="clear" w:color="auto" w:fill="auto"/>
            <w:vAlign w:val="center"/>
          </w:tcPr>
          <w:p w14:paraId="382ED2B4">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265.4</w:t>
            </w:r>
          </w:p>
        </w:tc>
        <w:tc>
          <w:tcPr>
            <w:tcW w:w="472" w:type="pct"/>
            <w:tcBorders>
              <w:tl2br w:val="nil"/>
              <w:tr2bl w:val="nil"/>
            </w:tcBorders>
            <w:shd w:val="clear" w:color="auto" w:fill="auto"/>
            <w:vAlign w:val="center"/>
          </w:tcPr>
          <w:p w14:paraId="1B92F96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w:t>
            </w:r>
            <w:r>
              <w:rPr>
                <w:rFonts w:hint="default" w:ascii="Times New Roman" w:hAnsi="Times New Roman" w:cs="Times New Roman"/>
                <w:i w:val="0"/>
                <w:iCs w:val="0"/>
                <w:color w:val="auto"/>
                <w:kern w:val="0"/>
                <w:sz w:val="22"/>
                <w:szCs w:val="22"/>
                <w:highlight w:val="none"/>
                <w:u w:val="none"/>
                <w:lang w:val="en-US" w:eastAsia="zh-CN" w:bidi="ar"/>
              </w:rPr>
              <w:t>90</w:t>
            </w:r>
          </w:p>
        </w:tc>
        <w:tc>
          <w:tcPr>
            <w:tcW w:w="292" w:type="pct"/>
            <w:tcBorders>
              <w:tl2br w:val="nil"/>
              <w:tr2bl w:val="nil"/>
            </w:tcBorders>
            <w:shd w:val="clear" w:color="auto" w:fill="auto"/>
            <w:vAlign w:val="center"/>
          </w:tcPr>
          <w:p w14:paraId="6AA41FF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264.4</w:t>
            </w:r>
          </w:p>
        </w:tc>
        <w:tc>
          <w:tcPr>
            <w:tcW w:w="472" w:type="pct"/>
            <w:tcBorders>
              <w:tl2br w:val="nil"/>
              <w:tr2bl w:val="nil"/>
            </w:tcBorders>
            <w:shd w:val="clear" w:color="auto" w:fill="auto"/>
            <w:vAlign w:val="center"/>
          </w:tcPr>
          <w:p w14:paraId="288FB35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0.58</w:t>
            </w:r>
            <w:r>
              <w:rPr>
                <w:rFonts w:hint="default" w:ascii="Times New Roman" w:hAnsi="Times New Roman" w:cs="Times New Roman"/>
                <w:i w:val="0"/>
                <w:iCs w:val="0"/>
                <w:color w:val="auto"/>
                <w:kern w:val="0"/>
                <w:sz w:val="22"/>
                <w:szCs w:val="22"/>
                <w:highlight w:val="none"/>
                <w:u w:val="none"/>
                <w:lang w:val="en-US" w:eastAsia="zh-CN" w:bidi="ar"/>
              </w:rPr>
              <w:t>8</w:t>
            </w:r>
          </w:p>
        </w:tc>
        <w:tc>
          <w:tcPr>
            <w:tcW w:w="315" w:type="pct"/>
            <w:tcBorders>
              <w:tl2br w:val="nil"/>
              <w:tr2bl w:val="nil"/>
            </w:tcBorders>
            <w:shd w:val="clear" w:color="auto" w:fill="auto"/>
            <w:vAlign w:val="center"/>
          </w:tcPr>
          <w:p w14:paraId="3DC673A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450</w:t>
            </w:r>
          </w:p>
        </w:tc>
      </w:tr>
      <w:tr w14:paraId="783CBC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26FAEEC1">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397" w:type="pct"/>
            <w:tcBorders>
              <w:tl2br w:val="nil"/>
              <w:tr2bl w:val="nil"/>
            </w:tcBorders>
            <w:shd w:val="clear" w:color="auto" w:fill="auto"/>
            <w:vAlign w:val="center"/>
          </w:tcPr>
          <w:p w14:paraId="7441621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溶解性总固体</w:t>
            </w:r>
          </w:p>
        </w:tc>
        <w:tc>
          <w:tcPr>
            <w:tcW w:w="378" w:type="pct"/>
            <w:tcBorders>
              <w:tl2br w:val="nil"/>
              <w:tr2bl w:val="nil"/>
            </w:tcBorders>
            <w:shd w:val="clear" w:color="auto" w:fill="auto"/>
            <w:vAlign w:val="center"/>
          </w:tcPr>
          <w:p w14:paraId="3928546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7064249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595</w:t>
            </w:r>
          </w:p>
        </w:tc>
        <w:tc>
          <w:tcPr>
            <w:tcW w:w="472" w:type="pct"/>
            <w:tcBorders>
              <w:tl2br w:val="nil"/>
              <w:tr2bl w:val="nil"/>
            </w:tcBorders>
            <w:shd w:val="clear" w:color="auto" w:fill="auto"/>
            <w:vAlign w:val="center"/>
          </w:tcPr>
          <w:p w14:paraId="5BA1C04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0.595</w:t>
            </w:r>
          </w:p>
        </w:tc>
        <w:tc>
          <w:tcPr>
            <w:tcW w:w="292" w:type="pct"/>
            <w:tcBorders>
              <w:tl2br w:val="nil"/>
              <w:tr2bl w:val="nil"/>
            </w:tcBorders>
            <w:shd w:val="clear" w:color="auto" w:fill="auto"/>
            <w:vAlign w:val="center"/>
          </w:tcPr>
          <w:p w14:paraId="49721FE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613</w:t>
            </w:r>
          </w:p>
        </w:tc>
        <w:tc>
          <w:tcPr>
            <w:tcW w:w="472" w:type="pct"/>
            <w:tcBorders>
              <w:tl2br w:val="nil"/>
              <w:tr2bl w:val="nil"/>
            </w:tcBorders>
            <w:shd w:val="clear" w:color="auto" w:fill="auto"/>
            <w:vAlign w:val="center"/>
          </w:tcPr>
          <w:p w14:paraId="47397AB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0.613</w:t>
            </w:r>
          </w:p>
        </w:tc>
        <w:tc>
          <w:tcPr>
            <w:tcW w:w="292" w:type="pct"/>
            <w:tcBorders>
              <w:tl2br w:val="nil"/>
              <w:tr2bl w:val="nil"/>
            </w:tcBorders>
            <w:shd w:val="clear" w:color="auto" w:fill="auto"/>
            <w:vAlign w:val="center"/>
          </w:tcPr>
          <w:p w14:paraId="350F141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574</w:t>
            </w:r>
          </w:p>
        </w:tc>
        <w:tc>
          <w:tcPr>
            <w:tcW w:w="472" w:type="pct"/>
            <w:tcBorders>
              <w:tl2br w:val="nil"/>
              <w:tr2bl w:val="nil"/>
            </w:tcBorders>
            <w:shd w:val="clear" w:color="auto" w:fill="auto"/>
            <w:vAlign w:val="center"/>
          </w:tcPr>
          <w:p w14:paraId="2BC6982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0.574</w:t>
            </w:r>
          </w:p>
        </w:tc>
        <w:tc>
          <w:tcPr>
            <w:tcW w:w="292" w:type="pct"/>
            <w:tcBorders>
              <w:tl2br w:val="nil"/>
              <w:tr2bl w:val="nil"/>
            </w:tcBorders>
            <w:shd w:val="clear" w:color="auto" w:fill="auto"/>
            <w:vAlign w:val="center"/>
          </w:tcPr>
          <w:p w14:paraId="3E356FDD">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588</w:t>
            </w:r>
          </w:p>
        </w:tc>
        <w:tc>
          <w:tcPr>
            <w:tcW w:w="472" w:type="pct"/>
            <w:tcBorders>
              <w:tl2br w:val="nil"/>
              <w:tr2bl w:val="nil"/>
            </w:tcBorders>
            <w:shd w:val="clear" w:color="auto" w:fill="auto"/>
            <w:vAlign w:val="center"/>
          </w:tcPr>
          <w:p w14:paraId="1105364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0.588</w:t>
            </w:r>
          </w:p>
        </w:tc>
        <w:tc>
          <w:tcPr>
            <w:tcW w:w="292" w:type="pct"/>
            <w:tcBorders>
              <w:tl2br w:val="nil"/>
              <w:tr2bl w:val="nil"/>
            </w:tcBorders>
            <w:shd w:val="clear" w:color="auto" w:fill="auto"/>
            <w:vAlign w:val="center"/>
          </w:tcPr>
          <w:p w14:paraId="6304D26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568</w:t>
            </w:r>
          </w:p>
        </w:tc>
        <w:tc>
          <w:tcPr>
            <w:tcW w:w="472" w:type="pct"/>
            <w:tcBorders>
              <w:tl2br w:val="nil"/>
              <w:tr2bl w:val="nil"/>
            </w:tcBorders>
            <w:shd w:val="clear" w:color="auto" w:fill="auto"/>
            <w:vAlign w:val="center"/>
          </w:tcPr>
          <w:p w14:paraId="7669044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0.568</w:t>
            </w:r>
          </w:p>
        </w:tc>
        <w:tc>
          <w:tcPr>
            <w:tcW w:w="315" w:type="pct"/>
            <w:tcBorders>
              <w:tl2br w:val="nil"/>
              <w:tr2bl w:val="nil"/>
            </w:tcBorders>
            <w:shd w:val="clear" w:color="auto" w:fill="auto"/>
            <w:vAlign w:val="center"/>
          </w:tcPr>
          <w:p w14:paraId="174F769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1000</w:t>
            </w:r>
          </w:p>
        </w:tc>
      </w:tr>
      <w:tr w14:paraId="68BA05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48203FB9">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397" w:type="pct"/>
            <w:tcBorders>
              <w:tl2br w:val="nil"/>
              <w:tr2bl w:val="nil"/>
            </w:tcBorders>
            <w:shd w:val="clear" w:color="auto" w:fill="auto"/>
            <w:vAlign w:val="center"/>
          </w:tcPr>
          <w:p w14:paraId="3E94500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p w14:paraId="4C476C5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（以N计）</w:t>
            </w:r>
          </w:p>
        </w:tc>
        <w:tc>
          <w:tcPr>
            <w:tcW w:w="378" w:type="pct"/>
            <w:tcBorders>
              <w:tl2br w:val="nil"/>
              <w:tr2bl w:val="nil"/>
            </w:tcBorders>
            <w:shd w:val="clear" w:color="auto" w:fill="auto"/>
            <w:vAlign w:val="center"/>
          </w:tcPr>
          <w:p w14:paraId="01A8058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6293A36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0.039</w:t>
            </w:r>
          </w:p>
        </w:tc>
        <w:tc>
          <w:tcPr>
            <w:tcW w:w="472" w:type="pct"/>
            <w:tcBorders>
              <w:tl2br w:val="nil"/>
              <w:tr2bl w:val="nil"/>
            </w:tcBorders>
            <w:shd w:val="clear" w:color="auto" w:fill="auto"/>
            <w:vAlign w:val="center"/>
          </w:tcPr>
          <w:p w14:paraId="241E246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0.078</w:t>
            </w:r>
          </w:p>
        </w:tc>
        <w:tc>
          <w:tcPr>
            <w:tcW w:w="292" w:type="pct"/>
            <w:tcBorders>
              <w:tl2br w:val="nil"/>
              <w:tr2bl w:val="nil"/>
            </w:tcBorders>
            <w:shd w:val="clear" w:color="auto" w:fill="auto"/>
            <w:vAlign w:val="center"/>
          </w:tcPr>
          <w:p w14:paraId="78C7EDC4">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0.036</w:t>
            </w:r>
          </w:p>
        </w:tc>
        <w:tc>
          <w:tcPr>
            <w:tcW w:w="472" w:type="pct"/>
            <w:tcBorders>
              <w:tl2br w:val="nil"/>
              <w:tr2bl w:val="nil"/>
            </w:tcBorders>
            <w:shd w:val="clear" w:color="auto" w:fill="auto"/>
            <w:vAlign w:val="center"/>
          </w:tcPr>
          <w:p w14:paraId="7CDA311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0.072</w:t>
            </w:r>
          </w:p>
        </w:tc>
        <w:tc>
          <w:tcPr>
            <w:tcW w:w="292" w:type="pct"/>
            <w:tcBorders>
              <w:tl2br w:val="nil"/>
              <w:tr2bl w:val="nil"/>
            </w:tcBorders>
            <w:shd w:val="clear" w:color="auto" w:fill="auto"/>
            <w:vAlign w:val="center"/>
          </w:tcPr>
          <w:p w14:paraId="1B95B24D">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0.031</w:t>
            </w:r>
          </w:p>
        </w:tc>
        <w:tc>
          <w:tcPr>
            <w:tcW w:w="472" w:type="pct"/>
            <w:tcBorders>
              <w:tl2br w:val="nil"/>
              <w:tr2bl w:val="nil"/>
            </w:tcBorders>
            <w:shd w:val="clear" w:color="auto" w:fill="auto"/>
            <w:vAlign w:val="center"/>
          </w:tcPr>
          <w:p w14:paraId="5955E25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0.062</w:t>
            </w:r>
          </w:p>
        </w:tc>
        <w:tc>
          <w:tcPr>
            <w:tcW w:w="292" w:type="pct"/>
            <w:tcBorders>
              <w:tl2br w:val="nil"/>
              <w:tr2bl w:val="nil"/>
            </w:tcBorders>
            <w:shd w:val="clear" w:color="auto" w:fill="auto"/>
            <w:vAlign w:val="center"/>
          </w:tcPr>
          <w:p w14:paraId="3D4F73A7">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0.044</w:t>
            </w:r>
          </w:p>
        </w:tc>
        <w:tc>
          <w:tcPr>
            <w:tcW w:w="472" w:type="pct"/>
            <w:tcBorders>
              <w:tl2br w:val="nil"/>
              <w:tr2bl w:val="nil"/>
            </w:tcBorders>
            <w:shd w:val="clear" w:color="auto" w:fill="auto"/>
            <w:vAlign w:val="center"/>
          </w:tcPr>
          <w:p w14:paraId="185DB35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0.088</w:t>
            </w:r>
          </w:p>
        </w:tc>
        <w:tc>
          <w:tcPr>
            <w:tcW w:w="292" w:type="pct"/>
            <w:tcBorders>
              <w:tl2br w:val="nil"/>
              <w:tr2bl w:val="nil"/>
            </w:tcBorders>
            <w:shd w:val="clear" w:color="auto" w:fill="auto"/>
            <w:vAlign w:val="center"/>
          </w:tcPr>
          <w:p w14:paraId="733FEAF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0.028</w:t>
            </w:r>
          </w:p>
        </w:tc>
        <w:tc>
          <w:tcPr>
            <w:tcW w:w="472" w:type="pct"/>
            <w:tcBorders>
              <w:tl2br w:val="nil"/>
              <w:tr2bl w:val="nil"/>
            </w:tcBorders>
            <w:shd w:val="clear" w:color="auto" w:fill="auto"/>
            <w:vAlign w:val="center"/>
          </w:tcPr>
          <w:p w14:paraId="10410BD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0.056</w:t>
            </w:r>
          </w:p>
        </w:tc>
        <w:tc>
          <w:tcPr>
            <w:tcW w:w="315" w:type="pct"/>
            <w:tcBorders>
              <w:tl2br w:val="nil"/>
              <w:tr2bl w:val="nil"/>
            </w:tcBorders>
            <w:shd w:val="clear" w:color="auto" w:fill="auto"/>
            <w:vAlign w:val="center"/>
          </w:tcPr>
          <w:p w14:paraId="741CA0A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0.5</w:t>
            </w:r>
          </w:p>
        </w:tc>
      </w:tr>
      <w:tr w14:paraId="6A887E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1392F0DE">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397" w:type="pct"/>
            <w:tcBorders>
              <w:tl2br w:val="nil"/>
              <w:tr2bl w:val="nil"/>
            </w:tcBorders>
            <w:shd w:val="clear" w:color="auto" w:fill="auto"/>
            <w:vAlign w:val="center"/>
          </w:tcPr>
          <w:p w14:paraId="544DB20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挥发酚（以苯酚计）</w:t>
            </w:r>
          </w:p>
        </w:tc>
        <w:tc>
          <w:tcPr>
            <w:tcW w:w="378" w:type="pct"/>
            <w:tcBorders>
              <w:tl2br w:val="nil"/>
              <w:tr2bl w:val="nil"/>
            </w:tcBorders>
            <w:shd w:val="clear" w:color="auto" w:fill="auto"/>
            <w:vAlign w:val="center"/>
          </w:tcPr>
          <w:p w14:paraId="69B3D2A9">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5640D07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0.0003L</w:t>
            </w:r>
          </w:p>
        </w:tc>
        <w:tc>
          <w:tcPr>
            <w:tcW w:w="472" w:type="pct"/>
            <w:tcBorders>
              <w:tl2br w:val="nil"/>
              <w:tr2bl w:val="nil"/>
            </w:tcBorders>
            <w:shd w:val="clear" w:color="auto" w:fill="auto"/>
            <w:vAlign w:val="center"/>
          </w:tcPr>
          <w:p w14:paraId="7B4A0E4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4DBCB6FA">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0.0003L</w:t>
            </w:r>
          </w:p>
        </w:tc>
        <w:tc>
          <w:tcPr>
            <w:tcW w:w="472" w:type="pct"/>
            <w:tcBorders>
              <w:tl2br w:val="nil"/>
              <w:tr2bl w:val="nil"/>
            </w:tcBorders>
            <w:shd w:val="clear" w:color="auto" w:fill="auto"/>
            <w:vAlign w:val="center"/>
          </w:tcPr>
          <w:p w14:paraId="373E8F0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B66C22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0.0003L</w:t>
            </w:r>
          </w:p>
        </w:tc>
        <w:tc>
          <w:tcPr>
            <w:tcW w:w="472" w:type="pct"/>
            <w:tcBorders>
              <w:tl2br w:val="nil"/>
              <w:tr2bl w:val="nil"/>
            </w:tcBorders>
            <w:shd w:val="clear" w:color="auto" w:fill="auto"/>
            <w:vAlign w:val="center"/>
          </w:tcPr>
          <w:p w14:paraId="2F69A35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90858DF">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0.0003L</w:t>
            </w:r>
          </w:p>
        </w:tc>
        <w:tc>
          <w:tcPr>
            <w:tcW w:w="472" w:type="pct"/>
            <w:tcBorders>
              <w:tl2br w:val="nil"/>
              <w:tr2bl w:val="nil"/>
            </w:tcBorders>
            <w:shd w:val="clear" w:color="auto" w:fill="auto"/>
            <w:vAlign w:val="center"/>
          </w:tcPr>
          <w:p w14:paraId="3916273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4B447E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0.0003L</w:t>
            </w:r>
          </w:p>
        </w:tc>
        <w:tc>
          <w:tcPr>
            <w:tcW w:w="472" w:type="pct"/>
            <w:tcBorders>
              <w:tl2br w:val="nil"/>
              <w:tr2bl w:val="nil"/>
            </w:tcBorders>
            <w:shd w:val="clear" w:color="auto" w:fill="auto"/>
            <w:vAlign w:val="center"/>
          </w:tcPr>
          <w:p w14:paraId="3D213E8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1008621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0.002</w:t>
            </w:r>
          </w:p>
        </w:tc>
      </w:tr>
      <w:tr w14:paraId="635ADF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07DB0250">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397" w:type="pct"/>
            <w:tcBorders>
              <w:tl2br w:val="nil"/>
              <w:tr2bl w:val="nil"/>
            </w:tcBorders>
            <w:shd w:val="clear" w:color="auto" w:fill="auto"/>
            <w:vAlign w:val="center"/>
          </w:tcPr>
          <w:p w14:paraId="12AC7AE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硫酸盐（以SO</w:t>
            </w:r>
            <w:r>
              <w:rPr>
                <w:rStyle w:val="138"/>
                <w:rFonts w:eastAsia="宋体"/>
                <w:color w:val="auto"/>
                <w:highlight w:val="none"/>
                <w:lang w:val="en-US" w:eastAsia="zh-CN" w:bidi="ar"/>
              </w:rPr>
              <w:t>4</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计）</w:t>
            </w:r>
          </w:p>
        </w:tc>
        <w:tc>
          <w:tcPr>
            <w:tcW w:w="378" w:type="pct"/>
            <w:tcBorders>
              <w:tl2br w:val="nil"/>
              <w:tr2bl w:val="nil"/>
            </w:tcBorders>
            <w:shd w:val="clear" w:color="auto" w:fill="auto"/>
            <w:vAlign w:val="center"/>
          </w:tcPr>
          <w:p w14:paraId="122F4E4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257763B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146</w:t>
            </w:r>
          </w:p>
        </w:tc>
        <w:tc>
          <w:tcPr>
            <w:tcW w:w="472" w:type="pct"/>
            <w:tcBorders>
              <w:tl2br w:val="nil"/>
              <w:tr2bl w:val="nil"/>
            </w:tcBorders>
            <w:shd w:val="clear" w:color="auto" w:fill="auto"/>
            <w:vAlign w:val="center"/>
          </w:tcPr>
          <w:p w14:paraId="761DF35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0.584</w:t>
            </w:r>
          </w:p>
        </w:tc>
        <w:tc>
          <w:tcPr>
            <w:tcW w:w="292" w:type="pct"/>
            <w:tcBorders>
              <w:tl2br w:val="nil"/>
              <w:tr2bl w:val="nil"/>
            </w:tcBorders>
            <w:shd w:val="clear" w:color="auto" w:fill="auto"/>
            <w:vAlign w:val="center"/>
          </w:tcPr>
          <w:p w14:paraId="52017A2C">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179</w:t>
            </w:r>
          </w:p>
        </w:tc>
        <w:tc>
          <w:tcPr>
            <w:tcW w:w="472" w:type="pct"/>
            <w:tcBorders>
              <w:tl2br w:val="nil"/>
              <w:tr2bl w:val="nil"/>
            </w:tcBorders>
            <w:shd w:val="clear" w:color="auto" w:fill="auto"/>
            <w:vAlign w:val="center"/>
          </w:tcPr>
          <w:p w14:paraId="58ED3EE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0.716</w:t>
            </w:r>
          </w:p>
        </w:tc>
        <w:tc>
          <w:tcPr>
            <w:tcW w:w="292" w:type="pct"/>
            <w:tcBorders>
              <w:tl2br w:val="nil"/>
              <w:tr2bl w:val="nil"/>
            </w:tcBorders>
            <w:shd w:val="clear" w:color="auto" w:fill="auto"/>
            <w:vAlign w:val="center"/>
          </w:tcPr>
          <w:p w14:paraId="746A38B9">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121</w:t>
            </w:r>
          </w:p>
        </w:tc>
        <w:tc>
          <w:tcPr>
            <w:tcW w:w="472" w:type="pct"/>
            <w:tcBorders>
              <w:tl2br w:val="nil"/>
              <w:tr2bl w:val="nil"/>
            </w:tcBorders>
            <w:shd w:val="clear" w:color="auto" w:fill="auto"/>
            <w:vAlign w:val="center"/>
          </w:tcPr>
          <w:p w14:paraId="382EC88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0.484</w:t>
            </w:r>
          </w:p>
        </w:tc>
        <w:tc>
          <w:tcPr>
            <w:tcW w:w="292" w:type="pct"/>
            <w:tcBorders>
              <w:tl2br w:val="nil"/>
              <w:tr2bl w:val="nil"/>
            </w:tcBorders>
            <w:shd w:val="clear" w:color="auto" w:fill="auto"/>
            <w:vAlign w:val="center"/>
          </w:tcPr>
          <w:p w14:paraId="1C9128BC">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val="0"/>
                <w:bCs w:val="0"/>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c>
          <w:tcPr>
            <w:tcW w:w="472" w:type="pct"/>
            <w:tcBorders>
              <w:tl2br w:val="nil"/>
              <w:tr2bl w:val="nil"/>
            </w:tcBorders>
            <w:shd w:val="clear" w:color="auto" w:fill="auto"/>
            <w:vAlign w:val="center"/>
          </w:tcPr>
          <w:p w14:paraId="20864D2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0.68</w:t>
            </w:r>
          </w:p>
        </w:tc>
        <w:tc>
          <w:tcPr>
            <w:tcW w:w="292" w:type="pct"/>
            <w:tcBorders>
              <w:tl2br w:val="nil"/>
              <w:tr2bl w:val="nil"/>
            </w:tcBorders>
            <w:shd w:val="clear" w:color="auto" w:fill="auto"/>
            <w:vAlign w:val="center"/>
          </w:tcPr>
          <w:p w14:paraId="7AFA22C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c>
          <w:tcPr>
            <w:tcW w:w="472" w:type="pct"/>
            <w:tcBorders>
              <w:tl2br w:val="nil"/>
              <w:tr2bl w:val="nil"/>
            </w:tcBorders>
            <w:shd w:val="clear" w:color="auto" w:fill="auto"/>
            <w:vAlign w:val="center"/>
          </w:tcPr>
          <w:p w14:paraId="3DADBDE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0.68</w:t>
            </w:r>
          </w:p>
        </w:tc>
        <w:tc>
          <w:tcPr>
            <w:tcW w:w="315" w:type="pct"/>
            <w:tcBorders>
              <w:tl2br w:val="nil"/>
              <w:tr2bl w:val="nil"/>
            </w:tcBorders>
            <w:shd w:val="clear" w:color="auto" w:fill="auto"/>
            <w:vAlign w:val="center"/>
          </w:tcPr>
          <w:p w14:paraId="4C83B93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250</w:t>
            </w:r>
          </w:p>
        </w:tc>
      </w:tr>
      <w:tr w14:paraId="5D7510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545BE383">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397" w:type="pct"/>
            <w:tcBorders>
              <w:tl2br w:val="nil"/>
              <w:tr2bl w:val="nil"/>
            </w:tcBorders>
            <w:shd w:val="clear" w:color="auto" w:fill="auto"/>
            <w:vAlign w:val="center"/>
          </w:tcPr>
          <w:p w14:paraId="377941A2">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亚硝酸盐（以N计）</w:t>
            </w:r>
          </w:p>
        </w:tc>
        <w:tc>
          <w:tcPr>
            <w:tcW w:w="378" w:type="pct"/>
            <w:tcBorders>
              <w:tl2br w:val="nil"/>
              <w:tr2bl w:val="nil"/>
            </w:tcBorders>
            <w:shd w:val="clear" w:color="auto" w:fill="auto"/>
            <w:vAlign w:val="center"/>
          </w:tcPr>
          <w:p w14:paraId="2A94A11D">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61C80BB0">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0.003L</w:t>
            </w:r>
          </w:p>
        </w:tc>
        <w:tc>
          <w:tcPr>
            <w:tcW w:w="472" w:type="pct"/>
            <w:tcBorders>
              <w:tl2br w:val="nil"/>
              <w:tr2bl w:val="nil"/>
            </w:tcBorders>
            <w:shd w:val="clear" w:color="auto" w:fill="auto"/>
            <w:vAlign w:val="center"/>
          </w:tcPr>
          <w:p w14:paraId="3DC86D8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842F4B3">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0.003L</w:t>
            </w:r>
          </w:p>
        </w:tc>
        <w:tc>
          <w:tcPr>
            <w:tcW w:w="472" w:type="pct"/>
            <w:tcBorders>
              <w:tl2br w:val="nil"/>
              <w:tr2bl w:val="nil"/>
            </w:tcBorders>
            <w:shd w:val="clear" w:color="auto" w:fill="auto"/>
            <w:vAlign w:val="center"/>
          </w:tcPr>
          <w:p w14:paraId="6738237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26FC1BF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0.003L</w:t>
            </w:r>
          </w:p>
        </w:tc>
        <w:tc>
          <w:tcPr>
            <w:tcW w:w="472" w:type="pct"/>
            <w:tcBorders>
              <w:tl2br w:val="nil"/>
              <w:tr2bl w:val="nil"/>
            </w:tcBorders>
            <w:shd w:val="clear" w:color="auto" w:fill="auto"/>
            <w:vAlign w:val="center"/>
          </w:tcPr>
          <w:p w14:paraId="0179295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0814951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0.003L</w:t>
            </w:r>
          </w:p>
        </w:tc>
        <w:tc>
          <w:tcPr>
            <w:tcW w:w="472" w:type="pct"/>
            <w:tcBorders>
              <w:tl2br w:val="nil"/>
              <w:tr2bl w:val="nil"/>
            </w:tcBorders>
            <w:shd w:val="clear" w:color="auto" w:fill="auto"/>
            <w:vAlign w:val="center"/>
          </w:tcPr>
          <w:p w14:paraId="5156D94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5A724B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0.003L</w:t>
            </w:r>
          </w:p>
        </w:tc>
        <w:tc>
          <w:tcPr>
            <w:tcW w:w="472" w:type="pct"/>
            <w:tcBorders>
              <w:tl2br w:val="nil"/>
              <w:tr2bl w:val="nil"/>
            </w:tcBorders>
            <w:shd w:val="clear" w:color="auto" w:fill="auto"/>
            <w:vAlign w:val="center"/>
          </w:tcPr>
          <w:p w14:paraId="0364F8C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16601EA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1</w:t>
            </w:r>
          </w:p>
        </w:tc>
      </w:tr>
      <w:tr w14:paraId="408EBE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10C62272">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397" w:type="pct"/>
            <w:tcBorders>
              <w:tl2br w:val="nil"/>
              <w:tr2bl w:val="nil"/>
            </w:tcBorders>
            <w:shd w:val="clear" w:color="auto" w:fill="auto"/>
            <w:vAlign w:val="center"/>
          </w:tcPr>
          <w:p w14:paraId="002D08A3">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硝酸盐（以N计）</w:t>
            </w:r>
          </w:p>
        </w:tc>
        <w:tc>
          <w:tcPr>
            <w:tcW w:w="378" w:type="pct"/>
            <w:tcBorders>
              <w:tl2br w:val="nil"/>
              <w:tr2bl w:val="nil"/>
            </w:tcBorders>
            <w:shd w:val="clear" w:color="auto" w:fill="auto"/>
            <w:vAlign w:val="center"/>
          </w:tcPr>
          <w:p w14:paraId="4523F7EC">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4E9B5A8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3.61</w:t>
            </w:r>
          </w:p>
        </w:tc>
        <w:tc>
          <w:tcPr>
            <w:tcW w:w="472" w:type="pct"/>
            <w:tcBorders>
              <w:tl2br w:val="nil"/>
              <w:tr2bl w:val="nil"/>
            </w:tcBorders>
            <w:shd w:val="clear" w:color="auto" w:fill="auto"/>
            <w:vAlign w:val="center"/>
          </w:tcPr>
          <w:p w14:paraId="4DE73DA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0.1805</w:t>
            </w:r>
          </w:p>
        </w:tc>
        <w:tc>
          <w:tcPr>
            <w:tcW w:w="292" w:type="pct"/>
            <w:tcBorders>
              <w:tl2br w:val="nil"/>
              <w:tr2bl w:val="nil"/>
            </w:tcBorders>
            <w:shd w:val="clear" w:color="auto" w:fill="auto"/>
            <w:vAlign w:val="center"/>
          </w:tcPr>
          <w:p w14:paraId="0F5D0943">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4.34</w:t>
            </w:r>
          </w:p>
        </w:tc>
        <w:tc>
          <w:tcPr>
            <w:tcW w:w="472" w:type="pct"/>
            <w:tcBorders>
              <w:tl2br w:val="nil"/>
              <w:tr2bl w:val="nil"/>
            </w:tcBorders>
            <w:shd w:val="clear" w:color="auto" w:fill="auto"/>
            <w:vAlign w:val="center"/>
          </w:tcPr>
          <w:p w14:paraId="01EB148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0.217</w:t>
            </w:r>
          </w:p>
        </w:tc>
        <w:tc>
          <w:tcPr>
            <w:tcW w:w="292" w:type="pct"/>
            <w:tcBorders>
              <w:tl2br w:val="nil"/>
              <w:tr2bl w:val="nil"/>
            </w:tcBorders>
            <w:shd w:val="clear" w:color="auto" w:fill="auto"/>
            <w:vAlign w:val="center"/>
          </w:tcPr>
          <w:p w14:paraId="3C7F2EA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3.74</w:t>
            </w:r>
          </w:p>
        </w:tc>
        <w:tc>
          <w:tcPr>
            <w:tcW w:w="472" w:type="pct"/>
            <w:tcBorders>
              <w:tl2br w:val="nil"/>
              <w:tr2bl w:val="nil"/>
            </w:tcBorders>
            <w:shd w:val="clear" w:color="auto" w:fill="auto"/>
            <w:vAlign w:val="center"/>
          </w:tcPr>
          <w:p w14:paraId="3312494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0.187</w:t>
            </w:r>
          </w:p>
        </w:tc>
        <w:tc>
          <w:tcPr>
            <w:tcW w:w="292" w:type="pct"/>
            <w:tcBorders>
              <w:tl2br w:val="nil"/>
              <w:tr2bl w:val="nil"/>
            </w:tcBorders>
            <w:shd w:val="clear" w:color="auto" w:fill="auto"/>
            <w:vAlign w:val="center"/>
          </w:tcPr>
          <w:p w14:paraId="745AF9E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4.46</w:t>
            </w:r>
          </w:p>
        </w:tc>
        <w:tc>
          <w:tcPr>
            <w:tcW w:w="472" w:type="pct"/>
            <w:tcBorders>
              <w:tl2br w:val="nil"/>
              <w:tr2bl w:val="nil"/>
            </w:tcBorders>
            <w:shd w:val="clear" w:color="auto" w:fill="auto"/>
            <w:vAlign w:val="center"/>
          </w:tcPr>
          <w:p w14:paraId="2E617BA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0.223</w:t>
            </w:r>
          </w:p>
        </w:tc>
        <w:tc>
          <w:tcPr>
            <w:tcW w:w="292" w:type="pct"/>
            <w:tcBorders>
              <w:tl2br w:val="nil"/>
              <w:tr2bl w:val="nil"/>
            </w:tcBorders>
            <w:shd w:val="clear" w:color="auto" w:fill="auto"/>
            <w:vAlign w:val="center"/>
          </w:tcPr>
          <w:p w14:paraId="104C4CD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4.14</w:t>
            </w:r>
          </w:p>
        </w:tc>
        <w:tc>
          <w:tcPr>
            <w:tcW w:w="472" w:type="pct"/>
            <w:tcBorders>
              <w:tl2br w:val="nil"/>
              <w:tr2bl w:val="nil"/>
            </w:tcBorders>
            <w:shd w:val="clear" w:color="auto" w:fill="auto"/>
            <w:vAlign w:val="center"/>
          </w:tcPr>
          <w:p w14:paraId="6D5B1BA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0.207</w:t>
            </w:r>
          </w:p>
        </w:tc>
        <w:tc>
          <w:tcPr>
            <w:tcW w:w="315" w:type="pct"/>
            <w:tcBorders>
              <w:tl2br w:val="nil"/>
              <w:tr2bl w:val="nil"/>
            </w:tcBorders>
            <w:shd w:val="clear" w:color="auto" w:fill="auto"/>
            <w:vAlign w:val="center"/>
          </w:tcPr>
          <w:p w14:paraId="5890186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20</w:t>
            </w:r>
          </w:p>
        </w:tc>
      </w:tr>
      <w:tr w14:paraId="145CF8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614E7B9F">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397" w:type="pct"/>
            <w:tcBorders>
              <w:tl2br w:val="nil"/>
              <w:tr2bl w:val="nil"/>
            </w:tcBorders>
            <w:shd w:val="clear" w:color="auto" w:fill="auto"/>
            <w:vAlign w:val="center"/>
          </w:tcPr>
          <w:p w14:paraId="6FABEC5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氰化物</w:t>
            </w:r>
          </w:p>
        </w:tc>
        <w:tc>
          <w:tcPr>
            <w:tcW w:w="378" w:type="pct"/>
            <w:tcBorders>
              <w:tl2br w:val="nil"/>
              <w:tr2bl w:val="nil"/>
            </w:tcBorders>
            <w:shd w:val="clear" w:color="auto" w:fill="auto"/>
            <w:vAlign w:val="center"/>
          </w:tcPr>
          <w:p w14:paraId="0BF6BDD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725A429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0.002L</w:t>
            </w:r>
          </w:p>
        </w:tc>
        <w:tc>
          <w:tcPr>
            <w:tcW w:w="472" w:type="pct"/>
            <w:tcBorders>
              <w:tl2br w:val="nil"/>
              <w:tr2bl w:val="nil"/>
            </w:tcBorders>
            <w:shd w:val="clear" w:color="auto" w:fill="auto"/>
            <w:vAlign w:val="center"/>
          </w:tcPr>
          <w:p w14:paraId="13CFAE3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2C77932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0.002L</w:t>
            </w:r>
          </w:p>
        </w:tc>
        <w:tc>
          <w:tcPr>
            <w:tcW w:w="472" w:type="pct"/>
            <w:tcBorders>
              <w:tl2br w:val="nil"/>
              <w:tr2bl w:val="nil"/>
            </w:tcBorders>
            <w:shd w:val="clear" w:color="auto" w:fill="auto"/>
            <w:vAlign w:val="center"/>
          </w:tcPr>
          <w:p w14:paraId="6DF6A45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01B1A8D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0.002L</w:t>
            </w:r>
          </w:p>
        </w:tc>
        <w:tc>
          <w:tcPr>
            <w:tcW w:w="472" w:type="pct"/>
            <w:tcBorders>
              <w:tl2br w:val="nil"/>
              <w:tr2bl w:val="nil"/>
            </w:tcBorders>
            <w:shd w:val="clear" w:color="auto" w:fill="auto"/>
            <w:vAlign w:val="center"/>
          </w:tcPr>
          <w:p w14:paraId="60EE34D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420B867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0.002L</w:t>
            </w:r>
          </w:p>
        </w:tc>
        <w:tc>
          <w:tcPr>
            <w:tcW w:w="472" w:type="pct"/>
            <w:tcBorders>
              <w:tl2br w:val="nil"/>
              <w:tr2bl w:val="nil"/>
            </w:tcBorders>
            <w:shd w:val="clear" w:color="auto" w:fill="auto"/>
            <w:vAlign w:val="center"/>
          </w:tcPr>
          <w:p w14:paraId="15B31C9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B1509B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0.002L</w:t>
            </w:r>
          </w:p>
        </w:tc>
        <w:tc>
          <w:tcPr>
            <w:tcW w:w="472" w:type="pct"/>
            <w:tcBorders>
              <w:tl2br w:val="nil"/>
              <w:tr2bl w:val="nil"/>
            </w:tcBorders>
            <w:shd w:val="clear" w:color="auto" w:fill="auto"/>
            <w:vAlign w:val="center"/>
          </w:tcPr>
          <w:p w14:paraId="0EA9AEB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79A6334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0.05</w:t>
            </w:r>
          </w:p>
        </w:tc>
      </w:tr>
      <w:tr w14:paraId="48CA63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08F2F910">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397" w:type="pct"/>
            <w:tcBorders>
              <w:tl2br w:val="nil"/>
              <w:tr2bl w:val="nil"/>
            </w:tcBorders>
            <w:shd w:val="clear" w:color="auto" w:fill="auto"/>
            <w:vAlign w:val="center"/>
          </w:tcPr>
          <w:p w14:paraId="158486C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氯化物（以Cl</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计）</w:t>
            </w:r>
          </w:p>
        </w:tc>
        <w:tc>
          <w:tcPr>
            <w:tcW w:w="378" w:type="pct"/>
            <w:tcBorders>
              <w:tl2br w:val="nil"/>
              <w:tr2bl w:val="nil"/>
            </w:tcBorders>
            <w:shd w:val="clear" w:color="auto" w:fill="auto"/>
            <w:vAlign w:val="center"/>
          </w:tcPr>
          <w:p w14:paraId="4CF5E07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58F9EB2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472" w:type="pct"/>
            <w:tcBorders>
              <w:tl2br w:val="nil"/>
              <w:tr2bl w:val="nil"/>
            </w:tcBorders>
            <w:shd w:val="clear" w:color="auto" w:fill="auto"/>
            <w:vAlign w:val="center"/>
          </w:tcPr>
          <w:p w14:paraId="083D8DF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0.26</w:t>
            </w:r>
          </w:p>
        </w:tc>
        <w:tc>
          <w:tcPr>
            <w:tcW w:w="292" w:type="pct"/>
            <w:tcBorders>
              <w:tl2br w:val="nil"/>
              <w:tr2bl w:val="nil"/>
            </w:tcBorders>
            <w:shd w:val="clear" w:color="auto" w:fill="auto"/>
            <w:vAlign w:val="center"/>
          </w:tcPr>
          <w:p w14:paraId="37D5E2C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472" w:type="pct"/>
            <w:tcBorders>
              <w:tl2br w:val="nil"/>
              <w:tr2bl w:val="nil"/>
            </w:tcBorders>
            <w:shd w:val="clear" w:color="auto" w:fill="auto"/>
            <w:vAlign w:val="center"/>
          </w:tcPr>
          <w:p w14:paraId="51321F6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0.264</w:t>
            </w:r>
          </w:p>
        </w:tc>
        <w:tc>
          <w:tcPr>
            <w:tcW w:w="292" w:type="pct"/>
            <w:tcBorders>
              <w:tl2br w:val="nil"/>
              <w:tr2bl w:val="nil"/>
            </w:tcBorders>
            <w:shd w:val="clear" w:color="auto" w:fill="auto"/>
            <w:vAlign w:val="center"/>
          </w:tcPr>
          <w:p w14:paraId="184234B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472" w:type="pct"/>
            <w:tcBorders>
              <w:tl2br w:val="nil"/>
              <w:tr2bl w:val="nil"/>
            </w:tcBorders>
            <w:shd w:val="clear" w:color="auto" w:fill="auto"/>
            <w:vAlign w:val="center"/>
          </w:tcPr>
          <w:p w14:paraId="35FB38C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0.236</w:t>
            </w:r>
          </w:p>
        </w:tc>
        <w:tc>
          <w:tcPr>
            <w:tcW w:w="292" w:type="pct"/>
            <w:tcBorders>
              <w:tl2br w:val="nil"/>
              <w:tr2bl w:val="nil"/>
            </w:tcBorders>
            <w:shd w:val="clear" w:color="auto" w:fill="auto"/>
            <w:vAlign w:val="center"/>
          </w:tcPr>
          <w:p w14:paraId="128B63E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64.5</w:t>
            </w:r>
          </w:p>
        </w:tc>
        <w:tc>
          <w:tcPr>
            <w:tcW w:w="472" w:type="pct"/>
            <w:tcBorders>
              <w:tl2br w:val="nil"/>
              <w:tr2bl w:val="nil"/>
            </w:tcBorders>
            <w:shd w:val="clear" w:color="auto" w:fill="auto"/>
            <w:vAlign w:val="center"/>
          </w:tcPr>
          <w:p w14:paraId="211A93C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0.258</w:t>
            </w:r>
          </w:p>
        </w:tc>
        <w:tc>
          <w:tcPr>
            <w:tcW w:w="292" w:type="pct"/>
            <w:tcBorders>
              <w:tl2br w:val="nil"/>
              <w:tr2bl w:val="nil"/>
            </w:tcBorders>
            <w:shd w:val="clear" w:color="auto" w:fill="auto"/>
            <w:vAlign w:val="center"/>
          </w:tcPr>
          <w:p w14:paraId="0506B5A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27.5</w:t>
            </w:r>
          </w:p>
        </w:tc>
        <w:tc>
          <w:tcPr>
            <w:tcW w:w="472" w:type="pct"/>
            <w:tcBorders>
              <w:tl2br w:val="nil"/>
              <w:tr2bl w:val="nil"/>
            </w:tcBorders>
            <w:shd w:val="clear" w:color="auto" w:fill="auto"/>
            <w:vAlign w:val="center"/>
          </w:tcPr>
          <w:p w14:paraId="5E744C2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0.11</w:t>
            </w:r>
          </w:p>
        </w:tc>
        <w:tc>
          <w:tcPr>
            <w:tcW w:w="315" w:type="pct"/>
            <w:tcBorders>
              <w:tl2br w:val="nil"/>
              <w:tr2bl w:val="nil"/>
            </w:tcBorders>
            <w:shd w:val="clear" w:color="auto" w:fill="auto"/>
            <w:vAlign w:val="center"/>
          </w:tcPr>
          <w:p w14:paraId="789527A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250</w:t>
            </w:r>
          </w:p>
        </w:tc>
      </w:tr>
      <w:tr w14:paraId="4DCEDB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525CC3D7">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397" w:type="pct"/>
            <w:tcBorders>
              <w:tl2br w:val="nil"/>
              <w:tr2bl w:val="nil"/>
            </w:tcBorders>
            <w:shd w:val="clear" w:color="auto" w:fill="auto"/>
            <w:vAlign w:val="center"/>
          </w:tcPr>
          <w:p w14:paraId="7525C74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铬（六价）</w:t>
            </w:r>
          </w:p>
        </w:tc>
        <w:tc>
          <w:tcPr>
            <w:tcW w:w="378" w:type="pct"/>
            <w:tcBorders>
              <w:tl2br w:val="nil"/>
              <w:tr2bl w:val="nil"/>
            </w:tcBorders>
            <w:shd w:val="clear" w:color="auto" w:fill="auto"/>
            <w:vAlign w:val="center"/>
          </w:tcPr>
          <w:p w14:paraId="60FC4C1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5C7D09A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472" w:type="pct"/>
            <w:tcBorders>
              <w:tl2br w:val="nil"/>
              <w:tr2bl w:val="nil"/>
            </w:tcBorders>
            <w:shd w:val="clear" w:color="auto" w:fill="auto"/>
            <w:vAlign w:val="center"/>
          </w:tcPr>
          <w:p w14:paraId="1D3A378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F615C3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472" w:type="pct"/>
            <w:tcBorders>
              <w:tl2br w:val="nil"/>
              <w:tr2bl w:val="nil"/>
            </w:tcBorders>
            <w:shd w:val="clear" w:color="auto" w:fill="auto"/>
            <w:vAlign w:val="center"/>
          </w:tcPr>
          <w:p w14:paraId="0B92F27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C5C806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472" w:type="pct"/>
            <w:tcBorders>
              <w:tl2br w:val="nil"/>
              <w:tr2bl w:val="nil"/>
            </w:tcBorders>
            <w:shd w:val="clear" w:color="auto" w:fill="auto"/>
            <w:vAlign w:val="center"/>
          </w:tcPr>
          <w:p w14:paraId="38E610B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30CC11C">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472" w:type="pct"/>
            <w:tcBorders>
              <w:tl2br w:val="nil"/>
              <w:tr2bl w:val="nil"/>
            </w:tcBorders>
            <w:shd w:val="clear" w:color="auto" w:fill="auto"/>
            <w:vAlign w:val="center"/>
          </w:tcPr>
          <w:p w14:paraId="76996B4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C5B7CF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0.004L</w:t>
            </w:r>
          </w:p>
        </w:tc>
        <w:tc>
          <w:tcPr>
            <w:tcW w:w="472" w:type="pct"/>
            <w:tcBorders>
              <w:tl2br w:val="nil"/>
              <w:tr2bl w:val="nil"/>
            </w:tcBorders>
            <w:shd w:val="clear" w:color="auto" w:fill="auto"/>
            <w:vAlign w:val="center"/>
          </w:tcPr>
          <w:p w14:paraId="4E80AE9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295D8B0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0.05</w:t>
            </w:r>
          </w:p>
        </w:tc>
      </w:tr>
      <w:tr w14:paraId="44078C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198E0A4C">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397" w:type="pct"/>
            <w:tcBorders>
              <w:tl2br w:val="nil"/>
              <w:tr2bl w:val="nil"/>
            </w:tcBorders>
            <w:shd w:val="clear" w:color="auto" w:fill="auto"/>
            <w:vAlign w:val="center"/>
          </w:tcPr>
          <w:p w14:paraId="0EDFC07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碳酸根离子</w:t>
            </w:r>
          </w:p>
        </w:tc>
        <w:tc>
          <w:tcPr>
            <w:tcW w:w="378" w:type="pct"/>
            <w:tcBorders>
              <w:tl2br w:val="nil"/>
              <w:tr2bl w:val="nil"/>
            </w:tcBorders>
            <w:shd w:val="clear" w:color="auto" w:fill="auto"/>
            <w:vAlign w:val="center"/>
          </w:tcPr>
          <w:p w14:paraId="53EA65D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2D0A3B4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5L</w:t>
            </w:r>
          </w:p>
        </w:tc>
        <w:tc>
          <w:tcPr>
            <w:tcW w:w="472" w:type="pct"/>
            <w:tcBorders>
              <w:tl2br w:val="nil"/>
              <w:tr2bl w:val="nil"/>
            </w:tcBorders>
            <w:shd w:val="clear" w:color="auto" w:fill="auto"/>
            <w:vAlign w:val="center"/>
          </w:tcPr>
          <w:p w14:paraId="61479EB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0C93A7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5L</w:t>
            </w:r>
          </w:p>
        </w:tc>
        <w:tc>
          <w:tcPr>
            <w:tcW w:w="472" w:type="pct"/>
            <w:tcBorders>
              <w:tl2br w:val="nil"/>
              <w:tr2bl w:val="nil"/>
            </w:tcBorders>
            <w:shd w:val="clear" w:color="auto" w:fill="auto"/>
            <w:vAlign w:val="center"/>
          </w:tcPr>
          <w:p w14:paraId="6EA13FD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22A592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5L</w:t>
            </w:r>
          </w:p>
        </w:tc>
        <w:tc>
          <w:tcPr>
            <w:tcW w:w="472" w:type="pct"/>
            <w:tcBorders>
              <w:tl2br w:val="nil"/>
              <w:tr2bl w:val="nil"/>
            </w:tcBorders>
            <w:shd w:val="clear" w:color="auto" w:fill="auto"/>
            <w:vAlign w:val="center"/>
          </w:tcPr>
          <w:p w14:paraId="28997DC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DBE8CF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5L</w:t>
            </w:r>
          </w:p>
        </w:tc>
        <w:tc>
          <w:tcPr>
            <w:tcW w:w="472" w:type="pct"/>
            <w:tcBorders>
              <w:tl2br w:val="nil"/>
              <w:tr2bl w:val="nil"/>
            </w:tcBorders>
            <w:shd w:val="clear" w:color="auto" w:fill="auto"/>
            <w:vAlign w:val="center"/>
          </w:tcPr>
          <w:p w14:paraId="01C1BDF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3780D2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5L</w:t>
            </w:r>
          </w:p>
        </w:tc>
        <w:tc>
          <w:tcPr>
            <w:tcW w:w="472" w:type="pct"/>
            <w:tcBorders>
              <w:tl2br w:val="nil"/>
              <w:tr2bl w:val="nil"/>
            </w:tcBorders>
            <w:shd w:val="clear" w:color="auto" w:fill="auto"/>
            <w:vAlign w:val="center"/>
          </w:tcPr>
          <w:p w14:paraId="1449534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282C23F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14:paraId="3BA8B8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7E8E18AF">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397" w:type="pct"/>
            <w:tcBorders>
              <w:tl2br w:val="nil"/>
              <w:tr2bl w:val="nil"/>
            </w:tcBorders>
            <w:shd w:val="clear" w:color="auto" w:fill="auto"/>
            <w:vAlign w:val="center"/>
          </w:tcPr>
          <w:p w14:paraId="0D8799B4">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碳酸氢根离子</w:t>
            </w:r>
          </w:p>
        </w:tc>
        <w:tc>
          <w:tcPr>
            <w:tcW w:w="378" w:type="pct"/>
            <w:tcBorders>
              <w:tl2br w:val="nil"/>
              <w:tr2bl w:val="nil"/>
            </w:tcBorders>
            <w:shd w:val="clear" w:color="auto" w:fill="auto"/>
            <w:vAlign w:val="center"/>
          </w:tcPr>
          <w:p w14:paraId="376A0A14">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4121C9FC">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150.3</w:t>
            </w:r>
          </w:p>
        </w:tc>
        <w:tc>
          <w:tcPr>
            <w:tcW w:w="472" w:type="pct"/>
            <w:tcBorders>
              <w:tl2br w:val="nil"/>
              <w:tr2bl w:val="nil"/>
            </w:tcBorders>
            <w:shd w:val="clear" w:color="auto" w:fill="auto"/>
            <w:vAlign w:val="center"/>
          </w:tcPr>
          <w:p w14:paraId="0FFFC6F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920A49D">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196.3</w:t>
            </w:r>
          </w:p>
        </w:tc>
        <w:tc>
          <w:tcPr>
            <w:tcW w:w="472" w:type="pct"/>
            <w:tcBorders>
              <w:tl2br w:val="nil"/>
              <w:tr2bl w:val="nil"/>
            </w:tcBorders>
            <w:shd w:val="clear" w:color="auto" w:fill="auto"/>
            <w:vAlign w:val="center"/>
          </w:tcPr>
          <w:p w14:paraId="5007DC1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12DDADD">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153.3</w:t>
            </w:r>
          </w:p>
        </w:tc>
        <w:tc>
          <w:tcPr>
            <w:tcW w:w="472" w:type="pct"/>
            <w:tcBorders>
              <w:tl2br w:val="nil"/>
              <w:tr2bl w:val="nil"/>
            </w:tcBorders>
            <w:shd w:val="clear" w:color="auto" w:fill="auto"/>
            <w:vAlign w:val="center"/>
          </w:tcPr>
          <w:p w14:paraId="3E949CD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F17766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177.9</w:t>
            </w:r>
          </w:p>
        </w:tc>
        <w:tc>
          <w:tcPr>
            <w:tcW w:w="472" w:type="pct"/>
            <w:tcBorders>
              <w:tl2br w:val="nil"/>
              <w:tr2bl w:val="nil"/>
            </w:tcBorders>
            <w:shd w:val="clear" w:color="auto" w:fill="auto"/>
            <w:vAlign w:val="center"/>
          </w:tcPr>
          <w:p w14:paraId="3E4F2F6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C2F6D6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187.1</w:t>
            </w:r>
          </w:p>
        </w:tc>
        <w:tc>
          <w:tcPr>
            <w:tcW w:w="472" w:type="pct"/>
            <w:tcBorders>
              <w:tl2br w:val="nil"/>
              <w:tr2bl w:val="nil"/>
            </w:tcBorders>
            <w:shd w:val="clear" w:color="auto" w:fill="auto"/>
            <w:vAlign w:val="center"/>
          </w:tcPr>
          <w:p w14:paraId="49B1D86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56EDF44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14:paraId="319F8F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48788A5C">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397" w:type="pct"/>
            <w:tcBorders>
              <w:tl2br w:val="nil"/>
              <w:tr2bl w:val="nil"/>
            </w:tcBorders>
            <w:shd w:val="clear" w:color="auto" w:fill="auto"/>
            <w:vAlign w:val="center"/>
          </w:tcPr>
          <w:p w14:paraId="5B1F5E10">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钾</w:t>
            </w:r>
          </w:p>
        </w:tc>
        <w:tc>
          <w:tcPr>
            <w:tcW w:w="378" w:type="pct"/>
            <w:tcBorders>
              <w:tl2br w:val="nil"/>
              <w:tr2bl w:val="nil"/>
            </w:tcBorders>
            <w:shd w:val="clear" w:color="auto" w:fill="auto"/>
            <w:vAlign w:val="center"/>
          </w:tcPr>
          <w:p w14:paraId="1004DDFF">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4DF2384B">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4.74</w:t>
            </w:r>
          </w:p>
        </w:tc>
        <w:tc>
          <w:tcPr>
            <w:tcW w:w="472" w:type="pct"/>
            <w:tcBorders>
              <w:tl2br w:val="nil"/>
              <w:tr2bl w:val="nil"/>
            </w:tcBorders>
            <w:shd w:val="clear" w:color="auto" w:fill="auto"/>
            <w:vAlign w:val="center"/>
          </w:tcPr>
          <w:p w14:paraId="2C00793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E0A5A06">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4.71</w:t>
            </w:r>
          </w:p>
        </w:tc>
        <w:tc>
          <w:tcPr>
            <w:tcW w:w="472" w:type="pct"/>
            <w:tcBorders>
              <w:tl2br w:val="nil"/>
              <w:tr2bl w:val="nil"/>
            </w:tcBorders>
            <w:shd w:val="clear" w:color="auto" w:fill="auto"/>
            <w:vAlign w:val="center"/>
          </w:tcPr>
          <w:p w14:paraId="43CFCE2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958FE80">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4.61</w:t>
            </w:r>
          </w:p>
        </w:tc>
        <w:tc>
          <w:tcPr>
            <w:tcW w:w="472" w:type="pct"/>
            <w:tcBorders>
              <w:tl2br w:val="nil"/>
              <w:tr2bl w:val="nil"/>
            </w:tcBorders>
            <w:shd w:val="clear" w:color="auto" w:fill="auto"/>
            <w:vAlign w:val="center"/>
          </w:tcPr>
          <w:p w14:paraId="3EDFE76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0B2331E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4.77</w:t>
            </w:r>
          </w:p>
        </w:tc>
        <w:tc>
          <w:tcPr>
            <w:tcW w:w="472" w:type="pct"/>
            <w:tcBorders>
              <w:tl2br w:val="nil"/>
              <w:tr2bl w:val="nil"/>
            </w:tcBorders>
            <w:shd w:val="clear" w:color="auto" w:fill="auto"/>
            <w:vAlign w:val="center"/>
          </w:tcPr>
          <w:p w14:paraId="5FBAAAC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448F200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4.93</w:t>
            </w:r>
          </w:p>
        </w:tc>
        <w:tc>
          <w:tcPr>
            <w:tcW w:w="472" w:type="pct"/>
            <w:tcBorders>
              <w:tl2br w:val="nil"/>
              <w:tr2bl w:val="nil"/>
            </w:tcBorders>
            <w:shd w:val="clear" w:color="auto" w:fill="auto"/>
            <w:vAlign w:val="center"/>
          </w:tcPr>
          <w:p w14:paraId="007BCAE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05517B7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14:paraId="57C2DF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6D9A6251">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16</w:t>
            </w:r>
          </w:p>
        </w:tc>
        <w:tc>
          <w:tcPr>
            <w:tcW w:w="397" w:type="pct"/>
            <w:tcBorders>
              <w:tl2br w:val="nil"/>
              <w:tr2bl w:val="nil"/>
            </w:tcBorders>
            <w:shd w:val="clear" w:color="auto" w:fill="auto"/>
            <w:vAlign w:val="center"/>
          </w:tcPr>
          <w:p w14:paraId="455804F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钠</w:t>
            </w:r>
          </w:p>
        </w:tc>
        <w:tc>
          <w:tcPr>
            <w:tcW w:w="378" w:type="pct"/>
            <w:tcBorders>
              <w:tl2br w:val="nil"/>
              <w:tr2bl w:val="nil"/>
            </w:tcBorders>
            <w:shd w:val="clear" w:color="auto" w:fill="auto"/>
            <w:vAlign w:val="center"/>
          </w:tcPr>
          <w:p w14:paraId="7E38590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7412F48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88.7</w:t>
            </w:r>
          </w:p>
        </w:tc>
        <w:tc>
          <w:tcPr>
            <w:tcW w:w="472" w:type="pct"/>
            <w:tcBorders>
              <w:tl2br w:val="nil"/>
              <w:tr2bl w:val="nil"/>
            </w:tcBorders>
            <w:shd w:val="clear" w:color="auto" w:fill="auto"/>
            <w:vAlign w:val="center"/>
          </w:tcPr>
          <w:p w14:paraId="610B1EB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0.44</w:t>
            </w:r>
            <w:r>
              <w:rPr>
                <w:rFonts w:hint="default" w:ascii="Times New Roman" w:hAnsi="Times New Roman" w:cs="Times New Roman"/>
                <w:i w:val="0"/>
                <w:iCs w:val="0"/>
                <w:color w:val="auto"/>
                <w:kern w:val="0"/>
                <w:sz w:val="22"/>
                <w:szCs w:val="22"/>
                <w:highlight w:val="none"/>
                <w:u w:val="none"/>
                <w:lang w:val="en-US" w:eastAsia="zh-CN" w:bidi="ar"/>
              </w:rPr>
              <w:t>4</w:t>
            </w:r>
          </w:p>
        </w:tc>
        <w:tc>
          <w:tcPr>
            <w:tcW w:w="292" w:type="pct"/>
            <w:tcBorders>
              <w:tl2br w:val="nil"/>
              <w:tr2bl w:val="nil"/>
            </w:tcBorders>
            <w:shd w:val="clear" w:color="auto" w:fill="auto"/>
            <w:vAlign w:val="center"/>
          </w:tcPr>
          <w:p w14:paraId="4C08395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92.9</w:t>
            </w:r>
          </w:p>
        </w:tc>
        <w:tc>
          <w:tcPr>
            <w:tcW w:w="472" w:type="pct"/>
            <w:tcBorders>
              <w:tl2br w:val="nil"/>
              <w:tr2bl w:val="nil"/>
            </w:tcBorders>
            <w:shd w:val="clear" w:color="auto" w:fill="auto"/>
            <w:vAlign w:val="center"/>
          </w:tcPr>
          <w:p w14:paraId="41907FF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0.46</w:t>
            </w:r>
            <w:r>
              <w:rPr>
                <w:rFonts w:hint="default" w:ascii="Times New Roman" w:hAnsi="Times New Roman" w:cs="Times New Roman"/>
                <w:i w:val="0"/>
                <w:iCs w:val="0"/>
                <w:color w:val="auto"/>
                <w:kern w:val="0"/>
                <w:sz w:val="22"/>
                <w:szCs w:val="22"/>
                <w:highlight w:val="none"/>
                <w:u w:val="none"/>
                <w:lang w:val="en-US" w:eastAsia="zh-CN" w:bidi="ar"/>
              </w:rPr>
              <w:t>5</w:t>
            </w:r>
          </w:p>
        </w:tc>
        <w:tc>
          <w:tcPr>
            <w:tcW w:w="292" w:type="pct"/>
            <w:tcBorders>
              <w:tl2br w:val="nil"/>
              <w:tr2bl w:val="nil"/>
            </w:tcBorders>
            <w:shd w:val="clear" w:color="auto" w:fill="auto"/>
            <w:vAlign w:val="center"/>
          </w:tcPr>
          <w:p w14:paraId="6B46329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81.7</w:t>
            </w:r>
          </w:p>
        </w:tc>
        <w:tc>
          <w:tcPr>
            <w:tcW w:w="472" w:type="pct"/>
            <w:tcBorders>
              <w:tl2br w:val="nil"/>
              <w:tr2bl w:val="nil"/>
            </w:tcBorders>
            <w:shd w:val="clear" w:color="auto" w:fill="auto"/>
            <w:vAlign w:val="center"/>
          </w:tcPr>
          <w:p w14:paraId="34A1BC0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0.40</w:t>
            </w:r>
            <w:r>
              <w:rPr>
                <w:rFonts w:hint="default" w:ascii="Times New Roman" w:hAnsi="Times New Roman" w:cs="Times New Roman"/>
                <w:i w:val="0"/>
                <w:iCs w:val="0"/>
                <w:color w:val="auto"/>
                <w:kern w:val="0"/>
                <w:sz w:val="22"/>
                <w:szCs w:val="22"/>
                <w:highlight w:val="none"/>
                <w:u w:val="none"/>
                <w:lang w:val="en-US" w:eastAsia="zh-CN" w:bidi="ar"/>
              </w:rPr>
              <w:t>9</w:t>
            </w:r>
          </w:p>
        </w:tc>
        <w:tc>
          <w:tcPr>
            <w:tcW w:w="292" w:type="pct"/>
            <w:tcBorders>
              <w:tl2br w:val="nil"/>
              <w:tr2bl w:val="nil"/>
            </w:tcBorders>
            <w:shd w:val="clear" w:color="auto" w:fill="auto"/>
            <w:vAlign w:val="center"/>
          </w:tcPr>
          <w:p w14:paraId="6C1867CC">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91.64</w:t>
            </w:r>
          </w:p>
        </w:tc>
        <w:tc>
          <w:tcPr>
            <w:tcW w:w="472" w:type="pct"/>
            <w:tcBorders>
              <w:tl2br w:val="nil"/>
              <w:tr2bl w:val="nil"/>
            </w:tcBorders>
            <w:shd w:val="clear" w:color="auto" w:fill="auto"/>
            <w:vAlign w:val="center"/>
          </w:tcPr>
          <w:p w14:paraId="172EBDB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0.458</w:t>
            </w:r>
          </w:p>
        </w:tc>
        <w:tc>
          <w:tcPr>
            <w:tcW w:w="292" w:type="pct"/>
            <w:tcBorders>
              <w:tl2br w:val="nil"/>
              <w:tr2bl w:val="nil"/>
            </w:tcBorders>
            <w:shd w:val="clear" w:color="auto" w:fill="auto"/>
            <w:vAlign w:val="center"/>
          </w:tcPr>
          <w:p w14:paraId="301419A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94.01</w:t>
            </w:r>
          </w:p>
        </w:tc>
        <w:tc>
          <w:tcPr>
            <w:tcW w:w="472" w:type="pct"/>
            <w:tcBorders>
              <w:tl2br w:val="nil"/>
              <w:tr2bl w:val="nil"/>
            </w:tcBorders>
            <w:shd w:val="clear" w:color="auto" w:fill="auto"/>
            <w:vAlign w:val="center"/>
          </w:tcPr>
          <w:p w14:paraId="4A361C9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0.470</w:t>
            </w:r>
          </w:p>
        </w:tc>
        <w:tc>
          <w:tcPr>
            <w:tcW w:w="315" w:type="pct"/>
            <w:tcBorders>
              <w:tl2br w:val="nil"/>
              <w:tr2bl w:val="nil"/>
            </w:tcBorders>
            <w:shd w:val="clear" w:color="auto" w:fill="auto"/>
            <w:vAlign w:val="center"/>
          </w:tcPr>
          <w:p w14:paraId="733B711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200</w:t>
            </w:r>
          </w:p>
        </w:tc>
      </w:tr>
      <w:tr w14:paraId="3C7CB2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5587550F">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17</w:t>
            </w:r>
          </w:p>
        </w:tc>
        <w:tc>
          <w:tcPr>
            <w:tcW w:w="397" w:type="pct"/>
            <w:tcBorders>
              <w:tl2br w:val="nil"/>
              <w:tr2bl w:val="nil"/>
            </w:tcBorders>
            <w:shd w:val="clear" w:color="auto" w:fill="auto"/>
            <w:vAlign w:val="center"/>
          </w:tcPr>
          <w:p w14:paraId="7F0F54D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钙</w:t>
            </w:r>
          </w:p>
        </w:tc>
        <w:tc>
          <w:tcPr>
            <w:tcW w:w="378" w:type="pct"/>
            <w:tcBorders>
              <w:tl2br w:val="nil"/>
              <w:tr2bl w:val="nil"/>
            </w:tcBorders>
            <w:shd w:val="clear" w:color="auto" w:fill="auto"/>
            <w:vAlign w:val="center"/>
          </w:tcPr>
          <w:p w14:paraId="38C675A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41EDAB1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83.5</w:t>
            </w:r>
          </w:p>
        </w:tc>
        <w:tc>
          <w:tcPr>
            <w:tcW w:w="472" w:type="pct"/>
            <w:tcBorders>
              <w:tl2br w:val="nil"/>
              <w:tr2bl w:val="nil"/>
            </w:tcBorders>
            <w:shd w:val="clear" w:color="auto" w:fill="auto"/>
            <w:vAlign w:val="center"/>
          </w:tcPr>
          <w:p w14:paraId="2581211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FEF5CF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86.7</w:t>
            </w:r>
          </w:p>
        </w:tc>
        <w:tc>
          <w:tcPr>
            <w:tcW w:w="472" w:type="pct"/>
            <w:tcBorders>
              <w:tl2br w:val="nil"/>
              <w:tr2bl w:val="nil"/>
            </w:tcBorders>
            <w:shd w:val="clear" w:color="auto" w:fill="auto"/>
            <w:vAlign w:val="center"/>
          </w:tcPr>
          <w:p w14:paraId="12DC928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4207F51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79.4</w:t>
            </w:r>
          </w:p>
        </w:tc>
        <w:tc>
          <w:tcPr>
            <w:tcW w:w="472" w:type="pct"/>
            <w:tcBorders>
              <w:tl2br w:val="nil"/>
              <w:tr2bl w:val="nil"/>
            </w:tcBorders>
            <w:shd w:val="clear" w:color="auto" w:fill="auto"/>
            <w:vAlign w:val="center"/>
          </w:tcPr>
          <w:p w14:paraId="44F852F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232E65A9">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84.3</w:t>
            </w:r>
          </w:p>
        </w:tc>
        <w:tc>
          <w:tcPr>
            <w:tcW w:w="472" w:type="pct"/>
            <w:tcBorders>
              <w:tl2br w:val="nil"/>
              <w:tr2bl w:val="nil"/>
            </w:tcBorders>
            <w:shd w:val="clear" w:color="auto" w:fill="auto"/>
            <w:vAlign w:val="center"/>
          </w:tcPr>
          <w:p w14:paraId="5C95656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0D2EBD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86.3</w:t>
            </w:r>
          </w:p>
        </w:tc>
        <w:tc>
          <w:tcPr>
            <w:tcW w:w="472" w:type="pct"/>
            <w:tcBorders>
              <w:tl2br w:val="nil"/>
              <w:tr2bl w:val="nil"/>
            </w:tcBorders>
            <w:shd w:val="clear" w:color="auto" w:fill="auto"/>
            <w:vAlign w:val="center"/>
          </w:tcPr>
          <w:p w14:paraId="328EA27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0A5978D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14:paraId="336919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27CCD2E2">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18</w:t>
            </w:r>
          </w:p>
        </w:tc>
        <w:tc>
          <w:tcPr>
            <w:tcW w:w="397" w:type="pct"/>
            <w:tcBorders>
              <w:tl2br w:val="nil"/>
              <w:tr2bl w:val="nil"/>
            </w:tcBorders>
            <w:shd w:val="clear" w:color="auto" w:fill="auto"/>
            <w:vAlign w:val="center"/>
          </w:tcPr>
          <w:p w14:paraId="16826D5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镁</w:t>
            </w:r>
          </w:p>
        </w:tc>
        <w:tc>
          <w:tcPr>
            <w:tcW w:w="378" w:type="pct"/>
            <w:tcBorders>
              <w:tl2br w:val="nil"/>
              <w:tr2bl w:val="nil"/>
            </w:tcBorders>
            <w:shd w:val="clear" w:color="auto" w:fill="auto"/>
            <w:vAlign w:val="center"/>
          </w:tcPr>
          <w:p w14:paraId="150D6ED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4EFC9E5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13.7</w:t>
            </w:r>
          </w:p>
        </w:tc>
        <w:tc>
          <w:tcPr>
            <w:tcW w:w="472" w:type="pct"/>
            <w:tcBorders>
              <w:tl2br w:val="nil"/>
              <w:tr2bl w:val="nil"/>
            </w:tcBorders>
            <w:shd w:val="clear" w:color="auto" w:fill="auto"/>
            <w:vAlign w:val="center"/>
          </w:tcPr>
          <w:p w14:paraId="1326658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22845C19">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16.2</w:t>
            </w:r>
          </w:p>
        </w:tc>
        <w:tc>
          <w:tcPr>
            <w:tcW w:w="472" w:type="pct"/>
            <w:tcBorders>
              <w:tl2br w:val="nil"/>
              <w:tr2bl w:val="nil"/>
            </w:tcBorders>
            <w:shd w:val="clear" w:color="auto" w:fill="auto"/>
            <w:vAlign w:val="center"/>
          </w:tcPr>
          <w:p w14:paraId="306BD0E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EAF207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2"/>
                <w:szCs w:val="22"/>
                <w:highlight w:val="none"/>
                <w:u w:val="none"/>
                <w:lang w:val="en-US" w:eastAsia="zh-CN" w:bidi="ar"/>
              </w:rPr>
              <w:t>22.6</w:t>
            </w:r>
          </w:p>
        </w:tc>
        <w:tc>
          <w:tcPr>
            <w:tcW w:w="472" w:type="pct"/>
            <w:tcBorders>
              <w:tl2br w:val="nil"/>
              <w:tr2bl w:val="nil"/>
            </w:tcBorders>
            <w:shd w:val="clear" w:color="auto" w:fill="auto"/>
            <w:vAlign w:val="center"/>
          </w:tcPr>
          <w:p w14:paraId="40477AA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FB2043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14.7</w:t>
            </w:r>
          </w:p>
        </w:tc>
        <w:tc>
          <w:tcPr>
            <w:tcW w:w="472" w:type="pct"/>
            <w:tcBorders>
              <w:tl2br w:val="nil"/>
              <w:tr2bl w:val="nil"/>
            </w:tcBorders>
            <w:shd w:val="clear" w:color="auto" w:fill="auto"/>
            <w:vAlign w:val="center"/>
          </w:tcPr>
          <w:p w14:paraId="13B0AE0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C9BE19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25.3</w:t>
            </w:r>
          </w:p>
        </w:tc>
        <w:tc>
          <w:tcPr>
            <w:tcW w:w="472" w:type="pct"/>
            <w:tcBorders>
              <w:tl2br w:val="nil"/>
              <w:tr2bl w:val="nil"/>
            </w:tcBorders>
            <w:shd w:val="clear" w:color="auto" w:fill="auto"/>
            <w:vAlign w:val="center"/>
          </w:tcPr>
          <w:p w14:paraId="500C525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4985F43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14:paraId="6526BB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375791B9">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19</w:t>
            </w:r>
          </w:p>
        </w:tc>
        <w:tc>
          <w:tcPr>
            <w:tcW w:w="397" w:type="pct"/>
            <w:tcBorders>
              <w:tl2br w:val="nil"/>
              <w:tr2bl w:val="nil"/>
            </w:tcBorders>
            <w:shd w:val="clear" w:color="auto" w:fill="auto"/>
            <w:vAlign w:val="center"/>
          </w:tcPr>
          <w:p w14:paraId="6944BFD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砷</w:t>
            </w:r>
          </w:p>
        </w:tc>
        <w:tc>
          <w:tcPr>
            <w:tcW w:w="378" w:type="pct"/>
            <w:tcBorders>
              <w:tl2br w:val="nil"/>
              <w:tr2bl w:val="nil"/>
            </w:tcBorders>
            <w:shd w:val="clear" w:color="auto" w:fill="auto"/>
            <w:vAlign w:val="center"/>
          </w:tcPr>
          <w:p w14:paraId="7F31F0B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µg/L</w:t>
            </w:r>
          </w:p>
        </w:tc>
        <w:tc>
          <w:tcPr>
            <w:tcW w:w="292" w:type="pct"/>
            <w:tcBorders>
              <w:tl2br w:val="nil"/>
              <w:tr2bl w:val="nil"/>
            </w:tcBorders>
            <w:shd w:val="clear" w:color="auto" w:fill="auto"/>
            <w:vAlign w:val="center"/>
          </w:tcPr>
          <w:p w14:paraId="393573D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472" w:type="pct"/>
            <w:tcBorders>
              <w:tl2br w:val="nil"/>
              <w:tr2bl w:val="nil"/>
            </w:tcBorders>
            <w:shd w:val="clear" w:color="auto" w:fill="auto"/>
            <w:vAlign w:val="center"/>
          </w:tcPr>
          <w:p w14:paraId="25C0697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292" w:type="pct"/>
            <w:tcBorders>
              <w:tl2br w:val="nil"/>
              <w:tr2bl w:val="nil"/>
            </w:tcBorders>
            <w:shd w:val="clear" w:color="auto" w:fill="auto"/>
            <w:vAlign w:val="center"/>
          </w:tcPr>
          <w:p w14:paraId="567EBF6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472" w:type="pct"/>
            <w:tcBorders>
              <w:tl2br w:val="nil"/>
              <w:tr2bl w:val="nil"/>
            </w:tcBorders>
            <w:shd w:val="clear" w:color="auto" w:fill="auto"/>
            <w:vAlign w:val="center"/>
          </w:tcPr>
          <w:p w14:paraId="6C250B2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292" w:type="pct"/>
            <w:tcBorders>
              <w:tl2br w:val="nil"/>
              <w:tr2bl w:val="nil"/>
            </w:tcBorders>
            <w:shd w:val="clear" w:color="auto" w:fill="auto"/>
            <w:vAlign w:val="center"/>
          </w:tcPr>
          <w:p w14:paraId="54A7968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472" w:type="pct"/>
            <w:tcBorders>
              <w:tl2br w:val="nil"/>
              <w:tr2bl w:val="nil"/>
            </w:tcBorders>
            <w:shd w:val="clear" w:color="auto" w:fill="auto"/>
            <w:vAlign w:val="center"/>
          </w:tcPr>
          <w:p w14:paraId="71416AA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292" w:type="pct"/>
            <w:tcBorders>
              <w:tl2br w:val="nil"/>
              <w:tr2bl w:val="nil"/>
            </w:tcBorders>
            <w:shd w:val="clear" w:color="auto" w:fill="auto"/>
            <w:vAlign w:val="center"/>
          </w:tcPr>
          <w:p w14:paraId="564E6E1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472" w:type="pct"/>
            <w:tcBorders>
              <w:tl2br w:val="nil"/>
              <w:tr2bl w:val="nil"/>
            </w:tcBorders>
            <w:shd w:val="clear" w:color="auto" w:fill="auto"/>
            <w:vAlign w:val="center"/>
          </w:tcPr>
          <w:p w14:paraId="0D6459A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0.06</w:t>
            </w:r>
          </w:p>
        </w:tc>
        <w:tc>
          <w:tcPr>
            <w:tcW w:w="292" w:type="pct"/>
            <w:tcBorders>
              <w:tl2br w:val="nil"/>
              <w:tr2bl w:val="nil"/>
            </w:tcBorders>
            <w:shd w:val="clear" w:color="auto" w:fill="auto"/>
            <w:vAlign w:val="center"/>
          </w:tcPr>
          <w:p w14:paraId="60ED4FA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472" w:type="pct"/>
            <w:tcBorders>
              <w:tl2br w:val="nil"/>
              <w:tr2bl w:val="nil"/>
            </w:tcBorders>
            <w:shd w:val="clear" w:color="auto" w:fill="auto"/>
            <w:vAlign w:val="center"/>
          </w:tcPr>
          <w:p w14:paraId="243B9B8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0.05</w:t>
            </w:r>
          </w:p>
        </w:tc>
        <w:tc>
          <w:tcPr>
            <w:tcW w:w="315" w:type="pct"/>
            <w:tcBorders>
              <w:tl2br w:val="nil"/>
              <w:tr2bl w:val="nil"/>
            </w:tcBorders>
            <w:shd w:val="clear" w:color="auto" w:fill="auto"/>
            <w:vAlign w:val="center"/>
          </w:tcPr>
          <w:p w14:paraId="64C3F2D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10</w:t>
            </w:r>
          </w:p>
        </w:tc>
      </w:tr>
      <w:tr w14:paraId="78EDAC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686FDB57">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397" w:type="pct"/>
            <w:tcBorders>
              <w:tl2br w:val="nil"/>
              <w:tr2bl w:val="nil"/>
            </w:tcBorders>
            <w:shd w:val="clear" w:color="auto" w:fill="auto"/>
            <w:vAlign w:val="center"/>
          </w:tcPr>
          <w:p w14:paraId="1ADAEF7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汞</w:t>
            </w:r>
          </w:p>
        </w:tc>
        <w:tc>
          <w:tcPr>
            <w:tcW w:w="378" w:type="pct"/>
            <w:tcBorders>
              <w:tl2br w:val="nil"/>
              <w:tr2bl w:val="nil"/>
            </w:tcBorders>
            <w:shd w:val="clear" w:color="auto" w:fill="auto"/>
            <w:vAlign w:val="center"/>
          </w:tcPr>
          <w:p w14:paraId="2D43997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µg/L</w:t>
            </w:r>
          </w:p>
        </w:tc>
        <w:tc>
          <w:tcPr>
            <w:tcW w:w="292" w:type="pct"/>
            <w:tcBorders>
              <w:tl2br w:val="nil"/>
              <w:tr2bl w:val="nil"/>
            </w:tcBorders>
            <w:shd w:val="clear" w:color="auto" w:fill="auto"/>
            <w:vAlign w:val="center"/>
          </w:tcPr>
          <w:p w14:paraId="32F1AAF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0.04L</w:t>
            </w:r>
          </w:p>
        </w:tc>
        <w:tc>
          <w:tcPr>
            <w:tcW w:w="472" w:type="pct"/>
            <w:tcBorders>
              <w:tl2br w:val="nil"/>
              <w:tr2bl w:val="nil"/>
            </w:tcBorders>
            <w:shd w:val="clear" w:color="auto" w:fill="auto"/>
            <w:vAlign w:val="center"/>
          </w:tcPr>
          <w:p w14:paraId="62A9342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2559D8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0.04L</w:t>
            </w:r>
          </w:p>
        </w:tc>
        <w:tc>
          <w:tcPr>
            <w:tcW w:w="472" w:type="pct"/>
            <w:tcBorders>
              <w:tl2br w:val="nil"/>
              <w:tr2bl w:val="nil"/>
            </w:tcBorders>
            <w:shd w:val="clear" w:color="auto" w:fill="auto"/>
            <w:vAlign w:val="center"/>
          </w:tcPr>
          <w:p w14:paraId="18045F7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A60968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0.04L</w:t>
            </w:r>
          </w:p>
        </w:tc>
        <w:tc>
          <w:tcPr>
            <w:tcW w:w="472" w:type="pct"/>
            <w:tcBorders>
              <w:tl2br w:val="nil"/>
              <w:tr2bl w:val="nil"/>
            </w:tcBorders>
            <w:shd w:val="clear" w:color="auto" w:fill="auto"/>
            <w:vAlign w:val="center"/>
          </w:tcPr>
          <w:p w14:paraId="3F34315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BC0643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0.04L</w:t>
            </w:r>
          </w:p>
        </w:tc>
        <w:tc>
          <w:tcPr>
            <w:tcW w:w="472" w:type="pct"/>
            <w:tcBorders>
              <w:tl2br w:val="nil"/>
              <w:tr2bl w:val="nil"/>
            </w:tcBorders>
            <w:shd w:val="clear" w:color="auto" w:fill="auto"/>
            <w:vAlign w:val="center"/>
          </w:tcPr>
          <w:p w14:paraId="2F651B9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5C57F11">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0.04L</w:t>
            </w:r>
          </w:p>
        </w:tc>
        <w:tc>
          <w:tcPr>
            <w:tcW w:w="472" w:type="pct"/>
            <w:tcBorders>
              <w:tl2br w:val="nil"/>
              <w:tr2bl w:val="nil"/>
            </w:tcBorders>
            <w:shd w:val="clear" w:color="auto" w:fill="auto"/>
            <w:vAlign w:val="center"/>
          </w:tcPr>
          <w:p w14:paraId="16561AA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01530FB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0.001</w:t>
            </w:r>
          </w:p>
        </w:tc>
      </w:tr>
      <w:tr w14:paraId="29F7A2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466E8399">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21</w:t>
            </w:r>
          </w:p>
        </w:tc>
        <w:tc>
          <w:tcPr>
            <w:tcW w:w="397" w:type="pct"/>
            <w:tcBorders>
              <w:tl2br w:val="nil"/>
              <w:tr2bl w:val="nil"/>
            </w:tcBorders>
            <w:shd w:val="clear" w:color="auto" w:fill="auto"/>
            <w:vAlign w:val="center"/>
          </w:tcPr>
          <w:p w14:paraId="1F6383C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铅</w:t>
            </w:r>
          </w:p>
        </w:tc>
        <w:tc>
          <w:tcPr>
            <w:tcW w:w="378" w:type="pct"/>
            <w:tcBorders>
              <w:tl2br w:val="nil"/>
              <w:tr2bl w:val="nil"/>
            </w:tcBorders>
            <w:shd w:val="clear" w:color="auto" w:fill="auto"/>
            <w:vAlign w:val="center"/>
          </w:tcPr>
          <w:p w14:paraId="517E06C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µg/L</w:t>
            </w:r>
          </w:p>
        </w:tc>
        <w:tc>
          <w:tcPr>
            <w:tcW w:w="292" w:type="pct"/>
            <w:tcBorders>
              <w:tl2br w:val="nil"/>
              <w:tr2bl w:val="nil"/>
            </w:tcBorders>
            <w:shd w:val="clear" w:color="auto" w:fill="auto"/>
            <w:vAlign w:val="center"/>
          </w:tcPr>
          <w:p w14:paraId="768B533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2.5L</w:t>
            </w:r>
          </w:p>
        </w:tc>
        <w:tc>
          <w:tcPr>
            <w:tcW w:w="472" w:type="pct"/>
            <w:tcBorders>
              <w:tl2br w:val="nil"/>
              <w:tr2bl w:val="nil"/>
            </w:tcBorders>
            <w:shd w:val="clear" w:color="auto" w:fill="auto"/>
            <w:vAlign w:val="center"/>
          </w:tcPr>
          <w:p w14:paraId="7CB3356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20051A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2.5L</w:t>
            </w:r>
          </w:p>
        </w:tc>
        <w:tc>
          <w:tcPr>
            <w:tcW w:w="472" w:type="pct"/>
            <w:tcBorders>
              <w:tl2br w:val="nil"/>
              <w:tr2bl w:val="nil"/>
            </w:tcBorders>
            <w:shd w:val="clear" w:color="auto" w:fill="auto"/>
            <w:vAlign w:val="center"/>
          </w:tcPr>
          <w:p w14:paraId="2116E10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D26D13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2.5L</w:t>
            </w:r>
          </w:p>
        </w:tc>
        <w:tc>
          <w:tcPr>
            <w:tcW w:w="472" w:type="pct"/>
            <w:tcBorders>
              <w:tl2br w:val="nil"/>
              <w:tr2bl w:val="nil"/>
            </w:tcBorders>
            <w:shd w:val="clear" w:color="auto" w:fill="auto"/>
            <w:vAlign w:val="center"/>
          </w:tcPr>
          <w:p w14:paraId="21C07E7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40F8EB8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2.5L</w:t>
            </w:r>
          </w:p>
        </w:tc>
        <w:tc>
          <w:tcPr>
            <w:tcW w:w="472" w:type="pct"/>
            <w:tcBorders>
              <w:tl2br w:val="nil"/>
              <w:tr2bl w:val="nil"/>
            </w:tcBorders>
            <w:shd w:val="clear" w:color="auto" w:fill="auto"/>
            <w:vAlign w:val="center"/>
          </w:tcPr>
          <w:p w14:paraId="74B9FDC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262CD0B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2.5L</w:t>
            </w:r>
          </w:p>
        </w:tc>
        <w:tc>
          <w:tcPr>
            <w:tcW w:w="472" w:type="pct"/>
            <w:tcBorders>
              <w:tl2br w:val="nil"/>
              <w:tr2bl w:val="nil"/>
            </w:tcBorders>
            <w:shd w:val="clear" w:color="auto" w:fill="auto"/>
            <w:vAlign w:val="center"/>
          </w:tcPr>
          <w:p w14:paraId="2F64E19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5CF2002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0.01</w:t>
            </w:r>
          </w:p>
        </w:tc>
      </w:tr>
      <w:tr w14:paraId="63B63B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1859E8B7">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p>
        </w:tc>
        <w:tc>
          <w:tcPr>
            <w:tcW w:w="397" w:type="pct"/>
            <w:tcBorders>
              <w:tl2br w:val="nil"/>
              <w:tr2bl w:val="nil"/>
            </w:tcBorders>
            <w:shd w:val="clear" w:color="auto" w:fill="auto"/>
            <w:vAlign w:val="center"/>
          </w:tcPr>
          <w:p w14:paraId="3A74892C">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镉</w:t>
            </w:r>
          </w:p>
        </w:tc>
        <w:tc>
          <w:tcPr>
            <w:tcW w:w="378" w:type="pct"/>
            <w:tcBorders>
              <w:tl2br w:val="nil"/>
              <w:tr2bl w:val="nil"/>
            </w:tcBorders>
            <w:shd w:val="clear" w:color="auto" w:fill="auto"/>
            <w:vAlign w:val="center"/>
          </w:tcPr>
          <w:p w14:paraId="1DE8D7C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µg/L</w:t>
            </w:r>
          </w:p>
        </w:tc>
        <w:tc>
          <w:tcPr>
            <w:tcW w:w="292" w:type="pct"/>
            <w:tcBorders>
              <w:tl2br w:val="nil"/>
              <w:tr2bl w:val="nil"/>
            </w:tcBorders>
            <w:shd w:val="clear" w:color="auto" w:fill="auto"/>
            <w:vAlign w:val="center"/>
          </w:tcPr>
          <w:p w14:paraId="54F1046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tl2br w:val="nil"/>
              <w:tr2bl w:val="nil"/>
            </w:tcBorders>
            <w:shd w:val="clear" w:color="auto" w:fill="auto"/>
            <w:vAlign w:val="center"/>
          </w:tcPr>
          <w:p w14:paraId="2CF7EBC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F3DBED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tl2br w:val="nil"/>
              <w:tr2bl w:val="nil"/>
            </w:tcBorders>
            <w:shd w:val="clear" w:color="auto" w:fill="auto"/>
            <w:vAlign w:val="center"/>
          </w:tcPr>
          <w:p w14:paraId="6608676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23A1460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tl2br w:val="nil"/>
              <w:tr2bl w:val="nil"/>
            </w:tcBorders>
            <w:shd w:val="clear" w:color="auto" w:fill="auto"/>
            <w:vAlign w:val="center"/>
          </w:tcPr>
          <w:p w14:paraId="394501B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DEEFA0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tl2br w:val="nil"/>
              <w:tr2bl w:val="nil"/>
            </w:tcBorders>
            <w:shd w:val="clear" w:color="auto" w:fill="auto"/>
            <w:vAlign w:val="center"/>
          </w:tcPr>
          <w:p w14:paraId="2B5F1ED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C56806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472" w:type="pct"/>
            <w:tcBorders>
              <w:tl2br w:val="nil"/>
              <w:tr2bl w:val="nil"/>
            </w:tcBorders>
            <w:shd w:val="clear" w:color="auto" w:fill="auto"/>
            <w:vAlign w:val="center"/>
          </w:tcPr>
          <w:p w14:paraId="78A46C8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716E34E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0.005</w:t>
            </w:r>
          </w:p>
        </w:tc>
      </w:tr>
      <w:tr w14:paraId="3D24F7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64080018">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23</w:t>
            </w:r>
          </w:p>
        </w:tc>
        <w:tc>
          <w:tcPr>
            <w:tcW w:w="397" w:type="pct"/>
            <w:tcBorders>
              <w:tl2br w:val="nil"/>
              <w:tr2bl w:val="nil"/>
            </w:tcBorders>
            <w:shd w:val="clear" w:color="auto" w:fill="auto"/>
            <w:vAlign w:val="center"/>
          </w:tcPr>
          <w:p w14:paraId="76D424A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铁</w:t>
            </w:r>
          </w:p>
        </w:tc>
        <w:tc>
          <w:tcPr>
            <w:tcW w:w="378" w:type="pct"/>
            <w:tcBorders>
              <w:tl2br w:val="nil"/>
              <w:tr2bl w:val="nil"/>
            </w:tcBorders>
            <w:shd w:val="clear" w:color="auto" w:fill="auto"/>
            <w:vAlign w:val="center"/>
          </w:tcPr>
          <w:p w14:paraId="0587EA9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79E3062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0.03L</w:t>
            </w:r>
          </w:p>
        </w:tc>
        <w:tc>
          <w:tcPr>
            <w:tcW w:w="472" w:type="pct"/>
            <w:tcBorders>
              <w:tl2br w:val="nil"/>
              <w:tr2bl w:val="nil"/>
            </w:tcBorders>
            <w:shd w:val="clear" w:color="auto" w:fill="auto"/>
            <w:vAlign w:val="center"/>
          </w:tcPr>
          <w:p w14:paraId="29BED55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F89730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0.03L</w:t>
            </w:r>
          </w:p>
        </w:tc>
        <w:tc>
          <w:tcPr>
            <w:tcW w:w="472" w:type="pct"/>
            <w:tcBorders>
              <w:tl2br w:val="nil"/>
              <w:tr2bl w:val="nil"/>
            </w:tcBorders>
            <w:shd w:val="clear" w:color="auto" w:fill="auto"/>
            <w:vAlign w:val="center"/>
          </w:tcPr>
          <w:p w14:paraId="75FF7C5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4C3024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0.03L</w:t>
            </w:r>
          </w:p>
        </w:tc>
        <w:tc>
          <w:tcPr>
            <w:tcW w:w="472" w:type="pct"/>
            <w:tcBorders>
              <w:tl2br w:val="nil"/>
              <w:tr2bl w:val="nil"/>
            </w:tcBorders>
            <w:shd w:val="clear" w:color="auto" w:fill="auto"/>
            <w:vAlign w:val="center"/>
          </w:tcPr>
          <w:p w14:paraId="58CDC64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58019E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0.03L</w:t>
            </w:r>
          </w:p>
        </w:tc>
        <w:tc>
          <w:tcPr>
            <w:tcW w:w="472" w:type="pct"/>
            <w:tcBorders>
              <w:tl2br w:val="nil"/>
              <w:tr2bl w:val="nil"/>
            </w:tcBorders>
            <w:shd w:val="clear" w:color="auto" w:fill="auto"/>
            <w:vAlign w:val="center"/>
          </w:tcPr>
          <w:p w14:paraId="02407A3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099CB8F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0.03L</w:t>
            </w:r>
          </w:p>
        </w:tc>
        <w:tc>
          <w:tcPr>
            <w:tcW w:w="472" w:type="pct"/>
            <w:tcBorders>
              <w:tl2br w:val="nil"/>
              <w:tr2bl w:val="nil"/>
            </w:tcBorders>
            <w:shd w:val="clear" w:color="auto" w:fill="auto"/>
            <w:vAlign w:val="center"/>
          </w:tcPr>
          <w:p w14:paraId="6549CED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2801D8C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0.3</w:t>
            </w:r>
          </w:p>
        </w:tc>
      </w:tr>
      <w:tr w14:paraId="44D29C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5FF4C818">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w:t>
            </w:r>
          </w:p>
        </w:tc>
        <w:tc>
          <w:tcPr>
            <w:tcW w:w="397" w:type="pct"/>
            <w:tcBorders>
              <w:tl2br w:val="nil"/>
              <w:tr2bl w:val="nil"/>
            </w:tcBorders>
            <w:shd w:val="clear" w:color="auto" w:fill="auto"/>
            <w:vAlign w:val="center"/>
          </w:tcPr>
          <w:p w14:paraId="0439A73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锰</w:t>
            </w:r>
          </w:p>
        </w:tc>
        <w:tc>
          <w:tcPr>
            <w:tcW w:w="378" w:type="pct"/>
            <w:tcBorders>
              <w:tl2br w:val="nil"/>
              <w:tr2bl w:val="nil"/>
            </w:tcBorders>
            <w:shd w:val="clear" w:color="auto" w:fill="auto"/>
            <w:vAlign w:val="center"/>
          </w:tcPr>
          <w:p w14:paraId="60C6B9A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60A4D82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03411A6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478A54A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4548DA2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052325A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773794C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6C6F5F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7281A9C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0F1F87F7">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5F7C6A9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43AF0DC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0.1</w:t>
            </w:r>
          </w:p>
        </w:tc>
      </w:tr>
      <w:tr w14:paraId="52042A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43ABE2DA">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c>
          <w:tcPr>
            <w:tcW w:w="397" w:type="pct"/>
            <w:tcBorders>
              <w:tl2br w:val="nil"/>
              <w:tr2bl w:val="nil"/>
            </w:tcBorders>
            <w:shd w:val="clear" w:color="auto" w:fill="auto"/>
            <w:vAlign w:val="center"/>
          </w:tcPr>
          <w:p w14:paraId="101E52E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铜</w:t>
            </w:r>
          </w:p>
        </w:tc>
        <w:tc>
          <w:tcPr>
            <w:tcW w:w="378" w:type="pct"/>
            <w:tcBorders>
              <w:tl2br w:val="nil"/>
              <w:tr2bl w:val="nil"/>
            </w:tcBorders>
            <w:shd w:val="clear" w:color="auto" w:fill="auto"/>
            <w:vAlign w:val="center"/>
          </w:tcPr>
          <w:p w14:paraId="3B35C2C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63C763F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4A52551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824F80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3A374B7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DC1FF9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5113E47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422E45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0A510D6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730319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506D3E4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3AB4CB8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1</w:t>
            </w:r>
          </w:p>
        </w:tc>
      </w:tr>
      <w:tr w14:paraId="458C2B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55E18722">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p>
        </w:tc>
        <w:tc>
          <w:tcPr>
            <w:tcW w:w="397" w:type="pct"/>
            <w:tcBorders>
              <w:tl2br w:val="nil"/>
              <w:tr2bl w:val="nil"/>
            </w:tcBorders>
            <w:shd w:val="clear" w:color="auto" w:fill="auto"/>
            <w:vAlign w:val="center"/>
          </w:tcPr>
          <w:p w14:paraId="150D6C0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锌</w:t>
            </w:r>
          </w:p>
        </w:tc>
        <w:tc>
          <w:tcPr>
            <w:tcW w:w="378" w:type="pct"/>
            <w:tcBorders>
              <w:tl2br w:val="nil"/>
              <w:tr2bl w:val="nil"/>
            </w:tcBorders>
            <w:shd w:val="clear" w:color="auto" w:fill="auto"/>
            <w:vAlign w:val="center"/>
          </w:tcPr>
          <w:p w14:paraId="578BE6C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67CF97BC">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2F77B86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F1E33A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406CCD9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2975271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6D6D3C3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AD73EF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2AE6AEA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9AC41A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0.05L</w:t>
            </w:r>
          </w:p>
        </w:tc>
        <w:tc>
          <w:tcPr>
            <w:tcW w:w="472" w:type="pct"/>
            <w:tcBorders>
              <w:tl2br w:val="nil"/>
              <w:tr2bl w:val="nil"/>
            </w:tcBorders>
            <w:shd w:val="clear" w:color="auto" w:fill="auto"/>
            <w:vAlign w:val="center"/>
          </w:tcPr>
          <w:p w14:paraId="54F9BBB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5F906D6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1</w:t>
            </w:r>
          </w:p>
        </w:tc>
      </w:tr>
      <w:tr w14:paraId="083C16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730898C0">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27</w:t>
            </w:r>
          </w:p>
        </w:tc>
        <w:tc>
          <w:tcPr>
            <w:tcW w:w="397" w:type="pct"/>
            <w:tcBorders>
              <w:tl2br w:val="nil"/>
              <w:tr2bl w:val="nil"/>
            </w:tcBorders>
            <w:shd w:val="clear" w:color="auto" w:fill="auto"/>
            <w:vAlign w:val="center"/>
          </w:tcPr>
          <w:p w14:paraId="0BC4E48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铝</w:t>
            </w:r>
          </w:p>
        </w:tc>
        <w:tc>
          <w:tcPr>
            <w:tcW w:w="378" w:type="pct"/>
            <w:tcBorders>
              <w:tl2br w:val="nil"/>
              <w:tr2bl w:val="nil"/>
            </w:tcBorders>
            <w:shd w:val="clear" w:color="auto" w:fill="auto"/>
            <w:vAlign w:val="center"/>
          </w:tcPr>
          <w:p w14:paraId="40B3F2F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35E13B8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472" w:type="pct"/>
            <w:tcBorders>
              <w:tl2br w:val="nil"/>
              <w:tr2bl w:val="nil"/>
            </w:tcBorders>
            <w:shd w:val="clear" w:color="auto" w:fill="auto"/>
            <w:vAlign w:val="center"/>
          </w:tcPr>
          <w:p w14:paraId="049EDA2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0.04</w:t>
            </w:r>
          </w:p>
        </w:tc>
        <w:tc>
          <w:tcPr>
            <w:tcW w:w="292" w:type="pct"/>
            <w:tcBorders>
              <w:tl2br w:val="nil"/>
              <w:tr2bl w:val="nil"/>
            </w:tcBorders>
            <w:shd w:val="clear" w:color="auto" w:fill="auto"/>
            <w:vAlign w:val="center"/>
          </w:tcPr>
          <w:p w14:paraId="47927EC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472" w:type="pct"/>
            <w:tcBorders>
              <w:tl2br w:val="nil"/>
              <w:tr2bl w:val="nil"/>
            </w:tcBorders>
            <w:shd w:val="clear" w:color="auto" w:fill="auto"/>
            <w:vAlign w:val="center"/>
          </w:tcPr>
          <w:p w14:paraId="0BB8F33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0.04</w:t>
            </w:r>
          </w:p>
        </w:tc>
        <w:tc>
          <w:tcPr>
            <w:tcW w:w="292" w:type="pct"/>
            <w:tcBorders>
              <w:tl2br w:val="nil"/>
              <w:tr2bl w:val="nil"/>
            </w:tcBorders>
            <w:shd w:val="clear" w:color="auto" w:fill="auto"/>
            <w:vAlign w:val="center"/>
          </w:tcPr>
          <w:p w14:paraId="4DB6759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472" w:type="pct"/>
            <w:tcBorders>
              <w:tl2br w:val="nil"/>
              <w:tr2bl w:val="nil"/>
            </w:tcBorders>
            <w:shd w:val="clear" w:color="auto" w:fill="auto"/>
            <w:vAlign w:val="center"/>
          </w:tcPr>
          <w:p w14:paraId="45700F7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0.04</w:t>
            </w:r>
          </w:p>
        </w:tc>
        <w:tc>
          <w:tcPr>
            <w:tcW w:w="292" w:type="pct"/>
            <w:tcBorders>
              <w:tl2br w:val="nil"/>
              <w:tr2bl w:val="nil"/>
            </w:tcBorders>
            <w:shd w:val="clear" w:color="auto" w:fill="auto"/>
            <w:vAlign w:val="center"/>
          </w:tcPr>
          <w:p w14:paraId="272CC14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0.008L</w:t>
            </w:r>
          </w:p>
        </w:tc>
        <w:tc>
          <w:tcPr>
            <w:tcW w:w="472" w:type="pct"/>
            <w:tcBorders>
              <w:tl2br w:val="nil"/>
              <w:tr2bl w:val="nil"/>
            </w:tcBorders>
            <w:shd w:val="clear" w:color="auto" w:fill="auto"/>
            <w:vAlign w:val="center"/>
          </w:tcPr>
          <w:p w14:paraId="5ED2D1D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7C87F71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0.008L</w:t>
            </w:r>
          </w:p>
        </w:tc>
        <w:tc>
          <w:tcPr>
            <w:tcW w:w="472" w:type="pct"/>
            <w:tcBorders>
              <w:tl2br w:val="nil"/>
              <w:tr2bl w:val="nil"/>
            </w:tcBorders>
            <w:shd w:val="clear" w:color="auto" w:fill="auto"/>
            <w:vAlign w:val="center"/>
          </w:tcPr>
          <w:p w14:paraId="3BD075D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311643E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0.2</w:t>
            </w:r>
          </w:p>
        </w:tc>
      </w:tr>
      <w:tr w14:paraId="54D2F5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4407B998">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397" w:type="pct"/>
            <w:tcBorders>
              <w:tl2br w:val="nil"/>
              <w:tr2bl w:val="nil"/>
            </w:tcBorders>
            <w:shd w:val="clear" w:color="auto" w:fill="auto"/>
            <w:vAlign w:val="center"/>
          </w:tcPr>
          <w:p w14:paraId="1EF4731B">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378" w:type="pct"/>
            <w:tcBorders>
              <w:tl2br w:val="nil"/>
              <w:tr2bl w:val="nil"/>
            </w:tcBorders>
            <w:shd w:val="clear" w:color="auto" w:fill="auto"/>
            <w:vAlign w:val="center"/>
          </w:tcPr>
          <w:p w14:paraId="3B603133">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21829FC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0.67</w:t>
            </w:r>
          </w:p>
        </w:tc>
        <w:tc>
          <w:tcPr>
            <w:tcW w:w="472" w:type="pct"/>
            <w:tcBorders>
              <w:tl2br w:val="nil"/>
              <w:tr2bl w:val="nil"/>
            </w:tcBorders>
            <w:shd w:val="clear" w:color="auto" w:fill="auto"/>
            <w:vAlign w:val="center"/>
          </w:tcPr>
          <w:p w14:paraId="4AB74A83">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0.67</w:t>
            </w:r>
          </w:p>
        </w:tc>
        <w:tc>
          <w:tcPr>
            <w:tcW w:w="292" w:type="pct"/>
            <w:tcBorders>
              <w:tl2br w:val="nil"/>
              <w:tr2bl w:val="nil"/>
            </w:tcBorders>
            <w:shd w:val="clear" w:color="auto" w:fill="auto"/>
            <w:vAlign w:val="center"/>
          </w:tcPr>
          <w:p w14:paraId="42519195">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0.72</w:t>
            </w:r>
          </w:p>
        </w:tc>
        <w:tc>
          <w:tcPr>
            <w:tcW w:w="472" w:type="pct"/>
            <w:tcBorders>
              <w:tl2br w:val="nil"/>
              <w:tr2bl w:val="nil"/>
            </w:tcBorders>
            <w:shd w:val="clear" w:color="auto" w:fill="auto"/>
            <w:vAlign w:val="center"/>
          </w:tcPr>
          <w:p w14:paraId="28ABD46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0.72</w:t>
            </w:r>
          </w:p>
        </w:tc>
        <w:tc>
          <w:tcPr>
            <w:tcW w:w="292" w:type="pct"/>
            <w:tcBorders>
              <w:tl2br w:val="nil"/>
              <w:tr2bl w:val="nil"/>
            </w:tcBorders>
            <w:shd w:val="clear" w:color="auto" w:fill="auto"/>
            <w:vAlign w:val="center"/>
          </w:tcPr>
          <w:p w14:paraId="16122D4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0.83</w:t>
            </w:r>
          </w:p>
        </w:tc>
        <w:tc>
          <w:tcPr>
            <w:tcW w:w="472" w:type="pct"/>
            <w:tcBorders>
              <w:tl2br w:val="nil"/>
              <w:tr2bl w:val="nil"/>
            </w:tcBorders>
            <w:shd w:val="clear" w:color="auto" w:fill="auto"/>
            <w:vAlign w:val="center"/>
          </w:tcPr>
          <w:p w14:paraId="4E833E8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0.83</w:t>
            </w:r>
          </w:p>
        </w:tc>
        <w:tc>
          <w:tcPr>
            <w:tcW w:w="292" w:type="pct"/>
            <w:tcBorders>
              <w:tl2br w:val="nil"/>
              <w:tr2bl w:val="nil"/>
            </w:tcBorders>
            <w:shd w:val="clear" w:color="auto" w:fill="auto"/>
            <w:vAlign w:val="center"/>
          </w:tcPr>
          <w:p w14:paraId="775437BA">
            <w:pPr>
              <w:keepNext w:val="0"/>
              <w:keepLines w:val="0"/>
              <w:widowControl/>
              <w:suppressLineNumbers w:val="0"/>
              <w:spacing w:line="400" w:lineRule="exact"/>
              <w:ind w:firstLine="0" w:firstLineChars="0"/>
              <w:jc w:val="center"/>
              <w:textAlignment w:val="center"/>
              <w:rPr>
                <w:rFonts w:hint="default" w:ascii="Times New Roman" w:hAnsi="Times New Roman" w:cs="Times New Roman"/>
                <w:b/>
                <w:bCs/>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472" w:type="pct"/>
            <w:tcBorders>
              <w:tl2br w:val="nil"/>
              <w:tr2bl w:val="nil"/>
            </w:tcBorders>
            <w:shd w:val="clear" w:color="auto" w:fill="auto"/>
            <w:vAlign w:val="center"/>
          </w:tcPr>
          <w:p w14:paraId="2F63AA1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0.73</w:t>
            </w:r>
          </w:p>
        </w:tc>
        <w:tc>
          <w:tcPr>
            <w:tcW w:w="292" w:type="pct"/>
            <w:tcBorders>
              <w:tl2br w:val="nil"/>
              <w:tr2bl w:val="nil"/>
            </w:tcBorders>
            <w:shd w:val="clear" w:color="auto" w:fill="auto"/>
            <w:vAlign w:val="center"/>
          </w:tcPr>
          <w:p w14:paraId="7462AEE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72" w:type="pct"/>
            <w:tcBorders>
              <w:tl2br w:val="nil"/>
              <w:tr2bl w:val="nil"/>
            </w:tcBorders>
            <w:shd w:val="clear" w:color="auto" w:fill="auto"/>
            <w:vAlign w:val="center"/>
          </w:tcPr>
          <w:p w14:paraId="250BE54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0.8</w:t>
            </w:r>
          </w:p>
        </w:tc>
        <w:tc>
          <w:tcPr>
            <w:tcW w:w="315" w:type="pct"/>
            <w:tcBorders>
              <w:tl2br w:val="nil"/>
              <w:tr2bl w:val="nil"/>
            </w:tcBorders>
            <w:shd w:val="clear" w:color="auto" w:fill="auto"/>
            <w:vAlign w:val="center"/>
          </w:tcPr>
          <w:p w14:paraId="791E554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1</w:t>
            </w:r>
          </w:p>
        </w:tc>
      </w:tr>
      <w:tr w14:paraId="7BACD0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3CEED746">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29</w:t>
            </w:r>
          </w:p>
        </w:tc>
        <w:tc>
          <w:tcPr>
            <w:tcW w:w="397" w:type="pct"/>
            <w:tcBorders>
              <w:tl2br w:val="nil"/>
              <w:tr2bl w:val="nil"/>
            </w:tcBorders>
            <w:shd w:val="clear" w:color="auto" w:fill="auto"/>
            <w:vAlign w:val="center"/>
          </w:tcPr>
          <w:p w14:paraId="0600EF8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378" w:type="pct"/>
            <w:tcBorders>
              <w:tl2br w:val="nil"/>
              <w:tr2bl w:val="nil"/>
            </w:tcBorders>
            <w:shd w:val="clear" w:color="auto" w:fill="auto"/>
            <w:vAlign w:val="center"/>
          </w:tcPr>
          <w:p w14:paraId="04924DC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292" w:type="pct"/>
            <w:tcBorders>
              <w:tl2br w:val="nil"/>
              <w:tr2bl w:val="nil"/>
            </w:tcBorders>
            <w:shd w:val="clear" w:color="auto" w:fill="auto"/>
            <w:vAlign w:val="center"/>
          </w:tcPr>
          <w:p w14:paraId="7B406D3C">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2973115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3C20D7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704647A8">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3E61B13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11A5A54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934FBE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5E324E2B">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6CE172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0.01L</w:t>
            </w:r>
          </w:p>
        </w:tc>
        <w:tc>
          <w:tcPr>
            <w:tcW w:w="472" w:type="pct"/>
            <w:tcBorders>
              <w:tl2br w:val="nil"/>
              <w:tr2bl w:val="nil"/>
            </w:tcBorders>
            <w:shd w:val="clear" w:color="auto" w:fill="auto"/>
            <w:vAlign w:val="center"/>
          </w:tcPr>
          <w:p w14:paraId="6479F3B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03091702">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0.05</w:t>
            </w:r>
          </w:p>
        </w:tc>
      </w:tr>
      <w:tr w14:paraId="174408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570C4D9B">
            <w:pPr>
              <w:pStyle w:val="1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397" w:type="pct"/>
            <w:tcBorders>
              <w:tl2br w:val="nil"/>
              <w:tr2bl w:val="nil"/>
            </w:tcBorders>
            <w:shd w:val="clear" w:color="auto" w:fill="auto"/>
            <w:vAlign w:val="center"/>
          </w:tcPr>
          <w:p w14:paraId="4844CEF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总大肠菌群</w:t>
            </w:r>
          </w:p>
        </w:tc>
        <w:tc>
          <w:tcPr>
            <w:tcW w:w="378" w:type="pct"/>
            <w:tcBorders>
              <w:tl2br w:val="nil"/>
              <w:tr2bl w:val="nil"/>
            </w:tcBorders>
            <w:shd w:val="clear" w:color="auto" w:fill="auto"/>
            <w:vAlign w:val="center"/>
          </w:tcPr>
          <w:p w14:paraId="37605A6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MPN/100mL</w:t>
            </w:r>
          </w:p>
        </w:tc>
        <w:tc>
          <w:tcPr>
            <w:tcW w:w="292" w:type="pct"/>
            <w:tcBorders>
              <w:tl2br w:val="nil"/>
              <w:tr2bl w:val="nil"/>
            </w:tcBorders>
            <w:shd w:val="clear" w:color="auto" w:fill="auto"/>
            <w:vAlign w:val="center"/>
          </w:tcPr>
          <w:p w14:paraId="699A227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472" w:type="pct"/>
            <w:tcBorders>
              <w:tl2br w:val="nil"/>
              <w:tr2bl w:val="nil"/>
            </w:tcBorders>
            <w:shd w:val="clear" w:color="auto" w:fill="auto"/>
            <w:vAlign w:val="center"/>
          </w:tcPr>
          <w:p w14:paraId="38C1B169">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5A179F8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472" w:type="pct"/>
            <w:tcBorders>
              <w:tl2br w:val="nil"/>
              <w:tr2bl w:val="nil"/>
            </w:tcBorders>
            <w:shd w:val="clear" w:color="auto" w:fill="auto"/>
            <w:vAlign w:val="center"/>
          </w:tcPr>
          <w:p w14:paraId="67F6F90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19B97E9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472" w:type="pct"/>
            <w:tcBorders>
              <w:tl2br w:val="nil"/>
              <w:tr2bl w:val="nil"/>
            </w:tcBorders>
            <w:shd w:val="clear" w:color="auto" w:fill="auto"/>
            <w:vAlign w:val="center"/>
          </w:tcPr>
          <w:p w14:paraId="075284A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62CEDEE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472" w:type="pct"/>
            <w:tcBorders>
              <w:tl2br w:val="nil"/>
              <w:tr2bl w:val="nil"/>
            </w:tcBorders>
            <w:shd w:val="clear" w:color="auto" w:fill="auto"/>
            <w:vAlign w:val="center"/>
          </w:tcPr>
          <w:p w14:paraId="712EB5DE">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292" w:type="pct"/>
            <w:tcBorders>
              <w:tl2br w:val="nil"/>
              <w:tr2bl w:val="nil"/>
            </w:tcBorders>
            <w:shd w:val="clear" w:color="auto" w:fill="auto"/>
            <w:vAlign w:val="center"/>
          </w:tcPr>
          <w:p w14:paraId="4A177005">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未检出</w:t>
            </w:r>
          </w:p>
        </w:tc>
        <w:tc>
          <w:tcPr>
            <w:tcW w:w="472" w:type="pct"/>
            <w:tcBorders>
              <w:tl2br w:val="nil"/>
              <w:tr2bl w:val="nil"/>
            </w:tcBorders>
            <w:shd w:val="clear" w:color="auto" w:fill="auto"/>
            <w:vAlign w:val="center"/>
          </w:tcPr>
          <w:p w14:paraId="43861721">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315" w:type="pct"/>
            <w:tcBorders>
              <w:tl2br w:val="nil"/>
              <w:tr2bl w:val="nil"/>
            </w:tcBorders>
            <w:shd w:val="clear" w:color="auto" w:fill="auto"/>
            <w:vAlign w:val="center"/>
          </w:tcPr>
          <w:p w14:paraId="35F58264">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3</w:t>
            </w:r>
          </w:p>
        </w:tc>
      </w:tr>
      <w:tr w14:paraId="53BEB1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57" w:type="dxa"/>
            <w:bottom w:w="0" w:type="dxa"/>
            <w:right w:w="57" w:type="dxa"/>
          </w:tblCellMar>
        </w:tblPrEx>
        <w:trPr>
          <w:trHeight w:val="227" w:hRule="atLeast"/>
          <w:jc w:val="center"/>
        </w:trPr>
        <w:tc>
          <w:tcPr>
            <w:tcW w:w="83" w:type="pct"/>
            <w:tcBorders>
              <w:tl2br w:val="nil"/>
              <w:tr2bl w:val="nil"/>
            </w:tcBorders>
            <w:shd w:val="clear" w:color="auto" w:fill="auto"/>
            <w:tcMar>
              <w:left w:w="0" w:type="dxa"/>
              <w:right w:w="0" w:type="dxa"/>
            </w:tcMar>
            <w:vAlign w:val="center"/>
          </w:tcPr>
          <w:p w14:paraId="1420B2DA">
            <w:pPr>
              <w:pStyle w:val="132"/>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31</w:t>
            </w:r>
          </w:p>
        </w:tc>
        <w:tc>
          <w:tcPr>
            <w:tcW w:w="397" w:type="pct"/>
            <w:tcBorders>
              <w:tl2br w:val="nil"/>
              <w:tr2bl w:val="nil"/>
            </w:tcBorders>
            <w:shd w:val="clear" w:color="auto" w:fill="auto"/>
            <w:vAlign w:val="center"/>
          </w:tcPr>
          <w:p w14:paraId="0FA4792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菌落总数</w:t>
            </w:r>
          </w:p>
        </w:tc>
        <w:tc>
          <w:tcPr>
            <w:tcW w:w="378" w:type="pct"/>
            <w:tcBorders>
              <w:tl2br w:val="nil"/>
              <w:tr2bl w:val="nil"/>
            </w:tcBorders>
            <w:shd w:val="clear" w:color="auto" w:fill="auto"/>
            <w:vAlign w:val="center"/>
          </w:tcPr>
          <w:p w14:paraId="25CE0E8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CFU/mL</w:t>
            </w:r>
          </w:p>
        </w:tc>
        <w:tc>
          <w:tcPr>
            <w:tcW w:w="292" w:type="pct"/>
            <w:tcBorders>
              <w:tl2br w:val="nil"/>
              <w:tr2bl w:val="nil"/>
            </w:tcBorders>
            <w:shd w:val="clear" w:color="auto" w:fill="auto"/>
            <w:vAlign w:val="center"/>
          </w:tcPr>
          <w:p w14:paraId="3ABCF98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2" w:type="pct"/>
            <w:tcBorders>
              <w:tl2br w:val="nil"/>
              <w:tr2bl w:val="nil"/>
            </w:tcBorders>
            <w:shd w:val="clear" w:color="auto" w:fill="auto"/>
            <w:vAlign w:val="center"/>
          </w:tcPr>
          <w:p w14:paraId="0E7B951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0.05</w:t>
            </w:r>
          </w:p>
        </w:tc>
        <w:tc>
          <w:tcPr>
            <w:tcW w:w="292" w:type="pct"/>
            <w:tcBorders>
              <w:tl2br w:val="nil"/>
              <w:tr2bl w:val="nil"/>
            </w:tcBorders>
            <w:shd w:val="clear" w:color="auto" w:fill="auto"/>
            <w:vAlign w:val="center"/>
          </w:tcPr>
          <w:p w14:paraId="4050CAA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72" w:type="pct"/>
            <w:tcBorders>
              <w:tl2br w:val="nil"/>
              <w:tr2bl w:val="nil"/>
            </w:tcBorders>
            <w:shd w:val="clear" w:color="auto" w:fill="auto"/>
            <w:vAlign w:val="center"/>
          </w:tcPr>
          <w:p w14:paraId="229916A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2"/>
                <w:szCs w:val="22"/>
                <w:highlight w:val="none"/>
                <w:u w:val="none"/>
                <w:lang w:val="en-US" w:eastAsia="zh-CN" w:bidi="ar"/>
              </w:rPr>
              <w:t>0.03</w:t>
            </w:r>
          </w:p>
        </w:tc>
        <w:tc>
          <w:tcPr>
            <w:tcW w:w="292" w:type="pct"/>
            <w:tcBorders>
              <w:tl2br w:val="nil"/>
              <w:tr2bl w:val="nil"/>
            </w:tcBorders>
            <w:shd w:val="clear" w:color="auto" w:fill="auto"/>
            <w:vAlign w:val="center"/>
          </w:tcPr>
          <w:p w14:paraId="6C7092DF">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72" w:type="pct"/>
            <w:tcBorders>
              <w:tl2br w:val="nil"/>
              <w:tr2bl w:val="nil"/>
            </w:tcBorders>
            <w:shd w:val="clear" w:color="auto" w:fill="auto"/>
            <w:vAlign w:val="center"/>
          </w:tcPr>
          <w:p w14:paraId="7628D26D">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0.04</w:t>
            </w:r>
          </w:p>
        </w:tc>
        <w:tc>
          <w:tcPr>
            <w:tcW w:w="292" w:type="pct"/>
            <w:tcBorders>
              <w:tl2br w:val="nil"/>
              <w:tr2bl w:val="nil"/>
            </w:tcBorders>
            <w:shd w:val="clear" w:color="auto" w:fill="auto"/>
            <w:vAlign w:val="center"/>
          </w:tcPr>
          <w:p w14:paraId="78F5310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highlight w:val="none"/>
                <w:lang w:val="en-US" w:eastAsia="en-US"/>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72" w:type="pct"/>
            <w:tcBorders>
              <w:tl2br w:val="nil"/>
              <w:tr2bl w:val="nil"/>
            </w:tcBorders>
            <w:shd w:val="clear" w:color="auto" w:fill="auto"/>
            <w:vAlign w:val="center"/>
          </w:tcPr>
          <w:p w14:paraId="14851AD6">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0.04</w:t>
            </w:r>
          </w:p>
        </w:tc>
        <w:tc>
          <w:tcPr>
            <w:tcW w:w="292" w:type="pct"/>
            <w:tcBorders>
              <w:tl2br w:val="nil"/>
              <w:tr2bl w:val="nil"/>
            </w:tcBorders>
            <w:shd w:val="clear" w:color="auto" w:fill="auto"/>
            <w:vAlign w:val="center"/>
          </w:tcPr>
          <w:p w14:paraId="169D26AC">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72" w:type="pct"/>
            <w:tcBorders>
              <w:tl2br w:val="nil"/>
              <w:tr2bl w:val="nil"/>
            </w:tcBorders>
            <w:shd w:val="clear" w:color="auto" w:fill="auto"/>
            <w:vAlign w:val="center"/>
          </w:tcPr>
          <w:p w14:paraId="65A7C1B0">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0.04</w:t>
            </w:r>
          </w:p>
        </w:tc>
        <w:tc>
          <w:tcPr>
            <w:tcW w:w="315" w:type="pct"/>
            <w:tcBorders>
              <w:tl2br w:val="nil"/>
              <w:tr2bl w:val="nil"/>
            </w:tcBorders>
            <w:shd w:val="clear" w:color="auto" w:fill="auto"/>
            <w:vAlign w:val="center"/>
          </w:tcPr>
          <w:p w14:paraId="1BCA328A">
            <w:pPr>
              <w:keepNext w:val="0"/>
              <w:keepLines w:val="0"/>
              <w:widowControl/>
              <w:suppressLineNumbers w:val="0"/>
              <w:spacing w:line="40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i w:val="0"/>
                <w:iCs w:val="0"/>
                <w:color w:val="auto"/>
                <w:kern w:val="0"/>
                <w:sz w:val="22"/>
                <w:szCs w:val="22"/>
                <w:highlight w:val="none"/>
                <w:u w:val="none"/>
                <w:lang w:val="en-US" w:eastAsia="zh-CN" w:bidi="ar"/>
              </w:rPr>
              <w:t>100</w:t>
            </w:r>
          </w:p>
        </w:tc>
      </w:tr>
    </w:tbl>
    <w:p w14:paraId="07585B64">
      <w:pPr>
        <w:pStyle w:val="1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表4.2-</w:t>
      </w:r>
      <w:r>
        <w:rPr>
          <w:rFonts w:hint="default"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地下水八大离子电荷平衡分析表</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489"/>
        <w:gridCol w:w="1515"/>
        <w:gridCol w:w="1831"/>
        <w:gridCol w:w="1702"/>
        <w:gridCol w:w="1259"/>
        <w:gridCol w:w="1115"/>
        <w:gridCol w:w="1597"/>
        <w:gridCol w:w="1682"/>
        <w:gridCol w:w="1913"/>
      </w:tblGrid>
      <w:tr w14:paraId="5EBB44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528" w:type="pct"/>
            <w:vMerge w:val="restart"/>
            <w:tcBorders>
              <w:tl2br w:val="nil"/>
              <w:tr2bl w:val="nil"/>
            </w:tcBorders>
            <w:vAlign w:val="center"/>
            <mc:AlternateContent>
              <mc:Choice Requires="wpsCustomData">
                <wpsCustomData:diagonals>
                  <wpsCustomData:diagonal from="10000" to="30000">
                    <wpsCustomData:border w:val="single" w:color="auto" w:sz="8" w:space="0"/>
                  </wpsCustomData:diagonal>
                </wpsCustomData:diagonals>
              </mc:Choice>
            </mc:AlternateContent>
          </w:tcPr>
          <w:p w14:paraId="68CEFEBD">
            <w:pPr>
              <w:pStyle w:val="132"/>
              <w:bidi w:val="0"/>
              <w:rPr>
                <w:rFonts w:hint="default" w:ascii="Times New Roman" w:hAnsi="Times New Roman" w:cs="Times New Roman"/>
                <w:b/>
                <w:bCs/>
                <w:color w:val="auto"/>
                <w:highlight w:val="none"/>
                <w:lang w:val="en-US" w:eastAsia="zh-CN"/>
              </w:rPr>
            </w:pPr>
          </w:p>
          <w:p w14:paraId="6015AFD2">
            <w:pPr>
              <w:pStyle w:val="132"/>
              <w:bidi w:val="0"/>
              <w:snapToGrid w:val="0"/>
              <mc:AlternateContent>
                <mc:Choice Requires="wpsCustomData">
                  <wpsCustomData:diagonalParaType/>
                </mc:Choice>
              </mc:AlternateContent>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编号</w:t>
            </w:r>
          </w:p>
          <w:p w14:paraId="46C077E8">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项目</w:t>
            </w:r>
          </w:p>
        </w:tc>
        <w:tc>
          <w:tcPr>
            <w:tcW w:w="2235" w:type="pct"/>
            <w:gridSpan w:val="4"/>
            <w:tcBorders>
              <w:tl2br w:val="nil"/>
              <w:tr2bl w:val="nil"/>
            </w:tcBorders>
            <w:vAlign w:val="center"/>
          </w:tcPr>
          <w:p w14:paraId="1484BD28">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阳离子当量浓度（m</w:t>
            </w:r>
            <w:r>
              <w:rPr>
                <w:rFonts w:hint="default" w:cs="Times New Roman"/>
                <w:b/>
                <w:bCs/>
                <w:color w:val="auto"/>
                <w:highlight w:val="none"/>
                <w:lang w:val="en-US" w:eastAsia="zh-CN"/>
              </w:rPr>
              <w:t>g</w:t>
            </w:r>
            <w:r>
              <w:rPr>
                <w:rFonts w:hint="default" w:ascii="Times New Roman" w:hAnsi="Times New Roman" w:cs="Times New Roman"/>
                <w:b/>
                <w:bCs/>
                <w:color w:val="auto"/>
                <w:highlight w:val="none"/>
                <w:lang w:val="en-US" w:eastAsia="zh-CN"/>
              </w:rPr>
              <w:t>/L）</w:t>
            </w:r>
          </w:p>
        </w:tc>
        <w:tc>
          <w:tcPr>
            <w:tcW w:w="2235" w:type="pct"/>
            <w:gridSpan w:val="4"/>
            <w:tcBorders>
              <w:tl2br w:val="nil"/>
              <w:tr2bl w:val="nil"/>
            </w:tcBorders>
            <w:vAlign w:val="center"/>
          </w:tcPr>
          <w:p w14:paraId="585DAE6B">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阴离子当量浓度（m</w:t>
            </w:r>
            <w:r>
              <w:rPr>
                <w:rFonts w:hint="default" w:cs="Times New Roman"/>
                <w:b/>
                <w:bCs/>
                <w:color w:val="auto"/>
                <w:highlight w:val="none"/>
                <w:lang w:val="en-US" w:eastAsia="zh-CN"/>
              </w:rPr>
              <w:t>g</w:t>
            </w:r>
            <w:r>
              <w:rPr>
                <w:rFonts w:hint="default" w:ascii="Times New Roman" w:hAnsi="Times New Roman" w:cs="Times New Roman"/>
                <w:b/>
                <w:bCs/>
                <w:color w:val="auto"/>
                <w:highlight w:val="none"/>
                <w:lang w:val="en-US" w:eastAsia="zh-CN"/>
              </w:rPr>
              <w:t>/L）</w:t>
            </w:r>
          </w:p>
        </w:tc>
      </w:tr>
      <w:tr w14:paraId="0C16F1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28" w:type="pct"/>
            <w:vMerge w:val="continue"/>
            <w:tcBorders>
              <w:tl2br w:val="nil"/>
              <w:tr2bl w:val="nil"/>
            </w:tcBorders>
            <w:vAlign w:val="center"/>
          </w:tcPr>
          <w:p w14:paraId="449641CE">
            <w:pPr>
              <w:pStyle w:val="132"/>
              <w:bidi w:val="0"/>
              <w:rPr>
                <w:rFonts w:hint="default" w:ascii="Times New Roman" w:hAnsi="Times New Roman" w:cs="Times New Roman"/>
                <w:b/>
                <w:bCs/>
                <w:color w:val="auto"/>
                <w:highlight w:val="none"/>
                <w:lang w:val="en-US" w:eastAsia="zh-CN"/>
              </w:rPr>
            </w:pPr>
          </w:p>
        </w:tc>
        <w:tc>
          <w:tcPr>
            <w:tcW w:w="537" w:type="pct"/>
            <w:tcBorders>
              <w:tl2br w:val="nil"/>
              <w:tr2bl w:val="nil"/>
            </w:tcBorders>
            <w:vAlign w:val="center"/>
          </w:tcPr>
          <w:p w14:paraId="66AF5DD7">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K</w:t>
            </w:r>
            <w:r>
              <w:rPr>
                <w:rFonts w:hint="default" w:ascii="Times New Roman" w:hAnsi="Times New Roman" w:cs="Times New Roman"/>
                <w:b/>
                <w:bCs/>
                <w:color w:val="auto"/>
                <w:highlight w:val="none"/>
                <w:vertAlign w:val="superscript"/>
                <w:lang w:val="en-US" w:eastAsia="zh-CN"/>
              </w:rPr>
              <w:t>+</w:t>
            </w:r>
          </w:p>
        </w:tc>
        <w:tc>
          <w:tcPr>
            <w:tcW w:w="649" w:type="pct"/>
            <w:tcBorders>
              <w:tl2br w:val="nil"/>
              <w:tr2bl w:val="nil"/>
            </w:tcBorders>
            <w:vAlign w:val="center"/>
          </w:tcPr>
          <w:p w14:paraId="75B07CA2">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Na</w:t>
            </w:r>
            <w:r>
              <w:rPr>
                <w:rFonts w:hint="default" w:ascii="Times New Roman" w:hAnsi="Times New Roman" w:cs="Times New Roman"/>
                <w:b/>
                <w:bCs/>
                <w:color w:val="auto"/>
                <w:highlight w:val="none"/>
                <w:vertAlign w:val="superscript"/>
                <w:lang w:val="en-US" w:eastAsia="zh-CN"/>
              </w:rPr>
              <w:t>+</w:t>
            </w:r>
          </w:p>
        </w:tc>
        <w:tc>
          <w:tcPr>
            <w:tcW w:w="603" w:type="pct"/>
            <w:tcBorders>
              <w:tl2br w:val="nil"/>
              <w:tr2bl w:val="nil"/>
            </w:tcBorders>
            <w:vAlign w:val="center"/>
          </w:tcPr>
          <w:p w14:paraId="70345C6D">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Ca</w:t>
            </w:r>
            <w:r>
              <w:rPr>
                <w:rFonts w:hint="default" w:ascii="Times New Roman" w:hAnsi="Times New Roman" w:cs="Times New Roman"/>
                <w:b/>
                <w:bCs/>
                <w:color w:val="auto"/>
                <w:highlight w:val="none"/>
                <w:vertAlign w:val="superscript"/>
                <w:lang w:val="en-US" w:eastAsia="zh-CN"/>
              </w:rPr>
              <w:t>2+</w:t>
            </w:r>
          </w:p>
        </w:tc>
        <w:tc>
          <w:tcPr>
            <w:tcW w:w="446" w:type="pct"/>
            <w:tcBorders>
              <w:tl2br w:val="nil"/>
              <w:tr2bl w:val="nil"/>
            </w:tcBorders>
            <w:vAlign w:val="center"/>
          </w:tcPr>
          <w:p w14:paraId="5258A1A9">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Mg</w:t>
            </w:r>
            <w:r>
              <w:rPr>
                <w:rFonts w:hint="default" w:ascii="Times New Roman" w:hAnsi="Times New Roman" w:cs="Times New Roman"/>
                <w:b/>
                <w:bCs/>
                <w:color w:val="auto"/>
                <w:highlight w:val="none"/>
                <w:vertAlign w:val="superscript"/>
                <w:lang w:val="en-US" w:eastAsia="zh-CN"/>
              </w:rPr>
              <w:t>2+</w:t>
            </w:r>
          </w:p>
        </w:tc>
        <w:tc>
          <w:tcPr>
            <w:tcW w:w="395" w:type="pct"/>
            <w:tcBorders>
              <w:tl2br w:val="nil"/>
              <w:tr2bl w:val="nil"/>
            </w:tcBorders>
            <w:vAlign w:val="center"/>
          </w:tcPr>
          <w:p w14:paraId="4B27099C">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Cl</w:t>
            </w:r>
            <w:r>
              <w:rPr>
                <w:rFonts w:hint="default" w:ascii="Times New Roman" w:hAnsi="Times New Roman" w:cs="Times New Roman"/>
                <w:b/>
                <w:bCs/>
                <w:color w:val="auto"/>
                <w:highlight w:val="none"/>
                <w:vertAlign w:val="superscript"/>
                <w:lang w:val="en-US" w:eastAsia="zh-CN"/>
              </w:rPr>
              <w:t>-</w:t>
            </w:r>
          </w:p>
        </w:tc>
        <w:tc>
          <w:tcPr>
            <w:tcW w:w="566" w:type="pct"/>
            <w:tcBorders>
              <w:tl2br w:val="nil"/>
              <w:tr2bl w:val="nil"/>
            </w:tcBorders>
            <w:vAlign w:val="center"/>
          </w:tcPr>
          <w:p w14:paraId="79884D36">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SO</w:t>
            </w:r>
            <w:r>
              <w:rPr>
                <w:rFonts w:hint="default" w:ascii="Times New Roman" w:hAnsi="Times New Roman" w:cs="Times New Roman"/>
                <w:b/>
                <w:bCs/>
                <w:color w:val="auto"/>
                <w:highlight w:val="none"/>
                <w:vertAlign w:val="subscript"/>
                <w:lang w:val="en-US" w:eastAsia="zh-CN"/>
              </w:rPr>
              <w:t>4</w:t>
            </w:r>
            <w:r>
              <w:rPr>
                <w:rFonts w:hint="default" w:ascii="Times New Roman" w:hAnsi="Times New Roman" w:cs="Times New Roman"/>
                <w:b/>
                <w:bCs/>
                <w:color w:val="auto"/>
                <w:highlight w:val="none"/>
                <w:vertAlign w:val="superscript"/>
                <w:lang w:val="en-US" w:eastAsia="zh-CN"/>
              </w:rPr>
              <w:t>2-</w:t>
            </w:r>
          </w:p>
        </w:tc>
        <w:tc>
          <w:tcPr>
            <w:tcW w:w="596" w:type="pct"/>
            <w:tcBorders>
              <w:tl2br w:val="nil"/>
              <w:tr2bl w:val="nil"/>
            </w:tcBorders>
            <w:vAlign w:val="center"/>
          </w:tcPr>
          <w:p w14:paraId="64BC1346">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CO</w:t>
            </w:r>
            <w:r>
              <w:rPr>
                <w:rFonts w:hint="default" w:ascii="Times New Roman" w:hAnsi="Times New Roman" w:cs="Times New Roman"/>
                <w:b/>
                <w:bCs/>
                <w:color w:val="auto"/>
                <w:highlight w:val="none"/>
                <w:vertAlign w:val="subscript"/>
                <w:lang w:val="en-US" w:eastAsia="zh-CN"/>
              </w:rPr>
              <w:t>3</w:t>
            </w:r>
            <w:r>
              <w:rPr>
                <w:rFonts w:hint="default" w:ascii="Times New Roman" w:hAnsi="Times New Roman" w:cs="Times New Roman"/>
                <w:b/>
                <w:bCs/>
                <w:color w:val="auto"/>
                <w:highlight w:val="none"/>
                <w:vertAlign w:val="superscript"/>
                <w:lang w:val="en-US" w:eastAsia="zh-CN"/>
              </w:rPr>
              <w:t>2-</w:t>
            </w:r>
          </w:p>
        </w:tc>
        <w:tc>
          <w:tcPr>
            <w:tcW w:w="677" w:type="pct"/>
            <w:tcBorders>
              <w:tl2br w:val="nil"/>
              <w:tr2bl w:val="nil"/>
            </w:tcBorders>
            <w:vAlign w:val="center"/>
          </w:tcPr>
          <w:p w14:paraId="7FA043F0">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HCO</w:t>
            </w:r>
            <w:r>
              <w:rPr>
                <w:rFonts w:hint="default" w:ascii="Times New Roman" w:hAnsi="Times New Roman" w:cs="Times New Roman"/>
                <w:b/>
                <w:bCs/>
                <w:color w:val="auto"/>
                <w:highlight w:val="none"/>
                <w:vertAlign w:val="subscript"/>
                <w:lang w:val="en-US" w:eastAsia="zh-CN"/>
              </w:rPr>
              <w:t>3</w:t>
            </w:r>
            <w:r>
              <w:rPr>
                <w:rFonts w:hint="default" w:ascii="Times New Roman" w:hAnsi="Times New Roman" w:cs="Times New Roman"/>
                <w:b/>
                <w:bCs/>
                <w:color w:val="auto"/>
                <w:highlight w:val="none"/>
                <w:vertAlign w:val="superscript"/>
                <w:lang w:val="en-US" w:eastAsia="zh-CN"/>
              </w:rPr>
              <w:t>-</w:t>
            </w:r>
          </w:p>
        </w:tc>
      </w:tr>
      <w:tr w14:paraId="374EE7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28" w:type="pct"/>
            <w:tcBorders>
              <w:tl2br w:val="nil"/>
              <w:tr2bl w:val="nil"/>
            </w:tcBorders>
            <w:vAlign w:val="center"/>
          </w:tcPr>
          <w:p w14:paraId="08FDB956">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1515" w:type="dxa"/>
            <w:tcBorders>
              <w:tl2br w:val="nil"/>
              <w:tr2bl w:val="nil"/>
            </w:tcBorders>
            <w:vAlign w:val="center"/>
          </w:tcPr>
          <w:p w14:paraId="7242BAF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4.74</w:t>
            </w:r>
          </w:p>
        </w:tc>
        <w:tc>
          <w:tcPr>
            <w:tcW w:w="1831" w:type="dxa"/>
            <w:tcBorders>
              <w:tl2br w:val="nil"/>
              <w:tr2bl w:val="nil"/>
            </w:tcBorders>
            <w:vAlign w:val="center"/>
          </w:tcPr>
          <w:p w14:paraId="735AEFC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88.7</w:t>
            </w:r>
          </w:p>
        </w:tc>
        <w:tc>
          <w:tcPr>
            <w:tcW w:w="1702" w:type="dxa"/>
            <w:tcBorders>
              <w:tl2br w:val="nil"/>
              <w:tr2bl w:val="nil"/>
            </w:tcBorders>
            <w:vAlign w:val="center"/>
          </w:tcPr>
          <w:p w14:paraId="01DAACE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83.5</w:t>
            </w:r>
          </w:p>
        </w:tc>
        <w:tc>
          <w:tcPr>
            <w:tcW w:w="1259" w:type="dxa"/>
            <w:tcBorders>
              <w:tl2br w:val="nil"/>
              <w:tr2bl w:val="nil"/>
            </w:tcBorders>
            <w:vAlign w:val="center"/>
          </w:tcPr>
          <w:p w14:paraId="366B5B4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13.7</w:t>
            </w:r>
          </w:p>
        </w:tc>
        <w:tc>
          <w:tcPr>
            <w:tcW w:w="1115" w:type="dxa"/>
            <w:tcBorders>
              <w:tl2br w:val="nil"/>
              <w:tr2bl w:val="nil"/>
            </w:tcBorders>
            <w:vAlign w:val="center"/>
          </w:tcPr>
          <w:p w14:paraId="3986BC6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65</w:t>
            </w:r>
          </w:p>
        </w:tc>
        <w:tc>
          <w:tcPr>
            <w:tcW w:w="1597" w:type="dxa"/>
            <w:tcBorders>
              <w:tl2br w:val="nil"/>
              <w:tr2bl w:val="nil"/>
            </w:tcBorders>
            <w:vAlign w:val="center"/>
          </w:tcPr>
          <w:p w14:paraId="6DB77C2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146</w:t>
            </w:r>
          </w:p>
        </w:tc>
        <w:tc>
          <w:tcPr>
            <w:tcW w:w="1682" w:type="dxa"/>
            <w:tcBorders>
              <w:tl2br w:val="nil"/>
              <w:tr2bl w:val="nil"/>
            </w:tcBorders>
            <w:vAlign w:val="center"/>
          </w:tcPr>
          <w:p w14:paraId="20FDDA5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5L</w:t>
            </w:r>
          </w:p>
        </w:tc>
        <w:tc>
          <w:tcPr>
            <w:tcW w:w="1913" w:type="dxa"/>
            <w:tcBorders>
              <w:tl2br w:val="nil"/>
              <w:tr2bl w:val="nil"/>
            </w:tcBorders>
            <w:vAlign w:val="center"/>
          </w:tcPr>
          <w:p w14:paraId="77410A0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150.3</w:t>
            </w:r>
          </w:p>
        </w:tc>
      </w:tr>
      <w:tr w14:paraId="09D3E0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28" w:type="pct"/>
            <w:tcBorders>
              <w:tl2br w:val="nil"/>
              <w:tr2bl w:val="nil"/>
            </w:tcBorders>
            <w:vAlign w:val="center"/>
          </w:tcPr>
          <w:p w14:paraId="75A7DE0D">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515" w:type="dxa"/>
            <w:tcBorders>
              <w:tl2br w:val="nil"/>
              <w:tr2bl w:val="nil"/>
            </w:tcBorders>
            <w:vAlign w:val="center"/>
          </w:tcPr>
          <w:p w14:paraId="3ACF5F5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4.71</w:t>
            </w:r>
          </w:p>
        </w:tc>
        <w:tc>
          <w:tcPr>
            <w:tcW w:w="1831" w:type="dxa"/>
            <w:tcBorders>
              <w:tl2br w:val="nil"/>
              <w:tr2bl w:val="nil"/>
            </w:tcBorders>
            <w:vAlign w:val="center"/>
          </w:tcPr>
          <w:p w14:paraId="0820E9C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92.9</w:t>
            </w:r>
          </w:p>
        </w:tc>
        <w:tc>
          <w:tcPr>
            <w:tcW w:w="1702" w:type="dxa"/>
            <w:tcBorders>
              <w:tl2br w:val="nil"/>
              <w:tr2bl w:val="nil"/>
            </w:tcBorders>
            <w:vAlign w:val="center"/>
          </w:tcPr>
          <w:p w14:paraId="168A6F4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86.7</w:t>
            </w:r>
          </w:p>
        </w:tc>
        <w:tc>
          <w:tcPr>
            <w:tcW w:w="1259" w:type="dxa"/>
            <w:tcBorders>
              <w:tl2br w:val="nil"/>
              <w:tr2bl w:val="nil"/>
            </w:tcBorders>
            <w:vAlign w:val="center"/>
          </w:tcPr>
          <w:p w14:paraId="15974C08">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16.2</w:t>
            </w:r>
          </w:p>
        </w:tc>
        <w:tc>
          <w:tcPr>
            <w:tcW w:w="1115" w:type="dxa"/>
            <w:tcBorders>
              <w:tl2br w:val="nil"/>
              <w:tr2bl w:val="nil"/>
            </w:tcBorders>
            <w:vAlign w:val="center"/>
          </w:tcPr>
          <w:p w14:paraId="267E2912">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66</w:t>
            </w:r>
          </w:p>
        </w:tc>
        <w:tc>
          <w:tcPr>
            <w:tcW w:w="1597" w:type="dxa"/>
            <w:tcBorders>
              <w:tl2br w:val="nil"/>
              <w:tr2bl w:val="nil"/>
            </w:tcBorders>
            <w:vAlign w:val="center"/>
          </w:tcPr>
          <w:p w14:paraId="651C50E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179</w:t>
            </w:r>
          </w:p>
        </w:tc>
        <w:tc>
          <w:tcPr>
            <w:tcW w:w="1682" w:type="dxa"/>
            <w:tcBorders>
              <w:tl2br w:val="nil"/>
              <w:tr2bl w:val="nil"/>
            </w:tcBorders>
            <w:vAlign w:val="center"/>
          </w:tcPr>
          <w:p w14:paraId="3B87D5B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5L</w:t>
            </w:r>
          </w:p>
        </w:tc>
        <w:tc>
          <w:tcPr>
            <w:tcW w:w="1913" w:type="dxa"/>
            <w:tcBorders>
              <w:tl2br w:val="nil"/>
              <w:tr2bl w:val="nil"/>
            </w:tcBorders>
            <w:vAlign w:val="center"/>
          </w:tcPr>
          <w:p w14:paraId="6A6342B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196.3</w:t>
            </w:r>
          </w:p>
        </w:tc>
      </w:tr>
      <w:tr w14:paraId="5598BC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28" w:type="pct"/>
            <w:tcBorders>
              <w:tl2br w:val="nil"/>
              <w:tr2bl w:val="nil"/>
            </w:tcBorders>
            <w:vAlign w:val="center"/>
          </w:tcPr>
          <w:p w14:paraId="44CA0E94">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515" w:type="dxa"/>
            <w:tcBorders>
              <w:tl2br w:val="nil"/>
              <w:tr2bl w:val="nil"/>
            </w:tcBorders>
            <w:vAlign w:val="center"/>
          </w:tcPr>
          <w:p w14:paraId="7C45889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4.61</w:t>
            </w:r>
          </w:p>
        </w:tc>
        <w:tc>
          <w:tcPr>
            <w:tcW w:w="1831" w:type="dxa"/>
            <w:tcBorders>
              <w:tl2br w:val="nil"/>
              <w:tr2bl w:val="nil"/>
            </w:tcBorders>
            <w:vAlign w:val="center"/>
          </w:tcPr>
          <w:p w14:paraId="268395A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81.7</w:t>
            </w:r>
          </w:p>
        </w:tc>
        <w:tc>
          <w:tcPr>
            <w:tcW w:w="1702" w:type="dxa"/>
            <w:tcBorders>
              <w:tl2br w:val="nil"/>
              <w:tr2bl w:val="nil"/>
            </w:tcBorders>
            <w:vAlign w:val="center"/>
          </w:tcPr>
          <w:p w14:paraId="16C1192C">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79.4</w:t>
            </w:r>
          </w:p>
        </w:tc>
        <w:tc>
          <w:tcPr>
            <w:tcW w:w="1259" w:type="dxa"/>
            <w:tcBorders>
              <w:tl2br w:val="nil"/>
              <w:tr2bl w:val="nil"/>
            </w:tcBorders>
            <w:vAlign w:val="center"/>
          </w:tcPr>
          <w:p w14:paraId="7EA7C96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22.6</w:t>
            </w:r>
          </w:p>
        </w:tc>
        <w:tc>
          <w:tcPr>
            <w:tcW w:w="1115" w:type="dxa"/>
            <w:tcBorders>
              <w:tl2br w:val="nil"/>
              <w:tr2bl w:val="nil"/>
            </w:tcBorders>
            <w:vAlign w:val="center"/>
          </w:tcPr>
          <w:p w14:paraId="050DFB3C">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59</w:t>
            </w:r>
          </w:p>
        </w:tc>
        <w:tc>
          <w:tcPr>
            <w:tcW w:w="1597" w:type="dxa"/>
            <w:tcBorders>
              <w:tl2br w:val="nil"/>
              <w:tr2bl w:val="nil"/>
            </w:tcBorders>
            <w:vAlign w:val="center"/>
          </w:tcPr>
          <w:p w14:paraId="2568747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121</w:t>
            </w:r>
          </w:p>
        </w:tc>
        <w:tc>
          <w:tcPr>
            <w:tcW w:w="1682" w:type="dxa"/>
            <w:tcBorders>
              <w:tl2br w:val="nil"/>
              <w:tr2bl w:val="nil"/>
            </w:tcBorders>
            <w:vAlign w:val="center"/>
          </w:tcPr>
          <w:p w14:paraId="415FDD7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5L</w:t>
            </w:r>
          </w:p>
        </w:tc>
        <w:tc>
          <w:tcPr>
            <w:tcW w:w="1913" w:type="dxa"/>
            <w:tcBorders>
              <w:tl2br w:val="nil"/>
              <w:tr2bl w:val="nil"/>
            </w:tcBorders>
            <w:vAlign w:val="center"/>
          </w:tcPr>
          <w:p w14:paraId="055C78AB">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153.3</w:t>
            </w:r>
          </w:p>
        </w:tc>
      </w:tr>
      <w:tr w14:paraId="019646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28" w:type="pct"/>
            <w:tcBorders>
              <w:tl2br w:val="nil"/>
              <w:tr2bl w:val="nil"/>
            </w:tcBorders>
            <w:vAlign w:val="center"/>
          </w:tcPr>
          <w:p w14:paraId="5F133053">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515" w:type="dxa"/>
            <w:tcBorders>
              <w:tl2br w:val="nil"/>
              <w:tr2bl w:val="nil"/>
            </w:tcBorders>
            <w:vAlign w:val="center"/>
          </w:tcPr>
          <w:p w14:paraId="23CA769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4.77</w:t>
            </w:r>
          </w:p>
        </w:tc>
        <w:tc>
          <w:tcPr>
            <w:tcW w:w="1831" w:type="dxa"/>
            <w:tcBorders>
              <w:tl2br w:val="nil"/>
              <w:tr2bl w:val="nil"/>
            </w:tcBorders>
            <w:vAlign w:val="center"/>
          </w:tcPr>
          <w:p w14:paraId="49128D5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91.64</w:t>
            </w:r>
          </w:p>
        </w:tc>
        <w:tc>
          <w:tcPr>
            <w:tcW w:w="1702" w:type="dxa"/>
            <w:tcBorders>
              <w:tl2br w:val="nil"/>
              <w:tr2bl w:val="nil"/>
            </w:tcBorders>
            <w:vAlign w:val="center"/>
          </w:tcPr>
          <w:p w14:paraId="68A0013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84.3</w:t>
            </w:r>
          </w:p>
        </w:tc>
        <w:tc>
          <w:tcPr>
            <w:tcW w:w="1259" w:type="dxa"/>
            <w:tcBorders>
              <w:tl2br w:val="nil"/>
              <w:tr2bl w:val="nil"/>
            </w:tcBorders>
            <w:vAlign w:val="center"/>
          </w:tcPr>
          <w:p w14:paraId="593934EE">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14.7</w:t>
            </w:r>
          </w:p>
        </w:tc>
        <w:tc>
          <w:tcPr>
            <w:tcW w:w="1115" w:type="dxa"/>
            <w:tcBorders>
              <w:tl2br w:val="nil"/>
              <w:tr2bl w:val="nil"/>
            </w:tcBorders>
            <w:vAlign w:val="center"/>
          </w:tcPr>
          <w:p w14:paraId="53F7A3A3">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64.5</w:t>
            </w:r>
          </w:p>
        </w:tc>
        <w:tc>
          <w:tcPr>
            <w:tcW w:w="1597" w:type="dxa"/>
            <w:tcBorders>
              <w:tl2br w:val="nil"/>
              <w:tr2bl w:val="nil"/>
            </w:tcBorders>
            <w:vAlign w:val="center"/>
          </w:tcPr>
          <w:p w14:paraId="76DF11F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170</w:t>
            </w:r>
          </w:p>
        </w:tc>
        <w:tc>
          <w:tcPr>
            <w:tcW w:w="1682" w:type="dxa"/>
            <w:tcBorders>
              <w:tl2br w:val="nil"/>
              <w:tr2bl w:val="nil"/>
            </w:tcBorders>
            <w:vAlign w:val="center"/>
          </w:tcPr>
          <w:p w14:paraId="26FF22AD">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5L</w:t>
            </w:r>
          </w:p>
        </w:tc>
        <w:tc>
          <w:tcPr>
            <w:tcW w:w="1913" w:type="dxa"/>
            <w:tcBorders>
              <w:tl2br w:val="nil"/>
              <w:tr2bl w:val="nil"/>
            </w:tcBorders>
            <w:vAlign w:val="center"/>
          </w:tcPr>
          <w:p w14:paraId="4AA5ACF0">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177.9</w:t>
            </w:r>
          </w:p>
        </w:tc>
      </w:tr>
      <w:tr w14:paraId="04EEC2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28" w:type="pct"/>
            <w:tcBorders>
              <w:tl2br w:val="nil"/>
              <w:tr2bl w:val="nil"/>
            </w:tcBorders>
            <w:vAlign w:val="center"/>
          </w:tcPr>
          <w:p w14:paraId="67ED310C">
            <w:pPr>
              <w:pStyle w:val="132"/>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5</w:t>
            </w:r>
          </w:p>
        </w:tc>
        <w:tc>
          <w:tcPr>
            <w:tcW w:w="1515" w:type="dxa"/>
            <w:tcBorders>
              <w:tl2br w:val="nil"/>
              <w:tr2bl w:val="nil"/>
            </w:tcBorders>
            <w:vAlign w:val="center"/>
          </w:tcPr>
          <w:p w14:paraId="4C4434C6">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4.74</w:t>
            </w:r>
          </w:p>
        </w:tc>
        <w:tc>
          <w:tcPr>
            <w:tcW w:w="1831" w:type="dxa"/>
            <w:tcBorders>
              <w:tl2br w:val="nil"/>
              <w:tr2bl w:val="nil"/>
            </w:tcBorders>
            <w:vAlign w:val="center"/>
          </w:tcPr>
          <w:p w14:paraId="5477CCE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88.7</w:t>
            </w:r>
          </w:p>
        </w:tc>
        <w:tc>
          <w:tcPr>
            <w:tcW w:w="1702" w:type="dxa"/>
            <w:tcBorders>
              <w:tl2br w:val="nil"/>
              <w:tr2bl w:val="nil"/>
            </w:tcBorders>
            <w:vAlign w:val="center"/>
          </w:tcPr>
          <w:p w14:paraId="078FF7E1">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83.5</w:t>
            </w:r>
          </w:p>
        </w:tc>
        <w:tc>
          <w:tcPr>
            <w:tcW w:w="1259" w:type="dxa"/>
            <w:tcBorders>
              <w:tl2br w:val="nil"/>
              <w:tr2bl w:val="nil"/>
            </w:tcBorders>
            <w:vAlign w:val="center"/>
          </w:tcPr>
          <w:p w14:paraId="5DCE1A57">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13.7</w:t>
            </w:r>
          </w:p>
        </w:tc>
        <w:tc>
          <w:tcPr>
            <w:tcW w:w="1115" w:type="dxa"/>
            <w:tcBorders>
              <w:tl2br w:val="nil"/>
              <w:tr2bl w:val="nil"/>
            </w:tcBorders>
            <w:vAlign w:val="center"/>
          </w:tcPr>
          <w:p w14:paraId="782AA035">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65</w:t>
            </w:r>
          </w:p>
        </w:tc>
        <w:tc>
          <w:tcPr>
            <w:tcW w:w="1597" w:type="dxa"/>
            <w:tcBorders>
              <w:tl2br w:val="nil"/>
              <w:tr2bl w:val="nil"/>
            </w:tcBorders>
            <w:vAlign w:val="center"/>
          </w:tcPr>
          <w:p w14:paraId="0CC1C03F">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146</w:t>
            </w:r>
          </w:p>
        </w:tc>
        <w:tc>
          <w:tcPr>
            <w:tcW w:w="1682" w:type="dxa"/>
            <w:tcBorders>
              <w:tl2br w:val="nil"/>
              <w:tr2bl w:val="nil"/>
            </w:tcBorders>
            <w:vAlign w:val="center"/>
          </w:tcPr>
          <w:p w14:paraId="29AE958A">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5L</w:t>
            </w:r>
          </w:p>
        </w:tc>
        <w:tc>
          <w:tcPr>
            <w:tcW w:w="1913" w:type="dxa"/>
            <w:tcBorders>
              <w:tl2br w:val="nil"/>
              <w:tr2bl w:val="nil"/>
            </w:tcBorders>
            <w:vAlign w:val="center"/>
          </w:tcPr>
          <w:p w14:paraId="0E236254">
            <w:pPr>
              <w:keepNext w:val="0"/>
              <w:keepLines w:val="0"/>
              <w:widowControl/>
              <w:suppressLineNumbers w:val="0"/>
              <w:spacing w:line="40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SA"/>
              </w:rPr>
              <w:t>150.3</w:t>
            </w:r>
          </w:p>
        </w:tc>
      </w:tr>
    </w:tbl>
    <w:p w14:paraId="733E9B7D">
      <w:pPr>
        <w:overflowPunct w:val="0"/>
        <w:topLinePunct/>
        <w:adjustRightInd w:val="0"/>
        <w:snapToGrid w:val="0"/>
        <w:ind w:firstLine="476"/>
        <w:rPr>
          <w:rFonts w:hint="default" w:ascii="Times New Roman" w:hAnsi="Times New Roman" w:cs="Times New Roman"/>
          <w:color w:val="auto"/>
          <w:spacing w:val="-1"/>
          <w:position w:val="2"/>
          <w:highlight w:val="none"/>
        </w:rPr>
        <w:sectPr>
          <w:footerReference r:id="rId23" w:type="default"/>
          <w:footerReference r:id="rId24" w:type="even"/>
          <w:pgSz w:w="16838" w:h="11906" w:orient="landscape"/>
          <w:pgMar w:top="1474" w:right="1474" w:bottom="1474" w:left="1474" w:header="850" w:footer="1134" w:gutter="0"/>
          <w:cols w:space="720" w:num="1"/>
          <w:docGrid w:linePitch="312" w:charSpace="0"/>
        </w:sectPr>
      </w:pPr>
    </w:p>
    <w:p w14:paraId="72EA629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水位方面，区域地下水埋深范围在</w:t>
      </w: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2m～</w:t>
      </w:r>
      <w:r>
        <w:rPr>
          <w:rFonts w:hint="default" w:cs="Times New Roman"/>
          <w:color w:val="auto"/>
          <w:highlight w:val="none"/>
          <w:lang w:val="en-US" w:eastAsia="zh-CN"/>
        </w:rPr>
        <w:t>36</w:t>
      </w:r>
      <w:r>
        <w:rPr>
          <w:rFonts w:hint="default" w:ascii="Times New Roman" w:hAnsi="Times New Roman" w:cs="Times New Roman"/>
          <w:color w:val="auto"/>
          <w:highlight w:val="none"/>
          <w:lang w:val="en-US" w:eastAsia="zh-CN"/>
        </w:rPr>
        <w:t>m，其中本项目区地下水埋深均超过10m。水质方面，</w:t>
      </w:r>
      <w:r>
        <w:rPr>
          <w:rFonts w:hint="default" w:cs="Times New Roman"/>
          <w:color w:val="auto"/>
          <w:highlight w:val="none"/>
          <w:lang w:val="en-US" w:eastAsia="zh-CN"/>
        </w:rPr>
        <w:t>本项目</w:t>
      </w:r>
      <w:r>
        <w:rPr>
          <w:rFonts w:hint="default" w:ascii="Times New Roman" w:hAnsi="Times New Roman" w:cs="Times New Roman"/>
          <w:color w:val="auto"/>
          <w:highlight w:val="none"/>
          <w:lang w:val="en-US" w:eastAsia="zh-CN"/>
        </w:rPr>
        <w:t>地下水各项监测指标均符合《地下水质量标准》（GB/T14848-2017）中的Ⅲ类标准，</w:t>
      </w:r>
      <w:r>
        <w:rPr>
          <w:rFonts w:hint="default" w:cs="Times New Roman"/>
          <w:color w:val="auto"/>
          <w:highlight w:val="none"/>
          <w:lang w:val="en-US" w:eastAsia="zh-CN"/>
        </w:rPr>
        <w:t>石油类符合</w:t>
      </w:r>
      <w:r>
        <w:rPr>
          <w:rFonts w:hint="default" w:cs="Times New Roman"/>
          <w:color w:val="auto"/>
          <w:spacing w:val="-1"/>
          <w:position w:val="2"/>
          <w:highlight w:val="none"/>
          <w:lang w:val="en-US" w:eastAsia="zh-CN"/>
        </w:rPr>
        <w:t>《地表水环境质量标准》（GB 3838-2002）中</w:t>
      </w:r>
      <w:r>
        <w:rPr>
          <w:rFonts w:hint="default" w:ascii="Times New Roman" w:hAnsi="Times New Roman" w:cs="Times New Roman"/>
          <w:color w:val="auto"/>
          <w:spacing w:val="-1"/>
          <w:position w:val="2"/>
          <w:highlight w:val="none"/>
          <w:lang w:val="en-US" w:eastAsia="zh-CN"/>
        </w:rPr>
        <w:t>Ⅲ类标准</w:t>
      </w:r>
      <w:r>
        <w:rPr>
          <w:rFonts w:hint="default" w:cs="Times New Roman"/>
          <w:color w:val="auto"/>
          <w:spacing w:val="-1"/>
          <w:position w:val="2"/>
          <w:highlight w:val="none"/>
          <w:lang w:val="en-US" w:eastAsia="zh-CN"/>
        </w:rPr>
        <w:t>。</w:t>
      </w:r>
      <w:r>
        <w:rPr>
          <w:rFonts w:hint="default" w:ascii="Times New Roman" w:hAnsi="Times New Roman" w:cs="Times New Roman"/>
          <w:color w:val="auto"/>
          <w:highlight w:val="none"/>
          <w:lang w:val="en-US" w:eastAsia="zh-CN"/>
        </w:rPr>
        <w:t>评价区域地下水水质良好。</w:t>
      </w:r>
    </w:p>
    <w:p w14:paraId="4512AAF4">
      <w:pPr>
        <w:pStyle w:val="4"/>
        <w:rPr>
          <w:rFonts w:hint="default" w:ascii="Times New Roman" w:hAnsi="Times New Roman" w:cs="Times New Roman"/>
          <w:color w:val="auto"/>
          <w:highlight w:val="none"/>
        </w:rPr>
      </w:pPr>
      <w:bookmarkStart w:id="667" w:name="_Toc23819"/>
      <w:bookmarkStart w:id="668" w:name="_Toc15076"/>
      <w:bookmarkStart w:id="669" w:name="_Toc22779"/>
      <w:bookmarkStart w:id="670" w:name="_Toc16093"/>
      <w:bookmarkStart w:id="671" w:name="_Toc2142"/>
      <w:bookmarkStart w:id="672" w:name="_Toc24500"/>
      <w:bookmarkStart w:id="673" w:name="_Toc31393"/>
      <w:bookmarkStart w:id="674" w:name="_Toc13408"/>
      <w:bookmarkStart w:id="675" w:name="_Toc17201"/>
      <w:bookmarkStart w:id="676" w:name="_Toc9872"/>
      <w:bookmarkStart w:id="677" w:name="_Toc8719"/>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声环境质量现状评价</w:t>
      </w:r>
      <w:bookmarkEnd w:id="667"/>
      <w:bookmarkEnd w:id="668"/>
      <w:bookmarkEnd w:id="669"/>
      <w:bookmarkEnd w:id="670"/>
      <w:bookmarkEnd w:id="671"/>
      <w:bookmarkEnd w:id="672"/>
      <w:bookmarkEnd w:id="673"/>
      <w:bookmarkEnd w:id="674"/>
      <w:bookmarkEnd w:id="675"/>
      <w:bookmarkEnd w:id="676"/>
      <w:bookmarkEnd w:id="677"/>
    </w:p>
    <w:p w14:paraId="4D7664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（1）监测点布设</w:t>
      </w:r>
    </w:p>
    <w:p w14:paraId="0C6EC12F">
      <w:pPr>
        <w:pStyle w:val="52"/>
        <w:widowControl/>
        <w:overflowPunct w:val="0"/>
        <w:topLinePunct/>
        <w:spacing w:line="480" w:lineRule="exact"/>
        <w:ind w:firstLine="48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szCs w:val="24"/>
          <w:highlight w:val="none"/>
        </w:rPr>
        <w:t>本次评价委托</w:t>
      </w:r>
      <w:r>
        <w:rPr>
          <w:rFonts w:hint="default" w:ascii="Times New Roman" w:hAnsi="Times New Roman" w:cs="Times New Roman"/>
          <w:color w:val="auto"/>
          <w:spacing w:val="-4"/>
          <w:highlight w:val="none"/>
        </w:rPr>
        <w:t>新疆西域质信检验检测有限公司</w:t>
      </w:r>
      <w:r>
        <w:rPr>
          <w:rFonts w:hint="default" w:ascii="Times New Roman" w:hAnsi="Times New Roman" w:cs="Times New Roman"/>
          <w:color w:val="auto"/>
          <w:szCs w:val="24"/>
          <w:highlight w:val="none"/>
        </w:rPr>
        <w:t>对选矿工程</w:t>
      </w:r>
      <w:r>
        <w:rPr>
          <w:rFonts w:hint="default" w:ascii="Times New Roman" w:hAnsi="Times New Roman" w:cs="Times New Roman"/>
          <w:color w:val="auto"/>
          <w:szCs w:val="24"/>
          <w:highlight w:val="none"/>
          <w:lang w:val="en-US" w:eastAsia="zh-CN"/>
        </w:rPr>
        <w:t>及</w:t>
      </w:r>
      <w:r>
        <w:rPr>
          <w:rFonts w:hint="default" w:ascii="Times New Roman" w:hAnsi="Times New Roman" w:cs="Times New Roman"/>
          <w:color w:val="auto"/>
          <w:szCs w:val="24"/>
          <w:highlight w:val="none"/>
        </w:rPr>
        <w:t>尾矿库进行噪声监测，于选矿工程</w:t>
      </w:r>
      <w:r>
        <w:rPr>
          <w:rFonts w:hint="default" w:ascii="Times New Roman" w:hAnsi="Times New Roman" w:cs="Times New Roman"/>
          <w:color w:val="auto"/>
          <w:szCs w:val="24"/>
          <w:highlight w:val="none"/>
          <w:lang w:val="en-US" w:eastAsia="zh-CN"/>
        </w:rPr>
        <w:t>及</w:t>
      </w:r>
      <w:r>
        <w:rPr>
          <w:rFonts w:hint="default" w:ascii="Times New Roman" w:hAnsi="Times New Roman" w:cs="Times New Roman"/>
          <w:color w:val="auto"/>
          <w:szCs w:val="24"/>
          <w:highlight w:val="none"/>
        </w:rPr>
        <w:t>尾矿库边界各布设了4个噪声监测点，监测时间为202</w:t>
      </w:r>
      <w:r>
        <w:rPr>
          <w:rFonts w:hint="default" w:cs="Times New Roman"/>
          <w:color w:val="auto"/>
          <w:szCs w:val="24"/>
          <w:highlight w:val="none"/>
          <w:lang w:val="en-US" w:eastAsia="zh-CN"/>
        </w:rPr>
        <w:t>6</w:t>
      </w:r>
      <w:r>
        <w:rPr>
          <w:rFonts w:hint="default" w:ascii="Times New Roman" w:hAnsi="Times New Roman" w:cs="Times New Roman"/>
          <w:color w:val="auto"/>
          <w:szCs w:val="24"/>
          <w:highlight w:val="none"/>
        </w:rPr>
        <w:t>年</w:t>
      </w:r>
      <w:r>
        <w:rPr>
          <w:rFonts w:hint="default" w:cs="Times New Roman"/>
          <w:color w:val="auto"/>
          <w:szCs w:val="24"/>
          <w:highlight w:val="none"/>
          <w:lang w:val="en-US" w:eastAsia="zh-CN"/>
        </w:rPr>
        <w:t>4</w:t>
      </w:r>
      <w:r>
        <w:rPr>
          <w:rFonts w:hint="default" w:ascii="Times New Roman" w:hAnsi="Times New Roman" w:cs="Times New Roman"/>
          <w:color w:val="auto"/>
          <w:szCs w:val="24"/>
          <w:highlight w:val="none"/>
        </w:rPr>
        <w:t>月</w:t>
      </w:r>
      <w:r>
        <w:rPr>
          <w:rFonts w:hint="default" w:cs="Times New Roman"/>
          <w:color w:val="auto"/>
          <w:szCs w:val="24"/>
          <w:highlight w:val="none"/>
          <w:lang w:val="en-US" w:eastAsia="zh-CN"/>
        </w:rPr>
        <w:t>10</w:t>
      </w:r>
      <w:r>
        <w:rPr>
          <w:rFonts w:hint="default" w:ascii="Times New Roman" w:hAnsi="Times New Roman" w:cs="Times New Roman"/>
          <w:color w:val="auto"/>
          <w:szCs w:val="24"/>
          <w:highlight w:val="none"/>
        </w:rPr>
        <w:t>日-</w:t>
      </w:r>
      <w:r>
        <w:rPr>
          <w:rFonts w:hint="default" w:cs="Times New Roman"/>
          <w:color w:val="auto"/>
          <w:szCs w:val="24"/>
          <w:highlight w:val="none"/>
          <w:lang w:val="en-US" w:eastAsia="zh-CN"/>
        </w:rPr>
        <w:t>4</w:t>
      </w:r>
      <w:r>
        <w:rPr>
          <w:rFonts w:hint="default" w:ascii="Times New Roman" w:hAnsi="Times New Roman" w:cs="Times New Roman"/>
          <w:color w:val="auto"/>
          <w:szCs w:val="24"/>
          <w:highlight w:val="none"/>
        </w:rPr>
        <w:t>月</w:t>
      </w:r>
      <w:r>
        <w:rPr>
          <w:rFonts w:hint="default" w:cs="Times New Roman"/>
          <w:color w:val="auto"/>
          <w:szCs w:val="24"/>
          <w:highlight w:val="none"/>
          <w:lang w:val="en-US" w:eastAsia="zh-CN"/>
        </w:rPr>
        <w:t>12</w:t>
      </w:r>
      <w:r>
        <w:rPr>
          <w:rFonts w:hint="default" w:ascii="Times New Roman" w:hAnsi="Times New Roman" w:cs="Times New Roman"/>
          <w:color w:val="auto"/>
          <w:szCs w:val="24"/>
          <w:highlight w:val="none"/>
        </w:rPr>
        <w:t>日。监测点位具体见图4.2-1。</w:t>
      </w:r>
    </w:p>
    <w:p w14:paraId="4C879A1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（2）评价标准</w:t>
      </w:r>
    </w:p>
    <w:p w14:paraId="5CBC2FB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执行《声环境质量标准》（GB3096-2008）2类标准。</w:t>
      </w:r>
    </w:p>
    <w:p w14:paraId="4B05731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（3）监测结果</w:t>
      </w:r>
    </w:p>
    <w:p w14:paraId="62758E37">
      <w:pPr>
        <w:pStyle w:val="52"/>
        <w:widowControl/>
        <w:overflowPunct w:val="0"/>
        <w:topLinePunct/>
        <w:spacing w:line="480" w:lineRule="exact"/>
        <w:ind w:firstLine="48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szCs w:val="24"/>
          <w:highlight w:val="none"/>
        </w:rPr>
        <w:t>根据现场实测声环境现状监测结果见表4.2-</w:t>
      </w:r>
      <w:r>
        <w:rPr>
          <w:rFonts w:hint="default" w:ascii="Times New Roman" w:hAnsi="Times New Roman" w:cs="Times New Roman"/>
          <w:color w:val="auto"/>
          <w:szCs w:val="24"/>
          <w:highlight w:val="none"/>
          <w:lang w:val="en-US" w:eastAsia="zh-CN"/>
        </w:rPr>
        <w:t>9</w:t>
      </w:r>
      <w:r>
        <w:rPr>
          <w:rFonts w:hint="default" w:ascii="Times New Roman" w:hAnsi="Times New Roman" w:cs="Times New Roman"/>
          <w:color w:val="auto"/>
          <w:szCs w:val="24"/>
          <w:highlight w:val="none"/>
        </w:rPr>
        <w:t>。</w:t>
      </w:r>
    </w:p>
    <w:p w14:paraId="5C1810D3">
      <w:pPr>
        <w:adjustRightInd w:val="0"/>
        <w:snapToGrid w:val="0"/>
        <w:ind w:firstLine="0" w:firstLineChars="0"/>
        <w:jc w:val="center"/>
        <w:rPr>
          <w:rFonts w:hint="default" w:ascii="Times New Roman" w:hAnsi="Times New Roman" w:cs="Times New Roman"/>
          <w:b/>
          <w:color w:val="auto"/>
          <w:kern w:val="0"/>
          <w:szCs w:val="22"/>
          <w:highlight w:val="none"/>
          <w:lang w:val="zh-CN"/>
        </w:rPr>
      </w:pPr>
      <w:r>
        <w:rPr>
          <w:rFonts w:hint="default" w:ascii="Times New Roman" w:hAnsi="Times New Roman" w:cs="Times New Roman"/>
          <w:b/>
          <w:color w:val="auto"/>
          <w:kern w:val="0"/>
          <w:szCs w:val="22"/>
          <w:highlight w:val="none"/>
        </w:rPr>
        <w:t>表4.2-</w:t>
      </w:r>
      <w:r>
        <w:rPr>
          <w:rFonts w:hint="default" w:ascii="Times New Roman" w:hAnsi="Times New Roman" w:cs="Times New Roman"/>
          <w:b/>
          <w:color w:val="auto"/>
          <w:kern w:val="0"/>
          <w:szCs w:val="22"/>
          <w:highlight w:val="none"/>
          <w:lang w:val="en-US" w:eastAsia="zh-CN"/>
        </w:rPr>
        <w:t>9</w:t>
      </w:r>
      <w:r>
        <w:rPr>
          <w:rFonts w:hint="default" w:ascii="Times New Roman" w:hAnsi="Times New Roman" w:cs="Times New Roman"/>
          <w:b/>
          <w:color w:val="auto"/>
          <w:kern w:val="0"/>
          <w:szCs w:val="22"/>
          <w:highlight w:val="none"/>
        </w:rPr>
        <w:t xml:space="preserve">    噪声监测及评价结果</w:t>
      </w:r>
    </w:p>
    <w:tbl>
      <w:tblPr>
        <w:tblStyle w:val="33"/>
        <w:tblW w:w="917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98"/>
        <w:gridCol w:w="1523"/>
        <w:gridCol w:w="1525"/>
        <w:gridCol w:w="1371"/>
        <w:gridCol w:w="1165"/>
        <w:gridCol w:w="1488"/>
      </w:tblGrid>
      <w:tr w14:paraId="2A036A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blHeader/>
        </w:trPr>
        <w:tc>
          <w:tcPr>
            <w:tcW w:w="2098" w:type="dxa"/>
            <w:vMerge w:val="restart"/>
            <w:vAlign w:val="center"/>
          </w:tcPr>
          <w:p w14:paraId="12E028F5">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监测点位</w:t>
            </w:r>
          </w:p>
        </w:tc>
        <w:tc>
          <w:tcPr>
            <w:tcW w:w="3048" w:type="dxa"/>
            <w:gridSpan w:val="2"/>
            <w:vAlign w:val="center"/>
          </w:tcPr>
          <w:p w14:paraId="0D0AB973">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Leq dB(A)</w:t>
            </w:r>
          </w:p>
        </w:tc>
        <w:tc>
          <w:tcPr>
            <w:tcW w:w="2536" w:type="dxa"/>
            <w:gridSpan w:val="2"/>
            <w:vAlign w:val="center"/>
          </w:tcPr>
          <w:p w14:paraId="27F79827">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GB3096-2008  2类</w:t>
            </w:r>
          </w:p>
        </w:tc>
        <w:tc>
          <w:tcPr>
            <w:tcW w:w="1488" w:type="dxa"/>
            <w:vMerge w:val="restart"/>
            <w:vAlign w:val="center"/>
          </w:tcPr>
          <w:p w14:paraId="1EED8834">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评价结果</w:t>
            </w:r>
          </w:p>
        </w:tc>
      </w:tr>
      <w:tr w14:paraId="043308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blHeader/>
        </w:trPr>
        <w:tc>
          <w:tcPr>
            <w:tcW w:w="2098" w:type="dxa"/>
            <w:vMerge w:val="continue"/>
            <w:vAlign w:val="center"/>
          </w:tcPr>
          <w:p w14:paraId="6F7D70BE">
            <w:pPr>
              <w:pStyle w:val="83"/>
              <w:spacing w:line="360" w:lineRule="exact"/>
              <w:rPr>
                <w:rFonts w:hint="default" w:ascii="Times New Roman" w:hAnsi="Times New Roman" w:cs="Times New Roman"/>
                <w:b/>
                <w:bCs/>
                <w:color w:val="auto"/>
                <w:highlight w:val="none"/>
              </w:rPr>
            </w:pPr>
          </w:p>
        </w:tc>
        <w:tc>
          <w:tcPr>
            <w:tcW w:w="1523" w:type="dxa"/>
            <w:vAlign w:val="center"/>
          </w:tcPr>
          <w:p w14:paraId="15920B38">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昼</w:t>
            </w:r>
          </w:p>
        </w:tc>
        <w:tc>
          <w:tcPr>
            <w:tcW w:w="1525" w:type="dxa"/>
            <w:vAlign w:val="center"/>
          </w:tcPr>
          <w:p w14:paraId="3FA647FB">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w:t>
            </w:r>
          </w:p>
        </w:tc>
        <w:tc>
          <w:tcPr>
            <w:tcW w:w="1371" w:type="dxa"/>
            <w:vAlign w:val="center"/>
          </w:tcPr>
          <w:p w14:paraId="7F8216CC">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昼</w:t>
            </w:r>
          </w:p>
        </w:tc>
        <w:tc>
          <w:tcPr>
            <w:tcW w:w="1165" w:type="dxa"/>
            <w:vAlign w:val="center"/>
          </w:tcPr>
          <w:p w14:paraId="68512704">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w:t>
            </w:r>
          </w:p>
        </w:tc>
        <w:tc>
          <w:tcPr>
            <w:tcW w:w="1488" w:type="dxa"/>
            <w:vMerge w:val="continue"/>
            <w:vAlign w:val="center"/>
          </w:tcPr>
          <w:p w14:paraId="4FE60CE9">
            <w:pPr>
              <w:pStyle w:val="83"/>
              <w:spacing w:line="360" w:lineRule="exact"/>
              <w:rPr>
                <w:rFonts w:hint="default" w:ascii="Times New Roman" w:hAnsi="Times New Roman" w:cs="Times New Roman"/>
                <w:b/>
                <w:bCs/>
                <w:color w:val="auto"/>
                <w:highlight w:val="none"/>
              </w:rPr>
            </w:pPr>
          </w:p>
        </w:tc>
      </w:tr>
      <w:tr w14:paraId="43D2F8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0FBB7A34">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选矿厂东</w:t>
            </w:r>
          </w:p>
        </w:tc>
        <w:tc>
          <w:tcPr>
            <w:tcW w:w="1523" w:type="dxa"/>
            <w:shd w:val="clear" w:color="auto" w:fill="auto"/>
            <w:vAlign w:val="center"/>
          </w:tcPr>
          <w:p w14:paraId="36C12618">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52</w:t>
            </w:r>
          </w:p>
        </w:tc>
        <w:tc>
          <w:tcPr>
            <w:tcW w:w="1525" w:type="dxa"/>
            <w:shd w:val="clear" w:color="auto" w:fill="auto"/>
            <w:vAlign w:val="center"/>
          </w:tcPr>
          <w:p w14:paraId="3F3FAFB3">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42</w:t>
            </w:r>
          </w:p>
        </w:tc>
        <w:tc>
          <w:tcPr>
            <w:tcW w:w="1371" w:type="dxa"/>
            <w:vMerge w:val="restart"/>
            <w:vAlign w:val="center"/>
          </w:tcPr>
          <w:p w14:paraId="6681A54D">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165" w:type="dxa"/>
            <w:vMerge w:val="restart"/>
            <w:vAlign w:val="center"/>
          </w:tcPr>
          <w:p w14:paraId="7AEC3051">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488" w:type="dxa"/>
            <w:vAlign w:val="center"/>
          </w:tcPr>
          <w:p w14:paraId="193821B7">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0EFA79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37D2C3E7">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选矿厂南</w:t>
            </w:r>
          </w:p>
        </w:tc>
        <w:tc>
          <w:tcPr>
            <w:tcW w:w="1523" w:type="dxa"/>
            <w:shd w:val="clear" w:color="auto" w:fill="auto"/>
            <w:vAlign w:val="center"/>
          </w:tcPr>
          <w:p w14:paraId="39C0AB38">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54</w:t>
            </w:r>
          </w:p>
        </w:tc>
        <w:tc>
          <w:tcPr>
            <w:tcW w:w="1525" w:type="dxa"/>
            <w:shd w:val="clear" w:color="auto" w:fill="auto"/>
            <w:vAlign w:val="center"/>
          </w:tcPr>
          <w:p w14:paraId="71D32FCA">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43</w:t>
            </w:r>
          </w:p>
        </w:tc>
        <w:tc>
          <w:tcPr>
            <w:tcW w:w="1371" w:type="dxa"/>
            <w:vMerge w:val="continue"/>
            <w:vAlign w:val="center"/>
          </w:tcPr>
          <w:p w14:paraId="76521640">
            <w:pPr>
              <w:pStyle w:val="83"/>
              <w:spacing w:line="360" w:lineRule="exact"/>
              <w:rPr>
                <w:rFonts w:hint="default" w:ascii="Times New Roman" w:hAnsi="Times New Roman" w:cs="Times New Roman"/>
                <w:color w:val="auto"/>
                <w:highlight w:val="none"/>
              </w:rPr>
            </w:pPr>
          </w:p>
        </w:tc>
        <w:tc>
          <w:tcPr>
            <w:tcW w:w="1165" w:type="dxa"/>
            <w:vMerge w:val="continue"/>
            <w:vAlign w:val="center"/>
          </w:tcPr>
          <w:p w14:paraId="2C528925">
            <w:pPr>
              <w:pStyle w:val="83"/>
              <w:spacing w:line="360" w:lineRule="exact"/>
              <w:rPr>
                <w:rFonts w:hint="default" w:ascii="Times New Roman" w:hAnsi="Times New Roman" w:cs="Times New Roman"/>
                <w:color w:val="auto"/>
                <w:highlight w:val="none"/>
              </w:rPr>
            </w:pPr>
          </w:p>
        </w:tc>
        <w:tc>
          <w:tcPr>
            <w:tcW w:w="1488" w:type="dxa"/>
            <w:vAlign w:val="center"/>
          </w:tcPr>
          <w:p w14:paraId="70BD6210">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5D8055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09BDEF8F">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选矿厂西</w:t>
            </w:r>
          </w:p>
        </w:tc>
        <w:tc>
          <w:tcPr>
            <w:tcW w:w="1523" w:type="dxa"/>
            <w:shd w:val="clear" w:color="auto" w:fill="auto"/>
            <w:vAlign w:val="center"/>
          </w:tcPr>
          <w:p w14:paraId="753A1293">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57</w:t>
            </w:r>
          </w:p>
        </w:tc>
        <w:tc>
          <w:tcPr>
            <w:tcW w:w="1525" w:type="dxa"/>
            <w:shd w:val="clear" w:color="auto" w:fill="auto"/>
            <w:vAlign w:val="center"/>
          </w:tcPr>
          <w:p w14:paraId="240CF04E">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43</w:t>
            </w:r>
          </w:p>
        </w:tc>
        <w:tc>
          <w:tcPr>
            <w:tcW w:w="1371" w:type="dxa"/>
            <w:vMerge w:val="continue"/>
            <w:vAlign w:val="center"/>
          </w:tcPr>
          <w:p w14:paraId="6B684B4C">
            <w:pPr>
              <w:pStyle w:val="83"/>
              <w:spacing w:line="360" w:lineRule="exact"/>
              <w:rPr>
                <w:rFonts w:hint="default" w:ascii="Times New Roman" w:hAnsi="Times New Roman" w:cs="Times New Roman"/>
                <w:color w:val="auto"/>
                <w:highlight w:val="none"/>
              </w:rPr>
            </w:pPr>
          </w:p>
        </w:tc>
        <w:tc>
          <w:tcPr>
            <w:tcW w:w="1165" w:type="dxa"/>
            <w:vMerge w:val="continue"/>
            <w:vAlign w:val="center"/>
          </w:tcPr>
          <w:p w14:paraId="020EB9B9">
            <w:pPr>
              <w:pStyle w:val="83"/>
              <w:spacing w:line="360" w:lineRule="exact"/>
              <w:rPr>
                <w:rFonts w:hint="default" w:ascii="Times New Roman" w:hAnsi="Times New Roman" w:cs="Times New Roman"/>
                <w:color w:val="auto"/>
                <w:highlight w:val="none"/>
              </w:rPr>
            </w:pPr>
          </w:p>
        </w:tc>
        <w:tc>
          <w:tcPr>
            <w:tcW w:w="1488" w:type="dxa"/>
            <w:vAlign w:val="center"/>
          </w:tcPr>
          <w:p w14:paraId="4F60B1E1">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6BEE9C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02BAE026">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选矿厂北</w:t>
            </w:r>
          </w:p>
        </w:tc>
        <w:tc>
          <w:tcPr>
            <w:tcW w:w="1523" w:type="dxa"/>
            <w:shd w:val="clear" w:color="auto" w:fill="auto"/>
            <w:vAlign w:val="center"/>
          </w:tcPr>
          <w:p w14:paraId="2C307B9C">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53</w:t>
            </w:r>
          </w:p>
        </w:tc>
        <w:tc>
          <w:tcPr>
            <w:tcW w:w="1525" w:type="dxa"/>
            <w:shd w:val="clear" w:color="auto" w:fill="auto"/>
            <w:vAlign w:val="center"/>
          </w:tcPr>
          <w:p w14:paraId="453DBF6F">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42</w:t>
            </w:r>
          </w:p>
        </w:tc>
        <w:tc>
          <w:tcPr>
            <w:tcW w:w="1371" w:type="dxa"/>
            <w:vMerge w:val="continue"/>
            <w:vAlign w:val="center"/>
          </w:tcPr>
          <w:p w14:paraId="73650198">
            <w:pPr>
              <w:pStyle w:val="83"/>
              <w:spacing w:line="360" w:lineRule="exact"/>
              <w:rPr>
                <w:rFonts w:hint="default" w:ascii="Times New Roman" w:hAnsi="Times New Roman" w:cs="Times New Roman"/>
                <w:color w:val="auto"/>
                <w:highlight w:val="none"/>
              </w:rPr>
            </w:pPr>
          </w:p>
        </w:tc>
        <w:tc>
          <w:tcPr>
            <w:tcW w:w="1165" w:type="dxa"/>
            <w:vMerge w:val="continue"/>
            <w:vAlign w:val="center"/>
          </w:tcPr>
          <w:p w14:paraId="6136B6CD">
            <w:pPr>
              <w:pStyle w:val="83"/>
              <w:spacing w:line="360" w:lineRule="exact"/>
              <w:rPr>
                <w:rFonts w:hint="default" w:ascii="Times New Roman" w:hAnsi="Times New Roman" w:cs="Times New Roman"/>
                <w:color w:val="auto"/>
                <w:highlight w:val="none"/>
              </w:rPr>
            </w:pPr>
          </w:p>
        </w:tc>
        <w:tc>
          <w:tcPr>
            <w:tcW w:w="1488" w:type="dxa"/>
            <w:vAlign w:val="center"/>
          </w:tcPr>
          <w:p w14:paraId="36B2BFBE">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277BA2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20466A42">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尾矿库东</w:t>
            </w:r>
          </w:p>
        </w:tc>
        <w:tc>
          <w:tcPr>
            <w:tcW w:w="1523" w:type="dxa"/>
            <w:shd w:val="clear" w:color="auto" w:fill="auto"/>
            <w:vAlign w:val="center"/>
          </w:tcPr>
          <w:p w14:paraId="5A03401D">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57</w:t>
            </w:r>
          </w:p>
        </w:tc>
        <w:tc>
          <w:tcPr>
            <w:tcW w:w="1525" w:type="dxa"/>
            <w:shd w:val="clear" w:color="auto" w:fill="auto"/>
            <w:vAlign w:val="center"/>
          </w:tcPr>
          <w:p w14:paraId="06C1D20A">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46</w:t>
            </w:r>
          </w:p>
        </w:tc>
        <w:tc>
          <w:tcPr>
            <w:tcW w:w="1371" w:type="dxa"/>
            <w:vMerge w:val="continue"/>
            <w:vAlign w:val="center"/>
          </w:tcPr>
          <w:p w14:paraId="3DE76275">
            <w:pPr>
              <w:pStyle w:val="83"/>
              <w:spacing w:line="360" w:lineRule="exact"/>
              <w:rPr>
                <w:rFonts w:hint="default" w:ascii="Times New Roman" w:hAnsi="Times New Roman" w:cs="Times New Roman"/>
                <w:color w:val="auto"/>
                <w:highlight w:val="none"/>
              </w:rPr>
            </w:pPr>
          </w:p>
        </w:tc>
        <w:tc>
          <w:tcPr>
            <w:tcW w:w="1165" w:type="dxa"/>
            <w:vMerge w:val="continue"/>
            <w:vAlign w:val="center"/>
          </w:tcPr>
          <w:p w14:paraId="73F77E63">
            <w:pPr>
              <w:pStyle w:val="83"/>
              <w:spacing w:line="360" w:lineRule="exact"/>
              <w:rPr>
                <w:rFonts w:hint="default" w:ascii="Times New Roman" w:hAnsi="Times New Roman" w:cs="Times New Roman"/>
                <w:color w:val="auto"/>
                <w:highlight w:val="none"/>
              </w:rPr>
            </w:pPr>
          </w:p>
        </w:tc>
        <w:tc>
          <w:tcPr>
            <w:tcW w:w="1488" w:type="dxa"/>
            <w:vAlign w:val="center"/>
          </w:tcPr>
          <w:p w14:paraId="506F73EE">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409C4E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47EBBFBF">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尾矿库南</w:t>
            </w:r>
          </w:p>
        </w:tc>
        <w:tc>
          <w:tcPr>
            <w:tcW w:w="1523" w:type="dxa"/>
            <w:shd w:val="clear" w:color="auto" w:fill="auto"/>
            <w:vAlign w:val="center"/>
          </w:tcPr>
          <w:p w14:paraId="6D50574B">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57</w:t>
            </w:r>
          </w:p>
        </w:tc>
        <w:tc>
          <w:tcPr>
            <w:tcW w:w="1525" w:type="dxa"/>
            <w:shd w:val="clear" w:color="auto" w:fill="auto"/>
            <w:vAlign w:val="center"/>
          </w:tcPr>
          <w:p w14:paraId="64DA433B">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48</w:t>
            </w:r>
          </w:p>
        </w:tc>
        <w:tc>
          <w:tcPr>
            <w:tcW w:w="1371" w:type="dxa"/>
            <w:vMerge w:val="continue"/>
            <w:vAlign w:val="center"/>
          </w:tcPr>
          <w:p w14:paraId="5441DBA7">
            <w:pPr>
              <w:pStyle w:val="83"/>
              <w:spacing w:line="360" w:lineRule="exact"/>
              <w:rPr>
                <w:rFonts w:hint="default" w:ascii="Times New Roman" w:hAnsi="Times New Roman" w:cs="Times New Roman"/>
                <w:color w:val="auto"/>
                <w:highlight w:val="none"/>
              </w:rPr>
            </w:pPr>
          </w:p>
        </w:tc>
        <w:tc>
          <w:tcPr>
            <w:tcW w:w="1165" w:type="dxa"/>
            <w:vMerge w:val="continue"/>
            <w:vAlign w:val="center"/>
          </w:tcPr>
          <w:p w14:paraId="6BC83E83">
            <w:pPr>
              <w:pStyle w:val="83"/>
              <w:spacing w:line="360" w:lineRule="exact"/>
              <w:rPr>
                <w:rFonts w:hint="default" w:ascii="Times New Roman" w:hAnsi="Times New Roman" w:cs="Times New Roman"/>
                <w:color w:val="auto"/>
                <w:highlight w:val="none"/>
              </w:rPr>
            </w:pPr>
          </w:p>
        </w:tc>
        <w:tc>
          <w:tcPr>
            <w:tcW w:w="1488" w:type="dxa"/>
            <w:vAlign w:val="center"/>
          </w:tcPr>
          <w:p w14:paraId="3EBBDDD9">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7AC8D0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78BD8E96">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尾矿库西</w:t>
            </w:r>
          </w:p>
        </w:tc>
        <w:tc>
          <w:tcPr>
            <w:tcW w:w="1523" w:type="dxa"/>
            <w:shd w:val="clear" w:color="auto" w:fill="auto"/>
            <w:vAlign w:val="center"/>
          </w:tcPr>
          <w:p w14:paraId="55F31EDA">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58</w:t>
            </w:r>
          </w:p>
        </w:tc>
        <w:tc>
          <w:tcPr>
            <w:tcW w:w="1525" w:type="dxa"/>
            <w:shd w:val="clear" w:color="auto" w:fill="auto"/>
            <w:vAlign w:val="center"/>
          </w:tcPr>
          <w:p w14:paraId="2EE8DD0C">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48</w:t>
            </w:r>
          </w:p>
        </w:tc>
        <w:tc>
          <w:tcPr>
            <w:tcW w:w="1371" w:type="dxa"/>
            <w:vMerge w:val="continue"/>
            <w:vAlign w:val="center"/>
          </w:tcPr>
          <w:p w14:paraId="38F7F7D0">
            <w:pPr>
              <w:pStyle w:val="83"/>
              <w:spacing w:line="360" w:lineRule="exact"/>
              <w:rPr>
                <w:rFonts w:hint="default" w:ascii="Times New Roman" w:hAnsi="Times New Roman" w:cs="Times New Roman"/>
                <w:color w:val="auto"/>
                <w:highlight w:val="none"/>
              </w:rPr>
            </w:pPr>
          </w:p>
        </w:tc>
        <w:tc>
          <w:tcPr>
            <w:tcW w:w="1165" w:type="dxa"/>
            <w:vMerge w:val="continue"/>
            <w:vAlign w:val="center"/>
          </w:tcPr>
          <w:p w14:paraId="1512C19D">
            <w:pPr>
              <w:pStyle w:val="83"/>
              <w:spacing w:line="360" w:lineRule="exact"/>
              <w:rPr>
                <w:rFonts w:hint="default" w:ascii="Times New Roman" w:hAnsi="Times New Roman" w:cs="Times New Roman"/>
                <w:color w:val="auto"/>
                <w:highlight w:val="none"/>
              </w:rPr>
            </w:pPr>
          </w:p>
        </w:tc>
        <w:tc>
          <w:tcPr>
            <w:tcW w:w="1488" w:type="dxa"/>
            <w:vAlign w:val="center"/>
          </w:tcPr>
          <w:p w14:paraId="770F3F64">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564DDF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2098" w:type="dxa"/>
            <w:vAlign w:val="center"/>
          </w:tcPr>
          <w:p w14:paraId="3DFBFFF1">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尾矿库北</w:t>
            </w:r>
          </w:p>
        </w:tc>
        <w:tc>
          <w:tcPr>
            <w:tcW w:w="1523" w:type="dxa"/>
            <w:shd w:val="clear" w:color="auto" w:fill="auto"/>
            <w:vAlign w:val="center"/>
          </w:tcPr>
          <w:p w14:paraId="476B5016">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55</w:t>
            </w:r>
          </w:p>
        </w:tc>
        <w:tc>
          <w:tcPr>
            <w:tcW w:w="1525" w:type="dxa"/>
            <w:shd w:val="clear" w:color="auto" w:fill="auto"/>
            <w:vAlign w:val="center"/>
          </w:tcPr>
          <w:p w14:paraId="5F126C9C">
            <w:pPr>
              <w:pStyle w:val="83"/>
              <w:spacing w:line="360" w:lineRule="exac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48</w:t>
            </w:r>
          </w:p>
        </w:tc>
        <w:tc>
          <w:tcPr>
            <w:tcW w:w="1371" w:type="dxa"/>
            <w:vMerge w:val="continue"/>
            <w:vAlign w:val="center"/>
          </w:tcPr>
          <w:p w14:paraId="50E01260">
            <w:pPr>
              <w:pStyle w:val="83"/>
              <w:spacing w:line="360" w:lineRule="exact"/>
              <w:rPr>
                <w:rFonts w:hint="default" w:ascii="Times New Roman" w:hAnsi="Times New Roman" w:cs="Times New Roman"/>
                <w:color w:val="auto"/>
                <w:highlight w:val="none"/>
              </w:rPr>
            </w:pPr>
          </w:p>
        </w:tc>
        <w:tc>
          <w:tcPr>
            <w:tcW w:w="1165" w:type="dxa"/>
            <w:vMerge w:val="continue"/>
            <w:vAlign w:val="center"/>
          </w:tcPr>
          <w:p w14:paraId="0A457A14">
            <w:pPr>
              <w:pStyle w:val="83"/>
              <w:spacing w:line="360" w:lineRule="exact"/>
              <w:rPr>
                <w:rFonts w:hint="default" w:ascii="Times New Roman" w:hAnsi="Times New Roman" w:cs="Times New Roman"/>
                <w:color w:val="auto"/>
                <w:highlight w:val="none"/>
              </w:rPr>
            </w:pPr>
          </w:p>
        </w:tc>
        <w:tc>
          <w:tcPr>
            <w:tcW w:w="1488" w:type="dxa"/>
            <w:vAlign w:val="center"/>
          </w:tcPr>
          <w:p w14:paraId="0D84BEBD">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bl>
    <w:p w14:paraId="7339046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由上表可知，厂界四周昼间、夜间噪声均满足《声环境质量标准》（GB3096-2008）2类标准限值要求。</w:t>
      </w:r>
    </w:p>
    <w:p w14:paraId="1C5F5F28">
      <w:pPr>
        <w:pStyle w:val="4"/>
        <w:rPr>
          <w:rFonts w:hint="default" w:ascii="Times New Roman" w:hAnsi="Times New Roman" w:cs="Times New Roman"/>
          <w:color w:val="auto"/>
          <w:highlight w:val="none"/>
        </w:rPr>
      </w:pPr>
      <w:bookmarkStart w:id="678" w:name="_Toc173"/>
      <w:bookmarkStart w:id="679" w:name="_Toc23597"/>
      <w:bookmarkStart w:id="680" w:name="_Toc19078"/>
      <w:bookmarkStart w:id="681" w:name="_Toc25512"/>
      <w:bookmarkStart w:id="682" w:name="_Toc22122"/>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土壤环境质量现状评价</w:t>
      </w:r>
      <w:bookmarkEnd w:id="678"/>
      <w:bookmarkEnd w:id="679"/>
      <w:bookmarkEnd w:id="680"/>
      <w:bookmarkEnd w:id="681"/>
      <w:bookmarkEnd w:id="682"/>
    </w:p>
    <w:p w14:paraId="27A375A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本次土壤现状调查采用</w:t>
      </w:r>
      <w:r>
        <w:rPr>
          <w:rFonts w:hint="default" w:ascii="Times New Roman" w:hAnsi="Times New Roman" w:cs="Times New Roman"/>
          <w:color w:val="auto"/>
          <w:spacing w:val="-4"/>
          <w:highlight w:val="none"/>
        </w:rPr>
        <w:t>新疆西域质信检验检测有限公司</w:t>
      </w:r>
      <w:r>
        <w:rPr>
          <w:rFonts w:hint="default" w:ascii="Times New Roman" w:hAnsi="Times New Roman" w:cs="Times New Roman"/>
          <w:color w:val="auto"/>
          <w:highlight w:val="none"/>
        </w:rPr>
        <w:t>对评价区域进行土壤质量监测的数据。</w:t>
      </w:r>
    </w:p>
    <w:p w14:paraId="1FA2D4E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①监测项目</w:t>
      </w:r>
    </w:p>
    <w:p w14:paraId="23A5E6E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建设用地土壤监测项目包括《土壤环境质量建设用地土壤污染风险管控标准（试行）》（GB36600-2018）中表1建设用地土壤污染风险筛选值和管控值（基本项目）45项+pH和项目特有的其他项目，</w:t>
      </w:r>
    </w:p>
    <w:p w14:paraId="576754D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2）监测布点</w:t>
      </w:r>
    </w:p>
    <w:p w14:paraId="73F569C8">
      <w:pPr>
        <w:overflowPunct w:val="0"/>
        <w:topLinePunct/>
        <w:ind w:firstLine="480"/>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t>选厂及周边共1</w:t>
      </w:r>
      <w:r>
        <w:rPr>
          <w:rFonts w:hint="default" w:cs="Times New Roman"/>
          <w:color w:val="auto"/>
          <w:highlight w:val="none"/>
          <w:lang w:val="en-US" w:eastAsia="zh-CN"/>
        </w:rPr>
        <w:t>4</w:t>
      </w:r>
      <w:r>
        <w:rPr>
          <w:rFonts w:hint="default" w:ascii="Times New Roman" w:hAnsi="Times New Roman" w:cs="Times New Roman"/>
          <w:color w:val="auto"/>
          <w:highlight w:val="none"/>
        </w:rPr>
        <w:t>个点，其中选厂内</w:t>
      </w:r>
      <w:r>
        <w:rPr>
          <w:rFonts w:hint="default" w:cs="Times New Roman"/>
          <w:color w:val="auto"/>
          <w:highlight w:val="none"/>
          <w:lang w:val="en-US" w:eastAsia="zh-CN"/>
        </w:rPr>
        <w:t>4</w:t>
      </w:r>
      <w:r>
        <w:rPr>
          <w:rFonts w:hint="default" w:ascii="Times New Roman" w:hAnsi="Times New Roman" w:cs="Times New Roman"/>
          <w:color w:val="auto"/>
          <w:highlight w:val="none"/>
        </w:rPr>
        <w:t>个点、选厂外</w:t>
      </w:r>
      <w:r>
        <w:rPr>
          <w:rFonts w:hint="default" w:cs="Times New Roman"/>
          <w:color w:val="auto"/>
          <w:highlight w:val="none"/>
          <w:lang w:val="en-US" w:eastAsia="zh-CN"/>
        </w:rPr>
        <w:t>3</w:t>
      </w:r>
      <w:r>
        <w:rPr>
          <w:rFonts w:hint="default" w:ascii="Times New Roman" w:hAnsi="Times New Roman" w:cs="Times New Roman"/>
          <w:color w:val="auto"/>
          <w:highlight w:val="none"/>
        </w:rPr>
        <w:t>个点，尾矿库内</w:t>
      </w:r>
      <w:r>
        <w:rPr>
          <w:rFonts w:hint="default" w:cs="Times New Roman"/>
          <w:color w:val="auto"/>
          <w:highlight w:val="none"/>
          <w:lang w:val="en-US" w:eastAsia="zh-CN"/>
        </w:rPr>
        <w:t>3</w:t>
      </w:r>
      <w:r>
        <w:rPr>
          <w:rFonts w:hint="default" w:ascii="Times New Roman" w:hAnsi="Times New Roman" w:cs="Times New Roman"/>
          <w:color w:val="auto"/>
          <w:highlight w:val="none"/>
        </w:rPr>
        <w:t>个点、尾矿库外</w:t>
      </w:r>
      <w:r>
        <w:rPr>
          <w:rFonts w:hint="default" w:cs="Times New Roman"/>
          <w:color w:val="auto"/>
          <w:highlight w:val="none"/>
          <w:lang w:val="en-US" w:eastAsia="zh-CN"/>
        </w:rPr>
        <w:t>4</w:t>
      </w:r>
      <w:r>
        <w:rPr>
          <w:rFonts w:hint="default" w:ascii="Times New Roman" w:hAnsi="Times New Roman" w:cs="Times New Roman"/>
          <w:color w:val="auto"/>
          <w:highlight w:val="none"/>
        </w:rPr>
        <w:t>个点。</w:t>
      </w:r>
    </w:p>
    <w:p w14:paraId="47C60E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土壤监测点布设情况见表4.2-</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p>
    <w:p w14:paraId="48FA1D5F">
      <w:pPr>
        <w:adjustRightInd w:val="0"/>
        <w:snapToGrid w:val="0"/>
        <w:ind w:firstLine="0" w:firstLineChars="0"/>
        <w:jc w:val="center"/>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rPr>
        <w:t>表4.2-</w:t>
      </w:r>
      <w:r>
        <w:rPr>
          <w:rFonts w:hint="default" w:ascii="Times New Roman" w:hAnsi="Times New Roman" w:cs="Times New Roman"/>
          <w:b/>
          <w:color w:val="auto"/>
          <w:kern w:val="0"/>
          <w:szCs w:val="22"/>
          <w:highlight w:val="none"/>
          <w:lang w:val="en-US" w:eastAsia="zh-CN"/>
        </w:rPr>
        <w:t>10</w:t>
      </w:r>
      <w:r>
        <w:rPr>
          <w:rFonts w:hint="default" w:ascii="Times New Roman" w:hAnsi="Times New Roman" w:cs="Times New Roman"/>
          <w:b/>
          <w:color w:val="auto"/>
          <w:kern w:val="0"/>
          <w:szCs w:val="22"/>
          <w:highlight w:val="none"/>
        </w:rPr>
        <w:t xml:space="preserve">    项目土壤监测点布设情况一览表</w:t>
      </w:r>
    </w:p>
    <w:tbl>
      <w:tblPr>
        <w:tblStyle w:val="13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644"/>
        <w:gridCol w:w="556"/>
        <w:gridCol w:w="2682"/>
        <w:gridCol w:w="2155"/>
        <w:gridCol w:w="2445"/>
      </w:tblGrid>
      <w:tr w14:paraId="3843B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77" w:type="pct"/>
            <w:vAlign w:val="center"/>
          </w:tcPr>
          <w:p w14:paraId="0A26847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项目</w:t>
            </w:r>
          </w:p>
        </w:tc>
        <w:tc>
          <w:tcPr>
            <w:tcW w:w="654" w:type="pct"/>
            <w:gridSpan w:val="2"/>
            <w:vAlign w:val="center"/>
          </w:tcPr>
          <w:p w14:paraId="02B43FA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监测点位</w:t>
            </w:r>
          </w:p>
        </w:tc>
        <w:tc>
          <w:tcPr>
            <w:tcW w:w="1461" w:type="pct"/>
            <w:vAlign w:val="center"/>
          </w:tcPr>
          <w:p w14:paraId="57FA46D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点位坐标</w:t>
            </w:r>
          </w:p>
        </w:tc>
        <w:tc>
          <w:tcPr>
            <w:tcW w:w="1174" w:type="pct"/>
            <w:vAlign w:val="center"/>
          </w:tcPr>
          <w:p w14:paraId="377BFB1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取样要求</w:t>
            </w:r>
          </w:p>
        </w:tc>
        <w:tc>
          <w:tcPr>
            <w:tcW w:w="1331" w:type="pct"/>
            <w:vAlign w:val="center"/>
          </w:tcPr>
          <w:p w14:paraId="2A5CD4E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监测因子</w:t>
            </w:r>
          </w:p>
        </w:tc>
      </w:tr>
      <w:tr w14:paraId="4F383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restart"/>
            <w:vAlign w:val="center"/>
          </w:tcPr>
          <w:p w14:paraId="1445EF2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土壤</w:t>
            </w:r>
          </w:p>
        </w:tc>
        <w:tc>
          <w:tcPr>
            <w:tcW w:w="351" w:type="pct"/>
            <w:vMerge w:val="restart"/>
            <w:vAlign w:val="center"/>
          </w:tcPr>
          <w:p w14:paraId="79492C9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项目区范围内</w:t>
            </w:r>
          </w:p>
        </w:tc>
        <w:tc>
          <w:tcPr>
            <w:tcW w:w="303" w:type="pct"/>
            <w:vAlign w:val="center"/>
          </w:tcPr>
          <w:p w14:paraId="56F6FF5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T11</w:t>
            </w:r>
          </w:p>
        </w:tc>
        <w:tc>
          <w:tcPr>
            <w:tcW w:w="1461" w:type="pct"/>
            <w:vAlign w:val="center"/>
          </w:tcPr>
          <w:p w14:paraId="0CDF4DC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89°48'56.20",46°44'42.02"</w:t>
            </w:r>
          </w:p>
        </w:tc>
        <w:tc>
          <w:tcPr>
            <w:tcW w:w="1174" w:type="pct"/>
            <w:vMerge w:val="restart"/>
            <w:vAlign w:val="center"/>
          </w:tcPr>
          <w:p w14:paraId="7C57871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柱状样0~0.5m、0.5~1.5m、1.5~3.0m</w:t>
            </w:r>
          </w:p>
        </w:tc>
        <w:tc>
          <w:tcPr>
            <w:tcW w:w="1331" w:type="pct"/>
            <w:vAlign w:val="center"/>
          </w:tcPr>
          <w:p w14:paraId="5ECBC8A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pH、含盐量和45项基本因子</w:t>
            </w:r>
          </w:p>
        </w:tc>
      </w:tr>
      <w:tr w14:paraId="101A3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2B26583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29834D8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vAlign w:val="center"/>
          </w:tcPr>
          <w:p w14:paraId="4C3C0F2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T12</w:t>
            </w:r>
          </w:p>
        </w:tc>
        <w:tc>
          <w:tcPr>
            <w:tcW w:w="1461" w:type="pct"/>
            <w:vAlign w:val="center"/>
          </w:tcPr>
          <w:p w14:paraId="0335E1A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89°49'02.28",46°44'42.27"</w:t>
            </w:r>
          </w:p>
        </w:tc>
        <w:tc>
          <w:tcPr>
            <w:tcW w:w="1174" w:type="pct"/>
            <w:vMerge w:val="continue"/>
            <w:vAlign w:val="center"/>
          </w:tcPr>
          <w:p w14:paraId="2DE3943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restart"/>
            <w:vAlign w:val="center"/>
          </w:tcPr>
          <w:p w14:paraId="013A1C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pH、含盐量、</w:t>
            </w:r>
            <w:r>
              <w:rPr>
                <w:rFonts w:hint="default" w:ascii="Times New Roman" w:hAnsi="Times New Roman" w:eastAsia="宋体" w:cs="Times New Roman"/>
                <w:color w:val="auto"/>
                <w:sz w:val="21"/>
                <w:szCs w:val="21"/>
                <w:highlight w:val="none"/>
              </w:rPr>
              <w:t>砷、镉、六价铬、铜、铅、汞、镍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锌</w:t>
            </w:r>
          </w:p>
        </w:tc>
      </w:tr>
      <w:tr w14:paraId="5B379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0F38BD4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56B71A7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vAlign w:val="center"/>
          </w:tcPr>
          <w:p w14:paraId="5104A4E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T13</w:t>
            </w:r>
          </w:p>
        </w:tc>
        <w:tc>
          <w:tcPr>
            <w:tcW w:w="1461" w:type="pct"/>
            <w:vAlign w:val="center"/>
          </w:tcPr>
          <w:p w14:paraId="3F02623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89°48'58.35",46°44'37.46"</w:t>
            </w:r>
          </w:p>
        </w:tc>
        <w:tc>
          <w:tcPr>
            <w:tcW w:w="1174" w:type="pct"/>
            <w:vMerge w:val="continue"/>
            <w:vAlign w:val="center"/>
          </w:tcPr>
          <w:p w14:paraId="08D5CB5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continue"/>
            <w:vAlign w:val="center"/>
          </w:tcPr>
          <w:p w14:paraId="1DAB693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r>
      <w:tr w14:paraId="0B8CA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449DCCD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6CEAE5F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vAlign w:val="center"/>
          </w:tcPr>
          <w:p w14:paraId="4B19A88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T14</w:t>
            </w:r>
          </w:p>
        </w:tc>
        <w:tc>
          <w:tcPr>
            <w:tcW w:w="1461" w:type="pct"/>
            <w:vAlign w:val="center"/>
          </w:tcPr>
          <w:p w14:paraId="0D88473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89°48'18.10",46°45'19.20"</w:t>
            </w:r>
          </w:p>
        </w:tc>
        <w:tc>
          <w:tcPr>
            <w:tcW w:w="1174" w:type="pct"/>
            <w:vMerge w:val="continue"/>
            <w:vAlign w:val="center"/>
          </w:tcPr>
          <w:p w14:paraId="1A6C180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continue"/>
            <w:vAlign w:val="center"/>
          </w:tcPr>
          <w:p w14:paraId="6CD493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r>
      <w:tr w14:paraId="6EE19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7935CBB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379E3C9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vAlign w:val="center"/>
          </w:tcPr>
          <w:p w14:paraId="68ABF51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T15</w:t>
            </w:r>
          </w:p>
        </w:tc>
        <w:tc>
          <w:tcPr>
            <w:tcW w:w="1461" w:type="pct"/>
            <w:vAlign w:val="center"/>
          </w:tcPr>
          <w:p w14:paraId="0CF0662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89°48'36.88",46°45'17.26"</w:t>
            </w:r>
          </w:p>
        </w:tc>
        <w:tc>
          <w:tcPr>
            <w:tcW w:w="1174" w:type="pct"/>
            <w:vMerge w:val="continue"/>
            <w:vAlign w:val="center"/>
          </w:tcPr>
          <w:p w14:paraId="468AB93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continue"/>
            <w:vAlign w:val="center"/>
          </w:tcPr>
          <w:p w14:paraId="08B1B16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r>
      <w:tr w14:paraId="5A8AC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377" w:type="pct"/>
            <w:vMerge w:val="continue"/>
            <w:vAlign w:val="center"/>
          </w:tcPr>
          <w:p w14:paraId="4457D13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5417B92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vAlign w:val="center"/>
          </w:tcPr>
          <w:p w14:paraId="051C15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T16</w:t>
            </w:r>
          </w:p>
        </w:tc>
        <w:tc>
          <w:tcPr>
            <w:tcW w:w="1461" w:type="pct"/>
            <w:vAlign w:val="center"/>
          </w:tcPr>
          <w:p w14:paraId="7DBB464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89°48'59.74",46°44'35.71"</w:t>
            </w:r>
          </w:p>
        </w:tc>
        <w:tc>
          <w:tcPr>
            <w:tcW w:w="1174" w:type="pct"/>
            <w:vMerge w:val="restart"/>
            <w:vAlign w:val="center"/>
          </w:tcPr>
          <w:p w14:paraId="02E2943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eastAsia="Times New Roman" w:cs="Times New Roman"/>
                <w:color w:val="auto"/>
                <w:sz w:val="21"/>
                <w:szCs w:val="21"/>
                <w:highlight w:val="none"/>
              </w:rPr>
              <w:t>表层土0-0.2m取样</w:t>
            </w:r>
          </w:p>
          <w:p w14:paraId="3637049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restart"/>
            <w:vAlign w:val="center"/>
          </w:tcPr>
          <w:p w14:paraId="2E838E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pH、含盐量、</w:t>
            </w:r>
            <w:r>
              <w:rPr>
                <w:rFonts w:hint="default" w:ascii="Times New Roman" w:hAnsi="Times New Roman" w:eastAsia="宋体" w:cs="Times New Roman"/>
                <w:color w:val="auto"/>
                <w:sz w:val="21"/>
                <w:szCs w:val="21"/>
                <w:highlight w:val="none"/>
              </w:rPr>
              <w:t>砷、镉、六价铬、铜、铅、汞、镍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锌</w:t>
            </w:r>
          </w:p>
        </w:tc>
      </w:tr>
      <w:tr w14:paraId="1FABC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2B20139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09406D3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vAlign w:val="center"/>
          </w:tcPr>
          <w:p w14:paraId="083D815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T17</w:t>
            </w:r>
          </w:p>
        </w:tc>
        <w:tc>
          <w:tcPr>
            <w:tcW w:w="1461" w:type="pct"/>
            <w:vAlign w:val="center"/>
          </w:tcPr>
          <w:p w14:paraId="479D0DD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89°48'19.64",46°45'13.27"</w:t>
            </w:r>
          </w:p>
        </w:tc>
        <w:tc>
          <w:tcPr>
            <w:tcW w:w="1174" w:type="pct"/>
            <w:vMerge w:val="continue"/>
            <w:vAlign w:val="center"/>
          </w:tcPr>
          <w:p w14:paraId="162EFBF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continue"/>
            <w:vAlign w:val="center"/>
          </w:tcPr>
          <w:p w14:paraId="013729E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r>
      <w:tr w14:paraId="45DA2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656369D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restart"/>
            <w:vAlign w:val="center"/>
          </w:tcPr>
          <w:p w14:paraId="4A2E031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项目区范围外</w:t>
            </w:r>
          </w:p>
        </w:tc>
        <w:tc>
          <w:tcPr>
            <w:tcW w:w="303" w:type="pct"/>
            <w:shd w:val="clear" w:color="auto" w:fill="auto"/>
            <w:vAlign w:val="center"/>
          </w:tcPr>
          <w:p w14:paraId="6238F5B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T4</w:t>
            </w:r>
          </w:p>
        </w:tc>
        <w:tc>
          <w:tcPr>
            <w:tcW w:w="1461" w:type="pct"/>
            <w:shd w:val="clear" w:color="auto" w:fill="auto"/>
            <w:vAlign w:val="center"/>
          </w:tcPr>
          <w:p w14:paraId="3E37A3C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89°48'17.02",46°45'02.42"</w:t>
            </w:r>
          </w:p>
        </w:tc>
        <w:tc>
          <w:tcPr>
            <w:tcW w:w="1174" w:type="pct"/>
            <w:shd w:val="clear" w:color="auto" w:fill="auto"/>
            <w:vAlign w:val="center"/>
          </w:tcPr>
          <w:p w14:paraId="5614AF0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柱状样0~0.5m、0.5~1.5m、1.5~3.0m</w:t>
            </w:r>
          </w:p>
        </w:tc>
        <w:tc>
          <w:tcPr>
            <w:tcW w:w="1331" w:type="pct"/>
            <w:shd w:val="clear" w:color="auto" w:fill="auto"/>
            <w:vAlign w:val="center"/>
          </w:tcPr>
          <w:p w14:paraId="5B89BAA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pH、含盐量、</w:t>
            </w:r>
            <w:r>
              <w:rPr>
                <w:rFonts w:hint="default" w:ascii="Times New Roman" w:hAnsi="Times New Roman" w:eastAsia="宋体" w:cs="Times New Roman"/>
                <w:color w:val="auto"/>
                <w:sz w:val="21"/>
                <w:szCs w:val="21"/>
                <w:highlight w:val="none"/>
              </w:rPr>
              <w:t>砷、镉、六价铬、铜、铅、汞、镍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锌</w:t>
            </w:r>
          </w:p>
        </w:tc>
      </w:tr>
      <w:tr w14:paraId="62A69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Merge w:val="continue"/>
            <w:vAlign w:val="center"/>
          </w:tcPr>
          <w:p w14:paraId="5C182E0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26ABB79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shd w:val="clear" w:color="auto" w:fill="auto"/>
            <w:vAlign w:val="center"/>
          </w:tcPr>
          <w:p w14:paraId="24AFC46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6</w:t>
            </w:r>
          </w:p>
        </w:tc>
        <w:tc>
          <w:tcPr>
            <w:tcW w:w="1461" w:type="pct"/>
            <w:shd w:val="clear" w:color="auto" w:fill="auto"/>
            <w:vAlign w:val="center"/>
          </w:tcPr>
          <w:p w14:paraId="060F3A8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89°48'20.10",46°44'35.04"</w:t>
            </w:r>
          </w:p>
        </w:tc>
        <w:tc>
          <w:tcPr>
            <w:tcW w:w="1174" w:type="pct"/>
            <w:vMerge w:val="restart"/>
            <w:shd w:val="clear" w:color="auto" w:fill="auto"/>
            <w:vAlign w:val="center"/>
          </w:tcPr>
          <w:p w14:paraId="4CD9408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eastAsia="Times New Roman" w:cs="Times New Roman"/>
                <w:color w:val="auto"/>
                <w:sz w:val="21"/>
                <w:szCs w:val="21"/>
                <w:highlight w:val="none"/>
              </w:rPr>
              <w:t>表层土0-0.2m取样</w:t>
            </w:r>
          </w:p>
          <w:p w14:paraId="062DCD0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p>
        </w:tc>
        <w:tc>
          <w:tcPr>
            <w:tcW w:w="1331" w:type="pct"/>
            <w:shd w:val="clear" w:color="auto" w:fill="auto"/>
            <w:vAlign w:val="center"/>
          </w:tcPr>
          <w:p w14:paraId="6CE4ED0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pH、含盐量和45项基本因子</w:t>
            </w:r>
          </w:p>
        </w:tc>
      </w:tr>
      <w:tr w14:paraId="5FC5D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2B0CE9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2974159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shd w:val="clear" w:color="auto" w:fill="auto"/>
            <w:vAlign w:val="center"/>
          </w:tcPr>
          <w:p w14:paraId="656CB03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T7</w:t>
            </w:r>
          </w:p>
        </w:tc>
        <w:tc>
          <w:tcPr>
            <w:tcW w:w="1461" w:type="pct"/>
            <w:shd w:val="clear" w:color="auto" w:fill="auto"/>
            <w:vAlign w:val="center"/>
          </w:tcPr>
          <w:p w14:paraId="15B246C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89°48'20.56",46°44'37.95"</w:t>
            </w:r>
          </w:p>
        </w:tc>
        <w:tc>
          <w:tcPr>
            <w:tcW w:w="1174" w:type="pct"/>
            <w:vMerge w:val="continue"/>
            <w:vAlign w:val="center"/>
          </w:tcPr>
          <w:p w14:paraId="73528E6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restart"/>
            <w:shd w:val="clear" w:color="auto" w:fill="auto"/>
            <w:vAlign w:val="center"/>
          </w:tcPr>
          <w:p w14:paraId="412E934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pH、含盐量、</w:t>
            </w:r>
            <w:r>
              <w:rPr>
                <w:rFonts w:hint="default" w:ascii="Times New Roman" w:hAnsi="Times New Roman" w:eastAsia="宋体" w:cs="Times New Roman"/>
                <w:color w:val="auto"/>
                <w:sz w:val="21"/>
                <w:szCs w:val="21"/>
                <w:highlight w:val="none"/>
              </w:rPr>
              <w:t>砷、镉、六价铬、铜、铅、汞、镍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锌</w:t>
            </w:r>
          </w:p>
        </w:tc>
      </w:tr>
      <w:tr w14:paraId="0BE78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128FF00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233A40F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shd w:val="clear" w:color="auto" w:fill="auto"/>
            <w:vAlign w:val="center"/>
          </w:tcPr>
          <w:p w14:paraId="61D23EF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T8</w:t>
            </w:r>
          </w:p>
        </w:tc>
        <w:tc>
          <w:tcPr>
            <w:tcW w:w="1461" w:type="pct"/>
            <w:shd w:val="clear" w:color="auto" w:fill="auto"/>
            <w:vAlign w:val="center"/>
          </w:tcPr>
          <w:p w14:paraId="4D60E60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89°48'21.48",46°45'05.16"</w:t>
            </w:r>
          </w:p>
        </w:tc>
        <w:tc>
          <w:tcPr>
            <w:tcW w:w="1174" w:type="pct"/>
            <w:vMerge w:val="continue"/>
            <w:vAlign w:val="center"/>
          </w:tcPr>
          <w:p w14:paraId="0E06878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continue"/>
            <w:vAlign w:val="center"/>
          </w:tcPr>
          <w:p w14:paraId="531BDCC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r>
      <w:tr w14:paraId="60893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320120B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18014E0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shd w:val="clear" w:color="auto" w:fill="auto"/>
            <w:vAlign w:val="center"/>
          </w:tcPr>
          <w:p w14:paraId="3E75ED7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18</w:t>
            </w:r>
          </w:p>
        </w:tc>
        <w:tc>
          <w:tcPr>
            <w:tcW w:w="1461" w:type="pct"/>
            <w:shd w:val="clear" w:color="auto" w:fill="auto"/>
            <w:vAlign w:val="center"/>
          </w:tcPr>
          <w:p w14:paraId="2571B35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89°48'33.</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Times New Roman" w:cs="Times New Roman"/>
                <w:color w:val="auto"/>
                <w:sz w:val="21"/>
                <w:szCs w:val="21"/>
                <w:highlight w:val="none"/>
              </w:rPr>
              <w:t>",46°44'42.5380"</w:t>
            </w:r>
          </w:p>
        </w:tc>
        <w:tc>
          <w:tcPr>
            <w:tcW w:w="1174" w:type="pct"/>
            <w:vMerge w:val="restart"/>
            <w:shd w:val="clear" w:color="auto" w:fill="auto"/>
            <w:vAlign w:val="center"/>
          </w:tcPr>
          <w:p w14:paraId="5102BA0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eastAsia="Times New Roman" w:cs="Times New Roman"/>
                <w:color w:val="auto"/>
                <w:sz w:val="21"/>
                <w:szCs w:val="21"/>
                <w:highlight w:val="none"/>
              </w:rPr>
              <w:t>表层土0-0.2m取样</w:t>
            </w:r>
          </w:p>
          <w:p w14:paraId="53711AB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p>
        </w:tc>
        <w:tc>
          <w:tcPr>
            <w:tcW w:w="1331" w:type="pct"/>
            <w:vMerge w:val="restart"/>
            <w:shd w:val="clear" w:color="auto" w:fill="auto"/>
            <w:vAlign w:val="center"/>
          </w:tcPr>
          <w:p w14:paraId="62D5585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pH、含盐量、</w:t>
            </w:r>
            <w:r>
              <w:rPr>
                <w:rFonts w:hint="default" w:ascii="Times New Roman" w:hAnsi="Times New Roman" w:eastAsia="宋体" w:cs="Times New Roman"/>
                <w:color w:val="auto"/>
                <w:sz w:val="21"/>
                <w:szCs w:val="21"/>
                <w:highlight w:val="none"/>
              </w:rPr>
              <w:t>砷、镉、六价铬、铜、铅、汞、镍、锌</w:t>
            </w:r>
          </w:p>
        </w:tc>
      </w:tr>
      <w:tr w14:paraId="048ED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338FBDA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75DA3E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shd w:val="clear" w:color="auto" w:fill="auto"/>
            <w:vAlign w:val="center"/>
          </w:tcPr>
          <w:p w14:paraId="4F5C277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19</w:t>
            </w:r>
          </w:p>
        </w:tc>
        <w:tc>
          <w:tcPr>
            <w:tcW w:w="1461" w:type="pct"/>
            <w:shd w:val="clear" w:color="auto" w:fill="auto"/>
            <w:vAlign w:val="center"/>
          </w:tcPr>
          <w:p w14:paraId="68739E6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89°48'27.18",46°44'56.7399"</w:t>
            </w:r>
          </w:p>
        </w:tc>
        <w:tc>
          <w:tcPr>
            <w:tcW w:w="1174" w:type="pct"/>
            <w:vMerge w:val="continue"/>
            <w:vAlign w:val="center"/>
          </w:tcPr>
          <w:p w14:paraId="68ED70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continue"/>
            <w:vAlign w:val="center"/>
          </w:tcPr>
          <w:p w14:paraId="05D8185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r>
      <w:tr w14:paraId="5222E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pct"/>
            <w:vMerge w:val="continue"/>
            <w:vAlign w:val="center"/>
          </w:tcPr>
          <w:p w14:paraId="27FA5B1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51" w:type="pct"/>
            <w:vMerge w:val="continue"/>
            <w:vAlign w:val="center"/>
          </w:tcPr>
          <w:p w14:paraId="70D7EA6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303" w:type="pct"/>
            <w:shd w:val="clear" w:color="auto" w:fill="auto"/>
            <w:vAlign w:val="center"/>
          </w:tcPr>
          <w:p w14:paraId="518D158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20</w:t>
            </w:r>
          </w:p>
        </w:tc>
        <w:tc>
          <w:tcPr>
            <w:tcW w:w="1461" w:type="pct"/>
            <w:shd w:val="clear" w:color="auto" w:fill="auto"/>
            <w:vAlign w:val="center"/>
          </w:tcPr>
          <w:p w14:paraId="08E2457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Times New Roman" w:cs="Times New Roman"/>
                <w:color w:val="auto"/>
                <w:sz w:val="21"/>
                <w:szCs w:val="21"/>
                <w:highlight w:val="none"/>
              </w:rPr>
              <w:t>89°48'55.1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Times New Roman" w:cs="Times New Roman"/>
                <w:color w:val="auto"/>
                <w:sz w:val="21"/>
                <w:szCs w:val="21"/>
                <w:highlight w:val="none"/>
              </w:rPr>
              <w:t>",46°45'35.13"</w:t>
            </w:r>
          </w:p>
        </w:tc>
        <w:tc>
          <w:tcPr>
            <w:tcW w:w="1174" w:type="pct"/>
            <w:vMerge w:val="continue"/>
            <w:vAlign w:val="center"/>
          </w:tcPr>
          <w:p w14:paraId="3629D17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c>
          <w:tcPr>
            <w:tcW w:w="1331" w:type="pct"/>
            <w:vMerge w:val="continue"/>
            <w:vAlign w:val="center"/>
          </w:tcPr>
          <w:p w14:paraId="38E98E7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Times New Roman" w:cs="Times New Roman"/>
                <w:color w:val="auto"/>
                <w:sz w:val="21"/>
                <w:szCs w:val="21"/>
                <w:highlight w:val="none"/>
              </w:rPr>
            </w:pPr>
          </w:p>
        </w:tc>
      </w:tr>
    </w:tbl>
    <w:p w14:paraId="0DA36DFA">
      <w:pPr>
        <w:adjustRightInd w:val="0"/>
        <w:snapToGrid w:val="0"/>
        <w:ind w:firstLine="0" w:firstLineChars="0"/>
        <w:jc w:val="center"/>
        <w:rPr>
          <w:rFonts w:hint="default" w:ascii="Times New Roman" w:hAnsi="Times New Roman" w:cs="Times New Roman"/>
          <w:b/>
          <w:color w:val="auto"/>
          <w:kern w:val="0"/>
          <w:szCs w:val="22"/>
          <w:highlight w:val="none"/>
        </w:rPr>
      </w:pPr>
    </w:p>
    <w:p w14:paraId="031F309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kern w:val="0"/>
          <w:highlight w:val="none"/>
        </w:rPr>
        <w:t>监测</w:t>
      </w:r>
      <w:r>
        <w:rPr>
          <w:rFonts w:hint="default" w:ascii="Times New Roman" w:hAnsi="Times New Roman" w:cs="Times New Roman"/>
          <w:color w:val="auto"/>
          <w:highlight w:val="none"/>
        </w:rPr>
        <w:t>时间</w:t>
      </w:r>
    </w:p>
    <w:p w14:paraId="7638BE3E">
      <w:pPr>
        <w:overflowPunct w:val="0"/>
        <w:topLinePunct/>
        <w:ind w:firstLine="480"/>
        <w:rPr>
          <w:rFonts w:hint="default" w:ascii="Times New Roman" w:hAnsi="Times New Roman" w:cs="Times New Roman"/>
          <w:color w:val="auto"/>
          <w:highlight w:val="none"/>
        </w:rPr>
      </w:pPr>
      <w:r>
        <w:rPr>
          <w:rFonts w:hint="default" w:cs="Times New Roman"/>
          <w:color w:val="auto"/>
          <w:kern w:val="0"/>
          <w:highlight w:val="none"/>
          <w:lang w:val="en-US" w:eastAsia="zh-CN"/>
        </w:rPr>
        <w:t>采样</w:t>
      </w:r>
      <w:r>
        <w:rPr>
          <w:rFonts w:hint="default" w:ascii="Times New Roman" w:hAnsi="Times New Roman" w:cs="Times New Roman"/>
          <w:color w:val="auto"/>
          <w:kern w:val="0"/>
          <w:highlight w:val="none"/>
        </w:rPr>
        <w:t>时间为202</w:t>
      </w:r>
      <w:r>
        <w:rPr>
          <w:rFonts w:hint="default" w:cs="Times New Roman"/>
          <w:color w:val="auto"/>
          <w:kern w:val="0"/>
          <w:highlight w:val="none"/>
          <w:lang w:val="en-US" w:eastAsia="zh-CN"/>
        </w:rPr>
        <w:t>6</w:t>
      </w:r>
      <w:r>
        <w:rPr>
          <w:rFonts w:hint="default" w:ascii="Times New Roman" w:hAnsi="Times New Roman" w:cs="Times New Roman"/>
          <w:color w:val="auto"/>
          <w:kern w:val="0"/>
          <w:highlight w:val="none"/>
        </w:rPr>
        <w:t>年</w:t>
      </w:r>
      <w:r>
        <w:rPr>
          <w:rFonts w:hint="default" w:cs="Times New Roman"/>
          <w:color w:val="auto"/>
          <w:kern w:val="0"/>
          <w:highlight w:val="none"/>
          <w:lang w:val="en-US" w:eastAsia="zh-CN"/>
        </w:rPr>
        <w:t>4</w:t>
      </w:r>
      <w:r>
        <w:rPr>
          <w:rFonts w:hint="default" w:ascii="Times New Roman" w:hAnsi="Times New Roman" w:cs="Times New Roman"/>
          <w:color w:val="auto"/>
          <w:kern w:val="0"/>
          <w:highlight w:val="none"/>
        </w:rPr>
        <w:t>月</w:t>
      </w:r>
      <w:r>
        <w:rPr>
          <w:rFonts w:hint="default" w:cs="Times New Roman"/>
          <w:color w:val="auto"/>
          <w:kern w:val="0"/>
          <w:highlight w:val="none"/>
          <w:lang w:val="en-US" w:eastAsia="zh-CN"/>
        </w:rPr>
        <w:t>9</w:t>
      </w:r>
      <w:r>
        <w:rPr>
          <w:rFonts w:hint="default" w:ascii="Times New Roman" w:hAnsi="Times New Roman" w:cs="Times New Roman"/>
          <w:color w:val="auto"/>
          <w:kern w:val="0"/>
          <w:highlight w:val="none"/>
        </w:rPr>
        <w:t>日</w:t>
      </w:r>
      <w:r>
        <w:rPr>
          <w:rFonts w:hint="default" w:cs="Times New Roman"/>
          <w:color w:val="auto"/>
          <w:kern w:val="0"/>
          <w:highlight w:val="none"/>
          <w:lang w:eastAsia="zh-CN"/>
        </w:rPr>
        <w:t>，</w:t>
      </w:r>
      <w:r>
        <w:rPr>
          <w:rFonts w:hint="default" w:cs="Times New Roman"/>
          <w:color w:val="auto"/>
          <w:kern w:val="0"/>
          <w:highlight w:val="none"/>
          <w:lang w:val="en-US" w:eastAsia="zh-CN"/>
        </w:rPr>
        <w:t>分析时间为2026年4月14日-4月27日</w:t>
      </w:r>
      <w:r>
        <w:rPr>
          <w:rFonts w:hint="default" w:ascii="Times New Roman" w:hAnsi="Times New Roman" w:cs="Times New Roman"/>
          <w:color w:val="auto"/>
          <w:kern w:val="0"/>
          <w:highlight w:val="none"/>
        </w:rPr>
        <w:t>。</w:t>
      </w:r>
    </w:p>
    <w:p w14:paraId="60C57CE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4）采样深度</w:t>
      </w:r>
    </w:p>
    <w:p w14:paraId="370BDB4E">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表层样采样深度为20cm，柱状样采样深度为0～3m</w:t>
      </w:r>
      <w:r>
        <w:rPr>
          <w:rFonts w:hint="default" w:cs="Times New Roman"/>
          <w:color w:val="auto"/>
          <w:kern w:val="0"/>
          <w:highlight w:val="none"/>
          <w:lang w:eastAsia="zh-CN"/>
        </w:rPr>
        <w:t>（</w:t>
      </w:r>
      <w:r>
        <w:rPr>
          <w:rFonts w:hint="default" w:cs="Times New Roman"/>
          <w:color w:val="auto"/>
          <w:kern w:val="0"/>
          <w:highlight w:val="none"/>
          <w:lang w:val="en-US" w:eastAsia="zh-CN"/>
        </w:rPr>
        <w:t>0-0.5m，0.5-1.5m，1.5-3m</w:t>
      </w:r>
      <w:r>
        <w:rPr>
          <w:rFonts w:hint="default" w:cs="Times New Roman"/>
          <w:color w:val="auto"/>
          <w:kern w:val="0"/>
          <w:highlight w:val="none"/>
          <w:lang w:eastAsia="zh-CN"/>
        </w:rPr>
        <w:t>）</w:t>
      </w:r>
      <w:r>
        <w:rPr>
          <w:rFonts w:hint="default" w:ascii="Times New Roman" w:hAnsi="Times New Roman" w:cs="Times New Roman"/>
          <w:color w:val="auto"/>
          <w:kern w:val="0"/>
          <w:highlight w:val="none"/>
        </w:rPr>
        <w:t>。</w:t>
      </w:r>
    </w:p>
    <w:p w14:paraId="070F0B7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5）评价标准</w:t>
      </w:r>
    </w:p>
    <w:p w14:paraId="69732FA3">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kern w:val="0"/>
          <w:highlight w:val="none"/>
          <w:lang w:bidi="ar"/>
        </w:rPr>
        <w:t>本项目土壤环境执行《土壤环境质量 建设用地土壤污染风险管控标准（试行）》（GB36600-2018）第二类用地</w:t>
      </w:r>
      <w:r>
        <w:rPr>
          <w:rFonts w:hint="default" w:ascii="Times New Roman" w:hAnsi="Times New Roman" w:cs="Times New Roman"/>
          <w:color w:val="auto"/>
          <w:highlight w:val="none"/>
        </w:rPr>
        <w:t>筛选值标准及《土壤环境质量 农用地土壤污染风险管控标准（试行）》（GB15618-2018）中表1农用地土壤污染风险筛选值。</w:t>
      </w:r>
    </w:p>
    <w:p w14:paraId="4F7A475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6）评价方法</w:t>
      </w:r>
    </w:p>
    <w:p w14:paraId="59AF2C1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采用直接比较的方法。</w:t>
      </w:r>
    </w:p>
    <w:p w14:paraId="6B001E9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7）监测结果</w:t>
      </w:r>
    </w:p>
    <w:p w14:paraId="0874F35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监测数据见表4.2-1</w:t>
      </w:r>
      <w:r>
        <w:rPr>
          <w:rFonts w:hint="default" w:ascii="Times New Roman" w:hAnsi="Times New Roman" w:cs="Times New Roman"/>
          <w:color w:val="auto"/>
          <w:highlight w:val="none"/>
          <w:lang w:val="en-US" w:eastAsia="zh-CN"/>
        </w:rPr>
        <w:t>1</w:t>
      </w:r>
      <w:r>
        <w:rPr>
          <w:rFonts w:hint="default" w:cs="Times New Roman"/>
          <w:color w:val="auto"/>
          <w:highlight w:val="none"/>
          <w:lang w:val="en-US" w:eastAsia="zh-CN"/>
        </w:rPr>
        <w:t>~</w:t>
      </w:r>
      <w:r>
        <w:rPr>
          <w:rFonts w:hint="default" w:ascii="Times New Roman" w:hAnsi="Times New Roman" w:cs="Times New Roman"/>
          <w:color w:val="auto"/>
          <w:highlight w:val="none"/>
          <w:lang w:val="en-US" w:eastAsia="zh-CN"/>
        </w:rPr>
        <w:t>4.2-1</w:t>
      </w:r>
      <w:r>
        <w:rPr>
          <w:rFonts w:hint="default" w:cs="Times New Roman"/>
          <w:color w:val="auto"/>
          <w:highlight w:val="none"/>
          <w:lang w:val="en-US" w:eastAsia="zh-CN"/>
        </w:rPr>
        <w:t>3</w:t>
      </w:r>
      <w:r>
        <w:rPr>
          <w:rFonts w:hint="default" w:ascii="Times New Roman" w:hAnsi="Times New Roman" w:cs="Times New Roman"/>
          <w:color w:val="auto"/>
          <w:highlight w:val="none"/>
        </w:rPr>
        <w:t>，土壤监测布点图4.2-1。</w:t>
      </w:r>
    </w:p>
    <w:p w14:paraId="0E6A967C">
      <w:pPr>
        <w:pStyle w:val="58"/>
        <w:spacing w:line="480" w:lineRule="exact"/>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表4.2-1</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 xml:space="preserve">    </w:t>
      </w:r>
      <w:r>
        <w:rPr>
          <w:rFonts w:hint="default" w:ascii="Times New Roman" w:cs="Times New Roman"/>
          <w:b/>
          <w:bCs/>
          <w:color w:val="auto"/>
          <w:sz w:val="24"/>
          <w:szCs w:val="24"/>
          <w:highlight w:val="none"/>
          <w:lang w:val="en-US" w:eastAsia="zh-CN"/>
        </w:rPr>
        <w:t>项目区范围内</w:t>
      </w:r>
      <w:r>
        <w:rPr>
          <w:rFonts w:hint="default" w:ascii="Times New Roman" w:hAnsi="Times New Roman" w:cs="Times New Roman"/>
          <w:b/>
          <w:bCs/>
          <w:color w:val="auto"/>
          <w:sz w:val="24"/>
          <w:szCs w:val="24"/>
          <w:highlight w:val="none"/>
        </w:rPr>
        <w:t>土壤环境质量监测结果</w:t>
      </w:r>
    </w:p>
    <w:p w14:paraId="5AEBFE1F">
      <w:pPr>
        <w:pStyle w:val="58"/>
        <w:spacing w:line="480" w:lineRule="exact"/>
        <w:jc w:val="center"/>
        <w:rPr>
          <w:rFonts w:hint="default" w:ascii="Times New Roman" w:hAnsi="Times New Roman" w:eastAsia="宋体" w:cs="Times New Roman"/>
          <w:b/>
          <w:bCs/>
          <w:color w:val="auto"/>
          <w:sz w:val="24"/>
          <w:szCs w:val="24"/>
          <w:highlight w:val="none"/>
          <w:lang w:eastAsia="zh-CN"/>
        </w:rPr>
      </w:pPr>
      <w:r>
        <w:rPr>
          <w:rFonts w:hint="default" w:ascii="Times New Roman" w:cs="Times New Roman"/>
          <w:b/>
          <w:bCs/>
          <w:color w:val="auto"/>
          <w:sz w:val="24"/>
          <w:szCs w:val="24"/>
          <w:highlight w:val="none"/>
          <w:lang w:eastAsia="zh-CN"/>
        </w:rPr>
        <w:t>（</w:t>
      </w:r>
      <w:r>
        <w:rPr>
          <w:rFonts w:hint="default" w:ascii="Times New Roman" w:cs="Times New Roman"/>
          <w:b/>
          <w:bCs/>
          <w:color w:val="auto"/>
          <w:sz w:val="24"/>
          <w:szCs w:val="24"/>
          <w:highlight w:val="none"/>
          <w:lang w:val="en-US" w:eastAsia="zh-CN"/>
        </w:rPr>
        <w:t>T12、T13、T14、T15、T16、T17</w:t>
      </w:r>
      <w:r>
        <w:rPr>
          <w:rFonts w:hint="default" w:ascii="Times New Roman" w:cs="Times New Roman"/>
          <w:b/>
          <w:bCs/>
          <w:color w:val="auto"/>
          <w:sz w:val="24"/>
          <w:szCs w:val="24"/>
          <w:highlight w:val="none"/>
          <w:lang w:eastAsia="zh-CN"/>
        </w:rPr>
        <w:t>）</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471"/>
        <w:gridCol w:w="755"/>
        <w:gridCol w:w="834"/>
        <w:gridCol w:w="834"/>
        <w:gridCol w:w="834"/>
        <w:gridCol w:w="834"/>
        <w:gridCol w:w="834"/>
        <w:gridCol w:w="834"/>
        <w:gridCol w:w="997"/>
        <w:gridCol w:w="757"/>
      </w:tblGrid>
      <w:tr w14:paraId="43F5E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239" w:type="pct"/>
            <w:gridSpan w:val="2"/>
            <w:tcBorders>
              <w:tl2br w:val="nil"/>
              <w:tr2bl w:val="nil"/>
            </w:tcBorders>
            <w:vAlign w:val="center"/>
          </w:tcPr>
          <w:p w14:paraId="0C95B361">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样品编码</w:t>
            </w:r>
          </w:p>
        </w:tc>
        <w:tc>
          <w:tcPr>
            <w:tcW w:w="464" w:type="pct"/>
            <w:tcBorders>
              <w:tl2br w:val="nil"/>
              <w:tr2bl w:val="nil"/>
            </w:tcBorders>
            <w:vAlign w:val="center"/>
          </w:tcPr>
          <w:p w14:paraId="1BEC9A74">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12</w:t>
            </w:r>
            <w:r>
              <w:rPr>
                <w:rFonts w:hint="default" w:ascii="Times New Roman" w:hAnsi="Times New Roman" w:cs="Times New Roman"/>
                <w:b/>
                <w:color w:val="auto"/>
                <w:sz w:val="21"/>
                <w:szCs w:val="21"/>
                <w:highlight w:val="none"/>
              </w:rPr>
              <w:t>-1-1</w:t>
            </w:r>
          </w:p>
        </w:tc>
        <w:tc>
          <w:tcPr>
            <w:tcW w:w="464" w:type="pct"/>
            <w:tcBorders>
              <w:tl2br w:val="nil"/>
              <w:tr2bl w:val="nil"/>
            </w:tcBorders>
            <w:vAlign w:val="center"/>
          </w:tcPr>
          <w:p w14:paraId="205FA694">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12</w:t>
            </w:r>
            <w:r>
              <w:rPr>
                <w:rFonts w:hint="default" w:ascii="Times New Roman" w:hAnsi="Times New Roman" w:cs="Times New Roman"/>
                <w:b/>
                <w:color w:val="auto"/>
                <w:sz w:val="21"/>
                <w:szCs w:val="21"/>
                <w:highlight w:val="none"/>
              </w:rPr>
              <w:t>-1-</w:t>
            </w:r>
            <w:r>
              <w:rPr>
                <w:rFonts w:hint="default" w:cs="Times New Roman"/>
                <w:b/>
                <w:color w:val="auto"/>
                <w:sz w:val="21"/>
                <w:szCs w:val="21"/>
                <w:highlight w:val="none"/>
                <w:lang w:val="en-US" w:eastAsia="zh-CN"/>
              </w:rPr>
              <w:t>2</w:t>
            </w:r>
          </w:p>
        </w:tc>
        <w:tc>
          <w:tcPr>
            <w:tcW w:w="464" w:type="pct"/>
            <w:tcBorders>
              <w:tl2br w:val="nil"/>
              <w:tr2bl w:val="nil"/>
            </w:tcBorders>
            <w:vAlign w:val="center"/>
          </w:tcPr>
          <w:p w14:paraId="10A58220">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T12-1-3</w:t>
            </w:r>
          </w:p>
        </w:tc>
        <w:tc>
          <w:tcPr>
            <w:tcW w:w="464" w:type="pct"/>
            <w:tcBorders>
              <w:tl2br w:val="nil"/>
              <w:tr2bl w:val="nil"/>
            </w:tcBorders>
            <w:vAlign w:val="center"/>
          </w:tcPr>
          <w:p w14:paraId="6239E3D3">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T1</w:t>
            </w:r>
            <w:r>
              <w:rPr>
                <w:rFonts w:hint="default"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-1-1</w:t>
            </w:r>
          </w:p>
        </w:tc>
        <w:tc>
          <w:tcPr>
            <w:tcW w:w="464" w:type="pct"/>
            <w:tcBorders>
              <w:tl2br w:val="nil"/>
              <w:tr2bl w:val="nil"/>
            </w:tcBorders>
            <w:vAlign w:val="center"/>
          </w:tcPr>
          <w:p w14:paraId="5F2E07C1">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T1</w:t>
            </w:r>
            <w:r>
              <w:rPr>
                <w:rFonts w:hint="default"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-1-2</w:t>
            </w:r>
          </w:p>
        </w:tc>
        <w:tc>
          <w:tcPr>
            <w:tcW w:w="464" w:type="pct"/>
            <w:tcBorders>
              <w:tl2br w:val="nil"/>
              <w:tr2bl w:val="nil"/>
            </w:tcBorders>
            <w:vAlign w:val="center"/>
          </w:tcPr>
          <w:p w14:paraId="3EC58C31">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T1</w:t>
            </w:r>
            <w:r>
              <w:rPr>
                <w:rFonts w:hint="default"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-1-3</w:t>
            </w:r>
          </w:p>
        </w:tc>
        <w:tc>
          <w:tcPr>
            <w:tcW w:w="555" w:type="pct"/>
            <w:tcBorders>
              <w:tl2br w:val="nil"/>
              <w:tr2bl w:val="nil"/>
            </w:tcBorders>
            <w:vAlign w:val="center"/>
          </w:tcPr>
          <w:p w14:paraId="0B96252E">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T16</w:t>
            </w:r>
          </w:p>
        </w:tc>
        <w:tc>
          <w:tcPr>
            <w:tcW w:w="421" w:type="pct"/>
            <w:vMerge w:val="restart"/>
            <w:tcBorders>
              <w:tl2br w:val="nil"/>
              <w:tr2bl w:val="nil"/>
            </w:tcBorders>
            <w:vAlign w:val="center"/>
          </w:tcPr>
          <w:p w14:paraId="73EB988E">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w:t>
            </w:r>
          </w:p>
        </w:tc>
      </w:tr>
      <w:tr w14:paraId="490FC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819" w:type="pct"/>
            <w:tcBorders>
              <w:tl2br w:val="nil"/>
              <w:tr2bl w:val="nil"/>
            </w:tcBorders>
            <w:vAlign w:val="center"/>
          </w:tcPr>
          <w:p w14:paraId="34AE2935">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检测项目</w:t>
            </w:r>
          </w:p>
        </w:tc>
        <w:tc>
          <w:tcPr>
            <w:tcW w:w="419" w:type="pct"/>
            <w:tcBorders>
              <w:tl2br w:val="nil"/>
              <w:tr2bl w:val="nil"/>
            </w:tcBorders>
            <w:vAlign w:val="center"/>
          </w:tcPr>
          <w:p w14:paraId="402AEC2B">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单位</w:t>
            </w:r>
          </w:p>
        </w:tc>
        <w:tc>
          <w:tcPr>
            <w:tcW w:w="1392" w:type="pct"/>
            <w:gridSpan w:val="3"/>
            <w:tcBorders>
              <w:tl2br w:val="nil"/>
              <w:tr2bl w:val="nil"/>
            </w:tcBorders>
            <w:vAlign w:val="center"/>
          </w:tcPr>
          <w:p w14:paraId="67C347B2">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1392" w:type="pct"/>
            <w:gridSpan w:val="3"/>
            <w:tcBorders>
              <w:tl2br w:val="nil"/>
              <w:tr2bl w:val="nil"/>
            </w:tcBorders>
            <w:vAlign w:val="center"/>
          </w:tcPr>
          <w:p w14:paraId="3B763241">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555" w:type="pct"/>
            <w:tcBorders>
              <w:tl2br w:val="nil"/>
              <w:tr2bl w:val="nil"/>
            </w:tcBorders>
            <w:vAlign w:val="center"/>
          </w:tcPr>
          <w:p w14:paraId="15C9E7A8">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421" w:type="pct"/>
            <w:vMerge w:val="continue"/>
            <w:tcBorders>
              <w:tl2br w:val="nil"/>
              <w:tr2bl w:val="nil"/>
            </w:tcBorders>
            <w:vAlign w:val="center"/>
          </w:tcPr>
          <w:p w14:paraId="32446F91">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p>
        </w:tc>
      </w:tr>
      <w:tr w14:paraId="69A6C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289E224E">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pH</w:t>
            </w:r>
          </w:p>
        </w:tc>
        <w:tc>
          <w:tcPr>
            <w:tcW w:w="419" w:type="pct"/>
            <w:tcBorders>
              <w:tl2br w:val="nil"/>
              <w:tr2bl w:val="nil"/>
            </w:tcBorders>
            <w:shd w:val="clear" w:color="auto" w:fill="auto"/>
            <w:vAlign w:val="center"/>
          </w:tcPr>
          <w:p w14:paraId="16CC8D3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无量纲</w:t>
            </w:r>
          </w:p>
        </w:tc>
        <w:tc>
          <w:tcPr>
            <w:tcW w:w="464" w:type="pct"/>
            <w:tcBorders>
              <w:tl2br w:val="nil"/>
              <w:tr2bl w:val="nil"/>
            </w:tcBorders>
            <w:shd w:val="clear" w:color="auto" w:fill="auto"/>
            <w:vAlign w:val="center"/>
          </w:tcPr>
          <w:p w14:paraId="7775B6C9">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8.0</w:t>
            </w:r>
          </w:p>
        </w:tc>
        <w:tc>
          <w:tcPr>
            <w:tcW w:w="464" w:type="pct"/>
            <w:tcBorders>
              <w:tl2br w:val="nil"/>
              <w:tr2bl w:val="nil"/>
            </w:tcBorders>
            <w:shd w:val="clear" w:color="auto" w:fill="auto"/>
            <w:vAlign w:val="center"/>
          </w:tcPr>
          <w:p w14:paraId="4A6BA006">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8.1</w:t>
            </w:r>
          </w:p>
        </w:tc>
        <w:tc>
          <w:tcPr>
            <w:tcW w:w="464" w:type="pct"/>
            <w:tcBorders>
              <w:tl2br w:val="nil"/>
              <w:tr2bl w:val="nil"/>
            </w:tcBorders>
            <w:shd w:val="clear" w:color="auto" w:fill="auto"/>
            <w:vAlign w:val="center"/>
          </w:tcPr>
          <w:p w14:paraId="3A485AD5">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8.1</w:t>
            </w:r>
          </w:p>
        </w:tc>
        <w:tc>
          <w:tcPr>
            <w:tcW w:w="464" w:type="pct"/>
            <w:tcBorders>
              <w:tl2br w:val="nil"/>
              <w:tr2bl w:val="nil"/>
            </w:tcBorders>
            <w:shd w:val="clear" w:color="auto" w:fill="auto"/>
            <w:vAlign w:val="center"/>
          </w:tcPr>
          <w:p w14:paraId="07FA1EA0">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7.8</w:t>
            </w:r>
          </w:p>
        </w:tc>
        <w:tc>
          <w:tcPr>
            <w:tcW w:w="464" w:type="pct"/>
            <w:tcBorders>
              <w:tl2br w:val="nil"/>
              <w:tr2bl w:val="nil"/>
            </w:tcBorders>
            <w:shd w:val="clear" w:color="auto" w:fill="auto"/>
            <w:vAlign w:val="center"/>
          </w:tcPr>
          <w:p w14:paraId="682C2E65">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7.8</w:t>
            </w:r>
          </w:p>
        </w:tc>
        <w:tc>
          <w:tcPr>
            <w:tcW w:w="464" w:type="pct"/>
            <w:tcBorders>
              <w:tl2br w:val="nil"/>
              <w:tr2bl w:val="nil"/>
            </w:tcBorders>
            <w:shd w:val="clear" w:color="auto" w:fill="auto"/>
            <w:vAlign w:val="center"/>
          </w:tcPr>
          <w:p w14:paraId="6FC77071">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7.9</w:t>
            </w:r>
          </w:p>
        </w:tc>
        <w:tc>
          <w:tcPr>
            <w:tcW w:w="555" w:type="pct"/>
            <w:tcBorders>
              <w:tl2br w:val="nil"/>
              <w:tr2bl w:val="nil"/>
            </w:tcBorders>
            <w:shd w:val="clear" w:color="auto" w:fill="auto"/>
            <w:vAlign w:val="center"/>
          </w:tcPr>
          <w:p w14:paraId="21DCFF5D">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8.1</w:t>
            </w:r>
          </w:p>
        </w:tc>
        <w:tc>
          <w:tcPr>
            <w:tcW w:w="421" w:type="pct"/>
            <w:tcBorders>
              <w:tl2br w:val="nil"/>
              <w:tr2bl w:val="nil"/>
            </w:tcBorders>
            <w:vAlign w:val="center"/>
          </w:tcPr>
          <w:p w14:paraId="7E02D029">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56272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0E725876">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水分</w:t>
            </w:r>
          </w:p>
        </w:tc>
        <w:tc>
          <w:tcPr>
            <w:tcW w:w="419" w:type="pct"/>
            <w:tcBorders>
              <w:tl2br w:val="nil"/>
              <w:tr2bl w:val="nil"/>
            </w:tcBorders>
            <w:shd w:val="clear" w:color="auto" w:fill="auto"/>
            <w:vAlign w:val="center"/>
          </w:tcPr>
          <w:p w14:paraId="7DD58E01">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464" w:type="pct"/>
            <w:tcBorders>
              <w:tl2br w:val="nil"/>
              <w:tr2bl w:val="nil"/>
            </w:tcBorders>
            <w:shd w:val="clear" w:color="auto" w:fill="auto"/>
            <w:vAlign w:val="center"/>
          </w:tcPr>
          <w:p w14:paraId="40E25514">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w:t>
            </w:r>
          </w:p>
        </w:tc>
        <w:tc>
          <w:tcPr>
            <w:tcW w:w="464" w:type="pct"/>
            <w:tcBorders>
              <w:tl2br w:val="nil"/>
              <w:tr2bl w:val="nil"/>
            </w:tcBorders>
            <w:shd w:val="clear" w:color="auto" w:fill="auto"/>
            <w:vAlign w:val="center"/>
          </w:tcPr>
          <w:p w14:paraId="39CCA491">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464" w:type="pct"/>
            <w:tcBorders>
              <w:tl2br w:val="nil"/>
              <w:tr2bl w:val="nil"/>
            </w:tcBorders>
            <w:shd w:val="clear" w:color="auto" w:fill="auto"/>
            <w:vAlign w:val="center"/>
          </w:tcPr>
          <w:p w14:paraId="51BD49E7">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w:t>
            </w:r>
          </w:p>
        </w:tc>
        <w:tc>
          <w:tcPr>
            <w:tcW w:w="464" w:type="pct"/>
            <w:tcBorders>
              <w:tl2br w:val="nil"/>
              <w:tr2bl w:val="nil"/>
            </w:tcBorders>
            <w:shd w:val="clear" w:color="auto" w:fill="auto"/>
            <w:vAlign w:val="center"/>
          </w:tcPr>
          <w:p w14:paraId="118C4E6C">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w:t>
            </w:r>
          </w:p>
        </w:tc>
        <w:tc>
          <w:tcPr>
            <w:tcW w:w="464" w:type="pct"/>
            <w:tcBorders>
              <w:tl2br w:val="nil"/>
              <w:tr2bl w:val="nil"/>
            </w:tcBorders>
            <w:shd w:val="clear" w:color="auto" w:fill="auto"/>
            <w:vAlign w:val="center"/>
          </w:tcPr>
          <w:p w14:paraId="109649C6">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464" w:type="pct"/>
            <w:tcBorders>
              <w:tl2br w:val="nil"/>
              <w:tr2bl w:val="nil"/>
            </w:tcBorders>
            <w:shd w:val="clear" w:color="auto" w:fill="auto"/>
            <w:vAlign w:val="center"/>
          </w:tcPr>
          <w:p w14:paraId="5B39D64C">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w:t>
            </w:r>
          </w:p>
        </w:tc>
        <w:tc>
          <w:tcPr>
            <w:tcW w:w="555" w:type="pct"/>
            <w:tcBorders>
              <w:tl2br w:val="nil"/>
              <w:tr2bl w:val="nil"/>
            </w:tcBorders>
            <w:shd w:val="clear" w:color="auto" w:fill="auto"/>
            <w:vAlign w:val="center"/>
          </w:tcPr>
          <w:p w14:paraId="49FAD89E">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w:t>
            </w:r>
          </w:p>
        </w:tc>
        <w:tc>
          <w:tcPr>
            <w:tcW w:w="421" w:type="pct"/>
            <w:tcBorders>
              <w:tl2br w:val="nil"/>
              <w:tr2bl w:val="nil"/>
            </w:tcBorders>
            <w:vAlign w:val="center"/>
          </w:tcPr>
          <w:p w14:paraId="5D72DDCD">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68F38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65A81AAA">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干物质</w:t>
            </w:r>
          </w:p>
        </w:tc>
        <w:tc>
          <w:tcPr>
            <w:tcW w:w="419" w:type="pct"/>
            <w:tcBorders>
              <w:tl2br w:val="nil"/>
              <w:tr2bl w:val="nil"/>
            </w:tcBorders>
            <w:shd w:val="clear" w:color="auto" w:fill="auto"/>
            <w:vAlign w:val="center"/>
          </w:tcPr>
          <w:p w14:paraId="16D1BD6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464" w:type="pct"/>
            <w:tcBorders>
              <w:tl2br w:val="nil"/>
              <w:tr2bl w:val="nil"/>
            </w:tcBorders>
            <w:shd w:val="clear" w:color="auto" w:fill="auto"/>
            <w:vAlign w:val="center"/>
          </w:tcPr>
          <w:p w14:paraId="5C52F25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98.7</w:t>
            </w:r>
          </w:p>
        </w:tc>
        <w:tc>
          <w:tcPr>
            <w:tcW w:w="464" w:type="pct"/>
            <w:tcBorders>
              <w:tl2br w:val="nil"/>
              <w:tr2bl w:val="nil"/>
            </w:tcBorders>
            <w:shd w:val="clear" w:color="auto" w:fill="auto"/>
            <w:vAlign w:val="center"/>
          </w:tcPr>
          <w:p w14:paraId="705EEF3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98.8</w:t>
            </w:r>
          </w:p>
        </w:tc>
        <w:tc>
          <w:tcPr>
            <w:tcW w:w="464" w:type="pct"/>
            <w:tcBorders>
              <w:tl2br w:val="nil"/>
              <w:tr2bl w:val="nil"/>
            </w:tcBorders>
            <w:shd w:val="clear" w:color="auto" w:fill="auto"/>
            <w:vAlign w:val="center"/>
          </w:tcPr>
          <w:p w14:paraId="7C991EA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98.9</w:t>
            </w:r>
          </w:p>
        </w:tc>
        <w:tc>
          <w:tcPr>
            <w:tcW w:w="464" w:type="pct"/>
            <w:tcBorders>
              <w:tl2br w:val="nil"/>
              <w:tr2bl w:val="nil"/>
            </w:tcBorders>
            <w:shd w:val="clear" w:color="auto" w:fill="auto"/>
            <w:vAlign w:val="center"/>
          </w:tcPr>
          <w:p w14:paraId="7545EE6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98.7</w:t>
            </w:r>
          </w:p>
        </w:tc>
        <w:tc>
          <w:tcPr>
            <w:tcW w:w="464" w:type="pct"/>
            <w:tcBorders>
              <w:tl2br w:val="nil"/>
              <w:tr2bl w:val="nil"/>
            </w:tcBorders>
            <w:shd w:val="clear" w:color="auto" w:fill="auto"/>
            <w:vAlign w:val="center"/>
          </w:tcPr>
          <w:p w14:paraId="7895527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98.9</w:t>
            </w:r>
          </w:p>
        </w:tc>
        <w:tc>
          <w:tcPr>
            <w:tcW w:w="464" w:type="pct"/>
            <w:tcBorders>
              <w:tl2br w:val="nil"/>
              <w:tr2bl w:val="nil"/>
            </w:tcBorders>
            <w:shd w:val="clear" w:color="auto" w:fill="auto"/>
            <w:vAlign w:val="center"/>
          </w:tcPr>
          <w:p w14:paraId="2A29F85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98.7</w:t>
            </w:r>
          </w:p>
        </w:tc>
        <w:tc>
          <w:tcPr>
            <w:tcW w:w="555" w:type="pct"/>
            <w:tcBorders>
              <w:tl2br w:val="nil"/>
              <w:tr2bl w:val="nil"/>
            </w:tcBorders>
            <w:shd w:val="clear" w:color="auto" w:fill="auto"/>
            <w:vAlign w:val="center"/>
          </w:tcPr>
          <w:p w14:paraId="36ABB12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99.0</w:t>
            </w:r>
          </w:p>
        </w:tc>
        <w:tc>
          <w:tcPr>
            <w:tcW w:w="421" w:type="pct"/>
            <w:tcBorders>
              <w:tl2br w:val="nil"/>
              <w:tr2bl w:val="nil"/>
            </w:tcBorders>
            <w:vAlign w:val="center"/>
          </w:tcPr>
          <w:p w14:paraId="68A68EA2">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4B19B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2CC7EE61">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镉</w:t>
            </w:r>
          </w:p>
        </w:tc>
        <w:tc>
          <w:tcPr>
            <w:tcW w:w="419" w:type="pct"/>
            <w:tcBorders>
              <w:tl2br w:val="nil"/>
              <w:tr2bl w:val="nil"/>
            </w:tcBorders>
            <w:shd w:val="clear" w:color="auto" w:fill="auto"/>
            <w:vAlign w:val="center"/>
          </w:tcPr>
          <w:p w14:paraId="0285E3DE">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3C25036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0.18</w:t>
            </w:r>
          </w:p>
        </w:tc>
        <w:tc>
          <w:tcPr>
            <w:tcW w:w="464" w:type="pct"/>
            <w:tcBorders>
              <w:tl2br w:val="nil"/>
              <w:tr2bl w:val="nil"/>
            </w:tcBorders>
            <w:shd w:val="clear" w:color="auto" w:fill="auto"/>
            <w:vAlign w:val="center"/>
          </w:tcPr>
          <w:p w14:paraId="60120210">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0.18</w:t>
            </w:r>
          </w:p>
        </w:tc>
        <w:tc>
          <w:tcPr>
            <w:tcW w:w="464" w:type="pct"/>
            <w:tcBorders>
              <w:tl2br w:val="nil"/>
              <w:tr2bl w:val="nil"/>
            </w:tcBorders>
            <w:shd w:val="clear" w:color="auto" w:fill="auto"/>
            <w:vAlign w:val="center"/>
          </w:tcPr>
          <w:p w14:paraId="47BE0E7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464" w:type="pct"/>
            <w:tcBorders>
              <w:tl2br w:val="nil"/>
              <w:tr2bl w:val="nil"/>
            </w:tcBorders>
            <w:shd w:val="clear" w:color="auto" w:fill="auto"/>
            <w:vAlign w:val="center"/>
          </w:tcPr>
          <w:p w14:paraId="4CEC2CA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464" w:type="pct"/>
            <w:tcBorders>
              <w:tl2br w:val="nil"/>
              <w:tr2bl w:val="nil"/>
            </w:tcBorders>
            <w:shd w:val="clear" w:color="auto" w:fill="auto"/>
            <w:vAlign w:val="center"/>
          </w:tcPr>
          <w:p w14:paraId="159A12B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0.13</w:t>
            </w:r>
          </w:p>
        </w:tc>
        <w:tc>
          <w:tcPr>
            <w:tcW w:w="464" w:type="pct"/>
            <w:tcBorders>
              <w:tl2br w:val="nil"/>
              <w:tr2bl w:val="nil"/>
            </w:tcBorders>
            <w:shd w:val="clear" w:color="auto" w:fill="auto"/>
            <w:vAlign w:val="center"/>
          </w:tcPr>
          <w:p w14:paraId="0AC088B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555" w:type="pct"/>
            <w:tcBorders>
              <w:tl2br w:val="nil"/>
              <w:tr2bl w:val="nil"/>
            </w:tcBorders>
            <w:shd w:val="clear" w:color="auto" w:fill="auto"/>
            <w:vAlign w:val="center"/>
          </w:tcPr>
          <w:p w14:paraId="4D51051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421" w:type="pct"/>
            <w:tcBorders>
              <w:tl2br w:val="nil"/>
              <w:tr2bl w:val="nil"/>
            </w:tcBorders>
            <w:vAlign w:val="center"/>
          </w:tcPr>
          <w:p w14:paraId="08880691">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65</w:t>
            </w:r>
          </w:p>
        </w:tc>
      </w:tr>
      <w:tr w14:paraId="341A8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6906A694">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汞</w:t>
            </w:r>
          </w:p>
        </w:tc>
        <w:tc>
          <w:tcPr>
            <w:tcW w:w="419" w:type="pct"/>
            <w:tcBorders>
              <w:tl2br w:val="nil"/>
              <w:tr2bl w:val="nil"/>
            </w:tcBorders>
            <w:shd w:val="clear" w:color="auto" w:fill="auto"/>
            <w:vAlign w:val="center"/>
          </w:tcPr>
          <w:p w14:paraId="3C8AD94C">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543C3A5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0.018</w:t>
            </w:r>
          </w:p>
        </w:tc>
        <w:tc>
          <w:tcPr>
            <w:tcW w:w="464" w:type="pct"/>
            <w:tcBorders>
              <w:tl2br w:val="nil"/>
              <w:tr2bl w:val="nil"/>
            </w:tcBorders>
            <w:shd w:val="clear" w:color="auto" w:fill="auto"/>
            <w:vAlign w:val="center"/>
          </w:tcPr>
          <w:p w14:paraId="63EAD4E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0.020</w:t>
            </w:r>
          </w:p>
        </w:tc>
        <w:tc>
          <w:tcPr>
            <w:tcW w:w="464" w:type="pct"/>
            <w:tcBorders>
              <w:tl2br w:val="nil"/>
              <w:tr2bl w:val="nil"/>
            </w:tcBorders>
            <w:shd w:val="clear" w:color="auto" w:fill="auto"/>
            <w:vAlign w:val="center"/>
          </w:tcPr>
          <w:p w14:paraId="50FA7810">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0.019</w:t>
            </w:r>
          </w:p>
        </w:tc>
        <w:tc>
          <w:tcPr>
            <w:tcW w:w="464" w:type="pct"/>
            <w:tcBorders>
              <w:tl2br w:val="nil"/>
              <w:tr2bl w:val="nil"/>
            </w:tcBorders>
            <w:shd w:val="clear" w:color="auto" w:fill="auto"/>
            <w:vAlign w:val="center"/>
          </w:tcPr>
          <w:p w14:paraId="26EEBB9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0.017</w:t>
            </w:r>
          </w:p>
        </w:tc>
        <w:tc>
          <w:tcPr>
            <w:tcW w:w="464" w:type="pct"/>
            <w:tcBorders>
              <w:tl2br w:val="nil"/>
              <w:tr2bl w:val="nil"/>
            </w:tcBorders>
            <w:shd w:val="clear" w:color="auto" w:fill="auto"/>
            <w:vAlign w:val="center"/>
          </w:tcPr>
          <w:p w14:paraId="34E3954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0.020</w:t>
            </w:r>
          </w:p>
        </w:tc>
        <w:tc>
          <w:tcPr>
            <w:tcW w:w="464" w:type="pct"/>
            <w:tcBorders>
              <w:tl2br w:val="nil"/>
              <w:tr2bl w:val="nil"/>
            </w:tcBorders>
            <w:shd w:val="clear" w:color="auto" w:fill="auto"/>
            <w:vAlign w:val="center"/>
          </w:tcPr>
          <w:p w14:paraId="3B3BA20E">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0.017</w:t>
            </w:r>
          </w:p>
        </w:tc>
        <w:tc>
          <w:tcPr>
            <w:tcW w:w="555" w:type="pct"/>
            <w:tcBorders>
              <w:tl2br w:val="nil"/>
              <w:tr2bl w:val="nil"/>
            </w:tcBorders>
            <w:shd w:val="clear" w:color="auto" w:fill="auto"/>
            <w:vAlign w:val="center"/>
          </w:tcPr>
          <w:p w14:paraId="6B61336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0.021</w:t>
            </w:r>
          </w:p>
        </w:tc>
        <w:tc>
          <w:tcPr>
            <w:tcW w:w="421" w:type="pct"/>
            <w:tcBorders>
              <w:tl2br w:val="nil"/>
              <w:tr2bl w:val="nil"/>
            </w:tcBorders>
            <w:vAlign w:val="center"/>
          </w:tcPr>
          <w:p w14:paraId="330404F3">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38</w:t>
            </w:r>
          </w:p>
        </w:tc>
      </w:tr>
      <w:tr w14:paraId="529CD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490EBCAC">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砷</w:t>
            </w:r>
          </w:p>
        </w:tc>
        <w:tc>
          <w:tcPr>
            <w:tcW w:w="419" w:type="pct"/>
            <w:tcBorders>
              <w:tl2br w:val="nil"/>
              <w:tr2bl w:val="nil"/>
            </w:tcBorders>
            <w:shd w:val="clear" w:color="auto" w:fill="auto"/>
            <w:vAlign w:val="center"/>
          </w:tcPr>
          <w:p w14:paraId="65784A7B">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5D152A4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5.61</w:t>
            </w:r>
          </w:p>
        </w:tc>
        <w:tc>
          <w:tcPr>
            <w:tcW w:w="464" w:type="pct"/>
            <w:tcBorders>
              <w:tl2br w:val="nil"/>
              <w:tr2bl w:val="nil"/>
            </w:tcBorders>
            <w:shd w:val="clear" w:color="auto" w:fill="auto"/>
            <w:vAlign w:val="center"/>
          </w:tcPr>
          <w:p w14:paraId="2AD11BCB">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6.90</w:t>
            </w:r>
          </w:p>
        </w:tc>
        <w:tc>
          <w:tcPr>
            <w:tcW w:w="464" w:type="pct"/>
            <w:tcBorders>
              <w:tl2br w:val="nil"/>
              <w:tr2bl w:val="nil"/>
            </w:tcBorders>
            <w:shd w:val="clear" w:color="auto" w:fill="auto"/>
            <w:vAlign w:val="center"/>
          </w:tcPr>
          <w:p w14:paraId="0ACC870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4.37</w:t>
            </w:r>
          </w:p>
        </w:tc>
        <w:tc>
          <w:tcPr>
            <w:tcW w:w="464" w:type="pct"/>
            <w:tcBorders>
              <w:tl2br w:val="nil"/>
              <w:tr2bl w:val="nil"/>
            </w:tcBorders>
            <w:shd w:val="clear" w:color="auto" w:fill="auto"/>
            <w:vAlign w:val="center"/>
          </w:tcPr>
          <w:p w14:paraId="6FD3DA6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5.17</w:t>
            </w:r>
          </w:p>
        </w:tc>
        <w:tc>
          <w:tcPr>
            <w:tcW w:w="464" w:type="pct"/>
            <w:tcBorders>
              <w:tl2br w:val="nil"/>
              <w:tr2bl w:val="nil"/>
            </w:tcBorders>
            <w:shd w:val="clear" w:color="auto" w:fill="auto"/>
            <w:vAlign w:val="center"/>
          </w:tcPr>
          <w:p w14:paraId="766724AC">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6.02</w:t>
            </w:r>
          </w:p>
        </w:tc>
        <w:tc>
          <w:tcPr>
            <w:tcW w:w="464" w:type="pct"/>
            <w:tcBorders>
              <w:tl2br w:val="nil"/>
              <w:tr2bl w:val="nil"/>
            </w:tcBorders>
            <w:shd w:val="clear" w:color="auto" w:fill="auto"/>
            <w:vAlign w:val="center"/>
          </w:tcPr>
          <w:p w14:paraId="3298FC7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5.82</w:t>
            </w:r>
          </w:p>
        </w:tc>
        <w:tc>
          <w:tcPr>
            <w:tcW w:w="555" w:type="pct"/>
            <w:tcBorders>
              <w:tl2br w:val="nil"/>
              <w:tr2bl w:val="nil"/>
            </w:tcBorders>
            <w:shd w:val="clear" w:color="auto" w:fill="auto"/>
            <w:vAlign w:val="center"/>
          </w:tcPr>
          <w:p w14:paraId="1C0BCAA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6.29</w:t>
            </w:r>
          </w:p>
        </w:tc>
        <w:tc>
          <w:tcPr>
            <w:tcW w:w="421" w:type="pct"/>
            <w:tcBorders>
              <w:tl2br w:val="nil"/>
              <w:tr2bl w:val="nil"/>
            </w:tcBorders>
            <w:vAlign w:val="center"/>
          </w:tcPr>
          <w:p w14:paraId="2869CA16">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60</w:t>
            </w:r>
          </w:p>
        </w:tc>
      </w:tr>
      <w:tr w14:paraId="2641B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60D0B9C7">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铅</w:t>
            </w:r>
          </w:p>
        </w:tc>
        <w:tc>
          <w:tcPr>
            <w:tcW w:w="419" w:type="pct"/>
            <w:tcBorders>
              <w:tl2br w:val="nil"/>
              <w:tr2bl w:val="nil"/>
            </w:tcBorders>
            <w:shd w:val="clear" w:color="auto" w:fill="auto"/>
            <w:vAlign w:val="center"/>
          </w:tcPr>
          <w:p w14:paraId="44D4DBB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1F94BED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18.9</w:t>
            </w:r>
          </w:p>
        </w:tc>
        <w:tc>
          <w:tcPr>
            <w:tcW w:w="464" w:type="pct"/>
            <w:tcBorders>
              <w:tl2br w:val="nil"/>
              <w:tr2bl w:val="nil"/>
            </w:tcBorders>
            <w:shd w:val="clear" w:color="auto" w:fill="auto"/>
            <w:vAlign w:val="center"/>
          </w:tcPr>
          <w:p w14:paraId="20D7218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20.4</w:t>
            </w:r>
          </w:p>
        </w:tc>
        <w:tc>
          <w:tcPr>
            <w:tcW w:w="464" w:type="pct"/>
            <w:tcBorders>
              <w:tl2br w:val="nil"/>
              <w:tr2bl w:val="nil"/>
            </w:tcBorders>
            <w:shd w:val="clear" w:color="auto" w:fill="auto"/>
            <w:vAlign w:val="center"/>
          </w:tcPr>
          <w:p w14:paraId="31D9F0A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19.6</w:t>
            </w:r>
          </w:p>
        </w:tc>
        <w:tc>
          <w:tcPr>
            <w:tcW w:w="464" w:type="pct"/>
            <w:tcBorders>
              <w:tl2br w:val="nil"/>
              <w:tr2bl w:val="nil"/>
            </w:tcBorders>
            <w:shd w:val="clear" w:color="auto" w:fill="auto"/>
            <w:vAlign w:val="center"/>
          </w:tcPr>
          <w:p w14:paraId="29AE6024">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21.1</w:t>
            </w:r>
          </w:p>
        </w:tc>
        <w:tc>
          <w:tcPr>
            <w:tcW w:w="464" w:type="pct"/>
            <w:tcBorders>
              <w:tl2br w:val="nil"/>
              <w:tr2bl w:val="nil"/>
            </w:tcBorders>
            <w:shd w:val="clear" w:color="auto" w:fill="auto"/>
            <w:vAlign w:val="center"/>
          </w:tcPr>
          <w:p w14:paraId="523C12A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19.3</w:t>
            </w:r>
          </w:p>
        </w:tc>
        <w:tc>
          <w:tcPr>
            <w:tcW w:w="464" w:type="pct"/>
            <w:tcBorders>
              <w:tl2br w:val="nil"/>
              <w:tr2bl w:val="nil"/>
            </w:tcBorders>
            <w:shd w:val="clear" w:color="auto" w:fill="auto"/>
            <w:vAlign w:val="center"/>
          </w:tcPr>
          <w:p w14:paraId="600CF02B">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20.2</w:t>
            </w:r>
          </w:p>
        </w:tc>
        <w:tc>
          <w:tcPr>
            <w:tcW w:w="555" w:type="pct"/>
            <w:tcBorders>
              <w:tl2br w:val="nil"/>
              <w:tr2bl w:val="nil"/>
            </w:tcBorders>
            <w:shd w:val="clear" w:color="auto" w:fill="auto"/>
            <w:vAlign w:val="center"/>
          </w:tcPr>
          <w:p w14:paraId="5F3A6B7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20.2</w:t>
            </w:r>
          </w:p>
        </w:tc>
        <w:tc>
          <w:tcPr>
            <w:tcW w:w="421" w:type="pct"/>
            <w:tcBorders>
              <w:tl2br w:val="nil"/>
              <w:tr2bl w:val="nil"/>
            </w:tcBorders>
            <w:vAlign w:val="center"/>
          </w:tcPr>
          <w:p w14:paraId="2D8A072C">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800</w:t>
            </w:r>
          </w:p>
        </w:tc>
      </w:tr>
      <w:tr w14:paraId="4DD84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0601F8DC">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铜</w:t>
            </w:r>
          </w:p>
        </w:tc>
        <w:tc>
          <w:tcPr>
            <w:tcW w:w="419" w:type="pct"/>
            <w:tcBorders>
              <w:tl2br w:val="nil"/>
              <w:tr2bl w:val="nil"/>
            </w:tcBorders>
            <w:shd w:val="clear" w:color="auto" w:fill="auto"/>
            <w:vAlign w:val="center"/>
          </w:tcPr>
          <w:p w14:paraId="59444739">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0C818C84">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23</w:t>
            </w:r>
          </w:p>
        </w:tc>
        <w:tc>
          <w:tcPr>
            <w:tcW w:w="464" w:type="pct"/>
            <w:tcBorders>
              <w:tl2br w:val="nil"/>
              <w:tr2bl w:val="nil"/>
            </w:tcBorders>
            <w:shd w:val="clear" w:color="auto" w:fill="auto"/>
            <w:vAlign w:val="center"/>
          </w:tcPr>
          <w:p w14:paraId="0A3D987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24</w:t>
            </w:r>
          </w:p>
        </w:tc>
        <w:tc>
          <w:tcPr>
            <w:tcW w:w="464" w:type="pct"/>
            <w:tcBorders>
              <w:tl2br w:val="nil"/>
              <w:tr2bl w:val="nil"/>
            </w:tcBorders>
            <w:shd w:val="clear" w:color="auto" w:fill="auto"/>
            <w:vAlign w:val="center"/>
          </w:tcPr>
          <w:p w14:paraId="1598D76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24</w:t>
            </w:r>
          </w:p>
        </w:tc>
        <w:tc>
          <w:tcPr>
            <w:tcW w:w="464" w:type="pct"/>
            <w:tcBorders>
              <w:tl2br w:val="nil"/>
              <w:tr2bl w:val="nil"/>
            </w:tcBorders>
            <w:shd w:val="clear" w:color="auto" w:fill="auto"/>
            <w:vAlign w:val="center"/>
          </w:tcPr>
          <w:p w14:paraId="7B1FCB0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27</w:t>
            </w:r>
          </w:p>
        </w:tc>
        <w:tc>
          <w:tcPr>
            <w:tcW w:w="464" w:type="pct"/>
            <w:tcBorders>
              <w:tl2br w:val="nil"/>
              <w:tr2bl w:val="nil"/>
            </w:tcBorders>
            <w:shd w:val="clear" w:color="auto" w:fill="auto"/>
            <w:vAlign w:val="center"/>
          </w:tcPr>
          <w:p w14:paraId="652EF3B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28</w:t>
            </w:r>
          </w:p>
        </w:tc>
        <w:tc>
          <w:tcPr>
            <w:tcW w:w="464" w:type="pct"/>
            <w:tcBorders>
              <w:tl2br w:val="nil"/>
              <w:tr2bl w:val="nil"/>
            </w:tcBorders>
            <w:shd w:val="clear" w:color="auto" w:fill="auto"/>
            <w:vAlign w:val="center"/>
          </w:tcPr>
          <w:p w14:paraId="705A1A9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28</w:t>
            </w:r>
          </w:p>
        </w:tc>
        <w:tc>
          <w:tcPr>
            <w:tcW w:w="555" w:type="pct"/>
            <w:tcBorders>
              <w:tl2br w:val="nil"/>
              <w:tr2bl w:val="nil"/>
            </w:tcBorders>
            <w:shd w:val="clear" w:color="auto" w:fill="auto"/>
            <w:vAlign w:val="center"/>
          </w:tcPr>
          <w:p w14:paraId="65531D8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27</w:t>
            </w:r>
          </w:p>
        </w:tc>
        <w:tc>
          <w:tcPr>
            <w:tcW w:w="421" w:type="pct"/>
            <w:tcBorders>
              <w:tl2br w:val="nil"/>
              <w:tr2bl w:val="nil"/>
            </w:tcBorders>
            <w:vAlign w:val="center"/>
          </w:tcPr>
          <w:p w14:paraId="11165EEE">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18000</w:t>
            </w:r>
          </w:p>
        </w:tc>
      </w:tr>
      <w:tr w14:paraId="387D2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08F86794">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镍</w:t>
            </w:r>
          </w:p>
        </w:tc>
        <w:tc>
          <w:tcPr>
            <w:tcW w:w="419" w:type="pct"/>
            <w:tcBorders>
              <w:tl2br w:val="nil"/>
              <w:tr2bl w:val="nil"/>
            </w:tcBorders>
            <w:shd w:val="clear" w:color="auto" w:fill="auto"/>
            <w:vAlign w:val="center"/>
          </w:tcPr>
          <w:p w14:paraId="3CD0316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57C0E59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44</w:t>
            </w:r>
          </w:p>
        </w:tc>
        <w:tc>
          <w:tcPr>
            <w:tcW w:w="464" w:type="pct"/>
            <w:tcBorders>
              <w:tl2br w:val="nil"/>
              <w:tr2bl w:val="nil"/>
            </w:tcBorders>
            <w:shd w:val="clear" w:color="auto" w:fill="auto"/>
            <w:vAlign w:val="center"/>
          </w:tcPr>
          <w:p w14:paraId="66A6123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41</w:t>
            </w:r>
          </w:p>
        </w:tc>
        <w:tc>
          <w:tcPr>
            <w:tcW w:w="464" w:type="pct"/>
            <w:tcBorders>
              <w:tl2br w:val="nil"/>
              <w:tr2bl w:val="nil"/>
            </w:tcBorders>
            <w:shd w:val="clear" w:color="auto" w:fill="auto"/>
            <w:vAlign w:val="center"/>
          </w:tcPr>
          <w:p w14:paraId="76DF66F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41</w:t>
            </w:r>
          </w:p>
        </w:tc>
        <w:tc>
          <w:tcPr>
            <w:tcW w:w="464" w:type="pct"/>
            <w:tcBorders>
              <w:tl2br w:val="nil"/>
              <w:tr2bl w:val="nil"/>
            </w:tcBorders>
            <w:shd w:val="clear" w:color="auto" w:fill="auto"/>
            <w:vAlign w:val="center"/>
          </w:tcPr>
          <w:p w14:paraId="69CC81A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34</w:t>
            </w:r>
          </w:p>
        </w:tc>
        <w:tc>
          <w:tcPr>
            <w:tcW w:w="464" w:type="pct"/>
            <w:tcBorders>
              <w:tl2br w:val="nil"/>
              <w:tr2bl w:val="nil"/>
            </w:tcBorders>
            <w:shd w:val="clear" w:color="auto" w:fill="auto"/>
            <w:vAlign w:val="center"/>
          </w:tcPr>
          <w:p w14:paraId="511F79E0">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32</w:t>
            </w:r>
          </w:p>
        </w:tc>
        <w:tc>
          <w:tcPr>
            <w:tcW w:w="464" w:type="pct"/>
            <w:tcBorders>
              <w:tl2br w:val="nil"/>
              <w:tr2bl w:val="nil"/>
            </w:tcBorders>
            <w:shd w:val="clear" w:color="auto" w:fill="auto"/>
            <w:vAlign w:val="center"/>
          </w:tcPr>
          <w:p w14:paraId="5E871CB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38</w:t>
            </w:r>
          </w:p>
        </w:tc>
        <w:tc>
          <w:tcPr>
            <w:tcW w:w="555" w:type="pct"/>
            <w:tcBorders>
              <w:tl2br w:val="nil"/>
              <w:tr2bl w:val="nil"/>
            </w:tcBorders>
            <w:shd w:val="clear" w:color="auto" w:fill="auto"/>
            <w:vAlign w:val="center"/>
          </w:tcPr>
          <w:p w14:paraId="7CB25FA5">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27</w:t>
            </w:r>
          </w:p>
        </w:tc>
        <w:tc>
          <w:tcPr>
            <w:tcW w:w="421" w:type="pct"/>
            <w:tcBorders>
              <w:tl2br w:val="nil"/>
              <w:tr2bl w:val="nil"/>
            </w:tcBorders>
            <w:vAlign w:val="center"/>
          </w:tcPr>
          <w:p w14:paraId="4D5F0D74">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900</w:t>
            </w:r>
          </w:p>
        </w:tc>
      </w:tr>
      <w:tr w14:paraId="6B7F2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51C453C5">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锌</w:t>
            </w:r>
          </w:p>
        </w:tc>
        <w:tc>
          <w:tcPr>
            <w:tcW w:w="419" w:type="pct"/>
            <w:tcBorders>
              <w:tl2br w:val="nil"/>
              <w:tr2bl w:val="nil"/>
            </w:tcBorders>
            <w:shd w:val="clear" w:color="auto" w:fill="auto"/>
            <w:vAlign w:val="center"/>
          </w:tcPr>
          <w:p w14:paraId="4454506B">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167F4FCF">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50</w:t>
            </w:r>
          </w:p>
        </w:tc>
        <w:tc>
          <w:tcPr>
            <w:tcW w:w="464" w:type="pct"/>
            <w:tcBorders>
              <w:tl2br w:val="nil"/>
              <w:tr2bl w:val="nil"/>
            </w:tcBorders>
            <w:shd w:val="clear" w:color="auto" w:fill="auto"/>
            <w:vAlign w:val="center"/>
          </w:tcPr>
          <w:p w14:paraId="6249305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50</w:t>
            </w:r>
          </w:p>
        </w:tc>
        <w:tc>
          <w:tcPr>
            <w:tcW w:w="464" w:type="pct"/>
            <w:tcBorders>
              <w:tl2br w:val="nil"/>
              <w:tr2bl w:val="nil"/>
            </w:tcBorders>
            <w:shd w:val="clear" w:color="auto" w:fill="auto"/>
            <w:vAlign w:val="center"/>
          </w:tcPr>
          <w:p w14:paraId="44F8B2B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53</w:t>
            </w:r>
          </w:p>
        </w:tc>
        <w:tc>
          <w:tcPr>
            <w:tcW w:w="464" w:type="pct"/>
            <w:tcBorders>
              <w:tl2br w:val="nil"/>
              <w:tr2bl w:val="nil"/>
            </w:tcBorders>
            <w:shd w:val="clear" w:color="auto" w:fill="auto"/>
            <w:vAlign w:val="center"/>
          </w:tcPr>
          <w:p w14:paraId="03609AF2">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49</w:t>
            </w:r>
          </w:p>
        </w:tc>
        <w:tc>
          <w:tcPr>
            <w:tcW w:w="464" w:type="pct"/>
            <w:tcBorders>
              <w:tl2br w:val="nil"/>
              <w:tr2bl w:val="nil"/>
            </w:tcBorders>
            <w:shd w:val="clear" w:color="auto" w:fill="auto"/>
            <w:vAlign w:val="center"/>
          </w:tcPr>
          <w:p w14:paraId="6E979AEC">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56</w:t>
            </w:r>
          </w:p>
        </w:tc>
        <w:tc>
          <w:tcPr>
            <w:tcW w:w="464" w:type="pct"/>
            <w:tcBorders>
              <w:tl2br w:val="nil"/>
              <w:tr2bl w:val="nil"/>
            </w:tcBorders>
            <w:shd w:val="clear" w:color="auto" w:fill="auto"/>
            <w:vAlign w:val="center"/>
          </w:tcPr>
          <w:p w14:paraId="043DEA5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49</w:t>
            </w:r>
          </w:p>
        </w:tc>
        <w:tc>
          <w:tcPr>
            <w:tcW w:w="555" w:type="pct"/>
            <w:tcBorders>
              <w:tl2br w:val="nil"/>
              <w:tr2bl w:val="nil"/>
            </w:tcBorders>
            <w:shd w:val="clear" w:color="auto" w:fill="auto"/>
            <w:vAlign w:val="center"/>
          </w:tcPr>
          <w:p w14:paraId="0947416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42</w:t>
            </w:r>
          </w:p>
        </w:tc>
        <w:tc>
          <w:tcPr>
            <w:tcW w:w="421" w:type="pct"/>
            <w:tcBorders>
              <w:tl2br w:val="nil"/>
              <w:tr2bl w:val="nil"/>
            </w:tcBorders>
            <w:vAlign w:val="center"/>
          </w:tcPr>
          <w:p w14:paraId="550F35FC">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5FFD6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46866D57">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水溶性盐总量</w:t>
            </w:r>
          </w:p>
        </w:tc>
        <w:tc>
          <w:tcPr>
            <w:tcW w:w="419" w:type="pct"/>
            <w:tcBorders>
              <w:tl2br w:val="nil"/>
              <w:tr2bl w:val="nil"/>
            </w:tcBorders>
            <w:shd w:val="clear" w:color="auto" w:fill="auto"/>
            <w:vAlign w:val="center"/>
          </w:tcPr>
          <w:p w14:paraId="04B72437">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g/kg</w:t>
            </w:r>
          </w:p>
        </w:tc>
        <w:tc>
          <w:tcPr>
            <w:tcW w:w="464" w:type="pct"/>
            <w:tcBorders>
              <w:tl2br w:val="nil"/>
              <w:tr2bl w:val="nil"/>
            </w:tcBorders>
            <w:shd w:val="clear" w:color="auto" w:fill="auto"/>
            <w:vAlign w:val="center"/>
          </w:tcPr>
          <w:p w14:paraId="05F14EFC">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0.2</w:t>
            </w:r>
          </w:p>
        </w:tc>
        <w:tc>
          <w:tcPr>
            <w:tcW w:w="464" w:type="pct"/>
            <w:tcBorders>
              <w:tl2br w:val="nil"/>
              <w:tr2bl w:val="nil"/>
            </w:tcBorders>
            <w:shd w:val="clear" w:color="auto" w:fill="auto"/>
            <w:vAlign w:val="center"/>
          </w:tcPr>
          <w:p w14:paraId="7241D56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0.3</w:t>
            </w:r>
          </w:p>
        </w:tc>
        <w:tc>
          <w:tcPr>
            <w:tcW w:w="464" w:type="pct"/>
            <w:tcBorders>
              <w:tl2br w:val="nil"/>
              <w:tr2bl w:val="nil"/>
            </w:tcBorders>
            <w:shd w:val="clear" w:color="auto" w:fill="auto"/>
            <w:vAlign w:val="center"/>
          </w:tcPr>
          <w:p w14:paraId="6D469AF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0.2</w:t>
            </w:r>
          </w:p>
        </w:tc>
        <w:tc>
          <w:tcPr>
            <w:tcW w:w="464" w:type="pct"/>
            <w:tcBorders>
              <w:tl2br w:val="nil"/>
              <w:tr2bl w:val="nil"/>
            </w:tcBorders>
            <w:shd w:val="clear" w:color="auto" w:fill="auto"/>
            <w:vAlign w:val="center"/>
          </w:tcPr>
          <w:p w14:paraId="2D98439C">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0.3</w:t>
            </w:r>
          </w:p>
        </w:tc>
        <w:tc>
          <w:tcPr>
            <w:tcW w:w="464" w:type="pct"/>
            <w:tcBorders>
              <w:tl2br w:val="nil"/>
              <w:tr2bl w:val="nil"/>
            </w:tcBorders>
            <w:shd w:val="clear" w:color="auto" w:fill="auto"/>
            <w:vAlign w:val="center"/>
          </w:tcPr>
          <w:p w14:paraId="44E47E7C">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0.4</w:t>
            </w:r>
          </w:p>
        </w:tc>
        <w:tc>
          <w:tcPr>
            <w:tcW w:w="464" w:type="pct"/>
            <w:tcBorders>
              <w:tl2br w:val="nil"/>
              <w:tr2bl w:val="nil"/>
            </w:tcBorders>
            <w:shd w:val="clear" w:color="auto" w:fill="auto"/>
            <w:vAlign w:val="center"/>
          </w:tcPr>
          <w:p w14:paraId="4E5FAB6B">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0.4</w:t>
            </w:r>
          </w:p>
        </w:tc>
        <w:tc>
          <w:tcPr>
            <w:tcW w:w="555" w:type="pct"/>
            <w:tcBorders>
              <w:tl2br w:val="nil"/>
              <w:tr2bl w:val="nil"/>
            </w:tcBorders>
            <w:shd w:val="clear" w:color="auto" w:fill="auto"/>
            <w:vAlign w:val="center"/>
          </w:tcPr>
          <w:p w14:paraId="0BA29BA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0.6</w:t>
            </w:r>
          </w:p>
        </w:tc>
        <w:tc>
          <w:tcPr>
            <w:tcW w:w="421" w:type="pct"/>
            <w:tcBorders>
              <w:tl2br w:val="nil"/>
              <w:tr2bl w:val="nil"/>
            </w:tcBorders>
            <w:vAlign w:val="center"/>
          </w:tcPr>
          <w:p w14:paraId="2CB71986">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4A029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797ADB41">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铬（六价）</w:t>
            </w:r>
          </w:p>
        </w:tc>
        <w:tc>
          <w:tcPr>
            <w:tcW w:w="419" w:type="pct"/>
            <w:tcBorders>
              <w:tl2br w:val="nil"/>
              <w:tr2bl w:val="nil"/>
            </w:tcBorders>
            <w:shd w:val="clear" w:color="auto" w:fill="auto"/>
            <w:vAlign w:val="center"/>
          </w:tcPr>
          <w:p w14:paraId="34D7B478">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40635D1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422E619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03CE544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1CE9094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4EEDC98E">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41AFA7DE">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555" w:type="pct"/>
            <w:tcBorders>
              <w:tl2br w:val="nil"/>
              <w:tr2bl w:val="nil"/>
            </w:tcBorders>
            <w:shd w:val="clear" w:color="auto" w:fill="auto"/>
            <w:vAlign w:val="center"/>
          </w:tcPr>
          <w:p w14:paraId="5633EAD7">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421" w:type="pct"/>
            <w:tcBorders>
              <w:tl2br w:val="nil"/>
              <w:tr2bl w:val="nil"/>
            </w:tcBorders>
            <w:vAlign w:val="center"/>
          </w:tcPr>
          <w:p w14:paraId="681B49A5">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5.7</w:t>
            </w:r>
          </w:p>
        </w:tc>
      </w:tr>
      <w:tr w14:paraId="6CF07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3D871C36">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石油烃</w:t>
            </w:r>
          </w:p>
        </w:tc>
        <w:tc>
          <w:tcPr>
            <w:tcW w:w="419" w:type="pct"/>
            <w:tcBorders>
              <w:tl2br w:val="nil"/>
              <w:tr2bl w:val="nil"/>
            </w:tcBorders>
            <w:shd w:val="clear" w:color="auto" w:fill="auto"/>
            <w:vAlign w:val="center"/>
          </w:tcPr>
          <w:p w14:paraId="1481BA71">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74636475">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75</w:t>
            </w:r>
          </w:p>
        </w:tc>
        <w:tc>
          <w:tcPr>
            <w:tcW w:w="464" w:type="pct"/>
            <w:tcBorders>
              <w:tl2br w:val="nil"/>
              <w:tr2bl w:val="nil"/>
            </w:tcBorders>
            <w:shd w:val="clear" w:color="auto" w:fill="auto"/>
            <w:vAlign w:val="center"/>
          </w:tcPr>
          <w:p w14:paraId="2B719BAD">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29</w:t>
            </w:r>
          </w:p>
        </w:tc>
        <w:tc>
          <w:tcPr>
            <w:tcW w:w="464" w:type="pct"/>
            <w:tcBorders>
              <w:tl2br w:val="nil"/>
              <w:tr2bl w:val="nil"/>
            </w:tcBorders>
            <w:shd w:val="clear" w:color="auto" w:fill="auto"/>
            <w:vAlign w:val="center"/>
          </w:tcPr>
          <w:p w14:paraId="1FBC946D">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58</w:t>
            </w:r>
          </w:p>
        </w:tc>
        <w:tc>
          <w:tcPr>
            <w:tcW w:w="464" w:type="pct"/>
            <w:tcBorders>
              <w:tl2br w:val="nil"/>
              <w:tr2bl w:val="nil"/>
            </w:tcBorders>
            <w:shd w:val="clear" w:color="auto" w:fill="auto"/>
            <w:vAlign w:val="center"/>
          </w:tcPr>
          <w:p w14:paraId="43AB664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56</w:t>
            </w:r>
          </w:p>
        </w:tc>
        <w:tc>
          <w:tcPr>
            <w:tcW w:w="464" w:type="pct"/>
            <w:tcBorders>
              <w:tl2br w:val="nil"/>
              <w:tr2bl w:val="nil"/>
            </w:tcBorders>
            <w:shd w:val="clear" w:color="auto" w:fill="auto"/>
            <w:vAlign w:val="center"/>
          </w:tcPr>
          <w:p w14:paraId="7202802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74</w:t>
            </w:r>
          </w:p>
        </w:tc>
        <w:tc>
          <w:tcPr>
            <w:tcW w:w="464" w:type="pct"/>
            <w:tcBorders>
              <w:tl2br w:val="nil"/>
              <w:tr2bl w:val="nil"/>
            </w:tcBorders>
            <w:shd w:val="clear" w:color="auto" w:fill="auto"/>
            <w:vAlign w:val="center"/>
          </w:tcPr>
          <w:p w14:paraId="46F0F408">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59</w:t>
            </w:r>
          </w:p>
        </w:tc>
        <w:tc>
          <w:tcPr>
            <w:tcW w:w="555" w:type="pct"/>
            <w:tcBorders>
              <w:tl2br w:val="nil"/>
              <w:tr2bl w:val="nil"/>
            </w:tcBorders>
            <w:shd w:val="clear" w:color="auto" w:fill="auto"/>
            <w:vAlign w:val="center"/>
          </w:tcPr>
          <w:p w14:paraId="1F1D7E9D">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44</w:t>
            </w:r>
          </w:p>
        </w:tc>
        <w:tc>
          <w:tcPr>
            <w:tcW w:w="421" w:type="pct"/>
            <w:tcBorders>
              <w:tl2br w:val="nil"/>
              <w:tr2bl w:val="nil"/>
            </w:tcBorders>
            <w:vAlign w:val="center"/>
          </w:tcPr>
          <w:p w14:paraId="5CD794CF">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4500</w:t>
            </w:r>
          </w:p>
        </w:tc>
      </w:tr>
      <w:tr w14:paraId="24ECD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6B8AFE4D">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氰化物</w:t>
            </w:r>
          </w:p>
        </w:tc>
        <w:tc>
          <w:tcPr>
            <w:tcW w:w="419" w:type="pct"/>
            <w:tcBorders>
              <w:tl2br w:val="nil"/>
              <w:tr2bl w:val="nil"/>
            </w:tcBorders>
            <w:shd w:val="clear" w:color="auto" w:fill="auto"/>
            <w:vAlign w:val="center"/>
          </w:tcPr>
          <w:p w14:paraId="4BE12212">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518EF7DC">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0CA679B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10C1655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7B901EBC">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4EB59BB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tcBorders>
              <w:tl2br w:val="nil"/>
              <w:tr2bl w:val="nil"/>
            </w:tcBorders>
            <w:shd w:val="clear" w:color="auto" w:fill="auto"/>
            <w:vAlign w:val="center"/>
          </w:tcPr>
          <w:p w14:paraId="3C46903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555" w:type="pct"/>
            <w:tcBorders>
              <w:tl2br w:val="nil"/>
              <w:tr2bl w:val="nil"/>
            </w:tcBorders>
            <w:shd w:val="clear" w:color="auto" w:fill="auto"/>
            <w:vAlign w:val="center"/>
          </w:tcPr>
          <w:p w14:paraId="109BD090">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21" w:type="pct"/>
            <w:tcBorders>
              <w:tl2br w:val="nil"/>
              <w:tr2bl w:val="nil"/>
            </w:tcBorders>
            <w:vAlign w:val="center"/>
          </w:tcPr>
          <w:p w14:paraId="77C10C1A">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135</w:t>
            </w:r>
          </w:p>
        </w:tc>
      </w:tr>
      <w:tr w14:paraId="275E6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239" w:type="pct"/>
            <w:gridSpan w:val="2"/>
            <w:tcBorders>
              <w:tl2br w:val="nil"/>
              <w:tr2bl w:val="nil"/>
            </w:tcBorders>
            <w:vAlign w:val="center"/>
          </w:tcPr>
          <w:p w14:paraId="64DF2982">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样品编码</w:t>
            </w:r>
          </w:p>
        </w:tc>
        <w:tc>
          <w:tcPr>
            <w:tcW w:w="464" w:type="pct"/>
            <w:tcBorders>
              <w:tl2br w:val="nil"/>
              <w:tr2bl w:val="nil"/>
            </w:tcBorders>
            <w:vAlign w:val="center"/>
          </w:tcPr>
          <w:p w14:paraId="6560BB49">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14</w:t>
            </w:r>
            <w:r>
              <w:rPr>
                <w:rFonts w:hint="default" w:ascii="Times New Roman" w:hAnsi="Times New Roman" w:cs="Times New Roman"/>
                <w:b/>
                <w:color w:val="auto"/>
                <w:sz w:val="21"/>
                <w:szCs w:val="21"/>
                <w:highlight w:val="none"/>
              </w:rPr>
              <w:t>-1-1</w:t>
            </w:r>
          </w:p>
        </w:tc>
        <w:tc>
          <w:tcPr>
            <w:tcW w:w="464" w:type="pct"/>
            <w:tcBorders>
              <w:tl2br w:val="nil"/>
              <w:tr2bl w:val="nil"/>
            </w:tcBorders>
            <w:vAlign w:val="center"/>
          </w:tcPr>
          <w:p w14:paraId="64FA2373">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14</w:t>
            </w:r>
            <w:r>
              <w:rPr>
                <w:rFonts w:hint="default" w:ascii="Times New Roman" w:hAnsi="Times New Roman" w:cs="Times New Roman"/>
                <w:b/>
                <w:color w:val="auto"/>
                <w:sz w:val="21"/>
                <w:szCs w:val="21"/>
                <w:highlight w:val="none"/>
              </w:rPr>
              <w:t>-1-</w:t>
            </w:r>
            <w:r>
              <w:rPr>
                <w:rFonts w:hint="default" w:cs="Times New Roman"/>
                <w:b/>
                <w:color w:val="auto"/>
                <w:sz w:val="21"/>
                <w:szCs w:val="21"/>
                <w:highlight w:val="none"/>
                <w:lang w:val="en-US" w:eastAsia="zh-CN"/>
              </w:rPr>
              <w:t>2</w:t>
            </w:r>
          </w:p>
        </w:tc>
        <w:tc>
          <w:tcPr>
            <w:tcW w:w="464" w:type="pct"/>
            <w:tcBorders>
              <w:tl2br w:val="nil"/>
              <w:tr2bl w:val="nil"/>
            </w:tcBorders>
            <w:vAlign w:val="center"/>
          </w:tcPr>
          <w:p w14:paraId="2E8D6BC7">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T14-1-3</w:t>
            </w:r>
          </w:p>
        </w:tc>
        <w:tc>
          <w:tcPr>
            <w:tcW w:w="464" w:type="pct"/>
            <w:tcBorders>
              <w:tl2br w:val="nil"/>
              <w:tr2bl w:val="nil"/>
            </w:tcBorders>
            <w:vAlign w:val="center"/>
          </w:tcPr>
          <w:p w14:paraId="524D049E">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T1</w:t>
            </w:r>
            <w:r>
              <w:rPr>
                <w:rFonts w:hint="default"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-1-1</w:t>
            </w:r>
          </w:p>
        </w:tc>
        <w:tc>
          <w:tcPr>
            <w:tcW w:w="464" w:type="pct"/>
            <w:tcBorders>
              <w:tl2br w:val="nil"/>
              <w:tr2bl w:val="nil"/>
            </w:tcBorders>
            <w:vAlign w:val="center"/>
          </w:tcPr>
          <w:p w14:paraId="1405B1AB">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T1</w:t>
            </w:r>
            <w:r>
              <w:rPr>
                <w:rFonts w:hint="default"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-1-2</w:t>
            </w:r>
          </w:p>
        </w:tc>
        <w:tc>
          <w:tcPr>
            <w:tcW w:w="464" w:type="pct"/>
            <w:tcBorders>
              <w:tl2br w:val="nil"/>
              <w:tr2bl w:val="nil"/>
            </w:tcBorders>
            <w:vAlign w:val="center"/>
          </w:tcPr>
          <w:p w14:paraId="4F18AA69">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T1</w:t>
            </w:r>
            <w:r>
              <w:rPr>
                <w:rFonts w:hint="default"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1-3</w:t>
            </w:r>
          </w:p>
        </w:tc>
        <w:tc>
          <w:tcPr>
            <w:tcW w:w="555" w:type="pct"/>
            <w:tcBorders>
              <w:tl2br w:val="nil"/>
              <w:tr2bl w:val="nil"/>
            </w:tcBorders>
            <w:vAlign w:val="center"/>
          </w:tcPr>
          <w:p w14:paraId="34D3D93D">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T17</w:t>
            </w:r>
          </w:p>
        </w:tc>
        <w:tc>
          <w:tcPr>
            <w:tcW w:w="421" w:type="pct"/>
            <w:vMerge w:val="restart"/>
            <w:tcBorders>
              <w:tl2br w:val="nil"/>
              <w:tr2bl w:val="nil"/>
            </w:tcBorders>
            <w:vAlign w:val="center"/>
          </w:tcPr>
          <w:p w14:paraId="52965691">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w:t>
            </w:r>
          </w:p>
        </w:tc>
      </w:tr>
      <w:tr w14:paraId="6575F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819" w:type="pct"/>
            <w:tcBorders>
              <w:tl2br w:val="nil"/>
              <w:tr2bl w:val="nil"/>
            </w:tcBorders>
            <w:vAlign w:val="center"/>
          </w:tcPr>
          <w:p w14:paraId="5D396EC6">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检测项目</w:t>
            </w:r>
          </w:p>
        </w:tc>
        <w:tc>
          <w:tcPr>
            <w:tcW w:w="419" w:type="pct"/>
            <w:tcBorders>
              <w:tl2br w:val="nil"/>
              <w:tr2bl w:val="nil"/>
            </w:tcBorders>
            <w:vAlign w:val="center"/>
          </w:tcPr>
          <w:p w14:paraId="0A473EC8">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单位</w:t>
            </w:r>
          </w:p>
        </w:tc>
        <w:tc>
          <w:tcPr>
            <w:tcW w:w="1392" w:type="pct"/>
            <w:gridSpan w:val="3"/>
            <w:tcBorders>
              <w:tl2br w:val="nil"/>
              <w:tr2bl w:val="nil"/>
            </w:tcBorders>
            <w:vAlign w:val="center"/>
          </w:tcPr>
          <w:p w14:paraId="00D8CF1F">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1392" w:type="pct"/>
            <w:gridSpan w:val="3"/>
            <w:tcBorders>
              <w:tl2br w:val="nil"/>
              <w:tr2bl w:val="nil"/>
            </w:tcBorders>
            <w:vAlign w:val="center"/>
          </w:tcPr>
          <w:p w14:paraId="0567E7CD">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555" w:type="pct"/>
            <w:tcBorders>
              <w:tl2br w:val="nil"/>
              <w:tr2bl w:val="nil"/>
            </w:tcBorders>
            <w:vAlign w:val="center"/>
          </w:tcPr>
          <w:p w14:paraId="34922D9E">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421" w:type="pct"/>
            <w:vMerge w:val="continue"/>
            <w:tcBorders>
              <w:tl2br w:val="nil"/>
              <w:tr2bl w:val="nil"/>
            </w:tcBorders>
            <w:vAlign w:val="center"/>
          </w:tcPr>
          <w:p w14:paraId="215563AF">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p>
        </w:tc>
      </w:tr>
      <w:tr w14:paraId="11160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45912F7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pH</w:t>
            </w:r>
          </w:p>
        </w:tc>
        <w:tc>
          <w:tcPr>
            <w:tcW w:w="419" w:type="pct"/>
            <w:tcBorders>
              <w:tl2br w:val="nil"/>
              <w:tr2bl w:val="nil"/>
            </w:tcBorders>
            <w:shd w:val="clear" w:color="auto" w:fill="auto"/>
            <w:vAlign w:val="center"/>
          </w:tcPr>
          <w:p w14:paraId="65E746F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无量纲</w:t>
            </w:r>
          </w:p>
        </w:tc>
        <w:tc>
          <w:tcPr>
            <w:tcW w:w="464" w:type="pct"/>
            <w:tcBorders>
              <w:tl2br w:val="nil"/>
              <w:tr2bl w:val="nil"/>
            </w:tcBorders>
            <w:shd w:val="clear" w:color="auto" w:fill="auto"/>
            <w:vAlign w:val="center"/>
          </w:tcPr>
          <w:p w14:paraId="6AC21628">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7.5</w:t>
            </w:r>
          </w:p>
        </w:tc>
        <w:tc>
          <w:tcPr>
            <w:tcW w:w="464" w:type="pct"/>
            <w:tcBorders>
              <w:tl2br w:val="nil"/>
              <w:tr2bl w:val="nil"/>
            </w:tcBorders>
            <w:shd w:val="clear" w:color="auto" w:fill="auto"/>
            <w:vAlign w:val="center"/>
          </w:tcPr>
          <w:p w14:paraId="4029CAAA">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7.6</w:t>
            </w:r>
          </w:p>
        </w:tc>
        <w:tc>
          <w:tcPr>
            <w:tcW w:w="464" w:type="pct"/>
            <w:tcBorders>
              <w:tl2br w:val="nil"/>
              <w:tr2bl w:val="nil"/>
            </w:tcBorders>
            <w:shd w:val="clear" w:color="auto" w:fill="auto"/>
            <w:vAlign w:val="center"/>
          </w:tcPr>
          <w:p w14:paraId="14670B88">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7.6</w:t>
            </w:r>
          </w:p>
        </w:tc>
        <w:tc>
          <w:tcPr>
            <w:tcW w:w="464" w:type="pct"/>
            <w:tcBorders>
              <w:tl2br w:val="nil"/>
              <w:tr2bl w:val="nil"/>
            </w:tcBorders>
            <w:shd w:val="clear" w:color="auto" w:fill="auto"/>
            <w:vAlign w:val="center"/>
          </w:tcPr>
          <w:p w14:paraId="47AF86E9">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7.6</w:t>
            </w:r>
          </w:p>
        </w:tc>
        <w:tc>
          <w:tcPr>
            <w:tcW w:w="464" w:type="pct"/>
            <w:tcBorders>
              <w:tl2br w:val="nil"/>
              <w:tr2bl w:val="nil"/>
            </w:tcBorders>
            <w:shd w:val="clear" w:color="auto" w:fill="auto"/>
            <w:vAlign w:val="center"/>
          </w:tcPr>
          <w:p w14:paraId="2427966D">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7.8</w:t>
            </w:r>
          </w:p>
        </w:tc>
        <w:tc>
          <w:tcPr>
            <w:tcW w:w="464" w:type="pct"/>
            <w:tcBorders>
              <w:tl2br w:val="nil"/>
              <w:tr2bl w:val="nil"/>
            </w:tcBorders>
            <w:shd w:val="clear" w:color="auto" w:fill="auto"/>
            <w:vAlign w:val="center"/>
          </w:tcPr>
          <w:p w14:paraId="63CA4915">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7.8</w:t>
            </w:r>
          </w:p>
        </w:tc>
        <w:tc>
          <w:tcPr>
            <w:tcW w:w="555" w:type="pct"/>
            <w:tcBorders>
              <w:tl2br w:val="nil"/>
              <w:tr2bl w:val="nil"/>
            </w:tcBorders>
            <w:shd w:val="clear" w:color="auto" w:fill="auto"/>
            <w:vAlign w:val="center"/>
          </w:tcPr>
          <w:p w14:paraId="419F015C">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8.2</w:t>
            </w:r>
          </w:p>
        </w:tc>
        <w:tc>
          <w:tcPr>
            <w:tcW w:w="421" w:type="pct"/>
            <w:tcBorders>
              <w:tl2br w:val="nil"/>
              <w:tr2bl w:val="nil"/>
            </w:tcBorders>
            <w:shd w:val="clear" w:color="auto" w:fill="auto"/>
            <w:vAlign w:val="center"/>
          </w:tcPr>
          <w:p w14:paraId="261D6719">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31E63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55B09C7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水分</w:t>
            </w:r>
          </w:p>
        </w:tc>
        <w:tc>
          <w:tcPr>
            <w:tcW w:w="419" w:type="pct"/>
            <w:tcBorders>
              <w:tl2br w:val="nil"/>
              <w:tr2bl w:val="nil"/>
            </w:tcBorders>
            <w:shd w:val="clear" w:color="auto" w:fill="auto"/>
            <w:vAlign w:val="center"/>
          </w:tcPr>
          <w:p w14:paraId="5A780A18">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464" w:type="pct"/>
            <w:tcBorders>
              <w:tl2br w:val="nil"/>
              <w:tr2bl w:val="nil"/>
            </w:tcBorders>
            <w:shd w:val="clear" w:color="auto" w:fill="auto"/>
            <w:vAlign w:val="center"/>
          </w:tcPr>
          <w:p w14:paraId="6FB2D1B3">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0.8</w:t>
            </w:r>
          </w:p>
        </w:tc>
        <w:tc>
          <w:tcPr>
            <w:tcW w:w="464" w:type="pct"/>
            <w:tcBorders>
              <w:tl2br w:val="nil"/>
              <w:tr2bl w:val="nil"/>
            </w:tcBorders>
            <w:shd w:val="clear" w:color="auto" w:fill="auto"/>
            <w:vAlign w:val="center"/>
          </w:tcPr>
          <w:p w14:paraId="037103BF">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464" w:type="pct"/>
            <w:tcBorders>
              <w:tl2br w:val="nil"/>
              <w:tr2bl w:val="nil"/>
            </w:tcBorders>
            <w:shd w:val="clear" w:color="auto" w:fill="auto"/>
            <w:vAlign w:val="center"/>
          </w:tcPr>
          <w:p w14:paraId="5EE6A0B3">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464" w:type="pct"/>
            <w:tcBorders>
              <w:tl2br w:val="nil"/>
              <w:tr2bl w:val="nil"/>
            </w:tcBorders>
            <w:shd w:val="clear" w:color="auto" w:fill="auto"/>
            <w:vAlign w:val="center"/>
          </w:tcPr>
          <w:p w14:paraId="183C9248">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c>
          <w:tcPr>
            <w:tcW w:w="464" w:type="pct"/>
            <w:tcBorders>
              <w:tl2br w:val="nil"/>
              <w:tr2bl w:val="nil"/>
            </w:tcBorders>
            <w:shd w:val="clear" w:color="auto" w:fill="auto"/>
            <w:vAlign w:val="center"/>
          </w:tcPr>
          <w:p w14:paraId="0CB33CE8">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w:t>
            </w:r>
          </w:p>
        </w:tc>
        <w:tc>
          <w:tcPr>
            <w:tcW w:w="464" w:type="pct"/>
            <w:tcBorders>
              <w:tl2br w:val="nil"/>
              <w:tr2bl w:val="nil"/>
            </w:tcBorders>
            <w:shd w:val="clear" w:color="auto" w:fill="auto"/>
            <w:vAlign w:val="center"/>
          </w:tcPr>
          <w:p w14:paraId="1790244D">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555" w:type="pct"/>
            <w:tcBorders>
              <w:tl2br w:val="nil"/>
              <w:tr2bl w:val="nil"/>
            </w:tcBorders>
            <w:shd w:val="clear" w:color="auto" w:fill="auto"/>
            <w:vAlign w:val="center"/>
          </w:tcPr>
          <w:p w14:paraId="784E694D">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w:t>
            </w:r>
          </w:p>
        </w:tc>
        <w:tc>
          <w:tcPr>
            <w:tcW w:w="421" w:type="pct"/>
            <w:tcBorders>
              <w:tl2br w:val="nil"/>
              <w:tr2bl w:val="nil"/>
            </w:tcBorders>
            <w:shd w:val="clear" w:color="auto" w:fill="auto"/>
            <w:vAlign w:val="center"/>
          </w:tcPr>
          <w:p w14:paraId="1EDFB1C4">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16EF0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50D151CB">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干物质</w:t>
            </w:r>
          </w:p>
        </w:tc>
        <w:tc>
          <w:tcPr>
            <w:tcW w:w="419" w:type="pct"/>
            <w:tcBorders>
              <w:tl2br w:val="nil"/>
              <w:tr2bl w:val="nil"/>
            </w:tcBorders>
            <w:shd w:val="clear" w:color="auto" w:fill="auto"/>
            <w:vAlign w:val="center"/>
          </w:tcPr>
          <w:p w14:paraId="203A49BB">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464" w:type="pct"/>
            <w:tcBorders>
              <w:tl2br w:val="nil"/>
              <w:tr2bl w:val="nil"/>
            </w:tcBorders>
            <w:shd w:val="clear" w:color="auto" w:fill="auto"/>
            <w:vAlign w:val="center"/>
          </w:tcPr>
          <w:p w14:paraId="3EDF81E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99.2</w:t>
            </w:r>
          </w:p>
        </w:tc>
        <w:tc>
          <w:tcPr>
            <w:tcW w:w="464" w:type="pct"/>
            <w:tcBorders>
              <w:tl2br w:val="nil"/>
              <w:tr2bl w:val="nil"/>
            </w:tcBorders>
            <w:shd w:val="clear" w:color="auto" w:fill="auto"/>
            <w:vAlign w:val="center"/>
          </w:tcPr>
          <w:p w14:paraId="624FB0B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98.8</w:t>
            </w:r>
          </w:p>
        </w:tc>
        <w:tc>
          <w:tcPr>
            <w:tcW w:w="464" w:type="pct"/>
            <w:tcBorders>
              <w:tl2br w:val="nil"/>
              <w:tr2bl w:val="nil"/>
            </w:tcBorders>
            <w:shd w:val="clear" w:color="auto" w:fill="auto"/>
            <w:vAlign w:val="center"/>
          </w:tcPr>
          <w:p w14:paraId="5FA5C86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98.8</w:t>
            </w:r>
          </w:p>
        </w:tc>
        <w:tc>
          <w:tcPr>
            <w:tcW w:w="464" w:type="pct"/>
            <w:tcBorders>
              <w:tl2br w:val="nil"/>
              <w:tr2bl w:val="nil"/>
            </w:tcBorders>
            <w:shd w:val="clear" w:color="auto" w:fill="auto"/>
            <w:vAlign w:val="center"/>
          </w:tcPr>
          <w:p w14:paraId="59EBCF4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99.0</w:t>
            </w:r>
          </w:p>
        </w:tc>
        <w:tc>
          <w:tcPr>
            <w:tcW w:w="464" w:type="pct"/>
            <w:tcBorders>
              <w:tl2br w:val="nil"/>
              <w:tr2bl w:val="nil"/>
            </w:tcBorders>
            <w:shd w:val="clear" w:color="auto" w:fill="auto"/>
            <w:vAlign w:val="center"/>
          </w:tcPr>
          <w:p w14:paraId="3132DBD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98.9</w:t>
            </w:r>
          </w:p>
        </w:tc>
        <w:tc>
          <w:tcPr>
            <w:tcW w:w="464" w:type="pct"/>
            <w:tcBorders>
              <w:tl2br w:val="nil"/>
              <w:tr2bl w:val="nil"/>
            </w:tcBorders>
            <w:shd w:val="clear" w:color="auto" w:fill="auto"/>
            <w:vAlign w:val="center"/>
          </w:tcPr>
          <w:p w14:paraId="29F8BC3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98.9</w:t>
            </w:r>
          </w:p>
        </w:tc>
        <w:tc>
          <w:tcPr>
            <w:tcW w:w="555" w:type="pct"/>
            <w:tcBorders>
              <w:tl2br w:val="nil"/>
              <w:tr2bl w:val="nil"/>
            </w:tcBorders>
            <w:shd w:val="clear" w:color="auto" w:fill="auto"/>
            <w:vAlign w:val="center"/>
          </w:tcPr>
          <w:p w14:paraId="40F9239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98.7</w:t>
            </w:r>
          </w:p>
        </w:tc>
        <w:tc>
          <w:tcPr>
            <w:tcW w:w="421" w:type="pct"/>
            <w:tcBorders>
              <w:tl2br w:val="nil"/>
              <w:tr2bl w:val="nil"/>
            </w:tcBorders>
            <w:shd w:val="clear" w:color="auto" w:fill="auto"/>
            <w:vAlign w:val="center"/>
          </w:tcPr>
          <w:p w14:paraId="5E1837AB">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6322B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78FE9D2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镉</w:t>
            </w:r>
          </w:p>
        </w:tc>
        <w:tc>
          <w:tcPr>
            <w:tcW w:w="419" w:type="pct"/>
            <w:tcBorders>
              <w:tl2br w:val="nil"/>
              <w:tr2bl w:val="nil"/>
            </w:tcBorders>
            <w:shd w:val="clear" w:color="auto" w:fill="auto"/>
            <w:vAlign w:val="center"/>
          </w:tcPr>
          <w:p w14:paraId="2B85B09D">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559F0C6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464" w:type="pct"/>
            <w:tcBorders>
              <w:tl2br w:val="nil"/>
              <w:tr2bl w:val="nil"/>
            </w:tcBorders>
            <w:shd w:val="clear" w:color="auto" w:fill="auto"/>
            <w:vAlign w:val="center"/>
          </w:tcPr>
          <w:p w14:paraId="6103319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0.16</w:t>
            </w:r>
          </w:p>
        </w:tc>
        <w:tc>
          <w:tcPr>
            <w:tcW w:w="464" w:type="pct"/>
            <w:tcBorders>
              <w:tl2br w:val="nil"/>
              <w:tr2bl w:val="nil"/>
            </w:tcBorders>
            <w:shd w:val="clear" w:color="auto" w:fill="auto"/>
            <w:vAlign w:val="center"/>
          </w:tcPr>
          <w:p w14:paraId="2F8F2BB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0.16</w:t>
            </w:r>
          </w:p>
        </w:tc>
        <w:tc>
          <w:tcPr>
            <w:tcW w:w="464" w:type="pct"/>
            <w:tcBorders>
              <w:tl2br w:val="nil"/>
              <w:tr2bl w:val="nil"/>
            </w:tcBorders>
            <w:shd w:val="clear" w:color="auto" w:fill="auto"/>
            <w:vAlign w:val="center"/>
          </w:tcPr>
          <w:p w14:paraId="00108FD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0.18</w:t>
            </w:r>
          </w:p>
        </w:tc>
        <w:tc>
          <w:tcPr>
            <w:tcW w:w="464" w:type="pct"/>
            <w:tcBorders>
              <w:tl2br w:val="nil"/>
              <w:tr2bl w:val="nil"/>
            </w:tcBorders>
            <w:shd w:val="clear" w:color="auto" w:fill="auto"/>
            <w:vAlign w:val="center"/>
          </w:tcPr>
          <w:p w14:paraId="71F77CF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0.19</w:t>
            </w:r>
          </w:p>
        </w:tc>
        <w:tc>
          <w:tcPr>
            <w:tcW w:w="464" w:type="pct"/>
            <w:tcBorders>
              <w:tl2br w:val="nil"/>
              <w:tr2bl w:val="nil"/>
            </w:tcBorders>
            <w:shd w:val="clear" w:color="auto" w:fill="auto"/>
            <w:vAlign w:val="center"/>
          </w:tcPr>
          <w:p w14:paraId="0704A43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555" w:type="pct"/>
            <w:tcBorders>
              <w:tl2br w:val="nil"/>
              <w:tr2bl w:val="nil"/>
            </w:tcBorders>
            <w:shd w:val="clear" w:color="auto" w:fill="auto"/>
            <w:vAlign w:val="center"/>
          </w:tcPr>
          <w:p w14:paraId="2EDCF59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0.18</w:t>
            </w:r>
          </w:p>
        </w:tc>
        <w:tc>
          <w:tcPr>
            <w:tcW w:w="421" w:type="pct"/>
            <w:tcBorders>
              <w:tl2br w:val="nil"/>
              <w:tr2bl w:val="nil"/>
            </w:tcBorders>
            <w:shd w:val="clear" w:color="auto" w:fill="auto"/>
            <w:vAlign w:val="center"/>
          </w:tcPr>
          <w:p w14:paraId="2A05B879">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65</w:t>
            </w:r>
          </w:p>
        </w:tc>
      </w:tr>
      <w:tr w14:paraId="4F18D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186312B7">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汞</w:t>
            </w:r>
          </w:p>
        </w:tc>
        <w:tc>
          <w:tcPr>
            <w:tcW w:w="419" w:type="pct"/>
            <w:tcBorders>
              <w:tl2br w:val="nil"/>
              <w:tr2bl w:val="nil"/>
            </w:tcBorders>
            <w:shd w:val="clear" w:color="auto" w:fill="auto"/>
            <w:vAlign w:val="center"/>
          </w:tcPr>
          <w:p w14:paraId="35CDF1F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4F06ECE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0.020</w:t>
            </w:r>
          </w:p>
        </w:tc>
        <w:tc>
          <w:tcPr>
            <w:tcW w:w="464" w:type="pct"/>
            <w:tcBorders>
              <w:tl2br w:val="nil"/>
              <w:tr2bl w:val="nil"/>
            </w:tcBorders>
            <w:shd w:val="clear" w:color="auto" w:fill="auto"/>
            <w:vAlign w:val="center"/>
          </w:tcPr>
          <w:p w14:paraId="07095290">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0.020</w:t>
            </w:r>
          </w:p>
        </w:tc>
        <w:tc>
          <w:tcPr>
            <w:tcW w:w="464" w:type="pct"/>
            <w:tcBorders>
              <w:tl2br w:val="nil"/>
              <w:tr2bl w:val="nil"/>
            </w:tcBorders>
            <w:shd w:val="clear" w:color="auto" w:fill="auto"/>
            <w:vAlign w:val="center"/>
          </w:tcPr>
          <w:p w14:paraId="7961D34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0.020</w:t>
            </w:r>
          </w:p>
        </w:tc>
        <w:tc>
          <w:tcPr>
            <w:tcW w:w="464" w:type="pct"/>
            <w:tcBorders>
              <w:tl2br w:val="nil"/>
              <w:tr2bl w:val="nil"/>
            </w:tcBorders>
            <w:shd w:val="clear" w:color="auto" w:fill="auto"/>
            <w:vAlign w:val="center"/>
          </w:tcPr>
          <w:p w14:paraId="4C01A51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0.018</w:t>
            </w:r>
          </w:p>
        </w:tc>
        <w:tc>
          <w:tcPr>
            <w:tcW w:w="464" w:type="pct"/>
            <w:tcBorders>
              <w:tl2br w:val="nil"/>
              <w:tr2bl w:val="nil"/>
            </w:tcBorders>
            <w:shd w:val="clear" w:color="auto" w:fill="auto"/>
            <w:vAlign w:val="center"/>
          </w:tcPr>
          <w:p w14:paraId="031CE79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0.020</w:t>
            </w:r>
          </w:p>
        </w:tc>
        <w:tc>
          <w:tcPr>
            <w:tcW w:w="464" w:type="pct"/>
            <w:tcBorders>
              <w:tl2br w:val="nil"/>
              <w:tr2bl w:val="nil"/>
            </w:tcBorders>
            <w:shd w:val="clear" w:color="auto" w:fill="auto"/>
            <w:vAlign w:val="center"/>
          </w:tcPr>
          <w:p w14:paraId="4C80AFB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0.018</w:t>
            </w:r>
          </w:p>
        </w:tc>
        <w:tc>
          <w:tcPr>
            <w:tcW w:w="555" w:type="pct"/>
            <w:tcBorders>
              <w:tl2br w:val="nil"/>
              <w:tr2bl w:val="nil"/>
            </w:tcBorders>
            <w:shd w:val="clear" w:color="auto" w:fill="auto"/>
            <w:vAlign w:val="center"/>
          </w:tcPr>
          <w:p w14:paraId="553CB81E">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0.021</w:t>
            </w:r>
          </w:p>
        </w:tc>
        <w:tc>
          <w:tcPr>
            <w:tcW w:w="421" w:type="pct"/>
            <w:tcBorders>
              <w:tl2br w:val="nil"/>
              <w:tr2bl w:val="nil"/>
            </w:tcBorders>
            <w:shd w:val="clear" w:color="auto" w:fill="auto"/>
            <w:vAlign w:val="center"/>
          </w:tcPr>
          <w:p w14:paraId="572BD2AD">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38</w:t>
            </w:r>
          </w:p>
        </w:tc>
      </w:tr>
      <w:tr w14:paraId="52AC3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30372B5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砷</w:t>
            </w:r>
          </w:p>
        </w:tc>
        <w:tc>
          <w:tcPr>
            <w:tcW w:w="419" w:type="pct"/>
            <w:tcBorders>
              <w:tl2br w:val="nil"/>
              <w:tr2bl w:val="nil"/>
            </w:tcBorders>
            <w:shd w:val="clear" w:color="auto" w:fill="auto"/>
            <w:vAlign w:val="center"/>
          </w:tcPr>
          <w:p w14:paraId="6AECDC4D">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31AFE3D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5.27</w:t>
            </w:r>
          </w:p>
        </w:tc>
        <w:tc>
          <w:tcPr>
            <w:tcW w:w="464" w:type="pct"/>
            <w:tcBorders>
              <w:tl2br w:val="nil"/>
              <w:tr2bl w:val="nil"/>
            </w:tcBorders>
            <w:shd w:val="clear" w:color="auto" w:fill="auto"/>
            <w:vAlign w:val="center"/>
          </w:tcPr>
          <w:p w14:paraId="73671C7E">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4.20</w:t>
            </w:r>
          </w:p>
        </w:tc>
        <w:tc>
          <w:tcPr>
            <w:tcW w:w="464" w:type="pct"/>
            <w:tcBorders>
              <w:tl2br w:val="nil"/>
              <w:tr2bl w:val="nil"/>
            </w:tcBorders>
            <w:shd w:val="clear" w:color="auto" w:fill="auto"/>
            <w:vAlign w:val="center"/>
          </w:tcPr>
          <w:p w14:paraId="043D597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5.70</w:t>
            </w:r>
          </w:p>
        </w:tc>
        <w:tc>
          <w:tcPr>
            <w:tcW w:w="464" w:type="pct"/>
            <w:tcBorders>
              <w:tl2br w:val="nil"/>
              <w:tr2bl w:val="nil"/>
            </w:tcBorders>
            <w:shd w:val="clear" w:color="auto" w:fill="auto"/>
            <w:vAlign w:val="center"/>
          </w:tcPr>
          <w:p w14:paraId="3CED97C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5.87</w:t>
            </w:r>
          </w:p>
        </w:tc>
        <w:tc>
          <w:tcPr>
            <w:tcW w:w="464" w:type="pct"/>
            <w:tcBorders>
              <w:tl2br w:val="nil"/>
              <w:tr2bl w:val="nil"/>
            </w:tcBorders>
            <w:shd w:val="clear" w:color="auto" w:fill="auto"/>
            <w:vAlign w:val="center"/>
          </w:tcPr>
          <w:p w14:paraId="4FE2DC9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5.12</w:t>
            </w:r>
          </w:p>
        </w:tc>
        <w:tc>
          <w:tcPr>
            <w:tcW w:w="464" w:type="pct"/>
            <w:tcBorders>
              <w:tl2br w:val="nil"/>
              <w:tr2bl w:val="nil"/>
            </w:tcBorders>
            <w:shd w:val="clear" w:color="auto" w:fill="auto"/>
            <w:vAlign w:val="center"/>
          </w:tcPr>
          <w:p w14:paraId="3C4D9C1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6.04</w:t>
            </w:r>
          </w:p>
        </w:tc>
        <w:tc>
          <w:tcPr>
            <w:tcW w:w="555" w:type="pct"/>
            <w:tcBorders>
              <w:tl2br w:val="nil"/>
              <w:tr2bl w:val="nil"/>
            </w:tcBorders>
            <w:shd w:val="clear" w:color="auto" w:fill="auto"/>
            <w:vAlign w:val="center"/>
          </w:tcPr>
          <w:p w14:paraId="72D95CD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5.76</w:t>
            </w:r>
          </w:p>
        </w:tc>
        <w:tc>
          <w:tcPr>
            <w:tcW w:w="421" w:type="pct"/>
            <w:tcBorders>
              <w:tl2br w:val="nil"/>
              <w:tr2bl w:val="nil"/>
            </w:tcBorders>
            <w:shd w:val="clear" w:color="auto" w:fill="auto"/>
            <w:vAlign w:val="center"/>
          </w:tcPr>
          <w:p w14:paraId="7E39A02B">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60</w:t>
            </w:r>
          </w:p>
        </w:tc>
      </w:tr>
      <w:tr w14:paraId="55BD1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1735A390">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铅</w:t>
            </w:r>
          </w:p>
        </w:tc>
        <w:tc>
          <w:tcPr>
            <w:tcW w:w="419" w:type="pct"/>
            <w:tcBorders>
              <w:tl2br w:val="nil"/>
              <w:tr2bl w:val="nil"/>
            </w:tcBorders>
            <w:shd w:val="clear" w:color="auto" w:fill="auto"/>
            <w:vAlign w:val="center"/>
          </w:tcPr>
          <w:p w14:paraId="3C7E2E82">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1D7FA73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17.9</w:t>
            </w:r>
          </w:p>
        </w:tc>
        <w:tc>
          <w:tcPr>
            <w:tcW w:w="464" w:type="pct"/>
            <w:tcBorders>
              <w:tl2br w:val="nil"/>
              <w:tr2bl w:val="nil"/>
            </w:tcBorders>
            <w:shd w:val="clear" w:color="auto" w:fill="auto"/>
            <w:vAlign w:val="center"/>
          </w:tcPr>
          <w:p w14:paraId="12EB767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18.3</w:t>
            </w:r>
          </w:p>
        </w:tc>
        <w:tc>
          <w:tcPr>
            <w:tcW w:w="464" w:type="pct"/>
            <w:tcBorders>
              <w:tl2br w:val="nil"/>
              <w:tr2bl w:val="nil"/>
            </w:tcBorders>
            <w:shd w:val="clear" w:color="auto" w:fill="auto"/>
            <w:vAlign w:val="center"/>
          </w:tcPr>
          <w:p w14:paraId="3ACD3A3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17.3</w:t>
            </w:r>
          </w:p>
        </w:tc>
        <w:tc>
          <w:tcPr>
            <w:tcW w:w="464" w:type="pct"/>
            <w:tcBorders>
              <w:tl2br w:val="nil"/>
              <w:tr2bl w:val="nil"/>
            </w:tcBorders>
            <w:shd w:val="clear" w:color="auto" w:fill="auto"/>
            <w:vAlign w:val="center"/>
          </w:tcPr>
          <w:p w14:paraId="4E96D7E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18.2</w:t>
            </w:r>
          </w:p>
        </w:tc>
        <w:tc>
          <w:tcPr>
            <w:tcW w:w="464" w:type="pct"/>
            <w:tcBorders>
              <w:tl2br w:val="nil"/>
              <w:tr2bl w:val="nil"/>
            </w:tcBorders>
            <w:shd w:val="clear" w:color="auto" w:fill="auto"/>
            <w:vAlign w:val="center"/>
          </w:tcPr>
          <w:p w14:paraId="121F404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20.7</w:t>
            </w:r>
          </w:p>
        </w:tc>
        <w:tc>
          <w:tcPr>
            <w:tcW w:w="464" w:type="pct"/>
            <w:tcBorders>
              <w:tl2br w:val="nil"/>
              <w:tr2bl w:val="nil"/>
            </w:tcBorders>
            <w:shd w:val="clear" w:color="auto" w:fill="auto"/>
            <w:vAlign w:val="center"/>
          </w:tcPr>
          <w:p w14:paraId="3A6C0C1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20.4</w:t>
            </w:r>
          </w:p>
        </w:tc>
        <w:tc>
          <w:tcPr>
            <w:tcW w:w="555" w:type="pct"/>
            <w:tcBorders>
              <w:tl2br w:val="nil"/>
              <w:tr2bl w:val="nil"/>
            </w:tcBorders>
            <w:shd w:val="clear" w:color="auto" w:fill="auto"/>
            <w:vAlign w:val="center"/>
          </w:tcPr>
          <w:p w14:paraId="41EAE51B">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20.5</w:t>
            </w:r>
          </w:p>
        </w:tc>
        <w:tc>
          <w:tcPr>
            <w:tcW w:w="421" w:type="pct"/>
            <w:tcBorders>
              <w:tl2br w:val="nil"/>
              <w:tr2bl w:val="nil"/>
            </w:tcBorders>
            <w:shd w:val="clear" w:color="auto" w:fill="auto"/>
            <w:vAlign w:val="center"/>
          </w:tcPr>
          <w:p w14:paraId="7D29CFA9">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800</w:t>
            </w:r>
          </w:p>
        </w:tc>
      </w:tr>
      <w:tr w14:paraId="73689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tcBorders>
              <w:tl2br w:val="nil"/>
              <w:tr2bl w:val="nil"/>
            </w:tcBorders>
            <w:shd w:val="clear" w:color="auto" w:fill="auto"/>
            <w:vAlign w:val="center"/>
          </w:tcPr>
          <w:p w14:paraId="5414E365">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铜</w:t>
            </w:r>
          </w:p>
        </w:tc>
        <w:tc>
          <w:tcPr>
            <w:tcW w:w="419" w:type="pct"/>
            <w:tcBorders>
              <w:tl2br w:val="nil"/>
              <w:tr2bl w:val="nil"/>
            </w:tcBorders>
            <w:shd w:val="clear" w:color="auto" w:fill="auto"/>
            <w:vAlign w:val="center"/>
          </w:tcPr>
          <w:p w14:paraId="2BD7181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tcBorders>
              <w:tl2br w:val="nil"/>
              <w:tr2bl w:val="nil"/>
            </w:tcBorders>
            <w:shd w:val="clear" w:color="auto" w:fill="auto"/>
            <w:vAlign w:val="center"/>
          </w:tcPr>
          <w:p w14:paraId="561B6768">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30</w:t>
            </w:r>
          </w:p>
        </w:tc>
        <w:tc>
          <w:tcPr>
            <w:tcW w:w="464" w:type="pct"/>
            <w:tcBorders>
              <w:tl2br w:val="nil"/>
              <w:tr2bl w:val="nil"/>
            </w:tcBorders>
            <w:shd w:val="clear" w:color="auto" w:fill="auto"/>
            <w:vAlign w:val="center"/>
          </w:tcPr>
          <w:p w14:paraId="517E0B4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31</w:t>
            </w:r>
          </w:p>
        </w:tc>
        <w:tc>
          <w:tcPr>
            <w:tcW w:w="464" w:type="pct"/>
            <w:tcBorders>
              <w:tl2br w:val="nil"/>
              <w:tr2bl w:val="nil"/>
            </w:tcBorders>
            <w:shd w:val="clear" w:color="auto" w:fill="auto"/>
            <w:vAlign w:val="center"/>
          </w:tcPr>
          <w:p w14:paraId="1E55026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29</w:t>
            </w:r>
          </w:p>
        </w:tc>
        <w:tc>
          <w:tcPr>
            <w:tcW w:w="464" w:type="pct"/>
            <w:tcBorders>
              <w:tl2br w:val="nil"/>
              <w:tr2bl w:val="nil"/>
            </w:tcBorders>
            <w:shd w:val="clear" w:color="auto" w:fill="auto"/>
            <w:vAlign w:val="center"/>
          </w:tcPr>
          <w:p w14:paraId="17214725">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19</w:t>
            </w:r>
          </w:p>
        </w:tc>
        <w:tc>
          <w:tcPr>
            <w:tcW w:w="464" w:type="pct"/>
            <w:tcBorders>
              <w:tl2br w:val="nil"/>
              <w:tr2bl w:val="nil"/>
            </w:tcBorders>
            <w:shd w:val="clear" w:color="auto" w:fill="auto"/>
            <w:vAlign w:val="center"/>
          </w:tcPr>
          <w:p w14:paraId="7608FB0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19</w:t>
            </w:r>
          </w:p>
        </w:tc>
        <w:tc>
          <w:tcPr>
            <w:tcW w:w="464" w:type="pct"/>
            <w:tcBorders>
              <w:tl2br w:val="nil"/>
              <w:tr2bl w:val="nil"/>
            </w:tcBorders>
            <w:shd w:val="clear" w:color="auto" w:fill="auto"/>
            <w:vAlign w:val="center"/>
          </w:tcPr>
          <w:p w14:paraId="2135BE1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17</w:t>
            </w:r>
          </w:p>
        </w:tc>
        <w:tc>
          <w:tcPr>
            <w:tcW w:w="555" w:type="pct"/>
            <w:tcBorders>
              <w:tl2br w:val="nil"/>
              <w:tr2bl w:val="nil"/>
            </w:tcBorders>
            <w:shd w:val="clear" w:color="auto" w:fill="auto"/>
            <w:vAlign w:val="center"/>
          </w:tcPr>
          <w:p w14:paraId="0769FE8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30</w:t>
            </w:r>
          </w:p>
        </w:tc>
        <w:tc>
          <w:tcPr>
            <w:tcW w:w="421" w:type="pct"/>
            <w:tcBorders>
              <w:tl2br w:val="nil"/>
              <w:tr2bl w:val="nil"/>
            </w:tcBorders>
            <w:shd w:val="clear" w:color="auto" w:fill="auto"/>
            <w:vAlign w:val="center"/>
          </w:tcPr>
          <w:p w14:paraId="3867DE15">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18000</w:t>
            </w:r>
          </w:p>
        </w:tc>
      </w:tr>
      <w:tr w14:paraId="5B4B3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shd w:val="clear" w:color="auto" w:fill="auto"/>
            <w:vAlign w:val="center"/>
          </w:tcPr>
          <w:p w14:paraId="444DC6E0">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镍</w:t>
            </w:r>
          </w:p>
        </w:tc>
        <w:tc>
          <w:tcPr>
            <w:tcW w:w="419" w:type="pct"/>
            <w:shd w:val="clear" w:color="auto" w:fill="auto"/>
            <w:vAlign w:val="center"/>
          </w:tcPr>
          <w:p w14:paraId="0D5D6192">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shd w:val="clear" w:color="auto" w:fill="auto"/>
            <w:vAlign w:val="center"/>
          </w:tcPr>
          <w:p w14:paraId="0A121052">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33</w:t>
            </w:r>
          </w:p>
        </w:tc>
        <w:tc>
          <w:tcPr>
            <w:tcW w:w="464" w:type="pct"/>
            <w:shd w:val="clear" w:color="auto" w:fill="auto"/>
            <w:vAlign w:val="center"/>
          </w:tcPr>
          <w:p w14:paraId="080447D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35</w:t>
            </w:r>
          </w:p>
        </w:tc>
        <w:tc>
          <w:tcPr>
            <w:tcW w:w="464" w:type="pct"/>
            <w:shd w:val="clear" w:color="auto" w:fill="auto"/>
            <w:vAlign w:val="center"/>
          </w:tcPr>
          <w:p w14:paraId="21D6B37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32</w:t>
            </w:r>
          </w:p>
        </w:tc>
        <w:tc>
          <w:tcPr>
            <w:tcW w:w="464" w:type="pct"/>
            <w:shd w:val="clear" w:color="auto" w:fill="auto"/>
            <w:vAlign w:val="center"/>
          </w:tcPr>
          <w:p w14:paraId="294916AF">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45</w:t>
            </w:r>
          </w:p>
        </w:tc>
        <w:tc>
          <w:tcPr>
            <w:tcW w:w="464" w:type="pct"/>
            <w:shd w:val="clear" w:color="auto" w:fill="auto"/>
            <w:vAlign w:val="center"/>
          </w:tcPr>
          <w:p w14:paraId="693C36A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43</w:t>
            </w:r>
          </w:p>
        </w:tc>
        <w:tc>
          <w:tcPr>
            <w:tcW w:w="464" w:type="pct"/>
            <w:shd w:val="clear" w:color="auto" w:fill="auto"/>
            <w:vAlign w:val="center"/>
          </w:tcPr>
          <w:p w14:paraId="33494B9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40</w:t>
            </w:r>
          </w:p>
        </w:tc>
        <w:tc>
          <w:tcPr>
            <w:tcW w:w="555" w:type="pct"/>
            <w:shd w:val="clear" w:color="auto" w:fill="auto"/>
            <w:vAlign w:val="center"/>
          </w:tcPr>
          <w:p w14:paraId="5E2D2D2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34</w:t>
            </w:r>
          </w:p>
        </w:tc>
        <w:tc>
          <w:tcPr>
            <w:tcW w:w="421" w:type="pct"/>
            <w:shd w:val="clear" w:color="auto" w:fill="auto"/>
            <w:vAlign w:val="center"/>
          </w:tcPr>
          <w:p w14:paraId="6CCD4A06">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900</w:t>
            </w:r>
          </w:p>
        </w:tc>
      </w:tr>
      <w:tr w14:paraId="51F3B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shd w:val="clear" w:color="auto" w:fill="auto"/>
            <w:vAlign w:val="center"/>
          </w:tcPr>
          <w:p w14:paraId="56CD80C8">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锌</w:t>
            </w:r>
          </w:p>
        </w:tc>
        <w:tc>
          <w:tcPr>
            <w:tcW w:w="419" w:type="pct"/>
            <w:shd w:val="clear" w:color="auto" w:fill="auto"/>
            <w:vAlign w:val="center"/>
          </w:tcPr>
          <w:p w14:paraId="420EB538">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shd w:val="clear" w:color="auto" w:fill="auto"/>
            <w:vAlign w:val="center"/>
          </w:tcPr>
          <w:p w14:paraId="590D7BE4">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49</w:t>
            </w:r>
          </w:p>
        </w:tc>
        <w:tc>
          <w:tcPr>
            <w:tcW w:w="464" w:type="pct"/>
            <w:shd w:val="clear" w:color="auto" w:fill="auto"/>
            <w:vAlign w:val="center"/>
          </w:tcPr>
          <w:p w14:paraId="1A9EF7F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52</w:t>
            </w:r>
          </w:p>
        </w:tc>
        <w:tc>
          <w:tcPr>
            <w:tcW w:w="464" w:type="pct"/>
            <w:shd w:val="clear" w:color="auto" w:fill="auto"/>
            <w:vAlign w:val="center"/>
          </w:tcPr>
          <w:p w14:paraId="4D72711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51</w:t>
            </w:r>
          </w:p>
        </w:tc>
        <w:tc>
          <w:tcPr>
            <w:tcW w:w="464" w:type="pct"/>
            <w:shd w:val="clear" w:color="auto" w:fill="auto"/>
            <w:vAlign w:val="center"/>
          </w:tcPr>
          <w:p w14:paraId="40E95F70">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33</w:t>
            </w:r>
          </w:p>
        </w:tc>
        <w:tc>
          <w:tcPr>
            <w:tcW w:w="464" w:type="pct"/>
            <w:shd w:val="clear" w:color="auto" w:fill="auto"/>
            <w:vAlign w:val="center"/>
          </w:tcPr>
          <w:p w14:paraId="25D5CC1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29</w:t>
            </w:r>
          </w:p>
        </w:tc>
        <w:tc>
          <w:tcPr>
            <w:tcW w:w="464" w:type="pct"/>
            <w:shd w:val="clear" w:color="auto" w:fill="auto"/>
            <w:vAlign w:val="center"/>
          </w:tcPr>
          <w:p w14:paraId="60761FF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39</w:t>
            </w:r>
          </w:p>
        </w:tc>
        <w:tc>
          <w:tcPr>
            <w:tcW w:w="555" w:type="pct"/>
            <w:shd w:val="clear" w:color="auto" w:fill="auto"/>
            <w:vAlign w:val="center"/>
          </w:tcPr>
          <w:p w14:paraId="29FD1DB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44</w:t>
            </w:r>
          </w:p>
        </w:tc>
        <w:tc>
          <w:tcPr>
            <w:tcW w:w="421" w:type="pct"/>
            <w:shd w:val="clear" w:color="auto" w:fill="auto"/>
            <w:vAlign w:val="center"/>
          </w:tcPr>
          <w:p w14:paraId="622FF1CD">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414C7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shd w:val="clear" w:color="auto" w:fill="auto"/>
            <w:vAlign w:val="center"/>
          </w:tcPr>
          <w:p w14:paraId="48ECC3C0">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水溶性盐总量</w:t>
            </w:r>
          </w:p>
        </w:tc>
        <w:tc>
          <w:tcPr>
            <w:tcW w:w="419" w:type="pct"/>
            <w:shd w:val="clear" w:color="auto" w:fill="auto"/>
            <w:vAlign w:val="center"/>
          </w:tcPr>
          <w:p w14:paraId="3A969A37">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g/kg</w:t>
            </w:r>
          </w:p>
        </w:tc>
        <w:tc>
          <w:tcPr>
            <w:tcW w:w="464" w:type="pct"/>
            <w:shd w:val="clear" w:color="auto" w:fill="auto"/>
            <w:vAlign w:val="center"/>
          </w:tcPr>
          <w:p w14:paraId="6A2F7868">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0.5</w:t>
            </w:r>
          </w:p>
        </w:tc>
        <w:tc>
          <w:tcPr>
            <w:tcW w:w="464" w:type="pct"/>
            <w:shd w:val="clear" w:color="auto" w:fill="auto"/>
            <w:vAlign w:val="center"/>
          </w:tcPr>
          <w:p w14:paraId="20E3A0B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0.5</w:t>
            </w:r>
          </w:p>
        </w:tc>
        <w:tc>
          <w:tcPr>
            <w:tcW w:w="464" w:type="pct"/>
            <w:shd w:val="clear" w:color="auto" w:fill="auto"/>
            <w:vAlign w:val="center"/>
          </w:tcPr>
          <w:p w14:paraId="3B1C6AC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0.6</w:t>
            </w:r>
          </w:p>
        </w:tc>
        <w:tc>
          <w:tcPr>
            <w:tcW w:w="464" w:type="pct"/>
            <w:shd w:val="clear" w:color="auto" w:fill="auto"/>
            <w:vAlign w:val="center"/>
          </w:tcPr>
          <w:p w14:paraId="063D5601">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0.4</w:t>
            </w:r>
          </w:p>
        </w:tc>
        <w:tc>
          <w:tcPr>
            <w:tcW w:w="464" w:type="pct"/>
            <w:shd w:val="clear" w:color="auto" w:fill="auto"/>
            <w:vAlign w:val="center"/>
          </w:tcPr>
          <w:p w14:paraId="58E9332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0.3</w:t>
            </w:r>
          </w:p>
        </w:tc>
        <w:tc>
          <w:tcPr>
            <w:tcW w:w="464" w:type="pct"/>
            <w:shd w:val="clear" w:color="auto" w:fill="auto"/>
            <w:vAlign w:val="center"/>
          </w:tcPr>
          <w:p w14:paraId="7AFE157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0.5</w:t>
            </w:r>
          </w:p>
        </w:tc>
        <w:tc>
          <w:tcPr>
            <w:tcW w:w="555" w:type="pct"/>
            <w:shd w:val="clear" w:color="auto" w:fill="auto"/>
            <w:vAlign w:val="center"/>
          </w:tcPr>
          <w:p w14:paraId="3DF35DD4">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0.4</w:t>
            </w:r>
          </w:p>
        </w:tc>
        <w:tc>
          <w:tcPr>
            <w:tcW w:w="421" w:type="pct"/>
            <w:shd w:val="clear" w:color="auto" w:fill="auto"/>
            <w:vAlign w:val="center"/>
          </w:tcPr>
          <w:p w14:paraId="1FB5E5AF">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20F82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shd w:val="clear" w:color="auto" w:fill="auto"/>
            <w:vAlign w:val="center"/>
          </w:tcPr>
          <w:p w14:paraId="38E1E650">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铬（六价）</w:t>
            </w:r>
          </w:p>
        </w:tc>
        <w:tc>
          <w:tcPr>
            <w:tcW w:w="419" w:type="pct"/>
            <w:shd w:val="clear" w:color="auto" w:fill="auto"/>
            <w:vAlign w:val="center"/>
          </w:tcPr>
          <w:p w14:paraId="41B460B2">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shd w:val="clear" w:color="auto" w:fill="auto"/>
            <w:vAlign w:val="center"/>
          </w:tcPr>
          <w:p w14:paraId="61F86FF4">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5B7928A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6BD87AD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676BF1BC">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54618F4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0DE207B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555" w:type="pct"/>
            <w:shd w:val="clear" w:color="auto" w:fill="auto"/>
            <w:vAlign w:val="center"/>
          </w:tcPr>
          <w:p w14:paraId="448E359C">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421" w:type="pct"/>
            <w:shd w:val="clear" w:color="auto" w:fill="auto"/>
            <w:vAlign w:val="center"/>
          </w:tcPr>
          <w:p w14:paraId="21E0BAF7">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5.7</w:t>
            </w:r>
          </w:p>
        </w:tc>
      </w:tr>
      <w:tr w14:paraId="05550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shd w:val="clear" w:color="auto" w:fill="auto"/>
            <w:vAlign w:val="center"/>
          </w:tcPr>
          <w:p w14:paraId="579BE799">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石油烃</w:t>
            </w:r>
          </w:p>
        </w:tc>
        <w:tc>
          <w:tcPr>
            <w:tcW w:w="419" w:type="pct"/>
            <w:shd w:val="clear" w:color="auto" w:fill="auto"/>
            <w:vAlign w:val="center"/>
          </w:tcPr>
          <w:p w14:paraId="53B05F66">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shd w:val="clear" w:color="auto" w:fill="auto"/>
            <w:vAlign w:val="center"/>
          </w:tcPr>
          <w:p w14:paraId="07D87A6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77</w:t>
            </w:r>
          </w:p>
        </w:tc>
        <w:tc>
          <w:tcPr>
            <w:tcW w:w="464" w:type="pct"/>
            <w:shd w:val="clear" w:color="auto" w:fill="auto"/>
            <w:vAlign w:val="center"/>
          </w:tcPr>
          <w:p w14:paraId="037DF6D0">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64</w:t>
            </w:r>
          </w:p>
        </w:tc>
        <w:tc>
          <w:tcPr>
            <w:tcW w:w="464" w:type="pct"/>
            <w:shd w:val="clear" w:color="auto" w:fill="auto"/>
            <w:vAlign w:val="center"/>
          </w:tcPr>
          <w:p w14:paraId="1A96139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35</w:t>
            </w:r>
          </w:p>
        </w:tc>
        <w:tc>
          <w:tcPr>
            <w:tcW w:w="464" w:type="pct"/>
            <w:shd w:val="clear" w:color="auto" w:fill="auto"/>
            <w:vAlign w:val="center"/>
          </w:tcPr>
          <w:p w14:paraId="566FAC1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66</w:t>
            </w:r>
          </w:p>
        </w:tc>
        <w:tc>
          <w:tcPr>
            <w:tcW w:w="464" w:type="pct"/>
            <w:shd w:val="clear" w:color="auto" w:fill="auto"/>
            <w:vAlign w:val="center"/>
          </w:tcPr>
          <w:p w14:paraId="6C0CD318">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48</w:t>
            </w:r>
          </w:p>
        </w:tc>
        <w:tc>
          <w:tcPr>
            <w:tcW w:w="464" w:type="pct"/>
            <w:shd w:val="clear" w:color="auto" w:fill="auto"/>
            <w:vAlign w:val="center"/>
          </w:tcPr>
          <w:p w14:paraId="031C10AF">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56</w:t>
            </w:r>
          </w:p>
        </w:tc>
        <w:tc>
          <w:tcPr>
            <w:tcW w:w="555" w:type="pct"/>
            <w:shd w:val="clear" w:color="auto" w:fill="auto"/>
            <w:vAlign w:val="center"/>
          </w:tcPr>
          <w:p w14:paraId="1E8A3850">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70</w:t>
            </w:r>
          </w:p>
        </w:tc>
        <w:tc>
          <w:tcPr>
            <w:tcW w:w="421" w:type="pct"/>
            <w:shd w:val="clear" w:color="auto" w:fill="auto"/>
            <w:vAlign w:val="center"/>
          </w:tcPr>
          <w:p w14:paraId="2ECA97A7">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4500</w:t>
            </w:r>
          </w:p>
        </w:tc>
      </w:tr>
      <w:tr w14:paraId="640B4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9" w:type="pct"/>
            <w:shd w:val="clear" w:color="auto" w:fill="auto"/>
            <w:vAlign w:val="center"/>
          </w:tcPr>
          <w:p w14:paraId="2771DD9B">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氰化物</w:t>
            </w:r>
          </w:p>
        </w:tc>
        <w:tc>
          <w:tcPr>
            <w:tcW w:w="419" w:type="pct"/>
            <w:shd w:val="clear" w:color="auto" w:fill="auto"/>
            <w:vAlign w:val="center"/>
          </w:tcPr>
          <w:p w14:paraId="2E239D64">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464" w:type="pct"/>
            <w:shd w:val="clear" w:color="auto" w:fill="auto"/>
            <w:vAlign w:val="center"/>
          </w:tcPr>
          <w:p w14:paraId="29D3DC4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737096F0">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05B13475">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54B29348">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273FF72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64" w:type="pct"/>
            <w:shd w:val="clear" w:color="auto" w:fill="auto"/>
            <w:vAlign w:val="center"/>
          </w:tcPr>
          <w:p w14:paraId="7DFB8D28">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555" w:type="pct"/>
            <w:shd w:val="clear" w:color="auto" w:fill="auto"/>
            <w:vAlign w:val="center"/>
          </w:tcPr>
          <w:p w14:paraId="07C1449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21" w:type="pct"/>
            <w:shd w:val="clear" w:color="auto" w:fill="auto"/>
            <w:vAlign w:val="center"/>
          </w:tcPr>
          <w:p w14:paraId="6FA2216D">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135</w:t>
            </w:r>
          </w:p>
        </w:tc>
      </w:tr>
    </w:tbl>
    <w:p w14:paraId="4D395CE9">
      <w:pPr>
        <w:pStyle w:val="58"/>
        <w:spacing w:line="480" w:lineRule="exact"/>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表4.2-1</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w:t>
      </w:r>
      <w:r>
        <w:rPr>
          <w:rFonts w:hint="default" w:ascii="Times New Roman" w:cs="Times New Roman"/>
          <w:b/>
          <w:bCs/>
          <w:color w:val="auto"/>
          <w:highlight w:val="none"/>
          <w:lang w:val="en-US" w:eastAsia="zh-CN"/>
        </w:rPr>
        <w:t>项目区范围内</w:t>
      </w:r>
      <w:r>
        <w:rPr>
          <w:rFonts w:hint="default" w:ascii="Times New Roman" w:hAnsi="Times New Roman" w:cs="Times New Roman"/>
          <w:b/>
          <w:bCs/>
          <w:color w:val="auto"/>
          <w:highlight w:val="none"/>
        </w:rPr>
        <w:t>土壤环境质量监测结果</w:t>
      </w:r>
      <w:r>
        <w:rPr>
          <w:rFonts w:hint="default" w:ascii="Times New Roman" w:cs="Times New Roman"/>
          <w:b/>
          <w:bCs/>
          <w:color w:val="auto"/>
          <w:highlight w:val="none"/>
          <w:lang w:eastAsia="zh-CN"/>
        </w:rPr>
        <w:t>（</w:t>
      </w:r>
      <w:r>
        <w:rPr>
          <w:rFonts w:hint="default" w:ascii="Times New Roman" w:cs="Times New Roman"/>
          <w:b/>
          <w:bCs/>
          <w:color w:val="auto"/>
          <w:highlight w:val="none"/>
          <w:lang w:val="en-US" w:eastAsia="zh-CN"/>
        </w:rPr>
        <w:t>T11、T6</w:t>
      </w:r>
      <w:r>
        <w:rPr>
          <w:rFonts w:hint="default" w:ascii="Times New Roman" w:cs="Times New Roman"/>
          <w:b/>
          <w:bCs/>
          <w:color w:val="auto"/>
          <w:highlight w:val="none"/>
          <w:lang w:eastAsia="zh-CN"/>
        </w:rPr>
        <w:t>）</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2231"/>
        <w:gridCol w:w="1031"/>
        <w:gridCol w:w="1181"/>
        <w:gridCol w:w="1003"/>
        <w:gridCol w:w="1003"/>
        <w:gridCol w:w="1458"/>
        <w:gridCol w:w="1077"/>
      </w:tblGrid>
      <w:tr w14:paraId="38AED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242" w:type="pct"/>
            <w:vMerge w:val="restart"/>
            <w:tcBorders>
              <w:tl2br w:val="nil"/>
              <w:tr2bl w:val="nil"/>
            </w:tcBorders>
            <w:vAlign w:val="center"/>
          </w:tcPr>
          <w:p w14:paraId="213C10FA">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检测项目</w:t>
            </w:r>
          </w:p>
        </w:tc>
        <w:tc>
          <w:tcPr>
            <w:tcW w:w="574" w:type="pct"/>
            <w:vMerge w:val="restart"/>
            <w:tcBorders>
              <w:tl2br w:val="nil"/>
              <w:tr2bl w:val="nil"/>
            </w:tcBorders>
            <w:vAlign w:val="center"/>
          </w:tcPr>
          <w:p w14:paraId="651117E8">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单位</w:t>
            </w:r>
          </w:p>
        </w:tc>
        <w:tc>
          <w:tcPr>
            <w:tcW w:w="2584" w:type="pct"/>
            <w:gridSpan w:val="4"/>
            <w:tcBorders>
              <w:tl2br w:val="nil"/>
              <w:tr2bl w:val="nil"/>
            </w:tcBorders>
            <w:vAlign w:val="center"/>
          </w:tcPr>
          <w:p w14:paraId="11EBB6FE">
            <w:pPr>
              <w:pStyle w:val="24"/>
              <w:keepNext w:val="0"/>
              <w:keepLines w:val="0"/>
              <w:pageBreakBefore w:val="0"/>
              <w:kinsoku/>
              <w:wordWrap/>
              <w:overflowPunct/>
              <w:topLinePunct w:val="0"/>
              <w:autoSpaceDE/>
              <w:autoSpaceDN/>
              <w:bidi w:val="0"/>
              <w:adjustRightInd/>
              <w:spacing w:line="360" w:lineRule="exact"/>
              <w:ind w:left="0" w:firstLine="0" w:firstLineChars="0"/>
              <w:jc w:val="center"/>
              <w:rPr>
                <w:rFonts w:hint="default" w:ascii="Times New Roman" w:hAnsi="Times New Roman" w:cs="Times New Roman"/>
                <w:b/>
                <w:color w:val="auto"/>
                <w:kern w:val="0"/>
                <w:sz w:val="21"/>
                <w:szCs w:val="21"/>
                <w:highlight w:val="none"/>
                <w:lang w:bidi="ar"/>
              </w:rPr>
            </w:pPr>
            <w:r>
              <w:rPr>
                <w:rFonts w:hint="default" w:ascii="Times New Roman" w:hAnsi="Times New Roman" w:cs="Times New Roman"/>
                <w:b/>
                <w:color w:val="auto"/>
                <w:kern w:val="0"/>
                <w:sz w:val="21"/>
                <w:szCs w:val="21"/>
                <w:highlight w:val="none"/>
                <w:lang w:bidi="ar"/>
              </w:rPr>
              <w:t>检测结果</w:t>
            </w:r>
          </w:p>
        </w:tc>
        <w:tc>
          <w:tcPr>
            <w:tcW w:w="599" w:type="pct"/>
            <w:vMerge w:val="restart"/>
            <w:tcBorders>
              <w:tl2br w:val="nil"/>
              <w:tr2bl w:val="nil"/>
            </w:tcBorders>
            <w:vAlign w:val="center"/>
          </w:tcPr>
          <w:p w14:paraId="2CDD4C46">
            <w:pPr>
              <w:pStyle w:val="24"/>
              <w:keepNext w:val="0"/>
              <w:keepLines w:val="0"/>
              <w:pageBreakBefore w:val="0"/>
              <w:kinsoku/>
              <w:wordWrap/>
              <w:overflowPunct/>
              <w:topLinePunct w:val="0"/>
              <w:autoSpaceDE/>
              <w:autoSpaceDN/>
              <w:bidi w:val="0"/>
              <w:adjustRightInd/>
              <w:spacing w:line="360" w:lineRule="exact"/>
              <w:ind w:left="0" w:firstLine="0" w:firstLineChars="0"/>
              <w:jc w:val="center"/>
              <w:rPr>
                <w:rFonts w:hint="default" w:ascii="Times New Roman" w:hAnsi="Times New Roman" w:cs="Times New Roman"/>
                <w:b/>
                <w:color w:val="auto"/>
                <w:spacing w:val="20"/>
                <w:sz w:val="21"/>
                <w:szCs w:val="21"/>
                <w:highlight w:val="none"/>
              </w:rPr>
            </w:pPr>
            <w:r>
              <w:rPr>
                <w:rFonts w:hint="default" w:ascii="Times New Roman" w:hAnsi="Times New Roman" w:cs="Times New Roman"/>
                <w:b/>
                <w:color w:val="auto"/>
                <w:spacing w:val="20"/>
                <w:sz w:val="21"/>
                <w:szCs w:val="21"/>
                <w:highlight w:val="none"/>
              </w:rPr>
              <w:t>标准值</w:t>
            </w:r>
          </w:p>
        </w:tc>
      </w:tr>
      <w:tr w14:paraId="363AD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242" w:type="pct"/>
            <w:vMerge w:val="continue"/>
            <w:tcBorders>
              <w:tl2br w:val="nil"/>
              <w:tr2bl w:val="nil"/>
            </w:tcBorders>
            <w:vAlign w:val="center"/>
          </w:tcPr>
          <w:p w14:paraId="2C65944B">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cs="Times New Roman"/>
                <w:b/>
                <w:color w:val="auto"/>
                <w:sz w:val="21"/>
                <w:szCs w:val="21"/>
                <w:highlight w:val="none"/>
              </w:rPr>
            </w:pPr>
          </w:p>
        </w:tc>
        <w:tc>
          <w:tcPr>
            <w:tcW w:w="574" w:type="pct"/>
            <w:vMerge w:val="continue"/>
            <w:tcBorders>
              <w:tl2br w:val="nil"/>
              <w:tr2bl w:val="nil"/>
            </w:tcBorders>
            <w:vAlign w:val="center"/>
          </w:tcPr>
          <w:p w14:paraId="084D695D">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cs="Times New Roman"/>
                <w:b/>
                <w:color w:val="auto"/>
                <w:sz w:val="21"/>
                <w:szCs w:val="21"/>
                <w:highlight w:val="none"/>
              </w:rPr>
            </w:pPr>
          </w:p>
        </w:tc>
        <w:tc>
          <w:tcPr>
            <w:tcW w:w="657" w:type="pct"/>
            <w:tcBorders>
              <w:tl2br w:val="nil"/>
              <w:tr2bl w:val="nil"/>
            </w:tcBorders>
            <w:shd w:val="clear" w:color="auto" w:fill="auto"/>
            <w:vAlign w:val="center"/>
          </w:tcPr>
          <w:p w14:paraId="7564D74A">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eastAsia="宋体" w:cs="Times New Roman"/>
                <w:b/>
                <w:color w:val="auto"/>
                <w:spacing w:val="20"/>
                <w:kern w:val="2"/>
                <w:sz w:val="21"/>
                <w:szCs w:val="21"/>
                <w:highlight w:val="none"/>
                <w:lang w:val="en-US" w:eastAsia="zh-CN" w:bidi="ar-SA"/>
              </w:rPr>
            </w:pPr>
            <w:r>
              <w:rPr>
                <w:rFonts w:hint="default" w:cs="Times New Roman"/>
                <w:b/>
                <w:color w:val="auto"/>
                <w:spacing w:val="20"/>
                <w:sz w:val="21"/>
                <w:szCs w:val="21"/>
                <w:highlight w:val="none"/>
                <w:lang w:val="en-US" w:eastAsia="zh-CN"/>
              </w:rPr>
              <w:t>T11-1-1</w:t>
            </w:r>
          </w:p>
        </w:tc>
        <w:tc>
          <w:tcPr>
            <w:tcW w:w="558" w:type="pct"/>
            <w:tcBorders>
              <w:tl2br w:val="nil"/>
              <w:tr2bl w:val="nil"/>
            </w:tcBorders>
            <w:shd w:val="clear" w:color="auto" w:fill="auto"/>
            <w:vAlign w:val="center"/>
          </w:tcPr>
          <w:p w14:paraId="7E30473F">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eastAsia="宋体" w:cs="Times New Roman"/>
                <w:b/>
                <w:color w:val="auto"/>
                <w:kern w:val="0"/>
                <w:sz w:val="21"/>
                <w:szCs w:val="21"/>
                <w:highlight w:val="none"/>
                <w:lang w:val="en-US" w:eastAsia="zh-CN" w:bidi="ar"/>
              </w:rPr>
            </w:pPr>
            <w:r>
              <w:rPr>
                <w:rFonts w:hint="default" w:cs="Times New Roman"/>
                <w:b/>
                <w:color w:val="auto"/>
                <w:kern w:val="0"/>
                <w:sz w:val="21"/>
                <w:szCs w:val="21"/>
                <w:highlight w:val="none"/>
                <w:lang w:val="en-US" w:eastAsia="zh-CN" w:bidi="ar"/>
              </w:rPr>
              <w:t>T11-1-2</w:t>
            </w:r>
          </w:p>
        </w:tc>
        <w:tc>
          <w:tcPr>
            <w:tcW w:w="558" w:type="pct"/>
            <w:tcBorders>
              <w:tl2br w:val="nil"/>
              <w:tr2bl w:val="nil"/>
            </w:tcBorders>
            <w:shd w:val="clear" w:color="auto" w:fill="auto"/>
            <w:vAlign w:val="center"/>
          </w:tcPr>
          <w:p w14:paraId="2099CF7C">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eastAsia="宋体" w:cs="Times New Roman"/>
                <w:b/>
                <w:color w:val="auto"/>
                <w:kern w:val="0"/>
                <w:sz w:val="21"/>
                <w:szCs w:val="21"/>
                <w:highlight w:val="none"/>
                <w:lang w:val="en-US" w:eastAsia="zh-CN" w:bidi="ar"/>
              </w:rPr>
            </w:pPr>
            <w:r>
              <w:rPr>
                <w:rFonts w:hint="default" w:cs="Times New Roman"/>
                <w:b/>
                <w:color w:val="auto"/>
                <w:kern w:val="0"/>
                <w:sz w:val="21"/>
                <w:szCs w:val="21"/>
                <w:highlight w:val="none"/>
                <w:lang w:val="en-US" w:eastAsia="zh-CN" w:bidi="ar"/>
              </w:rPr>
              <w:t>T11-1-3</w:t>
            </w:r>
          </w:p>
        </w:tc>
        <w:tc>
          <w:tcPr>
            <w:tcW w:w="809" w:type="pct"/>
            <w:tcBorders>
              <w:tl2br w:val="nil"/>
              <w:tr2bl w:val="nil"/>
            </w:tcBorders>
            <w:vAlign w:val="center"/>
          </w:tcPr>
          <w:p w14:paraId="63BFFFB1">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cs="Times New Roman"/>
                <w:b/>
                <w:color w:val="auto"/>
                <w:kern w:val="0"/>
                <w:sz w:val="21"/>
                <w:szCs w:val="21"/>
                <w:highlight w:val="none"/>
                <w:lang w:val="en-US" w:eastAsia="zh-CN" w:bidi="ar"/>
              </w:rPr>
            </w:pPr>
            <w:r>
              <w:rPr>
                <w:rFonts w:hint="default" w:cs="Times New Roman"/>
                <w:b/>
                <w:color w:val="auto"/>
                <w:kern w:val="0"/>
                <w:sz w:val="21"/>
                <w:szCs w:val="21"/>
                <w:highlight w:val="none"/>
                <w:lang w:val="en-US" w:eastAsia="zh-CN" w:bidi="ar"/>
              </w:rPr>
              <w:t>T6</w:t>
            </w:r>
          </w:p>
        </w:tc>
        <w:tc>
          <w:tcPr>
            <w:tcW w:w="599" w:type="pct"/>
            <w:vMerge w:val="continue"/>
            <w:tcBorders>
              <w:tl2br w:val="nil"/>
              <w:tr2bl w:val="nil"/>
            </w:tcBorders>
            <w:vAlign w:val="center"/>
          </w:tcPr>
          <w:p w14:paraId="147881BF">
            <w:pPr>
              <w:keepNext w:val="0"/>
              <w:keepLines w:val="0"/>
              <w:pageBreakBefore w:val="0"/>
              <w:widowControl/>
              <w:kinsoku/>
              <w:wordWrap/>
              <w:overflowPunct/>
              <w:topLinePunct w:val="0"/>
              <w:autoSpaceDE/>
              <w:autoSpaceDN/>
              <w:bidi w:val="0"/>
              <w:adjustRightInd/>
              <w:spacing w:line="360" w:lineRule="exact"/>
              <w:ind w:left="0" w:firstLine="0" w:firstLineChars="0"/>
              <w:jc w:val="center"/>
              <w:textAlignment w:val="center"/>
              <w:rPr>
                <w:rFonts w:hint="default" w:ascii="Times New Roman" w:hAnsi="Times New Roman" w:cs="Times New Roman"/>
                <w:b/>
                <w:color w:val="auto"/>
                <w:kern w:val="0"/>
                <w:sz w:val="21"/>
                <w:szCs w:val="21"/>
                <w:highlight w:val="none"/>
                <w:lang w:bidi="ar"/>
              </w:rPr>
            </w:pPr>
          </w:p>
        </w:tc>
      </w:tr>
      <w:tr w14:paraId="4E86C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15251B9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氯乙烯*</w:t>
            </w:r>
          </w:p>
        </w:tc>
        <w:tc>
          <w:tcPr>
            <w:tcW w:w="574" w:type="pct"/>
            <w:tcBorders>
              <w:tl2br w:val="nil"/>
              <w:tr2bl w:val="nil"/>
            </w:tcBorders>
            <w:shd w:val="clear" w:color="auto" w:fill="auto"/>
            <w:vAlign w:val="center"/>
          </w:tcPr>
          <w:p w14:paraId="3908262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6D4973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2FBD0C1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516829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6A868F6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2CCB0C27">
            <w:pPr>
              <w:pStyle w:val="24"/>
              <w:keepNext w:val="0"/>
              <w:keepLines w:val="0"/>
              <w:pageBreakBefore w:val="0"/>
              <w:kinsoku/>
              <w:wordWrap/>
              <w:overflowPunct/>
              <w:topLinePunct w:val="0"/>
              <w:autoSpaceDE/>
              <w:autoSpaceDN/>
              <w:bidi w:val="0"/>
              <w:adjustRightInd/>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0.43</w:t>
            </w:r>
          </w:p>
        </w:tc>
      </w:tr>
      <w:tr w14:paraId="03505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103EF1EB">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1,1-二氯乙</w:t>
            </w:r>
            <w:r>
              <w:rPr>
                <w:rFonts w:hint="default" w:ascii="Times New Roman" w:hAnsi="Times New Roman" w:cs="Times New Roman"/>
                <w:color w:val="auto"/>
                <w:sz w:val="21"/>
                <w:szCs w:val="21"/>
                <w:highlight w:val="none"/>
                <w:lang w:val="en-US" w:eastAsia="zh-CN"/>
              </w:rPr>
              <w:t>烯*</w:t>
            </w:r>
          </w:p>
        </w:tc>
        <w:tc>
          <w:tcPr>
            <w:tcW w:w="574" w:type="pct"/>
            <w:tcBorders>
              <w:tl2br w:val="nil"/>
              <w:tr2bl w:val="nil"/>
            </w:tcBorders>
            <w:shd w:val="clear" w:color="auto" w:fill="auto"/>
            <w:vAlign w:val="center"/>
          </w:tcPr>
          <w:p w14:paraId="58D6A78D">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AA83A6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C95269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CDC989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539BAF7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1DCEDDF5">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66</w:t>
            </w:r>
          </w:p>
        </w:tc>
      </w:tr>
      <w:tr w14:paraId="18238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5F3B2CD4">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二氯甲烷*</w:t>
            </w:r>
          </w:p>
        </w:tc>
        <w:tc>
          <w:tcPr>
            <w:tcW w:w="574" w:type="pct"/>
            <w:tcBorders>
              <w:tl2br w:val="nil"/>
              <w:tr2bl w:val="nil"/>
            </w:tcBorders>
            <w:shd w:val="clear" w:color="auto" w:fill="auto"/>
            <w:vAlign w:val="center"/>
          </w:tcPr>
          <w:p w14:paraId="7E28897B">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691B1B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7A350B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2620FB4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1943585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35A5FCBE">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616</w:t>
            </w:r>
          </w:p>
        </w:tc>
      </w:tr>
      <w:tr w14:paraId="5194B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112B8D6A">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反-1,2-二氯乙烯*</w:t>
            </w:r>
          </w:p>
        </w:tc>
        <w:tc>
          <w:tcPr>
            <w:tcW w:w="574" w:type="pct"/>
            <w:tcBorders>
              <w:tl2br w:val="nil"/>
              <w:tr2bl w:val="nil"/>
            </w:tcBorders>
            <w:shd w:val="clear" w:color="auto" w:fill="auto"/>
            <w:vAlign w:val="center"/>
          </w:tcPr>
          <w:p w14:paraId="4757A2A6">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52804FB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A6AA4F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2DAAD2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6C085B5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1982028F">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54</w:t>
            </w:r>
          </w:p>
        </w:tc>
      </w:tr>
      <w:tr w14:paraId="25C66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1305EFA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1,1-二氯乙烷*</w:t>
            </w:r>
          </w:p>
        </w:tc>
        <w:tc>
          <w:tcPr>
            <w:tcW w:w="574" w:type="pct"/>
            <w:tcBorders>
              <w:tl2br w:val="nil"/>
              <w:tr2bl w:val="nil"/>
            </w:tcBorders>
            <w:shd w:val="clear" w:color="auto" w:fill="auto"/>
            <w:vAlign w:val="center"/>
          </w:tcPr>
          <w:p w14:paraId="6FAA68D6">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52C4A24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FAE822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6C7914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41A9A8A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7CF1DE44">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9</w:t>
            </w:r>
          </w:p>
        </w:tc>
      </w:tr>
      <w:tr w14:paraId="7D24D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44392CEE">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顺-1,2-二氯乙烯*</w:t>
            </w:r>
          </w:p>
        </w:tc>
        <w:tc>
          <w:tcPr>
            <w:tcW w:w="574" w:type="pct"/>
            <w:tcBorders>
              <w:tl2br w:val="nil"/>
              <w:tr2bl w:val="nil"/>
            </w:tcBorders>
            <w:shd w:val="clear" w:color="auto" w:fill="auto"/>
            <w:vAlign w:val="center"/>
          </w:tcPr>
          <w:p w14:paraId="28CA1F86">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E58C64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0CC806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8878C0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60B4BC5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62D6205E">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596</w:t>
            </w:r>
          </w:p>
        </w:tc>
      </w:tr>
      <w:tr w14:paraId="7CBF1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5702BA0">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氯仿*</w:t>
            </w:r>
          </w:p>
        </w:tc>
        <w:tc>
          <w:tcPr>
            <w:tcW w:w="574" w:type="pct"/>
            <w:tcBorders>
              <w:tl2br w:val="nil"/>
              <w:tr2bl w:val="nil"/>
            </w:tcBorders>
            <w:shd w:val="clear" w:color="auto" w:fill="auto"/>
            <w:vAlign w:val="center"/>
          </w:tcPr>
          <w:p w14:paraId="16CFE536">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3213A39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A9D1AD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4DA8FDE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2644CD6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39584E6B">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0.9</w:t>
            </w:r>
          </w:p>
        </w:tc>
      </w:tr>
      <w:tr w14:paraId="4D765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2F403B85">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1,1,1-三氯乙烷*</w:t>
            </w:r>
          </w:p>
        </w:tc>
        <w:tc>
          <w:tcPr>
            <w:tcW w:w="574" w:type="pct"/>
            <w:tcBorders>
              <w:tl2br w:val="nil"/>
              <w:tr2bl w:val="nil"/>
            </w:tcBorders>
            <w:shd w:val="clear" w:color="auto" w:fill="auto"/>
            <w:vAlign w:val="center"/>
          </w:tcPr>
          <w:p w14:paraId="07D67E3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615779D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071580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A91028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3FE1F85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6CD74746">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840</w:t>
            </w:r>
          </w:p>
        </w:tc>
      </w:tr>
      <w:tr w14:paraId="46446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4A7DE91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四氯化碳*</w:t>
            </w:r>
          </w:p>
        </w:tc>
        <w:tc>
          <w:tcPr>
            <w:tcW w:w="574" w:type="pct"/>
            <w:tcBorders>
              <w:tl2br w:val="nil"/>
              <w:tr2bl w:val="nil"/>
            </w:tcBorders>
            <w:shd w:val="clear" w:color="auto" w:fill="auto"/>
            <w:vAlign w:val="center"/>
          </w:tcPr>
          <w:p w14:paraId="6D1E462F">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6820CA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8809BC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8ECAA2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0CEF04D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25B5F61C">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2.8</w:t>
            </w:r>
          </w:p>
        </w:tc>
      </w:tr>
      <w:tr w14:paraId="29208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2C36376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1,2-二氯乙烷*</w:t>
            </w:r>
          </w:p>
        </w:tc>
        <w:tc>
          <w:tcPr>
            <w:tcW w:w="574" w:type="pct"/>
            <w:tcBorders>
              <w:tl2br w:val="nil"/>
              <w:tr2bl w:val="nil"/>
            </w:tcBorders>
            <w:shd w:val="clear" w:color="auto" w:fill="auto"/>
            <w:vAlign w:val="center"/>
          </w:tcPr>
          <w:p w14:paraId="0B9FDFCE">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4EF1CBA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F36848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4FF861F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0267713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11E96DE6">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9</w:t>
            </w:r>
          </w:p>
        </w:tc>
      </w:tr>
      <w:tr w14:paraId="5175E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792BCD02">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苯*</w:t>
            </w:r>
          </w:p>
        </w:tc>
        <w:tc>
          <w:tcPr>
            <w:tcW w:w="574" w:type="pct"/>
            <w:tcBorders>
              <w:tl2br w:val="nil"/>
              <w:tr2bl w:val="nil"/>
            </w:tcBorders>
            <w:shd w:val="clear" w:color="auto" w:fill="auto"/>
            <w:vAlign w:val="center"/>
          </w:tcPr>
          <w:p w14:paraId="1B18562E">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4A10D8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EA2D0E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2DB962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1E2D791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7B38A71A">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4</w:t>
            </w:r>
          </w:p>
        </w:tc>
      </w:tr>
      <w:tr w14:paraId="3205F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1CDCB760">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三氯乙烯*</w:t>
            </w:r>
          </w:p>
        </w:tc>
        <w:tc>
          <w:tcPr>
            <w:tcW w:w="574" w:type="pct"/>
            <w:tcBorders>
              <w:tl2br w:val="nil"/>
              <w:tr2bl w:val="nil"/>
            </w:tcBorders>
            <w:shd w:val="clear" w:color="auto" w:fill="auto"/>
            <w:vAlign w:val="center"/>
          </w:tcPr>
          <w:p w14:paraId="3386C6C0">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601B8C3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691E10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ED54B7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6B9C569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48B8CF4E">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2.8</w:t>
            </w:r>
          </w:p>
        </w:tc>
      </w:tr>
      <w:tr w14:paraId="7C75A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05ABF1B">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1,2-二氯丙烷*</w:t>
            </w:r>
          </w:p>
        </w:tc>
        <w:tc>
          <w:tcPr>
            <w:tcW w:w="574" w:type="pct"/>
            <w:tcBorders>
              <w:tl2br w:val="nil"/>
              <w:tr2bl w:val="nil"/>
            </w:tcBorders>
            <w:shd w:val="clear" w:color="auto" w:fill="auto"/>
            <w:vAlign w:val="center"/>
          </w:tcPr>
          <w:p w14:paraId="58249AD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0A8BE27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C8BBF0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40A5E4F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27FE769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690EBFB6">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5</w:t>
            </w:r>
          </w:p>
        </w:tc>
      </w:tr>
      <w:tr w14:paraId="4DED2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623DC28F">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甲苯 *</w:t>
            </w:r>
          </w:p>
        </w:tc>
        <w:tc>
          <w:tcPr>
            <w:tcW w:w="574" w:type="pct"/>
            <w:tcBorders>
              <w:tl2br w:val="nil"/>
              <w:tr2bl w:val="nil"/>
            </w:tcBorders>
            <w:shd w:val="clear" w:color="auto" w:fill="auto"/>
            <w:vAlign w:val="center"/>
          </w:tcPr>
          <w:p w14:paraId="6E175D7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0E00F09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2B9295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A90030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5DF145A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319B9BA8">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1200</w:t>
            </w:r>
          </w:p>
        </w:tc>
      </w:tr>
      <w:tr w14:paraId="290E2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5D1DA766">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1,1,2-三氯乙烷*</w:t>
            </w:r>
          </w:p>
        </w:tc>
        <w:tc>
          <w:tcPr>
            <w:tcW w:w="574" w:type="pct"/>
            <w:tcBorders>
              <w:tl2br w:val="nil"/>
              <w:tr2bl w:val="nil"/>
            </w:tcBorders>
            <w:shd w:val="clear" w:color="auto" w:fill="auto"/>
            <w:vAlign w:val="center"/>
          </w:tcPr>
          <w:p w14:paraId="0C27C5D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731BEE5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81627E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7F33E4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558B9C7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70F347F7">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2.8</w:t>
            </w:r>
          </w:p>
        </w:tc>
      </w:tr>
      <w:tr w14:paraId="0C96B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5CCE051A">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四氯乙烯*</w:t>
            </w:r>
          </w:p>
        </w:tc>
        <w:tc>
          <w:tcPr>
            <w:tcW w:w="574" w:type="pct"/>
            <w:tcBorders>
              <w:tl2br w:val="nil"/>
              <w:tr2bl w:val="nil"/>
            </w:tcBorders>
            <w:shd w:val="clear" w:color="auto" w:fill="auto"/>
            <w:vAlign w:val="center"/>
          </w:tcPr>
          <w:p w14:paraId="3605474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372CE1F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7996C9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E01AFE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54C634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4DB24E6C">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53</w:t>
            </w:r>
          </w:p>
        </w:tc>
      </w:tr>
      <w:tr w14:paraId="6BC4C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59D1DBE9">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氯苯</w:t>
            </w:r>
            <w:r>
              <w:rPr>
                <w:rFonts w:hint="default" w:ascii="Times New Roman" w:hAnsi="Times New Roman" w:cs="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4305704B">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3220D96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4C5DACE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2D0633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49418F1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0C5EE59E">
            <w:pPr>
              <w:keepNext w:val="0"/>
              <w:keepLines w:val="0"/>
              <w:pageBreakBefore w:val="0"/>
              <w:kinsoku/>
              <w:wordWrap/>
              <w:overflowPunct/>
              <w:topLinePunct w:val="0"/>
              <w:autoSpaceDE/>
              <w:autoSpaceDN/>
              <w:bidi w:val="0"/>
              <w:adjustRightInd/>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270</w:t>
            </w:r>
          </w:p>
        </w:tc>
      </w:tr>
      <w:tr w14:paraId="5C3B2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94E6BFA">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1,1,1,2-四氯乙烷*</w:t>
            </w:r>
          </w:p>
        </w:tc>
        <w:tc>
          <w:tcPr>
            <w:tcW w:w="574" w:type="pct"/>
            <w:tcBorders>
              <w:tl2br w:val="nil"/>
              <w:tr2bl w:val="nil"/>
            </w:tcBorders>
            <w:shd w:val="clear" w:color="auto" w:fill="auto"/>
            <w:vAlign w:val="center"/>
          </w:tcPr>
          <w:p w14:paraId="45C3C12E">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6B59B23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7A0BB8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20F47C4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670B766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50DD4F1C">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10</w:t>
            </w:r>
          </w:p>
        </w:tc>
      </w:tr>
      <w:tr w14:paraId="0B844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6B55016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乙苯</w:t>
            </w:r>
            <w:r>
              <w:rPr>
                <w:rFonts w:hint="default" w:ascii="Times New Roman" w:hAnsi="Times New Roman" w:cs="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0C76A3AB">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0DA01D2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888919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701448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036027F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1CED9C2F">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28</w:t>
            </w:r>
          </w:p>
        </w:tc>
      </w:tr>
      <w:tr w14:paraId="0CCD5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4B599EE5">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间,对-二甲苯*</w:t>
            </w:r>
          </w:p>
        </w:tc>
        <w:tc>
          <w:tcPr>
            <w:tcW w:w="574" w:type="pct"/>
            <w:tcBorders>
              <w:tl2br w:val="nil"/>
              <w:tr2bl w:val="nil"/>
            </w:tcBorders>
            <w:shd w:val="clear" w:color="auto" w:fill="auto"/>
            <w:vAlign w:val="center"/>
          </w:tcPr>
          <w:p w14:paraId="7A3BF7BD">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4C277E4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D67987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D45FBA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315D62D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37046993">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570</w:t>
            </w:r>
          </w:p>
        </w:tc>
      </w:tr>
      <w:tr w14:paraId="7FB11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50BA501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邻-二甲苯*</w:t>
            </w:r>
          </w:p>
        </w:tc>
        <w:tc>
          <w:tcPr>
            <w:tcW w:w="574" w:type="pct"/>
            <w:tcBorders>
              <w:tl2br w:val="nil"/>
              <w:tr2bl w:val="nil"/>
            </w:tcBorders>
            <w:shd w:val="clear" w:color="auto" w:fill="auto"/>
            <w:vAlign w:val="center"/>
          </w:tcPr>
          <w:p w14:paraId="79AF5AE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3ACCCA3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94C994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387350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5561F85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570BE03A">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640</w:t>
            </w:r>
          </w:p>
        </w:tc>
      </w:tr>
      <w:tr w14:paraId="4AE5E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08671EE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苯乙烯</w:t>
            </w:r>
            <w:r>
              <w:rPr>
                <w:rFonts w:hint="default" w:ascii="Times New Roman" w:hAnsi="Times New Roman" w:cs="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47C6AB1F">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1DF69F1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404A7A5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98758C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3B57E4D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07FA376B">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1290</w:t>
            </w:r>
          </w:p>
        </w:tc>
      </w:tr>
      <w:tr w14:paraId="3ECAE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59F90DCF">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1,1,2,2-四氯乙烷*</w:t>
            </w:r>
          </w:p>
        </w:tc>
        <w:tc>
          <w:tcPr>
            <w:tcW w:w="574" w:type="pct"/>
            <w:tcBorders>
              <w:tl2br w:val="nil"/>
              <w:tr2bl w:val="nil"/>
            </w:tcBorders>
            <w:shd w:val="clear" w:color="auto" w:fill="auto"/>
            <w:vAlign w:val="center"/>
          </w:tcPr>
          <w:p w14:paraId="45A047B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3F040F2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A24A77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4358C1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128FDCF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7A66B130">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6.8</w:t>
            </w:r>
          </w:p>
        </w:tc>
      </w:tr>
      <w:tr w14:paraId="45619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60B076A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1,2,3-三氯丙烷*</w:t>
            </w:r>
          </w:p>
        </w:tc>
        <w:tc>
          <w:tcPr>
            <w:tcW w:w="574" w:type="pct"/>
            <w:tcBorders>
              <w:tl2br w:val="nil"/>
              <w:tr2bl w:val="nil"/>
            </w:tcBorders>
            <w:shd w:val="clear" w:color="auto" w:fill="auto"/>
            <w:vAlign w:val="center"/>
          </w:tcPr>
          <w:p w14:paraId="1818894A">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4BC679A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3C7BF9E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F43B3A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00BB131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21D759AB">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0.5</w:t>
            </w:r>
          </w:p>
        </w:tc>
      </w:tr>
      <w:tr w14:paraId="5A020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0C4A04D4">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1,4-二氯苯*</w:t>
            </w:r>
          </w:p>
        </w:tc>
        <w:tc>
          <w:tcPr>
            <w:tcW w:w="574" w:type="pct"/>
            <w:tcBorders>
              <w:tl2br w:val="nil"/>
              <w:tr2bl w:val="nil"/>
            </w:tcBorders>
            <w:shd w:val="clear" w:color="auto" w:fill="auto"/>
            <w:vAlign w:val="center"/>
          </w:tcPr>
          <w:p w14:paraId="22BA920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3504976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4EE308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0A1837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2065786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28EAFD80">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20</w:t>
            </w:r>
          </w:p>
        </w:tc>
      </w:tr>
      <w:tr w14:paraId="7946C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437C121D">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1,2-二氯苯*</w:t>
            </w:r>
          </w:p>
        </w:tc>
        <w:tc>
          <w:tcPr>
            <w:tcW w:w="574" w:type="pct"/>
            <w:tcBorders>
              <w:tl2br w:val="nil"/>
              <w:tr2bl w:val="nil"/>
            </w:tcBorders>
            <w:shd w:val="clear" w:color="auto" w:fill="auto"/>
            <w:vAlign w:val="center"/>
          </w:tcPr>
          <w:p w14:paraId="6A0ACD4D">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1E723F4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C903D8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214D235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67E0737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15D85940">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560</w:t>
            </w:r>
          </w:p>
        </w:tc>
      </w:tr>
      <w:tr w14:paraId="11B3F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6D293C82">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氯甲烷*</w:t>
            </w:r>
          </w:p>
        </w:tc>
        <w:tc>
          <w:tcPr>
            <w:tcW w:w="574" w:type="pct"/>
            <w:tcBorders>
              <w:tl2br w:val="nil"/>
              <w:tr2bl w:val="nil"/>
            </w:tcBorders>
            <w:shd w:val="clear" w:color="auto" w:fill="auto"/>
            <w:vAlign w:val="center"/>
          </w:tcPr>
          <w:p w14:paraId="6B989300">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eastAsia="zh-CN"/>
              </w:rPr>
              <w:t>μ</w:t>
            </w:r>
            <w:r>
              <w:rPr>
                <w:rFonts w:hint="default" w:ascii="Times New Roman" w:hAnsi="Times New Roman" w:cs="Times New Roman"/>
                <w:color w:val="auto"/>
                <w:kern w:val="0"/>
                <w:sz w:val="21"/>
                <w:szCs w:val="21"/>
                <w:highlight w:val="none"/>
              </w:rPr>
              <w:t>g/</w:t>
            </w:r>
            <w:r>
              <w:rPr>
                <w:rFonts w:hint="default" w:ascii="Times New Roman" w:hAnsi="Times New Roman" w:cs="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46575B1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23723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04C1EE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7545018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02797ED5">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37</w:t>
            </w:r>
          </w:p>
        </w:tc>
      </w:tr>
      <w:tr w14:paraId="74EF4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5AB0551A">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硝基苯*</w:t>
            </w:r>
          </w:p>
        </w:tc>
        <w:tc>
          <w:tcPr>
            <w:tcW w:w="574" w:type="pct"/>
            <w:tcBorders>
              <w:tl2br w:val="nil"/>
              <w:tr2bl w:val="nil"/>
            </w:tcBorders>
            <w:shd w:val="clear" w:color="auto" w:fill="auto"/>
            <w:vAlign w:val="center"/>
          </w:tcPr>
          <w:p w14:paraId="0D428175">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7D600E0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931767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9B87F4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7657A8A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5F2ECC56">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76</w:t>
            </w:r>
          </w:p>
        </w:tc>
      </w:tr>
      <w:tr w14:paraId="78902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2852CAA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苯胺</w:t>
            </w:r>
            <w:r>
              <w:rPr>
                <w:rFonts w:hint="default" w:ascii="Times New Roman" w:hAnsi="Times New Roman" w:cs="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4F529F0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EA254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797194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2CD367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1DB14B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7D1A5004">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260</w:t>
            </w:r>
          </w:p>
        </w:tc>
      </w:tr>
      <w:tr w14:paraId="27C5F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006DD702">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2-氯</w:t>
            </w:r>
            <w:r>
              <w:rPr>
                <w:rFonts w:hint="default" w:ascii="Times New Roman" w:hAnsi="Times New Roman" w:cs="Times New Roman"/>
                <w:color w:val="auto"/>
                <w:sz w:val="21"/>
                <w:szCs w:val="21"/>
                <w:highlight w:val="none"/>
                <w:lang w:val="en-US" w:eastAsia="zh-CN"/>
              </w:rPr>
              <w:t>苯</w:t>
            </w:r>
            <w:r>
              <w:rPr>
                <w:rFonts w:hint="default" w:ascii="Times New Roman" w:hAnsi="Times New Roman" w:eastAsia="宋体" w:cs="Times New Roman"/>
                <w:color w:val="auto"/>
                <w:sz w:val="21"/>
                <w:szCs w:val="21"/>
                <w:highlight w:val="none"/>
                <w:lang w:val="en-US" w:eastAsia="zh-CN"/>
              </w:rPr>
              <w:t>酚*</w:t>
            </w:r>
          </w:p>
        </w:tc>
        <w:tc>
          <w:tcPr>
            <w:tcW w:w="574" w:type="pct"/>
            <w:tcBorders>
              <w:tl2br w:val="nil"/>
              <w:tr2bl w:val="nil"/>
            </w:tcBorders>
            <w:shd w:val="clear" w:color="auto" w:fill="auto"/>
            <w:vAlign w:val="center"/>
          </w:tcPr>
          <w:p w14:paraId="791A51EC">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485A2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AC89EC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353CD8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5C96653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7763ADAF">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2256</w:t>
            </w:r>
          </w:p>
        </w:tc>
      </w:tr>
      <w:tr w14:paraId="366DE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1C5066B4">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苯并[a]蒽*</w:t>
            </w:r>
          </w:p>
        </w:tc>
        <w:tc>
          <w:tcPr>
            <w:tcW w:w="574" w:type="pct"/>
            <w:tcBorders>
              <w:tl2br w:val="nil"/>
              <w:tr2bl w:val="nil"/>
            </w:tcBorders>
            <w:shd w:val="clear" w:color="auto" w:fill="auto"/>
            <w:vAlign w:val="center"/>
          </w:tcPr>
          <w:p w14:paraId="1887579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3314DD2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D8F047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55F561D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2AF0C25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43AC1F12">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15</w:t>
            </w:r>
          </w:p>
        </w:tc>
      </w:tr>
      <w:tr w14:paraId="38234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28A9E3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苯并[a]芘 *</w:t>
            </w:r>
          </w:p>
        </w:tc>
        <w:tc>
          <w:tcPr>
            <w:tcW w:w="574" w:type="pct"/>
            <w:tcBorders>
              <w:tl2br w:val="nil"/>
              <w:tr2bl w:val="nil"/>
            </w:tcBorders>
            <w:shd w:val="clear" w:color="auto" w:fill="auto"/>
            <w:vAlign w:val="center"/>
          </w:tcPr>
          <w:p w14:paraId="5A877522">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10B4337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2B4DD88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44F9407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5CB6F61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435C9941">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1.5</w:t>
            </w:r>
          </w:p>
        </w:tc>
      </w:tr>
      <w:tr w14:paraId="554B8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38E444F">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苯并[b]荧蒽*</w:t>
            </w:r>
          </w:p>
        </w:tc>
        <w:tc>
          <w:tcPr>
            <w:tcW w:w="574" w:type="pct"/>
            <w:tcBorders>
              <w:tl2br w:val="nil"/>
              <w:tr2bl w:val="nil"/>
            </w:tcBorders>
            <w:shd w:val="clear" w:color="auto" w:fill="auto"/>
            <w:vAlign w:val="center"/>
          </w:tcPr>
          <w:p w14:paraId="5D63D4D2">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45AC78F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AB55C2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057672A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48205A0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601FFFD2">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15</w:t>
            </w:r>
          </w:p>
        </w:tc>
      </w:tr>
      <w:tr w14:paraId="5FCB0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2A04ACAA">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苯并[k]荧蒽*</w:t>
            </w:r>
          </w:p>
        </w:tc>
        <w:tc>
          <w:tcPr>
            <w:tcW w:w="574" w:type="pct"/>
            <w:tcBorders>
              <w:tl2br w:val="nil"/>
              <w:tr2bl w:val="nil"/>
            </w:tcBorders>
            <w:shd w:val="clear" w:color="auto" w:fill="auto"/>
            <w:vAlign w:val="center"/>
          </w:tcPr>
          <w:p w14:paraId="4EB1F9B6">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43DAF59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E2F6D9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01ED2F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32A1A25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36DD5A6D">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151</w:t>
            </w:r>
          </w:p>
        </w:tc>
      </w:tr>
      <w:tr w14:paraId="7C170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67C5C21F">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䓛*</w:t>
            </w:r>
          </w:p>
        </w:tc>
        <w:tc>
          <w:tcPr>
            <w:tcW w:w="574" w:type="pct"/>
            <w:tcBorders>
              <w:tl2br w:val="nil"/>
              <w:tr2bl w:val="nil"/>
            </w:tcBorders>
            <w:shd w:val="clear" w:color="auto" w:fill="auto"/>
            <w:vAlign w:val="center"/>
          </w:tcPr>
          <w:p w14:paraId="56C0F9A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024FAE9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A15DDD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019C8C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115B6A6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3B230A8E">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1293</w:t>
            </w:r>
          </w:p>
        </w:tc>
      </w:tr>
      <w:tr w14:paraId="115D2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4E432985">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二苯并[a,h]蒽*</w:t>
            </w:r>
          </w:p>
        </w:tc>
        <w:tc>
          <w:tcPr>
            <w:tcW w:w="574" w:type="pct"/>
            <w:tcBorders>
              <w:tl2br w:val="nil"/>
              <w:tr2bl w:val="nil"/>
            </w:tcBorders>
            <w:shd w:val="clear" w:color="auto" w:fill="auto"/>
            <w:vAlign w:val="center"/>
          </w:tcPr>
          <w:p w14:paraId="4F5507B5">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69D83DF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F7D2E1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615F535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3B575C1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60AF9E7D">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1.5</w:t>
            </w:r>
          </w:p>
        </w:tc>
      </w:tr>
      <w:tr w14:paraId="2DD6D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A39914E">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茚并[1,2,3-cd]芘*</w:t>
            </w:r>
          </w:p>
        </w:tc>
        <w:tc>
          <w:tcPr>
            <w:tcW w:w="574" w:type="pct"/>
            <w:tcBorders>
              <w:tl2br w:val="nil"/>
              <w:tr2bl w:val="nil"/>
            </w:tcBorders>
            <w:shd w:val="clear" w:color="auto" w:fill="auto"/>
            <w:vAlign w:val="center"/>
          </w:tcPr>
          <w:p w14:paraId="7E1DDB52">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AE9320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23082AA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CCB1E6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4A4198C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2FB26850">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15</w:t>
            </w:r>
          </w:p>
        </w:tc>
      </w:tr>
      <w:tr w14:paraId="2B4E2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6C736FFA">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olor w:val="auto"/>
                <w:sz w:val="21"/>
                <w:szCs w:val="21"/>
                <w:highlight w:val="none"/>
                <w:lang w:val="en-US" w:eastAsia="zh-CN"/>
              </w:rPr>
              <w:t>萘*</w:t>
            </w:r>
          </w:p>
        </w:tc>
        <w:tc>
          <w:tcPr>
            <w:tcW w:w="574" w:type="pct"/>
            <w:tcBorders>
              <w:tl2br w:val="nil"/>
              <w:tr2bl w:val="nil"/>
            </w:tcBorders>
            <w:shd w:val="clear" w:color="auto" w:fill="auto"/>
            <w:vAlign w:val="center"/>
          </w:tcPr>
          <w:p w14:paraId="20CF64EE">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5A65D1F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1077776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58" w:type="pct"/>
            <w:tcBorders>
              <w:tl2br w:val="nil"/>
              <w:tr2bl w:val="nil"/>
            </w:tcBorders>
            <w:shd w:val="clear" w:color="auto" w:fill="auto"/>
            <w:vAlign w:val="center"/>
          </w:tcPr>
          <w:p w14:paraId="75663E5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809" w:type="pct"/>
            <w:tcBorders>
              <w:tl2br w:val="nil"/>
              <w:tr2bl w:val="nil"/>
            </w:tcBorders>
            <w:shd w:val="clear" w:color="auto" w:fill="auto"/>
            <w:vAlign w:val="center"/>
          </w:tcPr>
          <w:p w14:paraId="25530C9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ND</w:t>
            </w:r>
          </w:p>
        </w:tc>
        <w:tc>
          <w:tcPr>
            <w:tcW w:w="599" w:type="pct"/>
            <w:tcBorders>
              <w:tl2br w:val="nil"/>
              <w:tr2bl w:val="nil"/>
            </w:tcBorders>
            <w:vAlign w:val="center"/>
          </w:tcPr>
          <w:p w14:paraId="68610C0C">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70</w:t>
            </w:r>
          </w:p>
        </w:tc>
      </w:tr>
      <w:tr w14:paraId="33752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27DA80E5">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olor w:val="auto"/>
                <w:sz w:val="21"/>
                <w:szCs w:val="21"/>
                <w:highlight w:val="none"/>
                <w:lang w:eastAsia="zh-CN"/>
              </w:rPr>
              <w:t>砷</w:t>
            </w:r>
            <w:r>
              <w:rPr>
                <w:rFonts w:hint="default" w:ascii="Times New Roman" w:hAnsi="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3017C8ED">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2BFE503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4.95</w:t>
            </w:r>
          </w:p>
        </w:tc>
        <w:tc>
          <w:tcPr>
            <w:tcW w:w="558" w:type="pct"/>
            <w:tcBorders>
              <w:tl2br w:val="nil"/>
              <w:tr2bl w:val="nil"/>
            </w:tcBorders>
            <w:shd w:val="clear" w:color="auto" w:fill="auto"/>
            <w:vAlign w:val="center"/>
          </w:tcPr>
          <w:p w14:paraId="6CB8B5B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4.30</w:t>
            </w:r>
          </w:p>
        </w:tc>
        <w:tc>
          <w:tcPr>
            <w:tcW w:w="558" w:type="pct"/>
            <w:tcBorders>
              <w:tl2br w:val="nil"/>
              <w:tr2bl w:val="nil"/>
            </w:tcBorders>
            <w:shd w:val="clear" w:color="auto" w:fill="auto"/>
            <w:vAlign w:val="center"/>
          </w:tcPr>
          <w:p w14:paraId="669044C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4.18</w:t>
            </w:r>
          </w:p>
        </w:tc>
        <w:tc>
          <w:tcPr>
            <w:tcW w:w="809" w:type="pct"/>
            <w:tcBorders>
              <w:tl2br w:val="nil"/>
              <w:tr2bl w:val="nil"/>
            </w:tcBorders>
            <w:shd w:val="clear" w:color="auto" w:fill="auto"/>
            <w:vAlign w:val="center"/>
          </w:tcPr>
          <w:p w14:paraId="4E6FAD7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7.78</w:t>
            </w:r>
          </w:p>
        </w:tc>
        <w:tc>
          <w:tcPr>
            <w:tcW w:w="599" w:type="pct"/>
            <w:tcBorders>
              <w:tl2br w:val="nil"/>
              <w:tr2bl w:val="nil"/>
            </w:tcBorders>
            <w:vAlign w:val="center"/>
          </w:tcPr>
          <w:p w14:paraId="0165E64E">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60</w:t>
            </w:r>
          </w:p>
        </w:tc>
      </w:tr>
      <w:tr w14:paraId="61791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2C54DCC3">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olor w:val="auto"/>
                <w:sz w:val="21"/>
                <w:szCs w:val="21"/>
                <w:highlight w:val="none"/>
                <w:lang w:eastAsia="zh-CN"/>
              </w:rPr>
              <w:t>铅</w:t>
            </w:r>
            <w:r>
              <w:rPr>
                <w:rFonts w:hint="default" w:ascii="Times New Roman" w:hAnsi="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1486F504">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7CDB199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23.9</w:t>
            </w:r>
          </w:p>
        </w:tc>
        <w:tc>
          <w:tcPr>
            <w:tcW w:w="558" w:type="pct"/>
            <w:tcBorders>
              <w:tl2br w:val="nil"/>
              <w:tr2bl w:val="nil"/>
            </w:tcBorders>
            <w:shd w:val="clear" w:color="auto" w:fill="auto"/>
            <w:vAlign w:val="center"/>
          </w:tcPr>
          <w:p w14:paraId="0C98D70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19.5</w:t>
            </w:r>
          </w:p>
        </w:tc>
        <w:tc>
          <w:tcPr>
            <w:tcW w:w="558" w:type="pct"/>
            <w:tcBorders>
              <w:tl2br w:val="nil"/>
              <w:tr2bl w:val="nil"/>
            </w:tcBorders>
            <w:shd w:val="clear" w:color="auto" w:fill="auto"/>
            <w:vAlign w:val="center"/>
          </w:tcPr>
          <w:p w14:paraId="49E0B1A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18.2</w:t>
            </w:r>
          </w:p>
        </w:tc>
        <w:tc>
          <w:tcPr>
            <w:tcW w:w="809" w:type="pct"/>
            <w:tcBorders>
              <w:tl2br w:val="nil"/>
              <w:tr2bl w:val="nil"/>
            </w:tcBorders>
            <w:shd w:val="clear" w:color="auto" w:fill="auto"/>
            <w:vAlign w:val="center"/>
          </w:tcPr>
          <w:p w14:paraId="733E8C1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16.3</w:t>
            </w:r>
          </w:p>
        </w:tc>
        <w:tc>
          <w:tcPr>
            <w:tcW w:w="599" w:type="pct"/>
            <w:tcBorders>
              <w:tl2br w:val="nil"/>
              <w:tr2bl w:val="nil"/>
            </w:tcBorders>
            <w:vAlign w:val="center"/>
          </w:tcPr>
          <w:p w14:paraId="020AB331">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800</w:t>
            </w:r>
          </w:p>
        </w:tc>
      </w:tr>
      <w:tr w14:paraId="70099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B40D199">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olor w:val="auto"/>
                <w:sz w:val="21"/>
                <w:szCs w:val="21"/>
                <w:highlight w:val="none"/>
                <w:lang w:eastAsia="zh-CN"/>
              </w:rPr>
              <w:t>汞</w:t>
            </w:r>
            <w:r>
              <w:rPr>
                <w:rFonts w:hint="default" w:ascii="Times New Roman" w:hAnsi="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233E5446">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0981A7F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0.033</w:t>
            </w:r>
          </w:p>
        </w:tc>
        <w:tc>
          <w:tcPr>
            <w:tcW w:w="558" w:type="pct"/>
            <w:tcBorders>
              <w:tl2br w:val="nil"/>
              <w:tr2bl w:val="nil"/>
            </w:tcBorders>
            <w:shd w:val="clear" w:color="auto" w:fill="auto"/>
            <w:vAlign w:val="center"/>
          </w:tcPr>
          <w:p w14:paraId="56601D1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0.031</w:t>
            </w:r>
          </w:p>
        </w:tc>
        <w:tc>
          <w:tcPr>
            <w:tcW w:w="558" w:type="pct"/>
            <w:tcBorders>
              <w:tl2br w:val="nil"/>
              <w:tr2bl w:val="nil"/>
            </w:tcBorders>
            <w:shd w:val="clear" w:color="auto" w:fill="auto"/>
            <w:vAlign w:val="center"/>
          </w:tcPr>
          <w:p w14:paraId="724FAB1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0.036</w:t>
            </w:r>
          </w:p>
        </w:tc>
        <w:tc>
          <w:tcPr>
            <w:tcW w:w="809" w:type="pct"/>
            <w:tcBorders>
              <w:tl2br w:val="nil"/>
              <w:tr2bl w:val="nil"/>
            </w:tcBorders>
            <w:shd w:val="clear" w:color="auto" w:fill="auto"/>
            <w:vAlign w:val="center"/>
          </w:tcPr>
          <w:p w14:paraId="5917B25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0.010</w:t>
            </w:r>
          </w:p>
        </w:tc>
        <w:tc>
          <w:tcPr>
            <w:tcW w:w="599" w:type="pct"/>
            <w:tcBorders>
              <w:tl2br w:val="nil"/>
              <w:tr2bl w:val="nil"/>
            </w:tcBorders>
            <w:vAlign w:val="center"/>
          </w:tcPr>
          <w:p w14:paraId="38FD03A4">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38</w:t>
            </w:r>
          </w:p>
        </w:tc>
      </w:tr>
      <w:tr w14:paraId="09D16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39531624">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olor w:val="auto"/>
                <w:sz w:val="21"/>
                <w:szCs w:val="21"/>
                <w:highlight w:val="none"/>
                <w:lang w:eastAsia="zh-CN"/>
              </w:rPr>
              <w:t>镉</w:t>
            </w:r>
            <w:r>
              <w:rPr>
                <w:rFonts w:hint="default" w:ascii="Times New Roman" w:hAnsi="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44C4A92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6F37C2C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0.020</w:t>
            </w:r>
          </w:p>
        </w:tc>
        <w:tc>
          <w:tcPr>
            <w:tcW w:w="558" w:type="pct"/>
            <w:tcBorders>
              <w:tl2br w:val="nil"/>
              <w:tr2bl w:val="nil"/>
            </w:tcBorders>
            <w:shd w:val="clear" w:color="auto" w:fill="auto"/>
            <w:vAlign w:val="center"/>
          </w:tcPr>
          <w:p w14:paraId="16B6426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0.018</w:t>
            </w:r>
          </w:p>
        </w:tc>
        <w:tc>
          <w:tcPr>
            <w:tcW w:w="558" w:type="pct"/>
            <w:tcBorders>
              <w:tl2br w:val="nil"/>
              <w:tr2bl w:val="nil"/>
            </w:tcBorders>
            <w:shd w:val="clear" w:color="auto" w:fill="auto"/>
            <w:vAlign w:val="center"/>
          </w:tcPr>
          <w:p w14:paraId="735D1B2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0.018</w:t>
            </w:r>
          </w:p>
        </w:tc>
        <w:tc>
          <w:tcPr>
            <w:tcW w:w="809" w:type="pct"/>
            <w:tcBorders>
              <w:tl2br w:val="nil"/>
              <w:tr2bl w:val="nil"/>
            </w:tcBorders>
            <w:shd w:val="clear" w:color="auto" w:fill="auto"/>
            <w:vAlign w:val="center"/>
          </w:tcPr>
          <w:p w14:paraId="19CC30C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0.12</w:t>
            </w:r>
          </w:p>
        </w:tc>
        <w:tc>
          <w:tcPr>
            <w:tcW w:w="599" w:type="pct"/>
            <w:tcBorders>
              <w:tl2br w:val="nil"/>
              <w:tr2bl w:val="nil"/>
            </w:tcBorders>
            <w:vAlign w:val="center"/>
          </w:tcPr>
          <w:p w14:paraId="4A43C560">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65</w:t>
            </w:r>
          </w:p>
        </w:tc>
      </w:tr>
      <w:tr w14:paraId="46162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02C5F9B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olor w:val="auto"/>
                <w:kern w:val="0"/>
                <w:sz w:val="21"/>
                <w:szCs w:val="21"/>
                <w:highlight w:val="none"/>
                <w:lang w:eastAsia="zh-CN"/>
              </w:rPr>
              <w:t>铜</w:t>
            </w:r>
            <w:r>
              <w:rPr>
                <w:rFonts w:hint="default" w:ascii="Times New Roman" w:hAnsi="Times New Roman"/>
                <w:color w:val="auto"/>
                <w:kern w:val="0"/>
                <w:sz w:val="21"/>
                <w:szCs w:val="21"/>
                <w:highlight w:val="none"/>
                <w:lang w:val="en-US" w:eastAsia="zh-CN"/>
              </w:rPr>
              <w:t>*</w:t>
            </w:r>
          </w:p>
        </w:tc>
        <w:tc>
          <w:tcPr>
            <w:tcW w:w="574" w:type="pct"/>
            <w:tcBorders>
              <w:tl2br w:val="nil"/>
              <w:tr2bl w:val="nil"/>
            </w:tcBorders>
            <w:shd w:val="clear" w:color="auto" w:fill="auto"/>
            <w:vAlign w:val="center"/>
          </w:tcPr>
          <w:p w14:paraId="33A5520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642E70F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37</w:t>
            </w:r>
          </w:p>
        </w:tc>
        <w:tc>
          <w:tcPr>
            <w:tcW w:w="558" w:type="pct"/>
            <w:tcBorders>
              <w:tl2br w:val="nil"/>
              <w:tr2bl w:val="nil"/>
            </w:tcBorders>
            <w:shd w:val="clear" w:color="auto" w:fill="auto"/>
            <w:vAlign w:val="center"/>
          </w:tcPr>
          <w:p w14:paraId="2F365E6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34</w:t>
            </w:r>
          </w:p>
        </w:tc>
        <w:tc>
          <w:tcPr>
            <w:tcW w:w="558" w:type="pct"/>
            <w:tcBorders>
              <w:tl2br w:val="nil"/>
              <w:tr2bl w:val="nil"/>
            </w:tcBorders>
            <w:shd w:val="clear" w:color="auto" w:fill="auto"/>
            <w:vAlign w:val="center"/>
          </w:tcPr>
          <w:p w14:paraId="3B68211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33</w:t>
            </w:r>
          </w:p>
        </w:tc>
        <w:tc>
          <w:tcPr>
            <w:tcW w:w="809" w:type="pct"/>
            <w:tcBorders>
              <w:tl2br w:val="nil"/>
              <w:tr2bl w:val="nil"/>
            </w:tcBorders>
            <w:shd w:val="clear" w:color="auto" w:fill="auto"/>
            <w:vAlign w:val="center"/>
          </w:tcPr>
          <w:p w14:paraId="6EC5100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22</w:t>
            </w:r>
          </w:p>
        </w:tc>
        <w:tc>
          <w:tcPr>
            <w:tcW w:w="599" w:type="pct"/>
            <w:tcBorders>
              <w:tl2br w:val="nil"/>
              <w:tr2bl w:val="nil"/>
            </w:tcBorders>
            <w:vAlign w:val="center"/>
          </w:tcPr>
          <w:p w14:paraId="063895E8">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18000</w:t>
            </w:r>
          </w:p>
        </w:tc>
      </w:tr>
      <w:tr w14:paraId="2C95B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4E5B2F7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olor w:val="auto"/>
                <w:sz w:val="21"/>
                <w:szCs w:val="21"/>
                <w:highlight w:val="none"/>
                <w:lang w:eastAsia="zh-CN"/>
              </w:rPr>
              <w:t>镍</w:t>
            </w:r>
            <w:r>
              <w:rPr>
                <w:rFonts w:hint="default" w:ascii="Times New Roman" w:hAnsi="Times New Roman"/>
                <w:color w:val="auto"/>
                <w:sz w:val="21"/>
                <w:szCs w:val="21"/>
                <w:highlight w:val="none"/>
                <w:lang w:val="en-US" w:eastAsia="zh-CN"/>
              </w:rPr>
              <w:t>*</w:t>
            </w:r>
          </w:p>
        </w:tc>
        <w:tc>
          <w:tcPr>
            <w:tcW w:w="574" w:type="pct"/>
            <w:tcBorders>
              <w:tl2br w:val="nil"/>
              <w:tr2bl w:val="nil"/>
            </w:tcBorders>
            <w:shd w:val="clear" w:color="auto" w:fill="auto"/>
            <w:vAlign w:val="center"/>
          </w:tcPr>
          <w:p w14:paraId="1FE2C1E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04E59ED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43</w:t>
            </w:r>
          </w:p>
        </w:tc>
        <w:tc>
          <w:tcPr>
            <w:tcW w:w="558" w:type="pct"/>
            <w:tcBorders>
              <w:tl2br w:val="nil"/>
              <w:tr2bl w:val="nil"/>
            </w:tcBorders>
            <w:shd w:val="clear" w:color="auto" w:fill="auto"/>
            <w:vAlign w:val="center"/>
          </w:tcPr>
          <w:p w14:paraId="2090B5E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41</w:t>
            </w:r>
          </w:p>
        </w:tc>
        <w:tc>
          <w:tcPr>
            <w:tcW w:w="558" w:type="pct"/>
            <w:tcBorders>
              <w:tl2br w:val="nil"/>
              <w:tr2bl w:val="nil"/>
            </w:tcBorders>
            <w:shd w:val="clear" w:color="auto" w:fill="auto"/>
            <w:vAlign w:val="center"/>
          </w:tcPr>
          <w:p w14:paraId="2CF2EDF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41</w:t>
            </w:r>
          </w:p>
        </w:tc>
        <w:tc>
          <w:tcPr>
            <w:tcW w:w="809" w:type="pct"/>
            <w:tcBorders>
              <w:tl2br w:val="nil"/>
              <w:tr2bl w:val="nil"/>
            </w:tcBorders>
            <w:shd w:val="clear" w:color="auto" w:fill="auto"/>
            <w:vAlign w:val="center"/>
          </w:tcPr>
          <w:p w14:paraId="3ABB627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kern w:val="2"/>
                <w:sz w:val="21"/>
                <w:szCs w:val="21"/>
                <w:highlight w:val="none"/>
                <w:lang w:val="en-US" w:eastAsia="zh-CN" w:bidi="ar-SA"/>
              </w:rPr>
              <w:t>36</w:t>
            </w:r>
          </w:p>
        </w:tc>
        <w:tc>
          <w:tcPr>
            <w:tcW w:w="599" w:type="pct"/>
            <w:tcBorders>
              <w:tl2br w:val="nil"/>
              <w:tr2bl w:val="nil"/>
            </w:tcBorders>
            <w:vAlign w:val="center"/>
          </w:tcPr>
          <w:p w14:paraId="07344DC9">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900</w:t>
            </w:r>
          </w:p>
        </w:tc>
      </w:tr>
      <w:tr w14:paraId="1491B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41B5C38F">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铬（六价）*</w:t>
            </w:r>
          </w:p>
        </w:tc>
        <w:tc>
          <w:tcPr>
            <w:tcW w:w="574" w:type="pct"/>
            <w:tcBorders>
              <w:tl2br w:val="nil"/>
              <w:tr2bl w:val="nil"/>
            </w:tcBorders>
            <w:shd w:val="clear" w:color="auto" w:fill="auto"/>
            <w:vAlign w:val="center"/>
          </w:tcPr>
          <w:p w14:paraId="47D4488C">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olor w:val="auto"/>
                <w:kern w:val="0"/>
                <w:sz w:val="21"/>
                <w:szCs w:val="21"/>
                <w:highlight w:val="none"/>
              </w:rPr>
              <w:t>mg/</w:t>
            </w:r>
            <w:r>
              <w:rPr>
                <w:rFonts w:hint="default" w:ascii="Times New Roman" w:hAnsi="Times New Roman"/>
                <w:color w:val="auto"/>
                <w:kern w:val="0"/>
                <w:sz w:val="21"/>
                <w:szCs w:val="21"/>
                <w:highlight w:val="none"/>
                <w:lang w:val="en-US" w:eastAsia="zh-CN"/>
              </w:rPr>
              <w:t>kg</w:t>
            </w:r>
          </w:p>
        </w:tc>
        <w:tc>
          <w:tcPr>
            <w:tcW w:w="657" w:type="pct"/>
            <w:tcBorders>
              <w:tl2br w:val="nil"/>
              <w:tr2bl w:val="nil"/>
            </w:tcBorders>
            <w:shd w:val="clear" w:color="auto" w:fill="auto"/>
            <w:vAlign w:val="center"/>
          </w:tcPr>
          <w:p w14:paraId="70C8410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kern w:val="2"/>
                <w:sz w:val="21"/>
                <w:szCs w:val="21"/>
                <w:highlight w:val="none"/>
                <w:vertAlign w:val="baseline"/>
                <w:lang w:val="en-US" w:eastAsia="zh-CN" w:bidi="ar-SA"/>
              </w:rPr>
              <w:t>ND</w:t>
            </w:r>
          </w:p>
        </w:tc>
        <w:tc>
          <w:tcPr>
            <w:tcW w:w="558" w:type="pct"/>
            <w:tcBorders>
              <w:tl2br w:val="nil"/>
              <w:tr2bl w:val="nil"/>
            </w:tcBorders>
            <w:shd w:val="clear" w:color="auto" w:fill="auto"/>
            <w:vAlign w:val="center"/>
          </w:tcPr>
          <w:p w14:paraId="02DD03A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kern w:val="2"/>
                <w:sz w:val="21"/>
                <w:szCs w:val="21"/>
                <w:highlight w:val="none"/>
                <w:vertAlign w:val="baseline"/>
                <w:lang w:val="en-US" w:eastAsia="zh-CN" w:bidi="ar-SA"/>
              </w:rPr>
              <w:t>ND</w:t>
            </w:r>
          </w:p>
        </w:tc>
        <w:tc>
          <w:tcPr>
            <w:tcW w:w="558" w:type="pct"/>
            <w:tcBorders>
              <w:tl2br w:val="nil"/>
              <w:tr2bl w:val="nil"/>
            </w:tcBorders>
            <w:shd w:val="clear" w:color="auto" w:fill="auto"/>
            <w:vAlign w:val="center"/>
          </w:tcPr>
          <w:p w14:paraId="18A7170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kern w:val="2"/>
                <w:sz w:val="21"/>
                <w:szCs w:val="21"/>
                <w:highlight w:val="none"/>
                <w:vertAlign w:val="baseline"/>
                <w:lang w:val="en-US" w:eastAsia="zh-CN" w:bidi="ar-SA"/>
              </w:rPr>
              <w:t>ND</w:t>
            </w:r>
          </w:p>
        </w:tc>
        <w:tc>
          <w:tcPr>
            <w:tcW w:w="809" w:type="pct"/>
            <w:tcBorders>
              <w:tl2br w:val="nil"/>
              <w:tr2bl w:val="nil"/>
            </w:tcBorders>
            <w:shd w:val="clear" w:color="auto" w:fill="auto"/>
            <w:vAlign w:val="center"/>
          </w:tcPr>
          <w:p w14:paraId="7BAF73E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kern w:val="2"/>
                <w:sz w:val="21"/>
                <w:szCs w:val="21"/>
                <w:highlight w:val="none"/>
                <w:vertAlign w:val="baseline"/>
                <w:lang w:val="en-US" w:eastAsia="zh-CN" w:bidi="ar-SA"/>
              </w:rPr>
              <w:t>ND</w:t>
            </w:r>
          </w:p>
        </w:tc>
        <w:tc>
          <w:tcPr>
            <w:tcW w:w="599" w:type="pct"/>
            <w:tcBorders>
              <w:tl2br w:val="nil"/>
              <w:tr2bl w:val="nil"/>
            </w:tcBorders>
            <w:vAlign w:val="center"/>
          </w:tcPr>
          <w:p w14:paraId="39E7A8ED">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5.7</w:t>
            </w:r>
          </w:p>
        </w:tc>
      </w:tr>
      <w:tr w14:paraId="09104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tcBorders>
              <w:tl2br w:val="nil"/>
              <w:tr2bl w:val="nil"/>
            </w:tcBorders>
            <w:shd w:val="clear" w:color="auto" w:fill="auto"/>
            <w:vAlign w:val="center"/>
          </w:tcPr>
          <w:p w14:paraId="18DF29ED">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sz w:val="21"/>
                <w:szCs w:val="21"/>
                <w:highlight w:val="none"/>
                <w:lang w:val="en-US" w:eastAsia="zh-CN"/>
              </w:rPr>
              <w:t>pH</w:t>
            </w:r>
          </w:p>
        </w:tc>
        <w:tc>
          <w:tcPr>
            <w:tcW w:w="574" w:type="pct"/>
            <w:tcBorders>
              <w:tl2br w:val="nil"/>
              <w:tr2bl w:val="nil"/>
            </w:tcBorders>
            <w:shd w:val="clear" w:color="auto" w:fill="auto"/>
            <w:vAlign w:val="center"/>
          </w:tcPr>
          <w:p w14:paraId="52C8320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olor w:val="auto"/>
                <w:kern w:val="0"/>
                <w:sz w:val="21"/>
                <w:szCs w:val="21"/>
                <w:highlight w:val="none"/>
                <w:lang w:val="en-US" w:eastAsia="zh-CN"/>
              </w:rPr>
              <w:t>无量纲</w:t>
            </w:r>
          </w:p>
        </w:tc>
        <w:tc>
          <w:tcPr>
            <w:tcW w:w="657" w:type="pct"/>
            <w:tcBorders>
              <w:tl2br w:val="nil"/>
              <w:tr2bl w:val="nil"/>
            </w:tcBorders>
            <w:shd w:val="clear" w:color="auto" w:fill="auto"/>
            <w:vAlign w:val="center"/>
          </w:tcPr>
          <w:p w14:paraId="4A972EB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8.0</w:t>
            </w:r>
          </w:p>
        </w:tc>
        <w:tc>
          <w:tcPr>
            <w:tcW w:w="558" w:type="pct"/>
            <w:tcBorders>
              <w:tl2br w:val="nil"/>
              <w:tr2bl w:val="nil"/>
            </w:tcBorders>
            <w:shd w:val="clear" w:color="auto" w:fill="auto"/>
            <w:vAlign w:val="center"/>
          </w:tcPr>
          <w:p w14:paraId="6E2A691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7.9</w:t>
            </w:r>
          </w:p>
        </w:tc>
        <w:tc>
          <w:tcPr>
            <w:tcW w:w="558" w:type="pct"/>
            <w:tcBorders>
              <w:tl2br w:val="nil"/>
              <w:tr2bl w:val="nil"/>
            </w:tcBorders>
            <w:shd w:val="clear" w:color="auto" w:fill="auto"/>
            <w:vAlign w:val="center"/>
          </w:tcPr>
          <w:p w14:paraId="763D73D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7.9</w:t>
            </w:r>
          </w:p>
        </w:tc>
        <w:tc>
          <w:tcPr>
            <w:tcW w:w="809" w:type="pct"/>
            <w:tcBorders>
              <w:tl2br w:val="nil"/>
              <w:tr2bl w:val="nil"/>
            </w:tcBorders>
            <w:shd w:val="clear" w:color="auto" w:fill="auto"/>
            <w:vAlign w:val="center"/>
          </w:tcPr>
          <w:p w14:paraId="188462F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7.6</w:t>
            </w:r>
          </w:p>
        </w:tc>
        <w:tc>
          <w:tcPr>
            <w:tcW w:w="599" w:type="pct"/>
            <w:tcBorders>
              <w:tl2br w:val="nil"/>
              <w:tr2bl w:val="nil"/>
            </w:tcBorders>
            <w:vAlign w:val="center"/>
          </w:tcPr>
          <w:p w14:paraId="1F593D80">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6F302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shd w:val="clear" w:color="auto" w:fill="auto"/>
            <w:vAlign w:val="center"/>
          </w:tcPr>
          <w:p w14:paraId="1EBD280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水分</w:t>
            </w:r>
          </w:p>
        </w:tc>
        <w:tc>
          <w:tcPr>
            <w:tcW w:w="574" w:type="pct"/>
            <w:shd w:val="clear" w:color="auto" w:fill="auto"/>
            <w:vAlign w:val="center"/>
          </w:tcPr>
          <w:p w14:paraId="7FEE087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657" w:type="pct"/>
            <w:shd w:val="clear" w:color="auto" w:fill="auto"/>
            <w:vAlign w:val="center"/>
          </w:tcPr>
          <w:p w14:paraId="4546A6E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1.0</w:t>
            </w:r>
          </w:p>
        </w:tc>
        <w:tc>
          <w:tcPr>
            <w:tcW w:w="558" w:type="pct"/>
            <w:shd w:val="clear" w:color="auto" w:fill="auto"/>
            <w:vAlign w:val="center"/>
          </w:tcPr>
          <w:p w14:paraId="0E6F287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1.2</w:t>
            </w:r>
          </w:p>
        </w:tc>
        <w:tc>
          <w:tcPr>
            <w:tcW w:w="558" w:type="pct"/>
            <w:shd w:val="clear" w:color="auto" w:fill="auto"/>
            <w:vAlign w:val="center"/>
          </w:tcPr>
          <w:p w14:paraId="05D167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1.4</w:t>
            </w:r>
          </w:p>
        </w:tc>
        <w:tc>
          <w:tcPr>
            <w:tcW w:w="809" w:type="pct"/>
            <w:shd w:val="clear" w:color="auto" w:fill="auto"/>
            <w:vAlign w:val="center"/>
          </w:tcPr>
          <w:p w14:paraId="68FC544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1.2</w:t>
            </w:r>
          </w:p>
        </w:tc>
        <w:tc>
          <w:tcPr>
            <w:tcW w:w="599" w:type="pct"/>
            <w:vAlign w:val="center"/>
          </w:tcPr>
          <w:p w14:paraId="1731D86B">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4DF04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shd w:val="clear" w:color="auto" w:fill="auto"/>
            <w:vAlign w:val="center"/>
          </w:tcPr>
          <w:p w14:paraId="208DA59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干物质</w:t>
            </w:r>
          </w:p>
        </w:tc>
        <w:tc>
          <w:tcPr>
            <w:tcW w:w="574" w:type="pct"/>
            <w:shd w:val="clear" w:color="auto" w:fill="auto"/>
            <w:vAlign w:val="center"/>
          </w:tcPr>
          <w:p w14:paraId="09888C9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657" w:type="pct"/>
            <w:shd w:val="clear" w:color="auto" w:fill="auto"/>
            <w:vAlign w:val="center"/>
          </w:tcPr>
          <w:p w14:paraId="0A408DC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99.0</w:t>
            </w:r>
          </w:p>
        </w:tc>
        <w:tc>
          <w:tcPr>
            <w:tcW w:w="558" w:type="pct"/>
            <w:shd w:val="clear" w:color="auto" w:fill="auto"/>
            <w:vAlign w:val="center"/>
          </w:tcPr>
          <w:p w14:paraId="16A637B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98.8</w:t>
            </w:r>
          </w:p>
        </w:tc>
        <w:tc>
          <w:tcPr>
            <w:tcW w:w="558" w:type="pct"/>
            <w:shd w:val="clear" w:color="auto" w:fill="auto"/>
            <w:vAlign w:val="center"/>
          </w:tcPr>
          <w:p w14:paraId="7D62BA2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98.6</w:t>
            </w:r>
          </w:p>
        </w:tc>
        <w:tc>
          <w:tcPr>
            <w:tcW w:w="809" w:type="pct"/>
            <w:shd w:val="clear" w:color="auto" w:fill="auto"/>
            <w:vAlign w:val="center"/>
          </w:tcPr>
          <w:p w14:paraId="464E7E2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98.8</w:t>
            </w:r>
          </w:p>
        </w:tc>
        <w:tc>
          <w:tcPr>
            <w:tcW w:w="599" w:type="pct"/>
            <w:vAlign w:val="center"/>
          </w:tcPr>
          <w:p w14:paraId="36BEF6FC">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164DE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shd w:val="clear" w:color="auto" w:fill="auto"/>
            <w:vAlign w:val="center"/>
          </w:tcPr>
          <w:p w14:paraId="46FA680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石油烃</w:t>
            </w:r>
          </w:p>
        </w:tc>
        <w:tc>
          <w:tcPr>
            <w:tcW w:w="574" w:type="pct"/>
            <w:shd w:val="clear" w:color="auto" w:fill="auto"/>
            <w:vAlign w:val="center"/>
          </w:tcPr>
          <w:p w14:paraId="743BD1D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657" w:type="pct"/>
            <w:shd w:val="clear" w:color="auto" w:fill="auto"/>
            <w:vAlign w:val="center"/>
          </w:tcPr>
          <w:p w14:paraId="31230A7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31</w:t>
            </w:r>
          </w:p>
        </w:tc>
        <w:tc>
          <w:tcPr>
            <w:tcW w:w="558" w:type="pct"/>
            <w:shd w:val="clear" w:color="auto" w:fill="auto"/>
            <w:vAlign w:val="center"/>
          </w:tcPr>
          <w:p w14:paraId="41A5399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51</w:t>
            </w:r>
          </w:p>
        </w:tc>
        <w:tc>
          <w:tcPr>
            <w:tcW w:w="558" w:type="pct"/>
            <w:shd w:val="clear" w:color="auto" w:fill="auto"/>
            <w:vAlign w:val="center"/>
          </w:tcPr>
          <w:p w14:paraId="1BDA11F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86</w:t>
            </w:r>
          </w:p>
        </w:tc>
        <w:tc>
          <w:tcPr>
            <w:tcW w:w="809" w:type="pct"/>
            <w:shd w:val="clear" w:color="auto" w:fill="auto"/>
            <w:vAlign w:val="center"/>
          </w:tcPr>
          <w:p w14:paraId="11FE459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29</w:t>
            </w:r>
          </w:p>
        </w:tc>
        <w:tc>
          <w:tcPr>
            <w:tcW w:w="599" w:type="pct"/>
            <w:vAlign w:val="center"/>
          </w:tcPr>
          <w:p w14:paraId="6E044016">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4500</w:t>
            </w:r>
          </w:p>
        </w:tc>
      </w:tr>
      <w:tr w14:paraId="0F481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242" w:type="pct"/>
            <w:shd w:val="clear" w:color="auto" w:fill="auto"/>
            <w:vAlign w:val="center"/>
          </w:tcPr>
          <w:p w14:paraId="396ED1B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水溶性盐总量</w:t>
            </w:r>
          </w:p>
        </w:tc>
        <w:tc>
          <w:tcPr>
            <w:tcW w:w="574" w:type="pct"/>
            <w:shd w:val="clear" w:color="auto" w:fill="auto"/>
            <w:vAlign w:val="center"/>
          </w:tcPr>
          <w:p w14:paraId="619354A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g/kg</w:t>
            </w:r>
          </w:p>
        </w:tc>
        <w:tc>
          <w:tcPr>
            <w:tcW w:w="657" w:type="pct"/>
            <w:shd w:val="clear" w:color="auto" w:fill="auto"/>
            <w:vAlign w:val="center"/>
          </w:tcPr>
          <w:p w14:paraId="5388DE2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0.2</w:t>
            </w:r>
          </w:p>
        </w:tc>
        <w:tc>
          <w:tcPr>
            <w:tcW w:w="558" w:type="pct"/>
            <w:shd w:val="clear" w:color="auto" w:fill="auto"/>
            <w:vAlign w:val="center"/>
          </w:tcPr>
          <w:p w14:paraId="6829019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0.3</w:t>
            </w:r>
          </w:p>
        </w:tc>
        <w:tc>
          <w:tcPr>
            <w:tcW w:w="558" w:type="pct"/>
            <w:shd w:val="clear" w:color="auto" w:fill="auto"/>
            <w:vAlign w:val="center"/>
          </w:tcPr>
          <w:p w14:paraId="5C967F2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0.4</w:t>
            </w:r>
          </w:p>
        </w:tc>
        <w:tc>
          <w:tcPr>
            <w:tcW w:w="809" w:type="pct"/>
            <w:shd w:val="clear" w:color="auto" w:fill="auto"/>
            <w:vAlign w:val="center"/>
          </w:tcPr>
          <w:p w14:paraId="121E462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eastAsia="宋体" w:cs="Times New Roman"/>
                <w:b w:val="0"/>
                <w:bCs w:val="0"/>
                <w:color w:val="auto"/>
                <w:sz w:val="21"/>
                <w:szCs w:val="21"/>
                <w:highlight w:val="none"/>
                <w:lang w:val="en-US" w:eastAsia="zh-CN"/>
              </w:rPr>
              <w:t>0.4</w:t>
            </w:r>
          </w:p>
        </w:tc>
        <w:tc>
          <w:tcPr>
            <w:tcW w:w="599" w:type="pct"/>
            <w:vAlign w:val="center"/>
          </w:tcPr>
          <w:p w14:paraId="2E958B17">
            <w:pPr>
              <w:keepNext w:val="0"/>
              <w:keepLines w:val="0"/>
              <w:pageBreakBefore w:val="0"/>
              <w:kinsoku/>
              <w:wordWrap/>
              <w:overflowPunct/>
              <w:topLinePunct w:val="0"/>
              <w:autoSpaceDE/>
              <w:autoSpaceDN/>
              <w:bidi w:val="0"/>
              <w:adjustRightInd/>
              <w:spacing w:line="360" w:lineRule="atLeas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bl>
    <w:p w14:paraId="7F493B20">
      <w:pPr>
        <w:ind w:firstLine="0" w:firstLineChars="0"/>
        <w:jc w:val="center"/>
        <w:rPr>
          <w:rFonts w:hint="default" w:ascii="Times New Roman" w:hAnsi="Times New Roman" w:cs="Times New Roman"/>
          <w:b/>
          <w:bCs/>
          <w:color w:val="auto"/>
          <w:highlight w:val="none"/>
        </w:rPr>
      </w:pPr>
    </w:p>
    <w:p w14:paraId="2B6F4576">
      <w:pPr>
        <w:pStyle w:val="32"/>
        <w:rPr>
          <w:rFonts w:hint="default"/>
          <w:color w:val="auto"/>
          <w:highlight w:val="none"/>
        </w:rPr>
      </w:pPr>
    </w:p>
    <w:p w14:paraId="11331C01">
      <w:pPr>
        <w:keepNext w:val="0"/>
        <w:keepLines w:val="0"/>
        <w:pageBreakBefore w:val="0"/>
        <w:kinsoku/>
        <w:wordWrap/>
        <w:overflowPunct/>
        <w:topLinePunct w:val="0"/>
        <w:bidi w:val="0"/>
        <w:ind w:left="0" w:firstLine="0" w:firstLineChars="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 xml:space="preserve">表4.2-12    </w:t>
      </w:r>
      <w:r>
        <w:rPr>
          <w:rFonts w:hint="default" w:cs="Times New Roman"/>
          <w:b/>
          <w:bCs/>
          <w:color w:val="auto"/>
          <w:sz w:val="24"/>
          <w:szCs w:val="24"/>
          <w:highlight w:val="none"/>
          <w:lang w:val="en-US" w:eastAsia="zh-CN"/>
        </w:rPr>
        <w:t>项目区范围外</w:t>
      </w:r>
      <w:r>
        <w:rPr>
          <w:rFonts w:hint="default" w:ascii="Times New Roman" w:hAnsi="Times New Roman" w:cs="Times New Roman"/>
          <w:b/>
          <w:bCs/>
          <w:color w:val="auto"/>
          <w:sz w:val="24"/>
          <w:szCs w:val="24"/>
          <w:highlight w:val="none"/>
        </w:rPr>
        <w:t>土壤环境质量监测结果</w:t>
      </w:r>
    </w:p>
    <w:p w14:paraId="68C5F706">
      <w:pPr>
        <w:keepNext w:val="0"/>
        <w:keepLines w:val="0"/>
        <w:pageBreakBefore w:val="0"/>
        <w:kinsoku/>
        <w:wordWrap/>
        <w:overflowPunct/>
        <w:topLinePunct w:val="0"/>
        <w:bidi w:val="0"/>
        <w:ind w:left="0" w:firstLine="0" w:firstLineChars="0"/>
        <w:jc w:val="center"/>
        <w:rPr>
          <w:rFonts w:hint="default" w:cs="Times New Roman"/>
          <w:b/>
          <w:bCs/>
          <w:color w:val="auto"/>
          <w:sz w:val="24"/>
          <w:szCs w:val="24"/>
          <w:highlight w:val="none"/>
          <w:lang w:eastAsia="zh-CN"/>
        </w:rPr>
      </w:pPr>
      <w:r>
        <w:rPr>
          <w:rFonts w:hint="default" w:cs="Times New Roman"/>
          <w:b/>
          <w:bCs/>
          <w:color w:val="auto"/>
          <w:sz w:val="24"/>
          <w:szCs w:val="24"/>
          <w:highlight w:val="none"/>
          <w:lang w:eastAsia="zh-CN"/>
        </w:rPr>
        <w:t>（</w:t>
      </w:r>
      <w:r>
        <w:rPr>
          <w:rFonts w:hint="default" w:cs="Times New Roman"/>
          <w:b/>
          <w:bCs/>
          <w:color w:val="auto"/>
          <w:sz w:val="24"/>
          <w:szCs w:val="24"/>
          <w:highlight w:val="none"/>
          <w:lang w:val="en-US" w:eastAsia="zh-CN"/>
        </w:rPr>
        <w:t>T4、T7、T8、T18、T19、T20</w:t>
      </w:r>
      <w:r>
        <w:rPr>
          <w:rFonts w:hint="default" w:cs="Times New Roman"/>
          <w:b/>
          <w:bCs/>
          <w:color w:val="auto"/>
          <w:sz w:val="24"/>
          <w:szCs w:val="24"/>
          <w:highlight w:val="none"/>
          <w:lang w:eastAsia="zh-CN"/>
        </w:rPr>
        <w:t>）</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721"/>
        <w:gridCol w:w="884"/>
        <w:gridCol w:w="1411"/>
        <w:gridCol w:w="1411"/>
        <w:gridCol w:w="1502"/>
        <w:gridCol w:w="1168"/>
        <w:gridCol w:w="886"/>
      </w:tblGrid>
      <w:tr w14:paraId="2B2DD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450" w:type="pct"/>
            <w:gridSpan w:val="2"/>
            <w:tcBorders>
              <w:tl2br w:val="nil"/>
              <w:tr2bl w:val="nil"/>
            </w:tcBorders>
            <w:vAlign w:val="center"/>
          </w:tcPr>
          <w:p w14:paraId="3A77C327">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样品编码</w:t>
            </w:r>
          </w:p>
        </w:tc>
        <w:tc>
          <w:tcPr>
            <w:tcW w:w="785" w:type="pct"/>
            <w:tcBorders>
              <w:tl2br w:val="nil"/>
              <w:tr2bl w:val="nil"/>
            </w:tcBorders>
            <w:vAlign w:val="center"/>
          </w:tcPr>
          <w:p w14:paraId="1B61A846">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-1-1</w:t>
            </w:r>
          </w:p>
        </w:tc>
        <w:tc>
          <w:tcPr>
            <w:tcW w:w="785" w:type="pct"/>
            <w:tcBorders>
              <w:tl2br w:val="nil"/>
              <w:tr2bl w:val="nil"/>
            </w:tcBorders>
            <w:vAlign w:val="center"/>
          </w:tcPr>
          <w:p w14:paraId="25124391">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w:t>
            </w:r>
            <w:r>
              <w:rPr>
                <w:rFonts w:hint="default" w:cs="Times New Roman"/>
                <w:b/>
                <w:color w:val="auto"/>
                <w:sz w:val="21"/>
                <w:szCs w:val="21"/>
                <w:highlight w:val="none"/>
                <w:lang w:val="en-US" w:eastAsia="zh-CN"/>
              </w:rPr>
              <w:t>2</w:t>
            </w:r>
          </w:p>
        </w:tc>
        <w:tc>
          <w:tcPr>
            <w:tcW w:w="835" w:type="pct"/>
            <w:tcBorders>
              <w:tl2br w:val="nil"/>
              <w:tr2bl w:val="nil"/>
            </w:tcBorders>
            <w:vAlign w:val="center"/>
          </w:tcPr>
          <w:p w14:paraId="32AEC28F">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T4-1-3</w:t>
            </w:r>
          </w:p>
        </w:tc>
        <w:tc>
          <w:tcPr>
            <w:tcW w:w="650" w:type="pct"/>
            <w:tcBorders>
              <w:tl2br w:val="nil"/>
              <w:tr2bl w:val="nil"/>
            </w:tcBorders>
            <w:vAlign w:val="center"/>
          </w:tcPr>
          <w:p w14:paraId="1405C2F4">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T7</w:t>
            </w:r>
          </w:p>
        </w:tc>
        <w:tc>
          <w:tcPr>
            <w:tcW w:w="493" w:type="pct"/>
            <w:vMerge w:val="restart"/>
            <w:tcBorders>
              <w:tl2br w:val="nil"/>
              <w:tr2bl w:val="nil"/>
            </w:tcBorders>
            <w:vAlign w:val="center"/>
          </w:tcPr>
          <w:p w14:paraId="7AE54F3E">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w:t>
            </w:r>
          </w:p>
        </w:tc>
      </w:tr>
      <w:tr w14:paraId="6E9E8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958" w:type="pct"/>
            <w:tcBorders>
              <w:tl2br w:val="nil"/>
              <w:tr2bl w:val="nil"/>
            </w:tcBorders>
            <w:vAlign w:val="center"/>
          </w:tcPr>
          <w:p w14:paraId="332E889F">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检测项目</w:t>
            </w:r>
          </w:p>
        </w:tc>
        <w:tc>
          <w:tcPr>
            <w:tcW w:w="492" w:type="pct"/>
            <w:tcBorders>
              <w:tl2br w:val="nil"/>
              <w:tr2bl w:val="nil"/>
            </w:tcBorders>
            <w:vAlign w:val="center"/>
          </w:tcPr>
          <w:p w14:paraId="39AE95BD">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单位</w:t>
            </w:r>
          </w:p>
        </w:tc>
        <w:tc>
          <w:tcPr>
            <w:tcW w:w="2406" w:type="pct"/>
            <w:gridSpan w:val="3"/>
            <w:tcBorders>
              <w:tl2br w:val="nil"/>
              <w:tr2bl w:val="nil"/>
            </w:tcBorders>
            <w:vAlign w:val="center"/>
          </w:tcPr>
          <w:p w14:paraId="0AC0A81E">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650" w:type="pct"/>
            <w:tcBorders>
              <w:tl2br w:val="nil"/>
              <w:tr2bl w:val="nil"/>
            </w:tcBorders>
            <w:vAlign w:val="center"/>
          </w:tcPr>
          <w:p w14:paraId="2F724337">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493" w:type="pct"/>
            <w:vMerge w:val="continue"/>
            <w:tcBorders>
              <w:tl2br w:val="nil"/>
              <w:tr2bl w:val="nil"/>
            </w:tcBorders>
            <w:vAlign w:val="center"/>
          </w:tcPr>
          <w:p w14:paraId="2BFA1A16">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p>
        </w:tc>
      </w:tr>
      <w:tr w14:paraId="654A5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4A3939D0">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pH</w:t>
            </w:r>
          </w:p>
        </w:tc>
        <w:tc>
          <w:tcPr>
            <w:tcW w:w="492" w:type="pct"/>
            <w:tcBorders>
              <w:tl2br w:val="nil"/>
              <w:tr2bl w:val="nil"/>
            </w:tcBorders>
            <w:shd w:val="clear" w:color="auto" w:fill="auto"/>
            <w:vAlign w:val="center"/>
          </w:tcPr>
          <w:p w14:paraId="7B957F5A">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无量纲</w:t>
            </w:r>
          </w:p>
        </w:tc>
        <w:tc>
          <w:tcPr>
            <w:tcW w:w="785" w:type="pct"/>
            <w:tcBorders>
              <w:tl2br w:val="nil"/>
              <w:tr2bl w:val="nil"/>
            </w:tcBorders>
            <w:shd w:val="clear" w:color="auto" w:fill="auto"/>
            <w:vAlign w:val="center"/>
          </w:tcPr>
          <w:p w14:paraId="57DD23DD">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8.0</w:t>
            </w:r>
          </w:p>
        </w:tc>
        <w:tc>
          <w:tcPr>
            <w:tcW w:w="785" w:type="pct"/>
            <w:tcBorders>
              <w:tl2br w:val="nil"/>
              <w:tr2bl w:val="nil"/>
            </w:tcBorders>
            <w:shd w:val="clear" w:color="auto" w:fill="auto"/>
            <w:vAlign w:val="center"/>
          </w:tcPr>
          <w:p w14:paraId="50D1429D">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8.0</w:t>
            </w:r>
          </w:p>
        </w:tc>
        <w:tc>
          <w:tcPr>
            <w:tcW w:w="835" w:type="pct"/>
            <w:tcBorders>
              <w:tl2br w:val="nil"/>
              <w:tr2bl w:val="nil"/>
            </w:tcBorders>
            <w:shd w:val="clear" w:color="auto" w:fill="auto"/>
            <w:vAlign w:val="center"/>
          </w:tcPr>
          <w:p w14:paraId="65C74089">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8.1</w:t>
            </w:r>
          </w:p>
        </w:tc>
        <w:tc>
          <w:tcPr>
            <w:tcW w:w="650" w:type="pct"/>
            <w:tcBorders>
              <w:tl2br w:val="nil"/>
              <w:tr2bl w:val="nil"/>
            </w:tcBorders>
            <w:shd w:val="clear" w:color="auto" w:fill="auto"/>
            <w:vAlign w:val="center"/>
          </w:tcPr>
          <w:p w14:paraId="0CB437C0">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7.8</w:t>
            </w:r>
          </w:p>
        </w:tc>
        <w:tc>
          <w:tcPr>
            <w:tcW w:w="493" w:type="pct"/>
            <w:tcBorders>
              <w:tl2br w:val="nil"/>
              <w:tr2bl w:val="nil"/>
            </w:tcBorders>
            <w:vAlign w:val="center"/>
          </w:tcPr>
          <w:p w14:paraId="3403CE3D">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7FA52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0C44E420">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水分</w:t>
            </w:r>
          </w:p>
        </w:tc>
        <w:tc>
          <w:tcPr>
            <w:tcW w:w="492" w:type="pct"/>
            <w:tcBorders>
              <w:tl2br w:val="nil"/>
              <w:tr2bl w:val="nil"/>
            </w:tcBorders>
            <w:shd w:val="clear" w:color="auto" w:fill="auto"/>
            <w:vAlign w:val="center"/>
          </w:tcPr>
          <w:p w14:paraId="1F758027">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85" w:type="pct"/>
            <w:tcBorders>
              <w:tl2br w:val="nil"/>
              <w:tr2bl w:val="nil"/>
            </w:tcBorders>
            <w:shd w:val="clear" w:color="auto" w:fill="auto"/>
            <w:vAlign w:val="center"/>
          </w:tcPr>
          <w:p w14:paraId="1B334656">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w:t>
            </w:r>
          </w:p>
        </w:tc>
        <w:tc>
          <w:tcPr>
            <w:tcW w:w="785" w:type="pct"/>
            <w:tcBorders>
              <w:tl2br w:val="nil"/>
              <w:tr2bl w:val="nil"/>
            </w:tcBorders>
            <w:shd w:val="clear" w:color="auto" w:fill="auto"/>
            <w:vAlign w:val="center"/>
          </w:tcPr>
          <w:p w14:paraId="0AF1A843">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835" w:type="pct"/>
            <w:tcBorders>
              <w:tl2br w:val="nil"/>
              <w:tr2bl w:val="nil"/>
            </w:tcBorders>
            <w:shd w:val="clear" w:color="auto" w:fill="auto"/>
            <w:vAlign w:val="center"/>
          </w:tcPr>
          <w:p w14:paraId="0B453521">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650" w:type="pct"/>
            <w:tcBorders>
              <w:tl2br w:val="nil"/>
              <w:tr2bl w:val="nil"/>
            </w:tcBorders>
            <w:shd w:val="clear" w:color="auto" w:fill="auto"/>
            <w:vAlign w:val="center"/>
          </w:tcPr>
          <w:p w14:paraId="4936E32D">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c>
          <w:tcPr>
            <w:tcW w:w="493" w:type="pct"/>
            <w:tcBorders>
              <w:tl2br w:val="nil"/>
              <w:tr2bl w:val="nil"/>
            </w:tcBorders>
            <w:vAlign w:val="center"/>
          </w:tcPr>
          <w:p w14:paraId="62629E09">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0AC8D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6D9F352F">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干物质</w:t>
            </w:r>
          </w:p>
        </w:tc>
        <w:tc>
          <w:tcPr>
            <w:tcW w:w="492" w:type="pct"/>
            <w:tcBorders>
              <w:tl2br w:val="nil"/>
              <w:tr2bl w:val="nil"/>
            </w:tcBorders>
            <w:shd w:val="clear" w:color="auto" w:fill="auto"/>
            <w:vAlign w:val="center"/>
          </w:tcPr>
          <w:p w14:paraId="7CAB0931">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85" w:type="pct"/>
            <w:tcBorders>
              <w:tl2br w:val="nil"/>
              <w:tr2bl w:val="nil"/>
            </w:tcBorders>
            <w:shd w:val="clear" w:color="auto" w:fill="auto"/>
            <w:vAlign w:val="center"/>
          </w:tcPr>
          <w:p w14:paraId="4E68AD3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98.9</w:t>
            </w:r>
          </w:p>
        </w:tc>
        <w:tc>
          <w:tcPr>
            <w:tcW w:w="785" w:type="pct"/>
            <w:tcBorders>
              <w:tl2br w:val="nil"/>
              <w:tr2bl w:val="nil"/>
            </w:tcBorders>
            <w:shd w:val="clear" w:color="auto" w:fill="auto"/>
            <w:vAlign w:val="center"/>
          </w:tcPr>
          <w:p w14:paraId="64C1DD4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98.8</w:t>
            </w:r>
          </w:p>
        </w:tc>
        <w:tc>
          <w:tcPr>
            <w:tcW w:w="835" w:type="pct"/>
            <w:tcBorders>
              <w:tl2br w:val="nil"/>
              <w:tr2bl w:val="nil"/>
            </w:tcBorders>
            <w:shd w:val="clear" w:color="auto" w:fill="auto"/>
            <w:vAlign w:val="center"/>
          </w:tcPr>
          <w:p w14:paraId="51C15EB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98.8</w:t>
            </w:r>
          </w:p>
        </w:tc>
        <w:tc>
          <w:tcPr>
            <w:tcW w:w="650" w:type="pct"/>
            <w:tcBorders>
              <w:tl2br w:val="nil"/>
              <w:tr2bl w:val="nil"/>
            </w:tcBorders>
            <w:shd w:val="clear" w:color="auto" w:fill="auto"/>
            <w:vAlign w:val="center"/>
          </w:tcPr>
          <w:p w14:paraId="39B220C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99.0</w:t>
            </w:r>
          </w:p>
        </w:tc>
        <w:tc>
          <w:tcPr>
            <w:tcW w:w="493" w:type="pct"/>
            <w:tcBorders>
              <w:tl2br w:val="nil"/>
              <w:tr2bl w:val="nil"/>
            </w:tcBorders>
            <w:vAlign w:val="center"/>
          </w:tcPr>
          <w:p w14:paraId="6A28E8A8">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r>
      <w:tr w14:paraId="7B233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33ED7C26">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镉</w:t>
            </w:r>
          </w:p>
        </w:tc>
        <w:tc>
          <w:tcPr>
            <w:tcW w:w="492" w:type="pct"/>
            <w:tcBorders>
              <w:tl2br w:val="nil"/>
              <w:tr2bl w:val="nil"/>
            </w:tcBorders>
            <w:shd w:val="clear" w:color="auto" w:fill="auto"/>
            <w:vAlign w:val="center"/>
          </w:tcPr>
          <w:p w14:paraId="6C74428E">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733631F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0.16</w:t>
            </w:r>
          </w:p>
        </w:tc>
        <w:tc>
          <w:tcPr>
            <w:tcW w:w="785" w:type="pct"/>
            <w:tcBorders>
              <w:tl2br w:val="nil"/>
              <w:tr2bl w:val="nil"/>
            </w:tcBorders>
            <w:shd w:val="clear" w:color="auto" w:fill="auto"/>
            <w:vAlign w:val="center"/>
          </w:tcPr>
          <w:p w14:paraId="32232DE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0.19</w:t>
            </w:r>
          </w:p>
        </w:tc>
        <w:tc>
          <w:tcPr>
            <w:tcW w:w="835" w:type="pct"/>
            <w:tcBorders>
              <w:tl2br w:val="nil"/>
              <w:tr2bl w:val="nil"/>
            </w:tcBorders>
            <w:shd w:val="clear" w:color="auto" w:fill="auto"/>
            <w:vAlign w:val="center"/>
          </w:tcPr>
          <w:p w14:paraId="421B35C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650" w:type="pct"/>
            <w:tcBorders>
              <w:tl2br w:val="nil"/>
              <w:tr2bl w:val="nil"/>
            </w:tcBorders>
            <w:shd w:val="clear" w:color="auto" w:fill="auto"/>
            <w:vAlign w:val="center"/>
          </w:tcPr>
          <w:p w14:paraId="2027BCD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0.17</w:t>
            </w:r>
          </w:p>
        </w:tc>
        <w:tc>
          <w:tcPr>
            <w:tcW w:w="493" w:type="pct"/>
            <w:tcBorders>
              <w:tl2br w:val="nil"/>
              <w:tr2bl w:val="nil"/>
            </w:tcBorders>
            <w:vAlign w:val="center"/>
          </w:tcPr>
          <w:p w14:paraId="5497F563">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0.6</w:t>
            </w:r>
          </w:p>
        </w:tc>
      </w:tr>
      <w:tr w14:paraId="12D9C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3EF97E5E">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汞</w:t>
            </w:r>
          </w:p>
        </w:tc>
        <w:tc>
          <w:tcPr>
            <w:tcW w:w="492" w:type="pct"/>
            <w:tcBorders>
              <w:tl2br w:val="nil"/>
              <w:tr2bl w:val="nil"/>
            </w:tcBorders>
            <w:shd w:val="clear" w:color="auto" w:fill="auto"/>
            <w:vAlign w:val="center"/>
          </w:tcPr>
          <w:p w14:paraId="041D78D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480563F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0.019</w:t>
            </w:r>
          </w:p>
        </w:tc>
        <w:tc>
          <w:tcPr>
            <w:tcW w:w="785" w:type="pct"/>
            <w:tcBorders>
              <w:tl2br w:val="nil"/>
              <w:tr2bl w:val="nil"/>
            </w:tcBorders>
            <w:shd w:val="clear" w:color="auto" w:fill="auto"/>
            <w:vAlign w:val="center"/>
          </w:tcPr>
          <w:p w14:paraId="120256B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0.019</w:t>
            </w:r>
          </w:p>
        </w:tc>
        <w:tc>
          <w:tcPr>
            <w:tcW w:w="835" w:type="pct"/>
            <w:tcBorders>
              <w:tl2br w:val="nil"/>
              <w:tr2bl w:val="nil"/>
            </w:tcBorders>
            <w:shd w:val="clear" w:color="auto" w:fill="auto"/>
            <w:vAlign w:val="center"/>
          </w:tcPr>
          <w:p w14:paraId="1B3FBCB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0.019</w:t>
            </w:r>
          </w:p>
        </w:tc>
        <w:tc>
          <w:tcPr>
            <w:tcW w:w="650" w:type="pct"/>
            <w:tcBorders>
              <w:tl2br w:val="nil"/>
              <w:tr2bl w:val="nil"/>
            </w:tcBorders>
            <w:shd w:val="clear" w:color="auto" w:fill="auto"/>
            <w:vAlign w:val="center"/>
          </w:tcPr>
          <w:p w14:paraId="7FA3AE7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0.022</w:t>
            </w:r>
          </w:p>
        </w:tc>
        <w:tc>
          <w:tcPr>
            <w:tcW w:w="493" w:type="pct"/>
            <w:tcBorders>
              <w:tl2br w:val="nil"/>
              <w:tr2bl w:val="nil"/>
            </w:tcBorders>
            <w:vAlign w:val="center"/>
          </w:tcPr>
          <w:p w14:paraId="02113A76">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3.4</w:t>
            </w:r>
          </w:p>
        </w:tc>
      </w:tr>
      <w:tr w14:paraId="2D4BD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38628776">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砷</w:t>
            </w:r>
          </w:p>
        </w:tc>
        <w:tc>
          <w:tcPr>
            <w:tcW w:w="492" w:type="pct"/>
            <w:tcBorders>
              <w:tl2br w:val="nil"/>
              <w:tr2bl w:val="nil"/>
            </w:tcBorders>
            <w:shd w:val="clear" w:color="auto" w:fill="auto"/>
            <w:vAlign w:val="center"/>
          </w:tcPr>
          <w:p w14:paraId="3780235B">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71FE26C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5.62</w:t>
            </w:r>
          </w:p>
        </w:tc>
        <w:tc>
          <w:tcPr>
            <w:tcW w:w="785" w:type="pct"/>
            <w:tcBorders>
              <w:tl2br w:val="nil"/>
              <w:tr2bl w:val="nil"/>
            </w:tcBorders>
            <w:shd w:val="clear" w:color="auto" w:fill="auto"/>
            <w:vAlign w:val="center"/>
          </w:tcPr>
          <w:p w14:paraId="5437842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5.93</w:t>
            </w:r>
          </w:p>
        </w:tc>
        <w:tc>
          <w:tcPr>
            <w:tcW w:w="835" w:type="pct"/>
            <w:tcBorders>
              <w:tl2br w:val="nil"/>
              <w:tr2bl w:val="nil"/>
            </w:tcBorders>
            <w:shd w:val="clear" w:color="auto" w:fill="auto"/>
            <w:vAlign w:val="center"/>
          </w:tcPr>
          <w:p w14:paraId="07D8485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6.26</w:t>
            </w:r>
          </w:p>
        </w:tc>
        <w:tc>
          <w:tcPr>
            <w:tcW w:w="650" w:type="pct"/>
            <w:tcBorders>
              <w:tl2br w:val="nil"/>
              <w:tr2bl w:val="nil"/>
            </w:tcBorders>
            <w:shd w:val="clear" w:color="auto" w:fill="auto"/>
            <w:vAlign w:val="center"/>
          </w:tcPr>
          <w:p w14:paraId="33A9431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5.76</w:t>
            </w:r>
          </w:p>
        </w:tc>
        <w:tc>
          <w:tcPr>
            <w:tcW w:w="493" w:type="pct"/>
            <w:tcBorders>
              <w:tl2br w:val="nil"/>
              <w:tr2bl w:val="nil"/>
            </w:tcBorders>
            <w:vAlign w:val="center"/>
          </w:tcPr>
          <w:p w14:paraId="4C6D4312">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25</w:t>
            </w:r>
          </w:p>
        </w:tc>
      </w:tr>
      <w:tr w14:paraId="75E1F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5D4C873A">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铅</w:t>
            </w:r>
          </w:p>
        </w:tc>
        <w:tc>
          <w:tcPr>
            <w:tcW w:w="492" w:type="pct"/>
            <w:tcBorders>
              <w:tl2br w:val="nil"/>
              <w:tr2bl w:val="nil"/>
            </w:tcBorders>
            <w:shd w:val="clear" w:color="auto" w:fill="auto"/>
            <w:vAlign w:val="center"/>
          </w:tcPr>
          <w:p w14:paraId="6949AB71">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126C7897">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19.5</w:t>
            </w:r>
          </w:p>
        </w:tc>
        <w:tc>
          <w:tcPr>
            <w:tcW w:w="785" w:type="pct"/>
            <w:tcBorders>
              <w:tl2br w:val="nil"/>
              <w:tr2bl w:val="nil"/>
            </w:tcBorders>
            <w:shd w:val="clear" w:color="auto" w:fill="auto"/>
            <w:vAlign w:val="center"/>
          </w:tcPr>
          <w:p w14:paraId="03AAB04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20.7</w:t>
            </w:r>
          </w:p>
        </w:tc>
        <w:tc>
          <w:tcPr>
            <w:tcW w:w="835" w:type="pct"/>
            <w:tcBorders>
              <w:tl2br w:val="nil"/>
              <w:tr2bl w:val="nil"/>
            </w:tcBorders>
            <w:shd w:val="clear" w:color="auto" w:fill="auto"/>
            <w:vAlign w:val="center"/>
          </w:tcPr>
          <w:p w14:paraId="7413391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19.9</w:t>
            </w:r>
          </w:p>
        </w:tc>
        <w:tc>
          <w:tcPr>
            <w:tcW w:w="650" w:type="pct"/>
            <w:tcBorders>
              <w:tl2br w:val="nil"/>
              <w:tr2bl w:val="nil"/>
            </w:tcBorders>
            <w:shd w:val="clear" w:color="auto" w:fill="auto"/>
            <w:vAlign w:val="center"/>
          </w:tcPr>
          <w:p w14:paraId="3E7E51E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20.9</w:t>
            </w:r>
          </w:p>
        </w:tc>
        <w:tc>
          <w:tcPr>
            <w:tcW w:w="493" w:type="pct"/>
            <w:tcBorders>
              <w:tl2br w:val="nil"/>
              <w:tr2bl w:val="nil"/>
            </w:tcBorders>
            <w:vAlign w:val="center"/>
          </w:tcPr>
          <w:p w14:paraId="24915195">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170</w:t>
            </w:r>
          </w:p>
        </w:tc>
      </w:tr>
      <w:tr w14:paraId="7F788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11D1F848">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铜</w:t>
            </w:r>
          </w:p>
        </w:tc>
        <w:tc>
          <w:tcPr>
            <w:tcW w:w="492" w:type="pct"/>
            <w:tcBorders>
              <w:tl2br w:val="nil"/>
              <w:tr2bl w:val="nil"/>
            </w:tcBorders>
            <w:shd w:val="clear" w:color="auto" w:fill="auto"/>
            <w:vAlign w:val="center"/>
          </w:tcPr>
          <w:p w14:paraId="2AB09476">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4D94A9A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27</w:t>
            </w:r>
          </w:p>
        </w:tc>
        <w:tc>
          <w:tcPr>
            <w:tcW w:w="785" w:type="pct"/>
            <w:tcBorders>
              <w:tl2br w:val="nil"/>
              <w:tr2bl w:val="nil"/>
            </w:tcBorders>
            <w:shd w:val="clear" w:color="auto" w:fill="auto"/>
            <w:vAlign w:val="center"/>
          </w:tcPr>
          <w:p w14:paraId="2305EAD5">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26</w:t>
            </w:r>
          </w:p>
        </w:tc>
        <w:tc>
          <w:tcPr>
            <w:tcW w:w="835" w:type="pct"/>
            <w:tcBorders>
              <w:tl2br w:val="nil"/>
              <w:tr2bl w:val="nil"/>
            </w:tcBorders>
            <w:shd w:val="clear" w:color="auto" w:fill="auto"/>
            <w:vAlign w:val="center"/>
          </w:tcPr>
          <w:p w14:paraId="0AD18C9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25</w:t>
            </w:r>
          </w:p>
        </w:tc>
        <w:tc>
          <w:tcPr>
            <w:tcW w:w="650" w:type="pct"/>
            <w:tcBorders>
              <w:tl2br w:val="nil"/>
              <w:tr2bl w:val="nil"/>
            </w:tcBorders>
            <w:shd w:val="clear" w:color="auto" w:fill="auto"/>
            <w:vAlign w:val="center"/>
          </w:tcPr>
          <w:p w14:paraId="33095920">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36</w:t>
            </w:r>
          </w:p>
        </w:tc>
        <w:tc>
          <w:tcPr>
            <w:tcW w:w="493" w:type="pct"/>
            <w:tcBorders>
              <w:tl2br w:val="nil"/>
              <w:tr2bl w:val="nil"/>
            </w:tcBorders>
            <w:vAlign w:val="center"/>
          </w:tcPr>
          <w:p w14:paraId="2EDCB6A1">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r w14:paraId="695E9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79EB63CC">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镍</w:t>
            </w:r>
          </w:p>
        </w:tc>
        <w:tc>
          <w:tcPr>
            <w:tcW w:w="492" w:type="pct"/>
            <w:tcBorders>
              <w:tl2br w:val="nil"/>
              <w:tr2bl w:val="nil"/>
            </w:tcBorders>
            <w:shd w:val="clear" w:color="auto" w:fill="auto"/>
            <w:vAlign w:val="center"/>
          </w:tcPr>
          <w:p w14:paraId="61B44A6D">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3351DC7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39</w:t>
            </w:r>
          </w:p>
        </w:tc>
        <w:tc>
          <w:tcPr>
            <w:tcW w:w="785" w:type="pct"/>
            <w:tcBorders>
              <w:tl2br w:val="nil"/>
              <w:tr2bl w:val="nil"/>
            </w:tcBorders>
            <w:shd w:val="clear" w:color="auto" w:fill="auto"/>
            <w:vAlign w:val="center"/>
          </w:tcPr>
          <w:p w14:paraId="0EB54F4A">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42</w:t>
            </w:r>
          </w:p>
        </w:tc>
        <w:tc>
          <w:tcPr>
            <w:tcW w:w="835" w:type="pct"/>
            <w:tcBorders>
              <w:tl2br w:val="nil"/>
              <w:tr2bl w:val="nil"/>
            </w:tcBorders>
            <w:shd w:val="clear" w:color="auto" w:fill="auto"/>
            <w:vAlign w:val="center"/>
          </w:tcPr>
          <w:p w14:paraId="42F0A05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34</w:t>
            </w:r>
          </w:p>
        </w:tc>
        <w:tc>
          <w:tcPr>
            <w:tcW w:w="650" w:type="pct"/>
            <w:tcBorders>
              <w:tl2br w:val="nil"/>
              <w:tr2bl w:val="nil"/>
            </w:tcBorders>
            <w:shd w:val="clear" w:color="auto" w:fill="auto"/>
            <w:vAlign w:val="center"/>
          </w:tcPr>
          <w:p w14:paraId="625B734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30</w:t>
            </w:r>
          </w:p>
        </w:tc>
        <w:tc>
          <w:tcPr>
            <w:tcW w:w="493" w:type="pct"/>
            <w:tcBorders>
              <w:tl2br w:val="nil"/>
              <w:tr2bl w:val="nil"/>
            </w:tcBorders>
            <w:vAlign w:val="center"/>
          </w:tcPr>
          <w:p w14:paraId="3736D696">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190</w:t>
            </w:r>
          </w:p>
        </w:tc>
      </w:tr>
      <w:tr w14:paraId="324F7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17492B7E">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锌</w:t>
            </w:r>
          </w:p>
        </w:tc>
        <w:tc>
          <w:tcPr>
            <w:tcW w:w="492" w:type="pct"/>
            <w:tcBorders>
              <w:tl2br w:val="nil"/>
              <w:tr2bl w:val="nil"/>
            </w:tcBorders>
            <w:shd w:val="clear" w:color="auto" w:fill="auto"/>
            <w:vAlign w:val="center"/>
          </w:tcPr>
          <w:p w14:paraId="33DFD4E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1B9D893F">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41</w:t>
            </w:r>
          </w:p>
        </w:tc>
        <w:tc>
          <w:tcPr>
            <w:tcW w:w="785" w:type="pct"/>
            <w:tcBorders>
              <w:tl2br w:val="nil"/>
              <w:tr2bl w:val="nil"/>
            </w:tcBorders>
            <w:shd w:val="clear" w:color="auto" w:fill="auto"/>
            <w:vAlign w:val="center"/>
          </w:tcPr>
          <w:p w14:paraId="30B7E87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46</w:t>
            </w:r>
          </w:p>
        </w:tc>
        <w:tc>
          <w:tcPr>
            <w:tcW w:w="835" w:type="pct"/>
            <w:tcBorders>
              <w:tl2br w:val="nil"/>
              <w:tr2bl w:val="nil"/>
            </w:tcBorders>
            <w:shd w:val="clear" w:color="auto" w:fill="auto"/>
            <w:vAlign w:val="center"/>
          </w:tcPr>
          <w:p w14:paraId="763C3E4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43</w:t>
            </w:r>
          </w:p>
        </w:tc>
        <w:tc>
          <w:tcPr>
            <w:tcW w:w="650" w:type="pct"/>
            <w:tcBorders>
              <w:tl2br w:val="nil"/>
              <w:tr2bl w:val="nil"/>
            </w:tcBorders>
            <w:shd w:val="clear" w:color="auto" w:fill="auto"/>
            <w:vAlign w:val="center"/>
          </w:tcPr>
          <w:p w14:paraId="24E071D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35</w:t>
            </w:r>
          </w:p>
        </w:tc>
        <w:tc>
          <w:tcPr>
            <w:tcW w:w="493" w:type="pct"/>
            <w:tcBorders>
              <w:tl2br w:val="nil"/>
              <w:tr2bl w:val="nil"/>
            </w:tcBorders>
            <w:vAlign w:val="center"/>
          </w:tcPr>
          <w:p w14:paraId="78288F26">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300</w:t>
            </w:r>
          </w:p>
        </w:tc>
      </w:tr>
      <w:tr w14:paraId="18E4E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175C7BF3">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水溶性盐总量</w:t>
            </w:r>
          </w:p>
        </w:tc>
        <w:tc>
          <w:tcPr>
            <w:tcW w:w="492" w:type="pct"/>
            <w:tcBorders>
              <w:tl2br w:val="nil"/>
              <w:tr2bl w:val="nil"/>
            </w:tcBorders>
            <w:shd w:val="clear" w:color="auto" w:fill="auto"/>
            <w:vAlign w:val="center"/>
          </w:tcPr>
          <w:p w14:paraId="5338418D">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g/kg</w:t>
            </w:r>
          </w:p>
        </w:tc>
        <w:tc>
          <w:tcPr>
            <w:tcW w:w="785" w:type="pct"/>
            <w:tcBorders>
              <w:tl2br w:val="nil"/>
              <w:tr2bl w:val="nil"/>
            </w:tcBorders>
            <w:shd w:val="clear" w:color="auto" w:fill="auto"/>
            <w:vAlign w:val="center"/>
          </w:tcPr>
          <w:p w14:paraId="0C31E4C2">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0.4</w:t>
            </w:r>
          </w:p>
        </w:tc>
        <w:tc>
          <w:tcPr>
            <w:tcW w:w="785" w:type="pct"/>
            <w:tcBorders>
              <w:tl2br w:val="nil"/>
              <w:tr2bl w:val="nil"/>
            </w:tcBorders>
            <w:shd w:val="clear" w:color="auto" w:fill="auto"/>
            <w:vAlign w:val="center"/>
          </w:tcPr>
          <w:p w14:paraId="3BAF4E3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0.4</w:t>
            </w:r>
          </w:p>
        </w:tc>
        <w:tc>
          <w:tcPr>
            <w:tcW w:w="835" w:type="pct"/>
            <w:tcBorders>
              <w:tl2br w:val="nil"/>
              <w:tr2bl w:val="nil"/>
            </w:tcBorders>
            <w:shd w:val="clear" w:color="auto" w:fill="auto"/>
            <w:vAlign w:val="center"/>
          </w:tcPr>
          <w:p w14:paraId="65D3F5A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0.5</w:t>
            </w:r>
          </w:p>
        </w:tc>
        <w:tc>
          <w:tcPr>
            <w:tcW w:w="650" w:type="pct"/>
            <w:tcBorders>
              <w:tl2br w:val="nil"/>
              <w:tr2bl w:val="nil"/>
            </w:tcBorders>
            <w:shd w:val="clear" w:color="auto" w:fill="auto"/>
            <w:vAlign w:val="center"/>
          </w:tcPr>
          <w:p w14:paraId="757821D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0.4</w:t>
            </w:r>
          </w:p>
        </w:tc>
        <w:tc>
          <w:tcPr>
            <w:tcW w:w="493" w:type="pct"/>
            <w:tcBorders>
              <w:tl2br w:val="nil"/>
              <w:tr2bl w:val="nil"/>
            </w:tcBorders>
            <w:vAlign w:val="center"/>
          </w:tcPr>
          <w:p w14:paraId="1692B3FA">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r>
      <w:tr w14:paraId="4DA16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7C064CFE">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铬（六价）</w:t>
            </w:r>
          </w:p>
        </w:tc>
        <w:tc>
          <w:tcPr>
            <w:tcW w:w="492" w:type="pct"/>
            <w:tcBorders>
              <w:tl2br w:val="nil"/>
              <w:tr2bl w:val="nil"/>
            </w:tcBorders>
            <w:shd w:val="clear" w:color="auto" w:fill="auto"/>
            <w:vAlign w:val="center"/>
          </w:tcPr>
          <w:p w14:paraId="3EB4BA6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290EBAA7">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785" w:type="pct"/>
            <w:tcBorders>
              <w:tl2br w:val="nil"/>
              <w:tr2bl w:val="nil"/>
            </w:tcBorders>
            <w:shd w:val="clear" w:color="auto" w:fill="auto"/>
            <w:vAlign w:val="center"/>
          </w:tcPr>
          <w:p w14:paraId="48267000">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835" w:type="pct"/>
            <w:tcBorders>
              <w:tl2br w:val="nil"/>
              <w:tr2bl w:val="nil"/>
            </w:tcBorders>
            <w:shd w:val="clear" w:color="auto" w:fill="auto"/>
            <w:vAlign w:val="center"/>
          </w:tcPr>
          <w:p w14:paraId="64AD0B4C">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650" w:type="pct"/>
            <w:tcBorders>
              <w:tl2br w:val="nil"/>
              <w:tr2bl w:val="nil"/>
            </w:tcBorders>
            <w:shd w:val="clear" w:color="auto" w:fill="auto"/>
            <w:vAlign w:val="center"/>
          </w:tcPr>
          <w:p w14:paraId="61568C2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93" w:type="pct"/>
            <w:tcBorders>
              <w:tl2br w:val="nil"/>
              <w:tr2bl w:val="nil"/>
            </w:tcBorders>
            <w:vAlign w:val="center"/>
          </w:tcPr>
          <w:p w14:paraId="6479BE56">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250</w:t>
            </w:r>
          </w:p>
        </w:tc>
      </w:tr>
      <w:tr w14:paraId="7B3A7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5F9A58AE">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石油烃</w:t>
            </w:r>
          </w:p>
        </w:tc>
        <w:tc>
          <w:tcPr>
            <w:tcW w:w="492" w:type="pct"/>
            <w:tcBorders>
              <w:tl2br w:val="nil"/>
              <w:tr2bl w:val="nil"/>
            </w:tcBorders>
            <w:shd w:val="clear" w:color="auto" w:fill="auto"/>
            <w:vAlign w:val="center"/>
          </w:tcPr>
          <w:p w14:paraId="44EE3495">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383031A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116</w:t>
            </w:r>
          </w:p>
        </w:tc>
        <w:tc>
          <w:tcPr>
            <w:tcW w:w="785" w:type="pct"/>
            <w:tcBorders>
              <w:tl2br w:val="nil"/>
              <w:tr2bl w:val="nil"/>
            </w:tcBorders>
            <w:shd w:val="clear" w:color="auto" w:fill="auto"/>
            <w:vAlign w:val="center"/>
          </w:tcPr>
          <w:p w14:paraId="4512AD3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93</w:t>
            </w:r>
          </w:p>
        </w:tc>
        <w:tc>
          <w:tcPr>
            <w:tcW w:w="835" w:type="pct"/>
            <w:tcBorders>
              <w:tl2br w:val="nil"/>
              <w:tr2bl w:val="nil"/>
            </w:tcBorders>
            <w:shd w:val="clear" w:color="auto" w:fill="auto"/>
            <w:vAlign w:val="center"/>
          </w:tcPr>
          <w:p w14:paraId="78BAD39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146</w:t>
            </w:r>
          </w:p>
        </w:tc>
        <w:tc>
          <w:tcPr>
            <w:tcW w:w="650" w:type="pct"/>
            <w:tcBorders>
              <w:tl2br w:val="nil"/>
              <w:tr2bl w:val="nil"/>
            </w:tcBorders>
            <w:shd w:val="clear" w:color="auto" w:fill="auto"/>
            <w:vAlign w:val="center"/>
          </w:tcPr>
          <w:p w14:paraId="4EC1B9F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43</w:t>
            </w:r>
          </w:p>
        </w:tc>
        <w:tc>
          <w:tcPr>
            <w:tcW w:w="493" w:type="pct"/>
            <w:tcBorders>
              <w:tl2br w:val="nil"/>
              <w:tr2bl w:val="nil"/>
            </w:tcBorders>
            <w:vAlign w:val="center"/>
          </w:tcPr>
          <w:p w14:paraId="6DF713A0">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4500</w:t>
            </w:r>
          </w:p>
        </w:tc>
      </w:tr>
      <w:tr w14:paraId="50E6C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07ED8918">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氰化物</w:t>
            </w:r>
          </w:p>
        </w:tc>
        <w:tc>
          <w:tcPr>
            <w:tcW w:w="492" w:type="pct"/>
            <w:tcBorders>
              <w:tl2br w:val="nil"/>
              <w:tr2bl w:val="nil"/>
            </w:tcBorders>
            <w:shd w:val="clear" w:color="auto" w:fill="auto"/>
            <w:vAlign w:val="center"/>
          </w:tcPr>
          <w:p w14:paraId="7E87EF0D">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689DC42F">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8.0</w:t>
            </w:r>
          </w:p>
        </w:tc>
        <w:tc>
          <w:tcPr>
            <w:tcW w:w="785" w:type="pct"/>
            <w:tcBorders>
              <w:tl2br w:val="nil"/>
              <w:tr2bl w:val="nil"/>
            </w:tcBorders>
            <w:shd w:val="clear" w:color="auto" w:fill="auto"/>
            <w:vAlign w:val="center"/>
          </w:tcPr>
          <w:p w14:paraId="1877C215">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8.0</w:t>
            </w:r>
          </w:p>
        </w:tc>
        <w:tc>
          <w:tcPr>
            <w:tcW w:w="835" w:type="pct"/>
            <w:tcBorders>
              <w:tl2br w:val="nil"/>
              <w:tr2bl w:val="nil"/>
            </w:tcBorders>
            <w:shd w:val="clear" w:color="auto" w:fill="auto"/>
            <w:vAlign w:val="center"/>
          </w:tcPr>
          <w:p w14:paraId="31287490">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8.1</w:t>
            </w:r>
          </w:p>
        </w:tc>
        <w:tc>
          <w:tcPr>
            <w:tcW w:w="650" w:type="pct"/>
            <w:tcBorders>
              <w:tl2br w:val="nil"/>
              <w:tr2bl w:val="nil"/>
            </w:tcBorders>
            <w:shd w:val="clear" w:color="auto" w:fill="auto"/>
            <w:vAlign w:val="center"/>
          </w:tcPr>
          <w:p w14:paraId="611B17E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93" w:type="pct"/>
            <w:tcBorders>
              <w:tl2br w:val="nil"/>
              <w:tr2bl w:val="nil"/>
            </w:tcBorders>
            <w:vAlign w:val="center"/>
          </w:tcPr>
          <w:p w14:paraId="3817ACFB">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135</w:t>
            </w:r>
          </w:p>
        </w:tc>
      </w:tr>
      <w:tr w14:paraId="48622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450" w:type="pct"/>
            <w:gridSpan w:val="2"/>
            <w:tcBorders>
              <w:tl2br w:val="nil"/>
              <w:tr2bl w:val="nil"/>
            </w:tcBorders>
            <w:vAlign w:val="center"/>
          </w:tcPr>
          <w:p w14:paraId="102D2FE8">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样品编码</w:t>
            </w:r>
          </w:p>
        </w:tc>
        <w:tc>
          <w:tcPr>
            <w:tcW w:w="785" w:type="pct"/>
            <w:tcBorders>
              <w:tl2br w:val="nil"/>
              <w:tr2bl w:val="nil"/>
            </w:tcBorders>
            <w:vAlign w:val="center"/>
          </w:tcPr>
          <w:p w14:paraId="12FE1F3C">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8</w:t>
            </w:r>
          </w:p>
        </w:tc>
        <w:tc>
          <w:tcPr>
            <w:tcW w:w="785" w:type="pct"/>
            <w:tcBorders>
              <w:tl2br w:val="nil"/>
              <w:tr2bl w:val="nil"/>
            </w:tcBorders>
            <w:vAlign w:val="center"/>
          </w:tcPr>
          <w:p w14:paraId="241F8A18">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rPr>
              <w:t>T</w:t>
            </w:r>
            <w:r>
              <w:rPr>
                <w:rFonts w:hint="default" w:cs="Times New Roman"/>
                <w:b/>
                <w:color w:val="auto"/>
                <w:sz w:val="21"/>
                <w:szCs w:val="21"/>
                <w:highlight w:val="none"/>
                <w:lang w:val="en-US" w:eastAsia="zh-CN"/>
              </w:rPr>
              <w:t>18</w:t>
            </w:r>
          </w:p>
        </w:tc>
        <w:tc>
          <w:tcPr>
            <w:tcW w:w="835" w:type="pct"/>
            <w:tcBorders>
              <w:tl2br w:val="nil"/>
              <w:tr2bl w:val="nil"/>
            </w:tcBorders>
            <w:vAlign w:val="center"/>
          </w:tcPr>
          <w:p w14:paraId="2FB71B0C">
            <w:pPr>
              <w:pStyle w:val="24"/>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T19</w:t>
            </w:r>
          </w:p>
        </w:tc>
        <w:tc>
          <w:tcPr>
            <w:tcW w:w="650" w:type="pct"/>
            <w:tcBorders>
              <w:tl2br w:val="nil"/>
              <w:tr2bl w:val="nil"/>
            </w:tcBorders>
            <w:vAlign w:val="center"/>
          </w:tcPr>
          <w:p w14:paraId="5CA0918F">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cs="Times New Roman"/>
                <w:b/>
                <w:color w:val="auto"/>
                <w:sz w:val="21"/>
                <w:szCs w:val="21"/>
                <w:highlight w:val="none"/>
                <w:lang w:val="en-US" w:eastAsia="zh-CN"/>
              </w:rPr>
              <w:t>T20</w:t>
            </w:r>
          </w:p>
        </w:tc>
        <w:tc>
          <w:tcPr>
            <w:tcW w:w="493" w:type="pct"/>
            <w:vMerge w:val="restart"/>
            <w:tcBorders>
              <w:tl2br w:val="nil"/>
              <w:tr2bl w:val="nil"/>
            </w:tcBorders>
            <w:vAlign w:val="center"/>
          </w:tcPr>
          <w:p w14:paraId="0C4AE444">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w:t>
            </w:r>
          </w:p>
        </w:tc>
      </w:tr>
      <w:tr w14:paraId="327D8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958" w:type="pct"/>
            <w:tcBorders>
              <w:tl2br w:val="nil"/>
              <w:tr2bl w:val="nil"/>
            </w:tcBorders>
            <w:vAlign w:val="center"/>
          </w:tcPr>
          <w:p w14:paraId="40ECC9CA">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检测项目</w:t>
            </w:r>
          </w:p>
        </w:tc>
        <w:tc>
          <w:tcPr>
            <w:tcW w:w="492" w:type="pct"/>
            <w:tcBorders>
              <w:tl2br w:val="nil"/>
              <w:tr2bl w:val="nil"/>
            </w:tcBorders>
            <w:vAlign w:val="center"/>
          </w:tcPr>
          <w:p w14:paraId="3CCF26BC">
            <w:pPr>
              <w:keepNext w:val="0"/>
              <w:keepLines w:val="0"/>
              <w:pageBreakBefore w:val="0"/>
              <w:widowControl/>
              <w:kinsoku/>
              <w:wordWrap/>
              <w:overflowPunct/>
              <w:topLinePunct w:val="0"/>
              <w:bidi w:val="0"/>
              <w:spacing w:line="360" w:lineRule="exact"/>
              <w:ind w:left="0"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单位</w:t>
            </w:r>
          </w:p>
        </w:tc>
        <w:tc>
          <w:tcPr>
            <w:tcW w:w="2406" w:type="pct"/>
            <w:gridSpan w:val="3"/>
            <w:tcBorders>
              <w:tl2br w:val="nil"/>
              <w:tr2bl w:val="nil"/>
            </w:tcBorders>
            <w:vAlign w:val="center"/>
          </w:tcPr>
          <w:p w14:paraId="6191E715">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650" w:type="pct"/>
            <w:tcBorders>
              <w:tl2br w:val="nil"/>
              <w:tr2bl w:val="nil"/>
            </w:tcBorders>
            <w:vAlign w:val="center"/>
          </w:tcPr>
          <w:p w14:paraId="1A1362CD">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493" w:type="pct"/>
            <w:vMerge w:val="continue"/>
            <w:tcBorders>
              <w:tl2br w:val="nil"/>
              <w:tr2bl w:val="nil"/>
            </w:tcBorders>
            <w:vAlign w:val="center"/>
          </w:tcPr>
          <w:p w14:paraId="21C974FB">
            <w:pPr>
              <w:keepNext w:val="0"/>
              <w:keepLines w:val="0"/>
              <w:pageBreakBefore w:val="0"/>
              <w:kinsoku/>
              <w:wordWrap/>
              <w:overflowPunct/>
              <w:topLinePunct w:val="0"/>
              <w:bidi w:val="0"/>
              <w:spacing w:line="360" w:lineRule="exact"/>
              <w:ind w:left="0" w:firstLine="0" w:firstLineChars="0"/>
              <w:jc w:val="center"/>
              <w:rPr>
                <w:rFonts w:hint="default" w:ascii="Times New Roman" w:hAnsi="Times New Roman" w:cs="Times New Roman"/>
                <w:b/>
                <w:color w:val="auto"/>
                <w:sz w:val="21"/>
                <w:szCs w:val="21"/>
                <w:highlight w:val="none"/>
              </w:rPr>
            </w:pPr>
          </w:p>
        </w:tc>
      </w:tr>
      <w:tr w14:paraId="5AE10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37B2E847">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pH</w:t>
            </w:r>
          </w:p>
        </w:tc>
        <w:tc>
          <w:tcPr>
            <w:tcW w:w="492" w:type="pct"/>
            <w:tcBorders>
              <w:tl2br w:val="nil"/>
              <w:tr2bl w:val="nil"/>
            </w:tcBorders>
            <w:shd w:val="clear" w:color="auto" w:fill="auto"/>
            <w:vAlign w:val="center"/>
          </w:tcPr>
          <w:p w14:paraId="50F4128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无量纲</w:t>
            </w:r>
          </w:p>
        </w:tc>
        <w:tc>
          <w:tcPr>
            <w:tcW w:w="785" w:type="pct"/>
            <w:tcBorders>
              <w:tl2br w:val="nil"/>
              <w:tr2bl w:val="nil"/>
            </w:tcBorders>
            <w:shd w:val="clear" w:color="auto" w:fill="auto"/>
            <w:vAlign w:val="center"/>
          </w:tcPr>
          <w:p w14:paraId="4126CD8B">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7.7</w:t>
            </w:r>
          </w:p>
        </w:tc>
        <w:tc>
          <w:tcPr>
            <w:tcW w:w="785" w:type="pct"/>
            <w:tcBorders>
              <w:tl2br w:val="nil"/>
              <w:tr2bl w:val="nil"/>
            </w:tcBorders>
            <w:shd w:val="clear" w:color="auto" w:fill="auto"/>
            <w:vAlign w:val="center"/>
          </w:tcPr>
          <w:p w14:paraId="7B43D7F9">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8.3</w:t>
            </w:r>
          </w:p>
        </w:tc>
        <w:tc>
          <w:tcPr>
            <w:tcW w:w="835" w:type="pct"/>
            <w:tcBorders>
              <w:tl2br w:val="nil"/>
              <w:tr2bl w:val="nil"/>
            </w:tcBorders>
            <w:shd w:val="clear" w:color="auto" w:fill="auto"/>
            <w:vAlign w:val="center"/>
          </w:tcPr>
          <w:p w14:paraId="564C3CA4">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8.1</w:t>
            </w:r>
          </w:p>
        </w:tc>
        <w:tc>
          <w:tcPr>
            <w:tcW w:w="650" w:type="pct"/>
            <w:tcBorders>
              <w:tl2br w:val="nil"/>
              <w:tr2bl w:val="nil"/>
            </w:tcBorders>
            <w:shd w:val="clear" w:color="auto" w:fill="auto"/>
            <w:vAlign w:val="center"/>
          </w:tcPr>
          <w:p w14:paraId="41E51E74">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7.5</w:t>
            </w:r>
          </w:p>
        </w:tc>
        <w:tc>
          <w:tcPr>
            <w:tcW w:w="493" w:type="pct"/>
            <w:tcBorders>
              <w:tl2br w:val="nil"/>
              <w:tr2bl w:val="nil"/>
            </w:tcBorders>
            <w:shd w:val="clear" w:color="auto" w:fill="auto"/>
            <w:vAlign w:val="center"/>
          </w:tcPr>
          <w:p w14:paraId="4942D958">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5B77F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4FA93266">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水分</w:t>
            </w:r>
          </w:p>
        </w:tc>
        <w:tc>
          <w:tcPr>
            <w:tcW w:w="492" w:type="pct"/>
            <w:tcBorders>
              <w:tl2br w:val="nil"/>
              <w:tr2bl w:val="nil"/>
            </w:tcBorders>
            <w:shd w:val="clear" w:color="auto" w:fill="auto"/>
            <w:vAlign w:val="center"/>
          </w:tcPr>
          <w:p w14:paraId="70951FE1">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85" w:type="pct"/>
            <w:tcBorders>
              <w:tl2br w:val="nil"/>
              <w:tr2bl w:val="nil"/>
            </w:tcBorders>
            <w:shd w:val="clear" w:color="auto" w:fill="auto"/>
            <w:vAlign w:val="center"/>
          </w:tcPr>
          <w:p w14:paraId="3E801396">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c>
          <w:tcPr>
            <w:tcW w:w="785" w:type="pct"/>
            <w:tcBorders>
              <w:tl2br w:val="nil"/>
              <w:tr2bl w:val="nil"/>
            </w:tcBorders>
            <w:shd w:val="clear" w:color="auto" w:fill="auto"/>
            <w:vAlign w:val="center"/>
          </w:tcPr>
          <w:p w14:paraId="70221B35">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w:t>
            </w:r>
          </w:p>
        </w:tc>
        <w:tc>
          <w:tcPr>
            <w:tcW w:w="835" w:type="pct"/>
            <w:tcBorders>
              <w:tl2br w:val="nil"/>
              <w:tr2bl w:val="nil"/>
            </w:tcBorders>
            <w:shd w:val="clear" w:color="auto" w:fill="auto"/>
            <w:vAlign w:val="center"/>
          </w:tcPr>
          <w:p w14:paraId="2CDFF9AE">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650" w:type="pct"/>
            <w:tcBorders>
              <w:tl2br w:val="nil"/>
              <w:tr2bl w:val="nil"/>
            </w:tcBorders>
            <w:shd w:val="clear" w:color="auto" w:fill="auto"/>
            <w:vAlign w:val="center"/>
          </w:tcPr>
          <w:p w14:paraId="5EF97A78">
            <w:pPr>
              <w:pStyle w:val="58"/>
              <w:keepNext w:val="0"/>
              <w:keepLines w:val="0"/>
              <w:pageBreakBefore w:val="0"/>
              <w:suppressLineNumbers w:val="0"/>
              <w:tabs>
                <w:tab w:val="left" w:pos="2760"/>
              </w:tabs>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c>
          <w:tcPr>
            <w:tcW w:w="493" w:type="pct"/>
            <w:tcBorders>
              <w:tl2br w:val="nil"/>
              <w:tr2bl w:val="nil"/>
            </w:tcBorders>
            <w:shd w:val="clear" w:color="auto" w:fill="auto"/>
            <w:vAlign w:val="center"/>
          </w:tcPr>
          <w:p w14:paraId="098E6D53">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260F7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3A17C8D4">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干物质</w:t>
            </w:r>
          </w:p>
        </w:tc>
        <w:tc>
          <w:tcPr>
            <w:tcW w:w="492" w:type="pct"/>
            <w:tcBorders>
              <w:tl2br w:val="nil"/>
              <w:tr2bl w:val="nil"/>
            </w:tcBorders>
            <w:shd w:val="clear" w:color="auto" w:fill="auto"/>
            <w:vAlign w:val="center"/>
          </w:tcPr>
          <w:p w14:paraId="4D3EAA04">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85" w:type="pct"/>
            <w:tcBorders>
              <w:tl2br w:val="nil"/>
              <w:tr2bl w:val="nil"/>
            </w:tcBorders>
            <w:shd w:val="clear" w:color="auto" w:fill="auto"/>
            <w:vAlign w:val="center"/>
          </w:tcPr>
          <w:p w14:paraId="2AD4CF7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99.0</w:t>
            </w:r>
          </w:p>
        </w:tc>
        <w:tc>
          <w:tcPr>
            <w:tcW w:w="785" w:type="pct"/>
            <w:tcBorders>
              <w:tl2br w:val="nil"/>
              <w:tr2bl w:val="nil"/>
            </w:tcBorders>
            <w:shd w:val="clear" w:color="auto" w:fill="auto"/>
            <w:vAlign w:val="center"/>
          </w:tcPr>
          <w:p w14:paraId="33BC12E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98.7</w:t>
            </w:r>
          </w:p>
        </w:tc>
        <w:tc>
          <w:tcPr>
            <w:tcW w:w="835" w:type="pct"/>
            <w:tcBorders>
              <w:tl2br w:val="nil"/>
              <w:tr2bl w:val="nil"/>
            </w:tcBorders>
            <w:shd w:val="clear" w:color="auto" w:fill="auto"/>
            <w:vAlign w:val="center"/>
          </w:tcPr>
          <w:p w14:paraId="4446831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98.8</w:t>
            </w:r>
          </w:p>
        </w:tc>
        <w:tc>
          <w:tcPr>
            <w:tcW w:w="650" w:type="pct"/>
            <w:tcBorders>
              <w:tl2br w:val="nil"/>
              <w:tr2bl w:val="nil"/>
            </w:tcBorders>
            <w:shd w:val="clear" w:color="auto" w:fill="auto"/>
            <w:vAlign w:val="center"/>
          </w:tcPr>
          <w:p w14:paraId="5370A978">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99.0</w:t>
            </w:r>
          </w:p>
        </w:tc>
        <w:tc>
          <w:tcPr>
            <w:tcW w:w="493" w:type="pct"/>
            <w:tcBorders>
              <w:tl2br w:val="nil"/>
              <w:tr2bl w:val="nil"/>
            </w:tcBorders>
            <w:shd w:val="clear" w:color="auto" w:fill="auto"/>
            <w:vAlign w:val="center"/>
          </w:tcPr>
          <w:p w14:paraId="20F0A8CB">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w:t>
            </w:r>
          </w:p>
        </w:tc>
      </w:tr>
      <w:tr w14:paraId="062F9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24CFA4B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镉</w:t>
            </w:r>
          </w:p>
        </w:tc>
        <w:tc>
          <w:tcPr>
            <w:tcW w:w="492" w:type="pct"/>
            <w:tcBorders>
              <w:tl2br w:val="nil"/>
              <w:tr2bl w:val="nil"/>
            </w:tcBorders>
            <w:shd w:val="clear" w:color="auto" w:fill="auto"/>
            <w:vAlign w:val="center"/>
          </w:tcPr>
          <w:p w14:paraId="1B445596">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19D089B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0.18</w:t>
            </w:r>
          </w:p>
        </w:tc>
        <w:tc>
          <w:tcPr>
            <w:tcW w:w="785" w:type="pct"/>
            <w:tcBorders>
              <w:tl2br w:val="nil"/>
              <w:tr2bl w:val="nil"/>
            </w:tcBorders>
            <w:shd w:val="clear" w:color="auto" w:fill="auto"/>
            <w:vAlign w:val="center"/>
          </w:tcPr>
          <w:p w14:paraId="2FAAE44B">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0.19</w:t>
            </w:r>
          </w:p>
        </w:tc>
        <w:tc>
          <w:tcPr>
            <w:tcW w:w="835" w:type="pct"/>
            <w:tcBorders>
              <w:tl2br w:val="nil"/>
              <w:tr2bl w:val="nil"/>
            </w:tcBorders>
            <w:shd w:val="clear" w:color="auto" w:fill="auto"/>
            <w:vAlign w:val="center"/>
          </w:tcPr>
          <w:p w14:paraId="6409C3A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0.19</w:t>
            </w:r>
          </w:p>
        </w:tc>
        <w:tc>
          <w:tcPr>
            <w:tcW w:w="650" w:type="pct"/>
            <w:tcBorders>
              <w:tl2br w:val="nil"/>
              <w:tr2bl w:val="nil"/>
            </w:tcBorders>
            <w:shd w:val="clear" w:color="auto" w:fill="auto"/>
            <w:vAlign w:val="center"/>
          </w:tcPr>
          <w:p w14:paraId="66B0F974">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0.18</w:t>
            </w:r>
          </w:p>
        </w:tc>
        <w:tc>
          <w:tcPr>
            <w:tcW w:w="493" w:type="pct"/>
            <w:tcBorders>
              <w:tl2br w:val="nil"/>
              <w:tr2bl w:val="nil"/>
            </w:tcBorders>
            <w:shd w:val="clear" w:color="auto" w:fill="auto"/>
            <w:vAlign w:val="center"/>
          </w:tcPr>
          <w:p w14:paraId="5A43378B">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0.6</w:t>
            </w:r>
          </w:p>
        </w:tc>
      </w:tr>
      <w:tr w14:paraId="7736F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12F03E7E">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汞</w:t>
            </w:r>
          </w:p>
        </w:tc>
        <w:tc>
          <w:tcPr>
            <w:tcW w:w="492" w:type="pct"/>
            <w:tcBorders>
              <w:tl2br w:val="nil"/>
              <w:tr2bl w:val="nil"/>
            </w:tcBorders>
            <w:shd w:val="clear" w:color="auto" w:fill="auto"/>
            <w:vAlign w:val="center"/>
          </w:tcPr>
          <w:p w14:paraId="53BFC751">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5FC9CAD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0.020</w:t>
            </w:r>
          </w:p>
        </w:tc>
        <w:tc>
          <w:tcPr>
            <w:tcW w:w="785" w:type="pct"/>
            <w:tcBorders>
              <w:tl2br w:val="nil"/>
              <w:tr2bl w:val="nil"/>
            </w:tcBorders>
            <w:shd w:val="clear" w:color="auto" w:fill="auto"/>
            <w:vAlign w:val="center"/>
          </w:tcPr>
          <w:p w14:paraId="0989406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0.017</w:t>
            </w:r>
          </w:p>
        </w:tc>
        <w:tc>
          <w:tcPr>
            <w:tcW w:w="835" w:type="pct"/>
            <w:tcBorders>
              <w:tl2br w:val="nil"/>
              <w:tr2bl w:val="nil"/>
            </w:tcBorders>
            <w:shd w:val="clear" w:color="auto" w:fill="auto"/>
            <w:vAlign w:val="center"/>
          </w:tcPr>
          <w:p w14:paraId="3F6C7E81">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0.018</w:t>
            </w:r>
          </w:p>
        </w:tc>
        <w:tc>
          <w:tcPr>
            <w:tcW w:w="650" w:type="pct"/>
            <w:tcBorders>
              <w:tl2br w:val="nil"/>
              <w:tr2bl w:val="nil"/>
            </w:tcBorders>
            <w:shd w:val="clear" w:color="auto" w:fill="auto"/>
            <w:vAlign w:val="center"/>
          </w:tcPr>
          <w:p w14:paraId="310F054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0.020</w:t>
            </w:r>
          </w:p>
        </w:tc>
        <w:tc>
          <w:tcPr>
            <w:tcW w:w="493" w:type="pct"/>
            <w:tcBorders>
              <w:tl2br w:val="nil"/>
              <w:tr2bl w:val="nil"/>
            </w:tcBorders>
            <w:shd w:val="clear" w:color="auto" w:fill="auto"/>
            <w:vAlign w:val="center"/>
          </w:tcPr>
          <w:p w14:paraId="702AF13F">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3.4</w:t>
            </w:r>
          </w:p>
        </w:tc>
      </w:tr>
      <w:tr w14:paraId="721CF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6972C5E7">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砷</w:t>
            </w:r>
          </w:p>
        </w:tc>
        <w:tc>
          <w:tcPr>
            <w:tcW w:w="492" w:type="pct"/>
            <w:tcBorders>
              <w:tl2br w:val="nil"/>
              <w:tr2bl w:val="nil"/>
            </w:tcBorders>
            <w:shd w:val="clear" w:color="auto" w:fill="auto"/>
            <w:vAlign w:val="center"/>
          </w:tcPr>
          <w:p w14:paraId="3D2318DD">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0CBEA56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5.96</w:t>
            </w:r>
          </w:p>
        </w:tc>
        <w:tc>
          <w:tcPr>
            <w:tcW w:w="785" w:type="pct"/>
            <w:tcBorders>
              <w:tl2br w:val="nil"/>
              <w:tr2bl w:val="nil"/>
            </w:tcBorders>
            <w:shd w:val="clear" w:color="auto" w:fill="auto"/>
            <w:vAlign w:val="center"/>
          </w:tcPr>
          <w:p w14:paraId="7699DEE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4.35</w:t>
            </w:r>
          </w:p>
        </w:tc>
        <w:tc>
          <w:tcPr>
            <w:tcW w:w="835" w:type="pct"/>
            <w:tcBorders>
              <w:tl2br w:val="nil"/>
              <w:tr2bl w:val="nil"/>
            </w:tcBorders>
            <w:shd w:val="clear" w:color="auto" w:fill="auto"/>
            <w:vAlign w:val="center"/>
          </w:tcPr>
          <w:p w14:paraId="5F06F32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4.33</w:t>
            </w:r>
          </w:p>
        </w:tc>
        <w:tc>
          <w:tcPr>
            <w:tcW w:w="650" w:type="pct"/>
            <w:tcBorders>
              <w:tl2br w:val="nil"/>
              <w:tr2bl w:val="nil"/>
            </w:tcBorders>
            <w:shd w:val="clear" w:color="auto" w:fill="auto"/>
            <w:vAlign w:val="center"/>
          </w:tcPr>
          <w:p w14:paraId="139F5C8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5.00</w:t>
            </w:r>
          </w:p>
        </w:tc>
        <w:tc>
          <w:tcPr>
            <w:tcW w:w="493" w:type="pct"/>
            <w:tcBorders>
              <w:tl2br w:val="nil"/>
              <w:tr2bl w:val="nil"/>
            </w:tcBorders>
            <w:shd w:val="clear" w:color="auto" w:fill="auto"/>
            <w:vAlign w:val="center"/>
          </w:tcPr>
          <w:p w14:paraId="6511FFEB">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25</w:t>
            </w:r>
          </w:p>
        </w:tc>
      </w:tr>
      <w:tr w14:paraId="499BE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5FC761DF">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铅</w:t>
            </w:r>
          </w:p>
        </w:tc>
        <w:tc>
          <w:tcPr>
            <w:tcW w:w="492" w:type="pct"/>
            <w:tcBorders>
              <w:tl2br w:val="nil"/>
              <w:tr2bl w:val="nil"/>
            </w:tcBorders>
            <w:shd w:val="clear" w:color="auto" w:fill="auto"/>
            <w:vAlign w:val="center"/>
          </w:tcPr>
          <w:p w14:paraId="02B5197C">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4098B02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18.9</w:t>
            </w:r>
          </w:p>
        </w:tc>
        <w:tc>
          <w:tcPr>
            <w:tcW w:w="785" w:type="pct"/>
            <w:tcBorders>
              <w:tl2br w:val="nil"/>
              <w:tr2bl w:val="nil"/>
            </w:tcBorders>
            <w:shd w:val="clear" w:color="auto" w:fill="auto"/>
            <w:vAlign w:val="center"/>
          </w:tcPr>
          <w:p w14:paraId="78D4FB6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20.5</w:t>
            </w:r>
          </w:p>
        </w:tc>
        <w:tc>
          <w:tcPr>
            <w:tcW w:w="835" w:type="pct"/>
            <w:tcBorders>
              <w:tl2br w:val="nil"/>
              <w:tr2bl w:val="nil"/>
            </w:tcBorders>
            <w:shd w:val="clear" w:color="auto" w:fill="auto"/>
            <w:vAlign w:val="center"/>
          </w:tcPr>
          <w:p w14:paraId="3EF6636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20.3</w:t>
            </w:r>
          </w:p>
        </w:tc>
        <w:tc>
          <w:tcPr>
            <w:tcW w:w="650" w:type="pct"/>
            <w:tcBorders>
              <w:tl2br w:val="nil"/>
              <w:tr2bl w:val="nil"/>
            </w:tcBorders>
            <w:shd w:val="clear" w:color="auto" w:fill="auto"/>
            <w:vAlign w:val="center"/>
          </w:tcPr>
          <w:p w14:paraId="4FD7E35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19.5</w:t>
            </w:r>
          </w:p>
        </w:tc>
        <w:tc>
          <w:tcPr>
            <w:tcW w:w="493" w:type="pct"/>
            <w:tcBorders>
              <w:tl2br w:val="nil"/>
              <w:tr2bl w:val="nil"/>
            </w:tcBorders>
            <w:shd w:val="clear" w:color="auto" w:fill="auto"/>
            <w:vAlign w:val="center"/>
          </w:tcPr>
          <w:p w14:paraId="535C815B">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170</w:t>
            </w:r>
          </w:p>
        </w:tc>
      </w:tr>
      <w:tr w14:paraId="47070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tcBorders>
              <w:tl2br w:val="nil"/>
              <w:tr2bl w:val="nil"/>
            </w:tcBorders>
            <w:shd w:val="clear" w:color="auto" w:fill="auto"/>
            <w:vAlign w:val="center"/>
          </w:tcPr>
          <w:p w14:paraId="4401A76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铜</w:t>
            </w:r>
          </w:p>
        </w:tc>
        <w:tc>
          <w:tcPr>
            <w:tcW w:w="492" w:type="pct"/>
            <w:tcBorders>
              <w:tl2br w:val="nil"/>
              <w:tr2bl w:val="nil"/>
            </w:tcBorders>
            <w:shd w:val="clear" w:color="auto" w:fill="auto"/>
            <w:vAlign w:val="center"/>
          </w:tcPr>
          <w:p w14:paraId="702645CC">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tcBorders>
              <w:tl2br w:val="nil"/>
              <w:tr2bl w:val="nil"/>
            </w:tcBorders>
            <w:shd w:val="clear" w:color="auto" w:fill="auto"/>
            <w:vAlign w:val="center"/>
          </w:tcPr>
          <w:p w14:paraId="7C16090C">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24</w:t>
            </w:r>
          </w:p>
        </w:tc>
        <w:tc>
          <w:tcPr>
            <w:tcW w:w="785" w:type="pct"/>
            <w:tcBorders>
              <w:tl2br w:val="nil"/>
              <w:tr2bl w:val="nil"/>
            </w:tcBorders>
            <w:shd w:val="clear" w:color="auto" w:fill="auto"/>
            <w:vAlign w:val="center"/>
          </w:tcPr>
          <w:p w14:paraId="738A3AD2">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30</w:t>
            </w:r>
          </w:p>
        </w:tc>
        <w:tc>
          <w:tcPr>
            <w:tcW w:w="835" w:type="pct"/>
            <w:tcBorders>
              <w:tl2br w:val="nil"/>
              <w:tr2bl w:val="nil"/>
            </w:tcBorders>
            <w:shd w:val="clear" w:color="auto" w:fill="auto"/>
            <w:vAlign w:val="center"/>
          </w:tcPr>
          <w:p w14:paraId="67F444D0">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23</w:t>
            </w:r>
          </w:p>
        </w:tc>
        <w:tc>
          <w:tcPr>
            <w:tcW w:w="650" w:type="pct"/>
            <w:tcBorders>
              <w:tl2br w:val="nil"/>
              <w:tr2bl w:val="nil"/>
            </w:tcBorders>
            <w:shd w:val="clear" w:color="auto" w:fill="auto"/>
            <w:vAlign w:val="center"/>
          </w:tcPr>
          <w:p w14:paraId="481A4466">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kern w:val="2"/>
                <w:sz w:val="21"/>
                <w:szCs w:val="21"/>
                <w:highlight w:val="none"/>
                <w:lang w:val="en-US" w:eastAsia="zh-CN" w:bidi="ar-SA"/>
              </w:rPr>
              <w:t>24</w:t>
            </w:r>
          </w:p>
        </w:tc>
        <w:tc>
          <w:tcPr>
            <w:tcW w:w="493" w:type="pct"/>
            <w:tcBorders>
              <w:tl2br w:val="nil"/>
              <w:tr2bl w:val="nil"/>
            </w:tcBorders>
            <w:shd w:val="clear" w:color="auto" w:fill="auto"/>
            <w:vAlign w:val="center"/>
          </w:tcPr>
          <w:p w14:paraId="623DF66A">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100</w:t>
            </w:r>
          </w:p>
        </w:tc>
      </w:tr>
      <w:tr w14:paraId="62909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shd w:val="clear" w:color="auto" w:fill="auto"/>
            <w:vAlign w:val="center"/>
          </w:tcPr>
          <w:p w14:paraId="2825081C">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镍</w:t>
            </w:r>
          </w:p>
        </w:tc>
        <w:tc>
          <w:tcPr>
            <w:tcW w:w="492" w:type="pct"/>
            <w:shd w:val="clear" w:color="auto" w:fill="auto"/>
            <w:vAlign w:val="center"/>
          </w:tcPr>
          <w:p w14:paraId="3746E953">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shd w:val="clear" w:color="auto" w:fill="auto"/>
            <w:vAlign w:val="center"/>
          </w:tcPr>
          <w:p w14:paraId="4D1AC1D7">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30</w:t>
            </w:r>
          </w:p>
        </w:tc>
        <w:tc>
          <w:tcPr>
            <w:tcW w:w="785" w:type="pct"/>
            <w:shd w:val="clear" w:color="auto" w:fill="auto"/>
            <w:vAlign w:val="center"/>
          </w:tcPr>
          <w:p w14:paraId="45419283">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33</w:t>
            </w:r>
          </w:p>
        </w:tc>
        <w:tc>
          <w:tcPr>
            <w:tcW w:w="835" w:type="pct"/>
            <w:shd w:val="clear" w:color="auto" w:fill="auto"/>
            <w:vAlign w:val="center"/>
          </w:tcPr>
          <w:p w14:paraId="6AE4A35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32</w:t>
            </w:r>
          </w:p>
        </w:tc>
        <w:tc>
          <w:tcPr>
            <w:tcW w:w="650" w:type="pct"/>
            <w:shd w:val="clear" w:color="auto" w:fill="auto"/>
            <w:vAlign w:val="center"/>
          </w:tcPr>
          <w:p w14:paraId="0C4FD1D9">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42</w:t>
            </w:r>
          </w:p>
        </w:tc>
        <w:tc>
          <w:tcPr>
            <w:tcW w:w="493" w:type="pct"/>
            <w:shd w:val="clear" w:color="auto" w:fill="auto"/>
            <w:vAlign w:val="center"/>
          </w:tcPr>
          <w:p w14:paraId="2445398A">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190</w:t>
            </w:r>
          </w:p>
        </w:tc>
      </w:tr>
      <w:tr w14:paraId="29923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shd w:val="clear" w:color="auto" w:fill="auto"/>
            <w:vAlign w:val="center"/>
          </w:tcPr>
          <w:p w14:paraId="78D7B957">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锌</w:t>
            </w:r>
          </w:p>
        </w:tc>
        <w:tc>
          <w:tcPr>
            <w:tcW w:w="492" w:type="pct"/>
            <w:shd w:val="clear" w:color="auto" w:fill="auto"/>
            <w:vAlign w:val="center"/>
          </w:tcPr>
          <w:p w14:paraId="14CBE970">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shd w:val="clear" w:color="auto" w:fill="auto"/>
            <w:vAlign w:val="center"/>
          </w:tcPr>
          <w:p w14:paraId="10741E1B">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40</w:t>
            </w:r>
          </w:p>
        </w:tc>
        <w:tc>
          <w:tcPr>
            <w:tcW w:w="785" w:type="pct"/>
            <w:shd w:val="clear" w:color="auto" w:fill="auto"/>
            <w:vAlign w:val="center"/>
          </w:tcPr>
          <w:p w14:paraId="56E6B66F">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40</w:t>
            </w:r>
          </w:p>
        </w:tc>
        <w:tc>
          <w:tcPr>
            <w:tcW w:w="835" w:type="pct"/>
            <w:shd w:val="clear" w:color="auto" w:fill="auto"/>
            <w:vAlign w:val="center"/>
          </w:tcPr>
          <w:p w14:paraId="2C631F1B">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35</w:t>
            </w:r>
          </w:p>
        </w:tc>
        <w:tc>
          <w:tcPr>
            <w:tcW w:w="650" w:type="pct"/>
            <w:shd w:val="clear" w:color="auto" w:fill="auto"/>
            <w:vAlign w:val="center"/>
          </w:tcPr>
          <w:p w14:paraId="1DBA37DD">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38</w:t>
            </w:r>
          </w:p>
        </w:tc>
        <w:tc>
          <w:tcPr>
            <w:tcW w:w="493" w:type="pct"/>
            <w:shd w:val="clear" w:color="auto" w:fill="auto"/>
            <w:vAlign w:val="center"/>
          </w:tcPr>
          <w:p w14:paraId="040C99BD">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300</w:t>
            </w:r>
          </w:p>
        </w:tc>
      </w:tr>
      <w:tr w14:paraId="52250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shd w:val="clear" w:color="auto" w:fill="auto"/>
            <w:vAlign w:val="center"/>
          </w:tcPr>
          <w:p w14:paraId="1396E831">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水溶性盐总量</w:t>
            </w:r>
          </w:p>
        </w:tc>
        <w:tc>
          <w:tcPr>
            <w:tcW w:w="492" w:type="pct"/>
            <w:shd w:val="clear" w:color="auto" w:fill="auto"/>
            <w:vAlign w:val="center"/>
          </w:tcPr>
          <w:p w14:paraId="544BB884">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g/kg</w:t>
            </w:r>
          </w:p>
        </w:tc>
        <w:tc>
          <w:tcPr>
            <w:tcW w:w="785" w:type="pct"/>
            <w:shd w:val="clear" w:color="auto" w:fill="auto"/>
            <w:vAlign w:val="center"/>
          </w:tcPr>
          <w:p w14:paraId="0FA6D6A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0.5</w:t>
            </w:r>
          </w:p>
        </w:tc>
        <w:tc>
          <w:tcPr>
            <w:tcW w:w="785" w:type="pct"/>
            <w:shd w:val="clear" w:color="auto" w:fill="auto"/>
            <w:vAlign w:val="center"/>
          </w:tcPr>
          <w:p w14:paraId="6CFEF03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0.7</w:t>
            </w:r>
          </w:p>
        </w:tc>
        <w:tc>
          <w:tcPr>
            <w:tcW w:w="835" w:type="pct"/>
            <w:shd w:val="clear" w:color="auto" w:fill="auto"/>
            <w:vAlign w:val="center"/>
          </w:tcPr>
          <w:p w14:paraId="5F4EDA37">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0.3</w:t>
            </w:r>
          </w:p>
        </w:tc>
        <w:tc>
          <w:tcPr>
            <w:tcW w:w="650" w:type="pct"/>
            <w:shd w:val="clear" w:color="auto" w:fill="auto"/>
            <w:vAlign w:val="center"/>
          </w:tcPr>
          <w:p w14:paraId="5AB4E43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0.4</w:t>
            </w:r>
          </w:p>
        </w:tc>
        <w:tc>
          <w:tcPr>
            <w:tcW w:w="493" w:type="pct"/>
            <w:shd w:val="clear" w:color="auto" w:fill="auto"/>
            <w:vAlign w:val="center"/>
          </w:tcPr>
          <w:p w14:paraId="7EA43B20">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r>
      <w:tr w14:paraId="2CC9D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shd w:val="clear" w:color="auto" w:fill="auto"/>
            <w:vAlign w:val="center"/>
          </w:tcPr>
          <w:p w14:paraId="20248DB6">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铬（六价）</w:t>
            </w:r>
          </w:p>
        </w:tc>
        <w:tc>
          <w:tcPr>
            <w:tcW w:w="492" w:type="pct"/>
            <w:shd w:val="clear" w:color="auto" w:fill="auto"/>
            <w:vAlign w:val="center"/>
          </w:tcPr>
          <w:p w14:paraId="3FBEFC76">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shd w:val="clear" w:color="auto" w:fill="auto"/>
            <w:vAlign w:val="center"/>
          </w:tcPr>
          <w:p w14:paraId="76540E9D">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785" w:type="pct"/>
            <w:shd w:val="clear" w:color="auto" w:fill="auto"/>
            <w:vAlign w:val="center"/>
          </w:tcPr>
          <w:p w14:paraId="1B9B12CA">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835" w:type="pct"/>
            <w:shd w:val="clear" w:color="auto" w:fill="auto"/>
            <w:vAlign w:val="center"/>
          </w:tcPr>
          <w:p w14:paraId="6EBD714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650" w:type="pct"/>
            <w:shd w:val="clear" w:color="auto" w:fill="auto"/>
            <w:vAlign w:val="center"/>
          </w:tcPr>
          <w:p w14:paraId="4757E935">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93" w:type="pct"/>
            <w:shd w:val="clear" w:color="auto" w:fill="auto"/>
            <w:vAlign w:val="center"/>
          </w:tcPr>
          <w:p w14:paraId="1390AD48">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250</w:t>
            </w:r>
          </w:p>
        </w:tc>
      </w:tr>
      <w:tr w14:paraId="7AC13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shd w:val="clear" w:color="auto" w:fill="auto"/>
            <w:vAlign w:val="center"/>
          </w:tcPr>
          <w:p w14:paraId="2CD571BB">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石油烃</w:t>
            </w:r>
          </w:p>
        </w:tc>
        <w:tc>
          <w:tcPr>
            <w:tcW w:w="492" w:type="pct"/>
            <w:shd w:val="clear" w:color="auto" w:fill="auto"/>
            <w:vAlign w:val="center"/>
          </w:tcPr>
          <w:p w14:paraId="4F02EDCC">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shd w:val="clear" w:color="auto" w:fill="auto"/>
            <w:vAlign w:val="center"/>
          </w:tcPr>
          <w:p w14:paraId="71F9708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38</w:t>
            </w:r>
          </w:p>
        </w:tc>
        <w:tc>
          <w:tcPr>
            <w:tcW w:w="785" w:type="pct"/>
            <w:shd w:val="clear" w:color="auto" w:fill="auto"/>
            <w:vAlign w:val="center"/>
          </w:tcPr>
          <w:p w14:paraId="7E972A5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83</w:t>
            </w:r>
          </w:p>
        </w:tc>
        <w:tc>
          <w:tcPr>
            <w:tcW w:w="835" w:type="pct"/>
            <w:shd w:val="clear" w:color="auto" w:fill="auto"/>
            <w:vAlign w:val="center"/>
          </w:tcPr>
          <w:p w14:paraId="7E87CCA8">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50</w:t>
            </w:r>
          </w:p>
        </w:tc>
        <w:tc>
          <w:tcPr>
            <w:tcW w:w="650" w:type="pct"/>
            <w:shd w:val="clear" w:color="auto" w:fill="auto"/>
            <w:vAlign w:val="center"/>
          </w:tcPr>
          <w:p w14:paraId="7C6856E3">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39</w:t>
            </w:r>
          </w:p>
        </w:tc>
        <w:tc>
          <w:tcPr>
            <w:tcW w:w="493" w:type="pct"/>
            <w:shd w:val="clear" w:color="auto" w:fill="auto"/>
            <w:vAlign w:val="center"/>
          </w:tcPr>
          <w:p w14:paraId="0B78F4BE">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4500</w:t>
            </w:r>
          </w:p>
        </w:tc>
      </w:tr>
      <w:tr w14:paraId="1DF13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958" w:type="pct"/>
            <w:shd w:val="clear" w:color="auto" w:fill="auto"/>
            <w:vAlign w:val="center"/>
          </w:tcPr>
          <w:p w14:paraId="545CCCAA">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氰化物</w:t>
            </w:r>
          </w:p>
        </w:tc>
        <w:tc>
          <w:tcPr>
            <w:tcW w:w="492" w:type="pct"/>
            <w:shd w:val="clear" w:color="auto" w:fill="auto"/>
            <w:vAlign w:val="center"/>
          </w:tcPr>
          <w:p w14:paraId="4C79B45A">
            <w:pPr>
              <w:keepNext w:val="0"/>
              <w:keepLines w:val="0"/>
              <w:pageBreakBefore w:val="0"/>
              <w:suppressLineNumbers w:val="0"/>
              <w:kinsoku/>
              <w:wordWrap/>
              <w:overflowPunct/>
              <w:topLinePunct w:val="0"/>
              <w:bidi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mg/kg</w:t>
            </w:r>
          </w:p>
        </w:tc>
        <w:tc>
          <w:tcPr>
            <w:tcW w:w="785" w:type="pct"/>
            <w:shd w:val="clear" w:color="auto" w:fill="auto"/>
            <w:vAlign w:val="center"/>
          </w:tcPr>
          <w:p w14:paraId="21D7F055">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785" w:type="pct"/>
            <w:shd w:val="clear" w:color="auto" w:fill="auto"/>
            <w:vAlign w:val="center"/>
          </w:tcPr>
          <w:p w14:paraId="36142B3D">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835" w:type="pct"/>
            <w:shd w:val="clear" w:color="auto" w:fill="auto"/>
            <w:vAlign w:val="center"/>
          </w:tcPr>
          <w:p w14:paraId="0B5F07C4">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650" w:type="pct"/>
            <w:shd w:val="clear" w:color="auto" w:fill="auto"/>
            <w:vAlign w:val="center"/>
          </w:tcPr>
          <w:p w14:paraId="5E287BAB">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ND</w:t>
            </w:r>
          </w:p>
        </w:tc>
        <w:tc>
          <w:tcPr>
            <w:tcW w:w="493" w:type="pct"/>
            <w:shd w:val="clear" w:color="auto" w:fill="auto"/>
            <w:vAlign w:val="center"/>
          </w:tcPr>
          <w:p w14:paraId="021229E6">
            <w:pPr>
              <w:keepNext w:val="0"/>
              <w:keepLines w:val="0"/>
              <w:pageBreakBefore w:val="0"/>
              <w:kinsoku/>
              <w:wordWrap/>
              <w:overflowPunct/>
              <w:topLinePunct w:val="0"/>
              <w:bidi w:val="0"/>
              <w:spacing w:line="360" w:lineRule="exact"/>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bCs/>
                <w:color w:val="auto"/>
                <w:sz w:val="21"/>
                <w:szCs w:val="21"/>
                <w:highlight w:val="none"/>
                <w:lang w:val="en-US" w:eastAsia="zh-CN"/>
              </w:rPr>
              <w:t>135</w:t>
            </w:r>
          </w:p>
        </w:tc>
      </w:tr>
    </w:tbl>
    <w:p w14:paraId="78D6BCF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由表4.2-10～1</w:t>
      </w:r>
      <w:r>
        <w:rPr>
          <w:rFonts w:hint="default" w:cs="Times New Roman"/>
          <w:color w:val="auto"/>
          <w:highlight w:val="none"/>
          <w:lang w:val="en-US" w:eastAsia="zh-CN"/>
        </w:rPr>
        <w:t>2</w:t>
      </w:r>
      <w:r>
        <w:rPr>
          <w:rFonts w:hint="default" w:ascii="Times New Roman" w:hAnsi="Times New Roman" w:cs="Times New Roman"/>
          <w:color w:val="auto"/>
          <w:highlight w:val="none"/>
        </w:rPr>
        <w:t>可知，</w:t>
      </w:r>
      <w:r>
        <w:rPr>
          <w:rFonts w:hint="default" w:cs="Times New Roman"/>
          <w:color w:val="auto"/>
          <w:highlight w:val="none"/>
          <w:lang w:val="en-US" w:eastAsia="zh-CN"/>
        </w:rPr>
        <w:t>本项目区范围外</w:t>
      </w:r>
      <w:r>
        <w:rPr>
          <w:rFonts w:hint="default" w:ascii="Times New Roman" w:hAnsi="Times New Roman" w:cs="Times New Roman"/>
          <w:color w:val="auto"/>
          <w:highlight w:val="none"/>
        </w:rPr>
        <w:t>各项指标均低于《土壤环境质量 农用地土壤污染风险管控标准》中的风险筛选值要求；</w:t>
      </w:r>
      <w:r>
        <w:rPr>
          <w:rFonts w:hint="default" w:cs="Times New Roman"/>
          <w:color w:val="auto"/>
          <w:highlight w:val="none"/>
          <w:lang w:val="en-US" w:eastAsia="zh-CN"/>
        </w:rPr>
        <w:t>本项目区</w:t>
      </w:r>
      <w:r>
        <w:rPr>
          <w:rFonts w:hint="default" w:ascii="Times New Roman" w:hAnsi="Times New Roman" w:cs="Times New Roman"/>
          <w:color w:val="auto"/>
          <w:highlight w:val="none"/>
        </w:rPr>
        <w:t>范围内的各土壤监测点各项指标均满足《土壤环境质量 建设用地土壤污染风险管控标准（试行）》（GB36600-2018）第二类用地筛选值要求。</w:t>
      </w:r>
    </w:p>
    <w:p w14:paraId="1C33957F">
      <w:pPr>
        <w:pStyle w:val="4"/>
        <w:rPr>
          <w:rFonts w:hint="default" w:ascii="Times New Roman" w:hAnsi="Times New Roman" w:cs="Times New Roman"/>
          <w:color w:val="auto"/>
          <w:highlight w:val="none"/>
        </w:rPr>
      </w:pPr>
      <w:bookmarkStart w:id="683" w:name="_Toc27212"/>
      <w:bookmarkStart w:id="684" w:name="_Toc5061"/>
      <w:bookmarkStart w:id="685" w:name="_Toc472"/>
      <w:bookmarkStart w:id="686" w:name="_Toc29098"/>
      <w:bookmarkStart w:id="687" w:name="_Toc20874"/>
      <w:bookmarkStart w:id="688" w:name="_Toc20867"/>
      <w:bookmarkStart w:id="689" w:name="_Toc22777"/>
      <w:bookmarkStart w:id="690" w:name="_Toc30667"/>
      <w:bookmarkStart w:id="691" w:name="_Toc17009"/>
      <w:bookmarkStart w:id="692" w:name="_Toc11704"/>
      <w:bookmarkStart w:id="693" w:name="_Toc19053"/>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区域生态环境现状调查与评价</w:t>
      </w:r>
      <w:bookmarkEnd w:id="683"/>
      <w:bookmarkEnd w:id="684"/>
      <w:bookmarkEnd w:id="685"/>
      <w:bookmarkEnd w:id="686"/>
      <w:bookmarkEnd w:id="687"/>
      <w:bookmarkEnd w:id="688"/>
      <w:bookmarkEnd w:id="689"/>
      <w:bookmarkEnd w:id="690"/>
      <w:bookmarkEnd w:id="691"/>
      <w:bookmarkEnd w:id="692"/>
      <w:bookmarkEnd w:id="693"/>
    </w:p>
    <w:p w14:paraId="22443A24">
      <w:pPr>
        <w:pStyle w:val="5"/>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4.2.5.1主体功能区划</w:t>
      </w:r>
    </w:p>
    <w:p w14:paraId="318F97FF">
      <w:pP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根据《新疆维吾尔自治区主体功能区规划》，该规</w:t>
      </w:r>
      <w:r>
        <w:rPr>
          <w:rFonts w:hint="default" w:ascii="Times New Roman" w:hAnsi="Times New Roman" w:cs="Times New Roman"/>
          <w:color w:val="auto"/>
          <w:highlight w:val="none"/>
          <w:lang w:val="en-US" w:eastAsia="zh-CN"/>
        </w:rPr>
        <w:t>划分为以下主体功能区：按开发方式，分为优化开发区域、重点开发区域、限制开发区域和禁止开发区域四类；按开发内容，分为城市化地区、农产品主产区和重点生态功能区三类；按层级，分为国家和省级两个层面。</w:t>
      </w:r>
    </w:p>
    <w:p w14:paraId="6BDE5BAC">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优化开发、重点开发、限制开发和禁止开发四类主体功能区，是基于不同区域的资源环境承载能力、现有开发强度和未来发展潜力，以是否适宜和如何进行大规模、高强度的工业化城镇化开发为标准划分的。</w:t>
      </w:r>
    </w:p>
    <w:p w14:paraId="3A6E8BF3">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行政区划隶属富蕴县管辖，根据《新疆维吾尔自治区主体功能区规划》中划分，本项目位于国家重点生态功能区，本项目在新疆主体功能区划图中位置见图4.2-2。该功能区发展方向：禁止非保护性采伐，合理更新林地。保护天然草原，以草定畜，增加饲草料供给，实施牧民定居。</w:t>
      </w:r>
    </w:p>
    <w:p w14:paraId="4CEC8D4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生态功能区划</w:t>
      </w:r>
    </w:p>
    <w:p w14:paraId="17B7F1B5">
      <w:pPr>
        <w:overflowPunct w:val="0"/>
        <w:topLinePunct/>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根据《新疆生态功能区划》，项目区</w:t>
      </w:r>
      <w:r>
        <w:rPr>
          <w:rFonts w:hint="default" w:ascii="Times New Roman" w:hAnsi="Times New Roman" w:eastAsia="宋体" w:cs="Times New Roman"/>
          <w:color w:val="auto"/>
          <w:highlight w:val="none"/>
        </w:rPr>
        <w:t>属</w:t>
      </w:r>
      <w:r>
        <w:rPr>
          <w:rFonts w:hint="default" w:ascii="Times New Roman" w:hAnsi="Times New Roman" w:cs="Times New Roman"/>
          <w:color w:val="auto"/>
          <w:highlight w:val="none"/>
          <w:lang w:val="en-US" w:eastAsia="zh-CN"/>
        </w:rPr>
        <w:t>Ⅰ</w:t>
      </w:r>
      <w:r>
        <w:rPr>
          <w:rFonts w:hint="default" w:ascii="Times New Roman" w:hAnsi="Times New Roman" w:eastAsia="宋体" w:cs="Times New Roman"/>
          <w:color w:val="auto"/>
          <w:highlight w:val="none"/>
        </w:rPr>
        <w:t>阿尔泰—准噶尔西部山地温凉森林、草原生态区</w:t>
      </w:r>
      <w:r>
        <w:rPr>
          <w:rFonts w:hint="default" w:ascii="Times New Roman" w:hAnsi="Times New Roman" w:cs="Times New Roman"/>
          <w:color w:val="auto"/>
          <w:highlight w:val="none"/>
          <w:lang w:val="en-US" w:eastAsia="zh-CN"/>
        </w:rPr>
        <w:t>－Ⅰ</w:t>
      </w:r>
      <w:r>
        <w:rPr>
          <w:rFonts w:hint="default" w:ascii="Times New Roman" w:hAnsi="Times New Roman" w:cs="Times New Roman"/>
          <w:color w:val="auto"/>
          <w:highlight w:val="none"/>
          <w:vertAlign w:val="subscript"/>
          <w:lang w:val="en-US" w:eastAsia="zh-CN"/>
        </w:rPr>
        <w:t>1</w:t>
      </w:r>
      <w:r>
        <w:rPr>
          <w:rFonts w:hint="default" w:ascii="Times New Roman" w:hAnsi="Times New Roman" w:eastAsia="宋体" w:cs="Times New Roman"/>
          <w:color w:val="auto"/>
          <w:highlight w:val="none"/>
          <w:vertAlign w:val="baseline"/>
          <w:lang w:val="en-US" w:eastAsia="zh-CN"/>
        </w:rPr>
        <w:t>阿尔泰山南坡寒温带针叶林、山地草原水源涵养及草地畜牧业生态亚区</w:t>
      </w:r>
      <w:r>
        <w:rPr>
          <w:rFonts w:hint="default" w:ascii="Times New Roman" w:hAnsi="Times New Roman" w:cs="Times New Roman"/>
          <w:color w:val="auto"/>
          <w:highlight w:val="none"/>
        </w:rPr>
        <w:t>-</w:t>
      </w:r>
      <w:r>
        <w:rPr>
          <w:rFonts w:hint="default"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olor w:val="auto"/>
          <w:highlight w:val="none"/>
        </w:rPr>
        <w:t>阿尔泰山中部林草保育及矿业开发环境恢复生态功能区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本项目生态功能区划见图2.5-2。</w:t>
      </w:r>
    </w:p>
    <w:p w14:paraId="2062673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土壤类型及分布</w:t>
      </w:r>
    </w:p>
    <w:p w14:paraId="29112389">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（1）土壤类型</w:t>
      </w:r>
    </w:p>
    <w:p w14:paraId="2BA39FBA">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选矿厂和尾矿库的土壤类型</w:t>
      </w:r>
      <w:r>
        <w:rPr>
          <w:rFonts w:hint="default" w:ascii="Times New Roman" w:hAnsi="Times New Roman" w:cs="Times New Roman"/>
          <w:color w:val="auto"/>
          <w:highlight w:val="none"/>
          <w:shd w:val="clear" w:color="auto" w:fill="FFFFFF"/>
          <w:lang w:val="en-US" w:eastAsia="zh-CN"/>
        </w:rPr>
        <w:t>均</w:t>
      </w:r>
      <w:r>
        <w:rPr>
          <w:rFonts w:hint="default" w:ascii="Times New Roman" w:hAnsi="Times New Roman" w:cs="Times New Roman"/>
          <w:color w:val="auto"/>
          <w:highlight w:val="none"/>
          <w:shd w:val="clear" w:color="auto" w:fill="FFFFFF"/>
        </w:rPr>
        <w:t>为</w:t>
      </w:r>
      <w:r>
        <w:rPr>
          <w:rFonts w:hint="default" w:ascii="Times New Roman" w:hAnsi="Times New Roman" w:cs="Times New Roman"/>
          <w:color w:val="auto"/>
          <w:highlight w:val="none"/>
          <w:shd w:val="clear" w:color="auto" w:fill="FFFFFF"/>
          <w:lang w:val="en-US" w:eastAsia="zh-CN"/>
        </w:rPr>
        <w:t>棕钙土</w:t>
      </w:r>
      <w:r>
        <w:rPr>
          <w:rFonts w:hint="default" w:ascii="Times New Roman" w:hAnsi="Times New Roman" w:cs="Times New Roman"/>
          <w:color w:val="auto"/>
          <w:highlight w:val="none"/>
          <w:shd w:val="clear" w:color="auto" w:fill="FFFFFF"/>
        </w:rPr>
        <w:t>，详见图4.2-</w:t>
      </w:r>
      <w:r>
        <w:rPr>
          <w:rFonts w:hint="default" w:ascii="Times New Roman" w:hAnsi="Times New Roman" w:cs="Times New Roman"/>
          <w:color w:val="auto"/>
          <w:highlight w:val="none"/>
          <w:shd w:val="clear" w:color="auto" w:fill="FFFFFF"/>
          <w:lang w:val="en-US" w:eastAsia="zh-CN"/>
        </w:rPr>
        <w:t>3</w:t>
      </w:r>
      <w:r>
        <w:rPr>
          <w:rFonts w:hint="default" w:ascii="Times New Roman" w:hAnsi="Times New Roman" w:cs="Times New Roman"/>
          <w:color w:val="auto"/>
          <w:highlight w:val="none"/>
          <w:shd w:val="clear" w:color="auto" w:fill="FFFFFF"/>
        </w:rPr>
        <w:t>。</w:t>
      </w:r>
    </w:p>
    <w:p w14:paraId="01691DC1">
      <w:pPr>
        <w:overflowPunct w:val="0"/>
        <w:topLinePunct/>
        <w:adjustRightInd w:val="0"/>
        <w:snapToGrid w:val="0"/>
        <w:ind w:firstLine="480"/>
        <w:rPr>
          <w:rFonts w:hint="default" w:ascii="Times New Roman" w:hAnsi="Times New Roman" w:eastAsia="宋体" w:cs="Times New Roman"/>
          <w:color w:val="auto"/>
          <w:highlight w:val="none"/>
          <w:shd w:val="clear" w:color="auto" w:fill="FFFFFF"/>
        </w:rPr>
      </w:pPr>
      <w:r>
        <w:rPr>
          <w:rFonts w:hint="default" w:ascii="Times New Roman" w:hAnsi="Times New Roman" w:cs="Times New Roman"/>
          <w:color w:val="auto"/>
          <w:highlight w:val="none"/>
          <w:shd w:val="clear" w:color="auto" w:fill="FFFFFF"/>
        </w:rPr>
        <w:t>棕钙土的形成是以草原土壤腐殖质积累作用和钙积作用为主，并有荒漠成土过程的一些特点。棕钙土发育于温带荒漠草原植被下的土壤。地表多砂砾石，剖面上部呈褐棕色，下部为粉末层状或斑块状灰白色钙积层。棕钙土主要分布于欧亚大陆温带荒漠草原地区，位于栗钙土与漠土之间，从西、北</w:t>
      </w:r>
      <w:r>
        <w:rPr>
          <w:rFonts w:hint="default" w:ascii="Times New Roman" w:hAnsi="Times New Roman" w:eastAsia="宋体" w:cs="Times New Roman"/>
          <w:color w:val="auto"/>
          <w:highlight w:val="none"/>
          <w:shd w:val="clear" w:color="auto" w:fill="FFFFFF"/>
        </w:rPr>
        <w:t>、东三面环绕于漠土外围。棕钙土分布在</w:t>
      </w:r>
      <w:r>
        <w:rPr>
          <w:rFonts w:hint="default" w:ascii="Times New Roman" w:hAnsi="Times New Roman" w:eastAsia="宋体" w:cs="Times New Roman"/>
          <w:color w:val="auto"/>
          <w:highlight w:val="none"/>
          <w:shd w:val="clear" w:color="auto" w:fill="FFFFFF"/>
        </w:rPr>
        <w:fldChar w:fldCharType="begin"/>
      </w:r>
      <w:r>
        <w:rPr>
          <w:rFonts w:hint="default" w:ascii="Times New Roman" w:hAnsi="Times New Roman" w:eastAsia="宋体" w:cs="Times New Roman"/>
          <w:color w:val="auto"/>
          <w:highlight w:val="none"/>
          <w:shd w:val="clear" w:color="auto" w:fill="FFFFFF"/>
        </w:rPr>
        <w:instrText xml:space="preserve"> HYPERLINK "https://baike.baidu.com/item/%E5%86%85%E8%92%99%E5%8F%A4/0?fromModule=lemma_inlink" \t "https://baike.baidu.com/item/%E6%A3%95%E9%92%99%E5%9C%9F/_blank" </w:instrText>
      </w:r>
      <w:r>
        <w:rPr>
          <w:rFonts w:hint="default" w:ascii="Times New Roman" w:hAnsi="Times New Roman" w:eastAsia="宋体" w:cs="Times New Roman"/>
          <w:color w:val="auto"/>
          <w:highlight w:val="none"/>
          <w:shd w:val="clear" w:color="auto" w:fill="FFFFFF"/>
        </w:rPr>
        <w:fldChar w:fldCharType="separate"/>
      </w:r>
      <w:r>
        <w:rPr>
          <w:rFonts w:hint="default" w:ascii="Times New Roman" w:hAnsi="Times New Roman" w:eastAsia="宋体" w:cs="Times New Roman"/>
          <w:color w:val="auto"/>
          <w:highlight w:val="none"/>
          <w:shd w:val="clear" w:color="auto" w:fill="FFFFFF"/>
        </w:rPr>
        <w:t>内蒙古</w:t>
      </w:r>
      <w:r>
        <w:rPr>
          <w:rFonts w:hint="default" w:ascii="Times New Roman" w:hAnsi="Times New Roman" w:eastAsia="宋体" w:cs="Times New Roman"/>
          <w:color w:val="auto"/>
          <w:highlight w:val="none"/>
          <w:shd w:val="clear" w:color="auto" w:fill="FFFFFF"/>
        </w:rPr>
        <w:fldChar w:fldCharType="end"/>
      </w:r>
      <w:r>
        <w:rPr>
          <w:rFonts w:hint="default" w:ascii="Times New Roman" w:hAnsi="Times New Roman" w:eastAsia="宋体" w:cs="Times New Roman"/>
          <w:color w:val="auto"/>
          <w:highlight w:val="none"/>
          <w:shd w:val="clear" w:color="auto" w:fill="FFFFFF"/>
        </w:rPr>
        <w:t>高原中</w:t>
      </w:r>
      <w:r>
        <w:rPr>
          <w:rFonts w:hint="default" w:ascii="Times New Roman" w:hAnsi="Times New Roman" w:eastAsia="宋体" w:cs="Times New Roman"/>
          <w:color w:val="auto"/>
          <w:highlight w:val="none"/>
          <w:shd w:val="clear" w:color="auto" w:fill="FFFFFF"/>
        </w:rPr>
        <w:fldChar w:fldCharType="begin"/>
      </w:r>
      <w:r>
        <w:rPr>
          <w:rFonts w:hint="default" w:ascii="Times New Roman" w:hAnsi="Times New Roman" w:eastAsia="宋体" w:cs="Times New Roman"/>
          <w:color w:val="auto"/>
          <w:highlight w:val="none"/>
          <w:shd w:val="clear" w:color="auto" w:fill="FFFFFF"/>
        </w:rPr>
        <w:instrText xml:space="preserve"> HYPERLINK "https://baike.baidu.com/item/%E8%A5%BF%E9%83%A8/0?fromModule=lemma_inlink" \t "https://baike.baidu.com/item/%E6%A3%95%E9%92%99%E5%9C%9F/_blank" </w:instrText>
      </w:r>
      <w:r>
        <w:rPr>
          <w:rFonts w:hint="default" w:ascii="Times New Roman" w:hAnsi="Times New Roman" w:eastAsia="宋体" w:cs="Times New Roman"/>
          <w:color w:val="auto"/>
          <w:highlight w:val="none"/>
          <w:shd w:val="clear" w:color="auto" w:fill="FFFFFF"/>
        </w:rPr>
        <w:fldChar w:fldCharType="separate"/>
      </w:r>
      <w:r>
        <w:rPr>
          <w:rFonts w:hint="default" w:ascii="Times New Roman" w:hAnsi="Times New Roman" w:eastAsia="宋体" w:cs="Times New Roman"/>
          <w:color w:val="auto"/>
          <w:highlight w:val="none"/>
          <w:shd w:val="clear" w:color="auto" w:fill="FFFFFF"/>
        </w:rPr>
        <w:t>西部</w:t>
      </w:r>
      <w:r>
        <w:rPr>
          <w:rFonts w:hint="default" w:ascii="Times New Roman" w:hAnsi="Times New Roman" w:eastAsia="宋体" w:cs="Times New Roman"/>
          <w:color w:val="auto"/>
          <w:highlight w:val="none"/>
          <w:shd w:val="clear" w:color="auto" w:fill="FFFFFF"/>
        </w:rPr>
        <w:fldChar w:fldCharType="end"/>
      </w:r>
      <w:r>
        <w:rPr>
          <w:rFonts w:hint="default" w:ascii="Times New Roman" w:hAnsi="Times New Roman" w:eastAsia="宋体" w:cs="Times New Roman"/>
          <w:color w:val="auto"/>
          <w:highlight w:val="none"/>
          <w:shd w:val="clear" w:color="auto" w:fill="FFFFFF"/>
        </w:rPr>
        <w:t>、新疆</w:t>
      </w:r>
      <w:r>
        <w:rPr>
          <w:rFonts w:hint="default" w:ascii="Times New Roman" w:hAnsi="Times New Roman" w:eastAsia="宋体" w:cs="Times New Roman"/>
          <w:color w:val="auto"/>
          <w:highlight w:val="none"/>
          <w:shd w:val="clear" w:color="auto" w:fill="FFFFFF"/>
        </w:rPr>
        <w:fldChar w:fldCharType="begin"/>
      </w:r>
      <w:r>
        <w:rPr>
          <w:rFonts w:hint="default" w:ascii="Times New Roman" w:hAnsi="Times New Roman" w:eastAsia="宋体" w:cs="Times New Roman"/>
          <w:color w:val="auto"/>
          <w:highlight w:val="none"/>
          <w:shd w:val="clear" w:color="auto" w:fill="FFFFFF"/>
        </w:rPr>
        <w:instrText xml:space="preserve"> HYPERLINK "https://baike.baidu.com/item/%E5%87%86%E5%99%B6%E5%B0%94%E7%9B%86%E5%9C%B0/0?fromModule=lemma_inlink" \t "https://baike.baidu.com/item/%E6%A3%95%E9%92%99%E5%9C%9F/_blank" </w:instrText>
      </w:r>
      <w:r>
        <w:rPr>
          <w:rFonts w:hint="default" w:ascii="Times New Roman" w:hAnsi="Times New Roman" w:eastAsia="宋体" w:cs="Times New Roman"/>
          <w:color w:val="auto"/>
          <w:highlight w:val="none"/>
          <w:shd w:val="clear" w:color="auto" w:fill="FFFFFF"/>
        </w:rPr>
        <w:fldChar w:fldCharType="separate"/>
      </w:r>
      <w:r>
        <w:rPr>
          <w:rFonts w:hint="default" w:ascii="Times New Roman" w:hAnsi="Times New Roman" w:eastAsia="宋体" w:cs="Times New Roman"/>
          <w:color w:val="auto"/>
          <w:highlight w:val="none"/>
          <w:shd w:val="clear" w:color="auto" w:fill="FFFFFF"/>
        </w:rPr>
        <w:t>准噶尔盆地</w:t>
      </w:r>
      <w:r>
        <w:rPr>
          <w:rFonts w:hint="default" w:ascii="Times New Roman" w:hAnsi="Times New Roman" w:eastAsia="宋体" w:cs="Times New Roman"/>
          <w:color w:val="auto"/>
          <w:highlight w:val="none"/>
          <w:shd w:val="clear" w:color="auto" w:fill="FFFFFF"/>
        </w:rPr>
        <w:fldChar w:fldCharType="end"/>
      </w:r>
      <w:r>
        <w:rPr>
          <w:rFonts w:hint="default" w:ascii="Times New Roman" w:hAnsi="Times New Roman" w:eastAsia="宋体" w:cs="Times New Roman"/>
          <w:color w:val="auto"/>
          <w:highlight w:val="none"/>
          <w:shd w:val="clear" w:color="auto" w:fill="FFFFFF"/>
        </w:rPr>
        <w:t>北部。分布区为温带干旱大陆性气候，年平均温度2~7℃，≥10℃积温2200~3000℃，年降水量150~250（300）mm，受东南季风影响的内蒙地区降水70%集中于夏秋初；受西风影响的北疆地区四季降水较平均。棕钙土地区年辐射总量达600~670kJ/cm2，光热资源十分丰富。</w:t>
      </w:r>
    </w:p>
    <w:p w14:paraId="14E00C72">
      <w:pPr>
        <w:overflowPunct w:val="0"/>
        <w:topLinePunct/>
        <w:adjustRightInd w:val="0"/>
        <w:snapToGrid w:val="0"/>
        <w:ind w:firstLine="480"/>
        <w:rPr>
          <w:rFonts w:hint="default" w:ascii="Times New Roman" w:hAnsi="Times New Roman" w:eastAsia="宋体" w:cs="Times New Roman"/>
          <w:color w:val="auto"/>
          <w:highlight w:val="none"/>
          <w:shd w:val="clear" w:color="auto" w:fill="FFFFFF"/>
        </w:rPr>
      </w:pPr>
      <w:r>
        <w:rPr>
          <w:rFonts w:hint="default" w:ascii="Times New Roman" w:hAnsi="Times New Roman" w:eastAsia="宋体" w:cs="Times New Roman"/>
          <w:color w:val="auto"/>
          <w:highlight w:val="none"/>
          <w:shd w:val="clear" w:color="auto" w:fill="FFFFFF"/>
        </w:rPr>
        <w:t>棕钙土的特征有：自然植被组成趋于旱化，生物量低，土壤腐殖质积累作用弱，有机质含量低；钙积作用强，钙积层在剖面中位置较高；呈碱性至强碱性反应，阳离子交换量较低，吸收性复合体为盐基所饱和，其中钠离子所占比例较高；质地较粗，多属砂砾质、砂质和砂壤质、轻壤质，土体中钙质有较明显移动。棕钙土地区以畜牧业为主，仅局部地区有灌溉农业。热量条件虽较好，部分</w:t>
      </w:r>
      <w:r>
        <w:rPr>
          <w:rFonts w:hint="default" w:cs="Times New Roman"/>
          <w:color w:val="auto"/>
          <w:highlight w:val="none"/>
          <w:shd w:val="clear" w:color="auto" w:fill="FFFFFF"/>
          <w:lang w:eastAsia="zh-CN"/>
        </w:rPr>
        <w:t>地区</w:t>
      </w:r>
      <w:r>
        <w:rPr>
          <w:rFonts w:hint="default" w:ascii="Times New Roman" w:hAnsi="Times New Roman" w:eastAsia="宋体" w:cs="Times New Roman"/>
          <w:color w:val="auto"/>
          <w:highlight w:val="none"/>
          <w:shd w:val="clear" w:color="auto" w:fill="FFFFFF"/>
        </w:rPr>
        <w:t>可进行复种，但水分条件较差，土层浅薄，矿质养分含量低；加之春季风大和侵蚀严重，需进行水利建设、营造防风林带，并采取种植绿肥、增施有机肥及矿质肥料等改良措施，才能进行农业生产。畜牧业的持续发展，也有赖于地下水源的开发和建立小型分散的人工草料基地。</w:t>
      </w:r>
    </w:p>
    <w:p w14:paraId="093BBE3C">
      <w:pPr>
        <w:numPr>
          <w:ilvl w:val="0"/>
          <w:numId w:val="7"/>
        </w:numPr>
        <w:overflowPunct w:val="0"/>
        <w:topLinePunct/>
        <w:adjustRightInd w:val="0"/>
        <w:snapToGrid w:val="0"/>
        <w:ind w:firstLine="480"/>
        <w:rPr>
          <w:rFonts w:hint="default" w:ascii="Times New Roman" w:hAnsi="Times New Roman" w:cs="Times New Roman"/>
          <w:color w:val="auto"/>
          <w:highlight w:val="none"/>
          <w:shd w:val="clear" w:color="auto" w:fill="FFFFFF"/>
          <w:lang w:val="en-US" w:eastAsia="zh-CN"/>
        </w:rPr>
      </w:pPr>
      <w:r>
        <w:rPr>
          <w:rFonts w:hint="default" w:ascii="Times New Roman" w:hAnsi="Times New Roman" w:cs="Times New Roman"/>
          <w:color w:val="auto"/>
          <w:highlight w:val="none"/>
          <w:shd w:val="clear" w:color="auto" w:fill="FFFFFF"/>
          <w:lang w:val="en-US" w:eastAsia="zh-CN"/>
        </w:rPr>
        <w:t>项目区土壤基本性质</w:t>
      </w:r>
    </w:p>
    <w:p w14:paraId="3342FBC6">
      <w:pPr>
        <w:overflowPunct w:val="0"/>
        <w:topLinePunct/>
        <w:adjustRightInd w:val="0"/>
        <w:snapToGrid w:val="0"/>
        <w:ind w:firstLine="480"/>
        <w:rPr>
          <w:rFonts w:hint="default" w:ascii="Times New Roman" w:hAnsi="Times New Roman" w:cs="Times New Roman"/>
          <w:color w:val="auto"/>
          <w:highlight w:val="none"/>
          <w:shd w:val="clear" w:color="auto" w:fill="FFFFFF"/>
          <w:lang w:val="en-US" w:eastAsia="zh-CN"/>
        </w:rPr>
      </w:pPr>
      <w:r>
        <w:rPr>
          <w:rFonts w:hint="default" w:ascii="Times New Roman" w:hAnsi="Times New Roman" w:cs="Times New Roman"/>
          <w:color w:val="auto"/>
          <w:kern w:val="0"/>
          <w:highlight w:val="none"/>
          <w:lang w:val="en-US" w:eastAsia="zh-CN"/>
        </w:rPr>
        <w:t>项目区土壤</w:t>
      </w:r>
      <w:r>
        <w:rPr>
          <w:rFonts w:hint="default" w:ascii="Times New Roman" w:hAnsi="Times New Roman" w:cs="Times New Roman"/>
          <w:color w:val="auto"/>
          <w:kern w:val="0"/>
          <w:highlight w:val="none"/>
        </w:rPr>
        <w:t>主要为第四系松散堆积物，由风积沙土、洪积砂砾石或二者的混合物组成，为黄土、沙土及</w:t>
      </w:r>
      <w:r>
        <w:rPr>
          <w:rFonts w:hint="default" w:cs="Times New Roman"/>
          <w:color w:val="auto"/>
          <w:kern w:val="0"/>
          <w:highlight w:val="none"/>
          <w:lang w:eastAsia="zh-CN"/>
        </w:rPr>
        <w:t>砂砾</w:t>
      </w:r>
      <w:r>
        <w:rPr>
          <w:rFonts w:hint="default" w:ascii="Times New Roman" w:hAnsi="Times New Roman" w:cs="Times New Roman"/>
          <w:color w:val="auto"/>
          <w:kern w:val="0"/>
          <w:highlight w:val="none"/>
        </w:rPr>
        <w:t>，堆积松散，厚度一般1</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3</w:t>
      </w:r>
      <w:r>
        <w:rPr>
          <w:rFonts w:hint="default" w:ascii="Times New Roman" w:hAnsi="Times New Roman" w:cs="Times New Roman"/>
          <w:color w:val="auto"/>
          <w:kern w:val="0"/>
          <w:highlight w:val="none"/>
          <w:lang w:eastAsia="zh-CN"/>
        </w:rPr>
        <w:t>m</w:t>
      </w:r>
      <w:r>
        <w:rPr>
          <w:rFonts w:hint="default" w:ascii="Times New Roman" w:hAnsi="Times New Roman" w:cs="Times New Roman"/>
          <w:color w:val="auto"/>
          <w:kern w:val="0"/>
          <w:highlight w:val="none"/>
        </w:rPr>
        <w:t>左右，广泛分布于矿区周边低洼处及较平缓区。根据钻孔编录资料和野外地质调查资料，山丘顶部基本无第四系覆盖，从山顶到山腰、山脚逐渐变厚。第四系残坡积物覆盖面积占70%以上，第四系松散岩（土）组总的特征是：结构松散，力学强度低，稳定性极差，工程地质条件差。</w:t>
      </w:r>
    </w:p>
    <w:p w14:paraId="3EB10248">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lang w:val="en-US" w:eastAsia="zh-CN"/>
        </w:rPr>
        <w:t>3</w:t>
      </w:r>
      <w:r>
        <w:rPr>
          <w:rFonts w:hint="default"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土壤典型剖面结构</w:t>
      </w:r>
    </w:p>
    <w:p w14:paraId="6D769509">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lang w:val="en-US" w:eastAsia="zh-CN"/>
        </w:rPr>
        <w:t>项目区</w:t>
      </w:r>
      <w:r>
        <w:rPr>
          <w:rFonts w:hint="default" w:ascii="Times New Roman" w:hAnsi="Times New Roman" w:cs="Times New Roman"/>
          <w:color w:val="auto"/>
          <w:highlight w:val="none"/>
          <w:shd w:val="clear" w:color="auto" w:fill="FFFFFF"/>
        </w:rPr>
        <w:t>剖面构型具有A-B</w:t>
      </w:r>
      <w:r>
        <w:rPr>
          <w:rFonts w:hint="default" w:ascii="Times New Roman" w:hAnsi="Times New Roman" w:cs="Times New Roman"/>
          <w:color w:val="auto"/>
          <w:highlight w:val="none"/>
          <w:shd w:val="clear" w:color="auto" w:fill="FFFFFF"/>
          <w:lang w:val="en-US" w:eastAsia="zh-CN"/>
        </w:rPr>
        <w:t>-C</w:t>
      </w:r>
      <w:r>
        <w:rPr>
          <w:rFonts w:hint="default" w:ascii="Times New Roman" w:hAnsi="Times New Roman" w:cs="Times New Roman"/>
          <w:color w:val="auto"/>
          <w:highlight w:val="none"/>
          <w:shd w:val="clear" w:color="auto" w:fill="FFFFFF"/>
        </w:rPr>
        <w:t>两个层次，即从上往下分别为腐殖质层、</w:t>
      </w:r>
      <w:r>
        <w:rPr>
          <w:rFonts w:hint="default" w:ascii="Times New Roman" w:hAnsi="Times New Roman" w:cs="Times New Roman"/>
          <w:color w:val="auto"/>
          <w:highlight w:val="none"/>
          <w:shd w:val="clear" w:color="auto" w:fill="FFFFFF"/>
          <w:lang w:val="en-US" w:eastAsia="zh-CN"/>
        </w:rPr>
        <w:t>淋溶层及安山质角砾岩</w:t>
      </w:r>
      <w:r>
        <w:rPr>
          <w:rFonts w:hint="default" w:ascii="Times New Roman" w:hAnsi="Times New Roman" w:cs="Times New Roman"/>
          <w:color w:val="auto"/>
          <w:highlight w:val="none"/>
          <w:shd w:val="clear" w:color="auto" w:fill="FFFFFF"/>
        </w:rPr>
        <w:t>母质层的剖面构型</w:t>
      </w:r>
      <w:r>
        <w:rPr>
          <w:rFonts w:hint="default" w:ascii="Times New Roman" w:hAnsi="Times New Roman"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发育层次较明显。</w:t>
      </w:r>
    </w:p>
    <w:p w14:paraId="1B8380FB">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土体构型调查见表4.2-</w:t>
      </w:r>
      <w:r>
        <w:rPr>
          <w:rFonts w:hint="default" w:cs="Times New Roman"/>
          <w:color w:val="auto"/>
          <w:highlight w:val="none"/>
          <w:shd w:val="clear" w:color="auto" w:fill="FFFFFF"/>
          <w:lang w:val="en-US" w:eastAsia="zh-CN"/>
        </w:rPr>
        <w:t>13</w:t>
      </w:r>
      <w:r>
        <w:rPr>
          <w:rFonts w:hint="default" w:ascii="Times New Roman" w:hAnsi="Times New Roman" w:cs="Times New Roman"/>
          <w:color w:val="auto"/>
          <w:highlight w:val="none"/>
          <w:shd w:val="clear" w:color="auto" w:fill="FFFFFF"/>
        </w:rPr>
        <w:t>。</w:t>
      </w:r>
    </w:p>
    <w:p w14:paraId="270C7F05">
      <w:pPr>
        <w:overflowPunct w:val="0"/>
        <w:topLinePunct/>
        <w:adjustRightInd w:val="0"/>
        <w:snapToGrid w:val="0"/>
        <w:ind w:firstLine="0" w:firstLineChars="0"/>
        <w:jc w:val="center"/>
        <w:rPr>
          <w:rFonts w:hint="default" w:ascii="Times New Roman" w:hAnsi="Times New Roman" w:cs="Times New Roman"/>
          <w:b/>
          <w:color w:val="auto"/>
          <w:highlight w:val="none"/>
          <w:shd w:val="clear" w:color="auto" w:fill="FFFFFF"/>
        </w:rPr>
      </w:pPr>
      <w:r>
        <w:rPr>
          <w:rFonts w:hint="default" w:ascii="Times New Roman" w:hAnsi="Times New Roman" w:cs="Times New Roman"/>
          <w:b/>
          <w:color w:val="auto"/>
          <w:highlight w:val="none"/>
          <w:shd w:val="clear" w:color="auto" w:fill="FFFFFF"/>
        </w:rPr>
        <w:t>表4.2-</w:t>
      </w:r>
      <w:r>
        <w:rPr>
          <w:rFonts w:hint="default" w:cs="Times New Roman"/>
          <w:b/>
          <w:color w:val="auto"/>
          <w:highlight w:val="none"/>
          <w:shd w:val="clear" w:color="auto" w:fill="FFFFFF"/>
          <w:lang w:val="en-US" w:eastAsia="zh-CN"/>
        </w:rPr>
        <w:t>13</w:t>
      </w:r>
      <w:r>
        <w:rPr>
          <w:rFonts w:hint="default" w:ascii="Times New Roman" w:hAnsi="Times New Roman" w:cs="Times New Roman"/>
          <w:b/>
          <w:color w:val="auto"/>
          <w:highlight w:val="none"/>
          <w:shd w:val="clear" w:color="auto" w:fill="FFFFFF"/>
        </w:rPr>
        <w:t xml:space="preserve">    土体构型（土壤剖面）调查表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6"/>
        <w:gridCol w:w="4115"/>
        <w:gridCol w:w="3253"/>
      </w:tblGrid>
      <w:tr w14:paraId="00240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4" w:type="pct"/>
            <w:vAlign w:val="center"/>
          </w:tcPr>
          <w:p w14:paraId="1BBD4E44">
            <w:pPr>
              <w:overflowPunct w:val="0"/>
              <w:topLinePunct/>
              <w:adjustRightInd w:val="0"/>
              <w:snapToGrid w:val="0"/>
              <w:spacing w:line="360" w:lineRule="exact"/>
              <w:ind w:firstLine="0" w:firstLineChars="0"/>
              <w:jc w:val="center"/>
              <w:rPr>
                <w:rFonts w:hint="default" w:ascii="Times New Roman" w:hAnsi="Times New Roman" w:cs="Times New Roman"/>
                <w:b/>
                <w:color w:val="auto"/>
                <w:sz w:val="21"/>
                <w:szCs w:val="21"/>
                <w:highlight w:val="none"/>
                <w:shd w:val="clear" w:color="auto" w:fill="FFFFFF"/>
              </w:rPr>
            </w:pPr>
            <w:r>
              <w:rPr>
                <w:rFonts w:hint="default" w:ascii="Times New Roman" w:hAnsi="Times New Roman" w:cs="Times New Roman"/>
                <w:b/>
                <w:color w:val="auto"/>
                <w:sz w:val="21"/>
                <w:szCs w:val="21"/>
                <w:highlight w:val="none"/>
                <w:shd w:val="clear" w:color="auto" w:fill="FFFFFF"/>
              </w:rPr>
              <w:t>点号</w:t>
            </w:r>
          </w:p>
        </w:tc>
        <w:tc>
          <w:tcPr>
            <w:tcW w:w="2242" w:type="pct"/>
            <w:vAlign w:val="center"/>
          </w:tcPr>
          <w:p w14:paraId="1D0202D5">
            <w:pPr>
              <w:overflowPunct w:val="0"/>
              <w:topLinePunct/>
              <w:adjustRightInd w:val="0"/>
              <w:snapToGrid w:val="0"/>
              <w:spacing w:line="360" w:lineRule="exact"/>
              <w:ind w:firstLine="0" w:firstLineChars="0"/>
              <w:jc w:val="center"/>
              <w:rPr>
                <w:rFonts w:hint="default" w:ascii="Times New Roman" w:hAnsi="Times New Roman" w:cs="Times New Roman"/>
                <w:b/>
                <w:color w:val="auto"/>
                <w:sz w:val="21"/>
                <w:szCs w:val="21"/>
                <w:highlight w:val="none"/>
                <w:shd w:val="clear" w:color="auto" w:fill="FFFFFF"/>
              </w:rPr>
            </w:pPr>
            <w:r>
              <w:rPr>
                <w:rFonts w:hint="default" w:ascii="Times New Roman" w:hAnsi="Times New Roman" w:cs="Times New Roman"/>
                <w:b/>
                <w:color w:val="auto"/>
                <w:sz w:val="21"/>
                <w:szCs w:val="21"/>
                <w:highlight w:val="none"/>
                <w:shd w:val="clear" w:color="auto" w:fill="FFFFFF"/>
              </w:rPr>
              <w:t>土壤剖面照片</w:t>
            </w:r>
          </w:p>
        </w:tc>
        <w:tc>
          <w:tcPr>
            <w:tcW w:w="1772" w:type="pct"/>
            <w:vAlign w:val="center"/>
          </w:tcPr>
          <w:p w14:paraId="5B5DE480">
            <w:pPr>
              <w:overflowPunct w:val="0"/>
              <w:topLinePunct/>
              <w:adjustRightInd w:val="0"/>
              <w:snapToGrid w:val="0"/>
              <w:spacing w:line="360" w:lineRule="exact"/>
              <w:ind w:firstLine="0" w:firstLineChars="0"/>
              <w:jc w:val="center"/>
              <w:rPr>
                <w:rFonts w:hint="default" w:ascii="Times New Roman" w:hAnsi="Times New Roman" w:cs="Times New Roman"/>
                <w:b/>
                <w:color w:val="auto"/>
                <w:sz w:val="21"/>
                <w:szCs w:val="21"/>
                <w:highlight w:val="none"/>
                <w:shd w:val="clear" w:color="auto" w:fill="FFFFFF"/>
              </w:rPr>
            </w:pPr>
            <w:r>
              <w:rPr>
                <w:rFonts w:hint="default" w:ascii="Times New Roman" w:hAnsi="Times New Roman" w:cs="Times New Roman"/>
                <w:b/>
                <w:color w:val="auto"/>
                <w:sz w:val="21"/>
                <w:szCs w:val="21"/>
                <w:highlight w:val="none"/>
                <w:shd w:val="clear" w:color="auto" w:fill="FFFFFF"/>
              </w:rPr>
              <w:t>层次</w:t>
            </w:r>
          </w:p>
        </w:tc>
      </w:tr>
      <w:tr w14:paraId="455E8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24" w:hRule="atLeast"/>
          <w:jc w:val="center"/>
        </w:trPr>
        <w:tc>
          <w:tcPr>
            <w:tcW w:w="984" w:type="pct"/>
            <w:vMerge w:val="restart"/>
            <w:vAlign w:val="center"/>
          </w:tcPr>
          <w:p w14:paraId="65A22765">
            <w:pPr>
              <w:overflowPunct w:val="0"/>
              <w:topLinePunct/>
              <w:adjustRightInd w:val="0"/>
              <w:snapToGrid w:val="0"/>
              <w:spacing w:line="240" w:lineRule="auto"/>
              <w:ind w:firstLine="0" w:firstLineChars="0"/>
              <w:jc w:val="center"/>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p>
          <w:p w14:paraId="789A6AD1">
            <w:pPr>
              <w:overflowPunct w:val="0"/>
              <w:topLinePunct/>
              <w:adjustRightInd w:val="0"/>
              <w:snapToGrid w:val="0"/>
              <w:spacing w:line="240" w:lineRule="auto"/>
              <w:ind w:firstLine="0" w:firstLineChars="0"/>
              <w:jc w:val="center"/>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（棕钙土）</w:t>
            </w:r>
          </w:p>
        </w:tc>
        <w:tc>
          <w:tcPr>
            <w:tcW w:w="2242" w:type="pct"/>
            <w:vMerge w:val="restart"/>
            <w:vAlign w:val="center"/>
          </w:tcPr>
          <w:p w14:paraId="2F0655EF">
            <w:pPr>
              <w:overflowPunct w:val="0"/>
              <w:topLinePunct/>
              <w:adjustRightInd w:val="0"/>
              <w:snapToGrid w:val="0"/>
              <w:spacing w:before="120" w:beforeLines="50" w:after="120" w:afterLines="50" w:line="240" w:lineRule="auto"/>
              <w:ind w:firstLine="0" w:firstLineChars="0"/>
              <w:jc w:val="center"/>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highlight w:val="none"/>
              </w:rPr>
              <w:drawing>
                <wp:inline distT="0" distB="0" distL="114300" distR="114300">
                  <wp:extent cx="2179955" cy="2237105"/>
                  <wp:effectExtent l="0" t="0" r="10795" b="10795"/>
                  <wp:docPr id="10" name="图片 55" descr="IMG2025061816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descr="IMG20250618165702"/>
                          <pic:cNvPicPr>
                            <a:picLocks noChangeAspect="1"/>
                          </pic:cNvPicPr>
                        </pic:nvPicPr>
                        <pic:blipFill>
                          <a:blip r:embed="rId48"/>
                          <a:stretch>
                            <a:fillRect/>
                          </a:stretch>
                        </pic:blipFill>
                        <pic:spPr>
                          <a:xfrm>
                            <a:off x="0" y="0"/>
                            <a:ext cx="2179955" cy="2237105"/>
                          </a:xfrm>
                          <a:prstGeom prst="rect">
                            <a:avLst/>
                          </a:prstGeom>
                          <a:noFill/>
                          <a:ln>
                            <a:noFill/>
                          </a:ln>
                        </pic:spPr>
                      </pic:pic>
                    </a:graphicData>
                  </a:graphic>
                </wp:inline>
              </w:drawing>
            </w:r>
          </w:p>
        </w:tc>
        <w:tc>
          <w:tcPr>
            <w:tcW w:w="1772" w:type="pct"/>
            <w:vAlign w:val="center"/>
          </w:tcPr>
          <w:p w14:paraId="6FA0571B">
            <w:pPr>
              <w:overflowPunct w:val="0"/>
              <w:topLinePunct/>
              <w:adjustRightInd w:val="0"/>
              <w:snapToGrid w:val="0"/>
              <w:spacing w:line="240" w:lineRule="auto"/>
              <w:ind w:firstLine="0" w:firstLineChars="0"/>
              <w:jc w:val="center"/>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A层，</w:t>
            </w:r>
            <w:r>
              <w:rPr>
                <w:rFonts w:hint="default" w:ascii="Times New Roman" w:hAnsi="Times New Roman" w:cs="Times New Roman"/>
                <w:color w:val="auto"/>
                <w:kern w:val="0"/>
                <w:sz w:val="21"/>
                <w:szCs w:val="21"/>
                <w:highlight w:val="none"/>
              </w:rPr>
              <w:t>腐殖质层</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厚度0.1</w:t>
            </w:r>
            <w:r>
              <w:rPr>
                <w:rFonts w:hint="default" w:ascii="Times New Roman" w:hAnsi="Times New Roman" w:cs="Times New Roman"/>
                <w:color w:val="auto"/>
                <w:kern w:val="0"/>
                <w:sz w:val="21"/>
                <w:szCs w:val="21"/>
                <w:highlight w:val="none"/>
                <w:lang w:eastAsia="zh-CN"/>
              </w:rPr>
              <w:t>m</w:t>
            </w:r>
            <w:r>
              <w:rPr>
                <w:rFonts w:hint="default" w:ascii="Times New Roman" w:hAnsi="Times New Roman" w:cs="Times New Roman"/>
                <w:color w:val="auto"/>
                <w:kern w:val="0"/>
                <w:sz w:val="21"/>
                <w:szCs w:val="21"/>
                <w:highlight w:val="none"/>
              </w:rPr>
              <w:t>，为含砾亚砂土层，稍松，有根系及腐殖质分布，有机质含量8.59-9.55克/千克，砾石含量10-20％，pH值7.25-7.38，全氮量0.59-0.61毫克/千克，容重1.40-1.45克/m³</w:t>
            </w:r>
            <w:r>
              <w:rPr>
                <w:rFonts w:hint="default" w:ascii="Times New Roman" w:hAnsi="Times New Roman" w:cs="Times New Roman"/>
                <w:color w:val="auto"/>
                <w:sz w:val="21"/>
                <w:szCs w:val="21"/>
                <w:highlight w:val="none"/>
              </w:rPr>
              <w:t>。</w:t>
            </w:r>
          </w:p>
        </w:tc>
      </w:tr>
      <w:tr w14:paraId="3AA8B5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6" w:hRule="atLeast"/>
          <w:jc w:val="center"/>
        </w:trPr>
        <w:tc>
          <w:tcPr>
            <w:tcW w:w="984" w:type="pct"/>
            <w:vMerge w:val="continue"/>
            <w:vAlign w:val="center"/>
          </w:tcPr>
          <w:p w14:paraId="61C42F2E">
            <w:pPr>
              <w:overflowPunct w:val="0"/>
              <w:topLinePunct/>
              <w:adjustRightInd w:val="0"/>
              <w:snapToGrid w:val="0"/>
              <w:spacing w:line="240" w:lineRule="auto"/>
              <w:ind w:firstLine="0" w:firstLineChars="0"/>
              <w:jc w:val="center"/>
              <w:rPr>
                <w:rFonts w:hint="default" w:ascii="Times New Roman" w:hAnsi="Times New Roman" w:cs="Times New Roman"/>
                <w:color w:val="auto"/>
                <w:sz w:val="21"/>
                <w:szCs w:val="21"/>
                <w:highlight w:val="none"/>
                <w:shd w:val="clear" w:color="auto" w:fill="FFFFFF"/>
              </w:rPr>
            </w:pPr>
          </w:p>
        </w:tc>
        <w:tc>
          <w:tcPr>
            <w:tcW w:w="2242" w:type="pct"/>
            <w:vMerge w:val="continue"/>
            <w:vAlign w:val="center"/>
          </w:tcPr>
          <w:p w14:paraId="23957267">
            <w:pPr>
              <w:overflowPunct w:val="0"/>
              <w:topLinePunct/>
              <w:adjustRightInd w:val="0"/>
              <w:snapToGrid w:val="0"/>
              <w:spacing w:line="240" w:lineRule="auto"/>
              <w:ind w:firstLine="0" w:firstLineChars="0"/>
              <w:jc w:val="center"/>
              <w:rPr>
                <w:rFonts w:hint="default" w:ascii="Times New Roman" w:hAnsi="Times New Roman" w:cs="Times New Roman"/>
                <w:color w:val="auto"/>
                <w:highlight w:val="none"/>
                <w:shd w:val="clear" w:color="auto" w:fill="FFFFFF"/>
              </w:rPr>
            </w:pPr>
          </w:p>
        </w:tc>
        <w:tc>
          <w:tcPr>
            <w:tcW w:w="1772" w:type="pct"/>
            <w:vAlign w:val="center"/>
          </w:tcPr>
          <w:p w14:paraId="22E12DB0">
            <w:pPr>
              <w:overflowPunct w:val="0"/>
              <w:topLinePunct/>
              <w:adjustRightInd w:val="0"/>
              <w:snapToGrid w:val="0"/>
              <w:spacing w:line="240" w:lineRule="auto"/>
              <w:ind w:firstLine="0" w:firstLineChars="0"/>
              <w:jc w:val="center"/>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B层，</w:t>
            </w:r>
            <w:r>
              <w:rPr>
                <w:rFonts w:hint="default" w:ascii="Times New Roman" w:hAnsi="Times New Roman" w:cs="Times New Roman"/>
                <w:color w:val="auto"/>
                <w:kern w:val="0"/>
                <w:sz w:val="21"/>
                <w:szCs w:val="21"/>
                <w:highlight w:val="none"/>
              </w:rPr>
              <w:t>淋溶层厚度0.2-0.3</w:t>
            </w:r>
            <w:r>
              <w:rPr>
                <w:rFonts w:hint="default" w:ascii="Times New Roman" w:hAnsi="Times New Roman" w:cs="Times New Roman"/>
                <w:color w:val="auto"/>
                <w:kern w:val="0"/>
                <w:sz w:val="21"/>
                <w:szCs w:val="21"/>
                <w:highlight w:val="none"/>
                <w:lang w:eastAsia="zh-CN"/>
              </w:rPr>
              <w:t>m</w:t>
            </w:r>
          </w:p>
        </w:tc>
      </w:tr>
      <w:tr w14:paraId="297EC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984" w:type="pct"/>
            <w:vMerge w:val="continue"/>
            <w:vAlign w:val="center"/>
          </w:tcPr>
          <w:p w14:paraId="35AE92BE">
            <w:pPr>
              <w:overflowPunct w:val="0"/>
              <w:topLinePunct/>
              <w:adjustRightInd w:val="0"/>
              <w:snapToGrid w:val="0"/>
              <w:spacing w:line="240" w:lineRule="auto"/>
              <w:ind w:firstLine="0" w:firstLineChars="0"/>
              <w:jc w:val="center"/>
              <w:rPr>
                <w:rFonts w:hint="default" w:ascii="Times New Roman" w:hAnsi="Times New Roman" w:cs="Times New Roman"/>
                <w:color w:val="auto"/>
                <w:highlight w:val="none"/>
              </w:rPr>
            </w:pPr>
          </w:p>
        </w:tc>
        <w:tc>
          <w:tcPr>
            <w:tcW w:w="2242" w:type="pct"/>
            <w:vMerge w:val="continue"/>
            <w:vAlign w:val="center"/>
          </w:tcPr>
          <w:p w14:paraId="5648CD4A">
            <w:pPr>
              <w:overflowPunct w:val="0"/>
              <w:topLinePunct/>
              <w:adjustRightInd w:val="0"/>
              <w:snapToGrid w:val="0"/>
              <w:spacing w:line="240" w:lineRule="auto"/>
              <w:ind w:firstLine="0" w:firstLineChars="0"/>
              <w:jc w:val="center"/>
              <w:rPr>
                <w:rFonts w:hint="default" w:ascii="Times New Roman" w:hAnsi="Times New Roman" w:cs="Times New Roman"/>
                <w:color w:val="auto"/>
                <w:highlight w:val="none"/>
              </w:rPr>
            </w:pPr>
          </w:p>
        </w:tc>
        <w:tc>
          <w:tcPr>
            <w:tcW w:w="1772" w:type="pct"/>
            <w:vAlign w:val="center"/>
          </w:tcPr>
          <w:p w14:paraId="6B63D3DF">
            <w:pPr>
              <w:overflowPunct w:val="0"/>
              <w:topLinePunct/>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cs="Times New Roman"/>
                <w:color w:val="auto"/>
                <w:sz w:val="21"/>
                <w:szCs w:val="21"/>
                <w:highlight w:val="none"/>
                <w:shd w:val="clear" w:color="auto" w:fill="FFFFFF"/>
                <w:lang w:val="en-US" w:eastAsia="zh-CN"/>
              </w:rPr>
              <w:t>C层，</w:t>
            </w:r>
            <w:r>
              <w:rPr>
                <w:rFonts w:hint="default" w:ascii="Times New Roman" w:hAnsi="Times New Roman" w:cs="Times New Roman"/>
                <w:color w:val="auto"/>
                <w:kern w:val="0"/>
                <w:sz w:val="21"/>
                <w:szCs w:val="21"/>
                <w:highlight w:val="none"/>
              </w:rPr>
              <w:t>安山质角砾岩</w:t>
            </w:r>
          </w:p>
        </w:tc>
      </w:tr>
    </w:tbl>
    <w:p w14:paraId="3E628222">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（3）土壤理化特性</w:t>
      </w:r>
    </w:p>
    <w:p w14:paraId="27B437AE">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项目区分布有</w:t>
      </w:r>
      <w:r>
        <w:rPr>
          <w:rFonts w:hint="default" w:ascii="Times New Roman" w:hAnsi="Times New Roman" w:cs="Times New Roman"/>
          <w:color w:val="auto"/>
          <w:highlight w:val="none"/>
          <w:shd w:val="clear" w:color="auto" w:fill="FFFFFF"/>
          <w:lang w:val="en-US" w:eastAsia="zh-CN"/>
        </w:rPr>
        <w:t>1</w:t>
      </w:r>
      <w:r>
        <w:rPr>
          <w:rFonts w:hint="default" w:ascii="Times New Roman" w:hAnsi="Times New Roman" w:cs="Times New Roman"/>
          <w:color w:val="auto"/>
          <w:highlight w:val="none"/>
          <w:shd w:val="clear" w:color="auto" w:fill="FFFFFF"/>
        </w:rPr>
        <w:t>种土壤类型，为</w:t>
      </w:r>
      <w:r>
        <w:rPr>
          <w:rFonts w:hint="default" w:ascii="Times New Roman" w:hAnsi="Times New Roman" w:cs="Times New Roman"/>
          <w:color w:val="auto"/>
          <w:highlight w:val="none"/>
          <w:shd w:val="clear" w:color="auto" w:fill="FFFFFF"/>
          <w:lang w:val="en-US" w:eastAsia="zh-CN"/>
        </w:rPr>
        <w:t>棕钙土</w:t>
      </w:r>
      <w:r>
        <w:rPr>
          <w:rFonts w:hint="default" w:ascii="Times New Roman" w:hAnsi="Times New Roman" w:eastAsia="宋体" w:cs="Times New Roman"/>
          <w:color w:val="auto"/>
          <w:highlight w:val="none"/>
          <w:shd w:val="clear" w:color="auto" w:fill="FFFFFF"/>
        </w:rPr>
        <w:t>。表层为</w:t>
      </w:r>
      <w:r>
        <w:rPr>
          <w:rFonts w:hint="default" w:cs="Times New Roman"/>
          <w:color w:val="auto"/>
          <w:highlight w:val="none"/>
          <w:shd w:val="clear" w:color="auto" w:fill="FFFFFF"/>
          <w:lang w:val="en-US" w:eastAsia="zh-CN"/>
        </w:rPr>
        <w:t>黄棕色</w:t>
      </w:r>
      <w:r>
        <w:rPr>
          <w:rFonts w:hint="default" w:ascii="Times New Roman" w:hAnsi="Times New Roman" w:eastAsia="宋体" w:cs="Times New Roman"/>
          <w:color w:val="auto"/>
          <w:highlight w:val="none"/>
          <w:shd w:val="clear" w:color="auto" w:fill="FFFFFF"/>
        </w:rPr>
        <w:t>含砾亚砂土层，有根系及腐殖质分布，厚度为10-30cm，砾石含量</w:t>
      </w:r>
      <w:r>
        <w:rPr>
          <w:rFonts w:hint="default" w:ascii="Times New Roman" w:hAnsi="Times New Roman" w:eastAsia="宋体" w:cs="Times New Roman"/>
          <w:color w:val="auto"/>
          <w:highlight w:val="none"/>
          <w:shd w:val="clear" w:color="auto" w:fill="FFFFFF"/>
          <w:lang w:val="en-US" w:eastAsia="zh-CN"/>
        </w:rPr>
        <w:t>＜50</w:t>
      </w:r>
      <w:r>
        <w:rPr>
          <w:rFonts w:hint="default" w:ascii="Times New Roman" w:hAnsi="Times New Roman" w:eastAsia="宋体" w:cs="Times New Roman"/>
          <w:color w:val="auto"/>
          <w:highlight w:val="none"/>
          <w:shd w:val="clear" w:color="auto" w:fill="FFFFFF"/>
        </w:rPr>
        <w:t>％，</w:t>
      </w:r>
      <w:r>
        <w:rPr>
          <w:rFonts w:hint="default" w:ascii="Times New Roman" w:hAnsi="Times New Roman" w:eastAsia="宋体" w:cs="Times New Roman"/>
          <w:color w:val="auto"/>
          <w:highlight w:val="none"/>
          <w:shd w:val="clear" w:color="auto" w:fill="FFFFFF"/>
          <w:lang w:val="en-US" w:eastAsia="zh-CN"/>
        </w:rPr>
        <w:t>容重＜1.55g/cm</w:t>
      </w:r>
      <w:r>
        <w:rPr>
          <w:rFonts w:hint="default" w:ascii="Times New Roman" w:hAnsi="Times New Roman" w:eastAsia="宋体" w:cs="Times New Roman"/>
          <w:color w:val="auto"/>
          <w:highlight w:val="none"/>
          <w:shd w:val="clear" w:color="auto" w:fill="FFFFFF"/>
          <w:vertAlign w:val="superscript"/>
          <w:lang w:val="en-US" w:eastAsia="zh-CN"/>
        </w:rPr>
        <w:t>3</w:t>
      </w:r>
      <w:r>
        <w:rPr>
          <w:rFonts w:hint="default" w:ascii="Times New Roman" w:hAnsi="Times New Roman" w:eastAsia="宋体" w:cs="Times New Roman"/>
          <w:color w:val="auto"/>
          <w:highlight w:val="none"/>
          <w:shd w:val="clear" w:color="auto" w:fill="FFFFFF"/>
          <w:lang w:val="en-US" w:eastAsia="zh-CN"/>
        </w:rPr>
        <w:t>，</w:t>
      </w:r>
      <w:r>
        <w:rPr>
          <w:rFonts w:hint="default" w:ascii="Times New Roman" w:hAnsi="Times New Roman" w:eastAsia="宋体" w:cs="Times New Roman"/>
          <w:color w:val="auto"/>
          <w:highlight w:val="none"/>
          <w:shd w:val="clear" w:color="auto" w:fill="FFFFFF"/>
        </w:rPr>
        <w:t>有机质含量</w:t>
      </w:r>
      <w:r>
        <w:rPr>
          <w:rFonts w:hint="default" w:ascii="Times New Roman" w:hAnsi="Times New Roman" w:eastAsia="宋体" w:cs="Times New Roman"/>
          <w:color w:val="auto"/>
          <w:highlight w:val="none"/>
          <w:shd w:val="clear" w:color="auto" w:fill="FFFFFF"/>
          <w:lang w:val="en-US" w:eastAsia="zh-CN"/>
        </w:rPr>
        <w:t>＞8.59，覆盖度＞20%</w:t>
      </w:r>
    </w:p>
    <w:p w14:paraId="1467D71B">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项目区土壤理化特性见表4.2-1</w:t>
      </w:r>
      <w:r>
        <w:rPr>
          <w:rFonts w:hint="default" w:cs="Times New Roman"/>
          <w:color w:val="auto"/>
          <w:highlight w:val="none"/>
          <w:shd w:val="clear" w:color="auto" w:fill="FFFFFF"/>
          <w:lang w:val="en-US" w:eastAsia="zh-CN"/>
        </w:rPr>
        <w:t>4</w:t>
      </w:r>
      <w:r>
        <w:rPr>
          <w:rFonts w:hint="default" w:ascii="Times New Roman" w:hAnsi="Times New Roman" w:cs="Times New Roman"/>
          <w:color w:val="auto"/>
          <w:highlight w:val="none"/>
          <w:shd w:val="clear" w:color="auto" w:fill="FFFFFF"/>
        </w:rPr>
        <w:t>。</w:t>
      </w:r>
    </w:p>
    <w:p w14:paraId="385CE576">
      <w:pPr>
        <w:overflowPunct w:val="0"/>
        <w:topLinePunct/>
        <w:adjustRightInd w:val="0"/>
        <w:snapToGrid w:val="0"/>
        <w:ind w:firstLine="0" w:firstLineChars="0"/>
        <w:jc w:val="center"/>
        <w:rPr>
          <w:rFonts w:hint="default" w:ascii="Times New Roman" w:hAnsi="Times New Roman" w:cs="Times New Roman"/>
          <w:b/>
          <w:color w:val="auto"/>
          <w:highlight w:val="none"/>
          <w:shd w:val="clear" w:color="auto" w:fill="FFFFFF"/>
        </w:rPr>
      </w:pPr>
      <w:r>
        <w:rPr>
          <w:rFonts w:hint="default" w:ascii="Times New Roman" w:hAnsi="Times New Roman" w:cs="Times New Roman"/>
          <w:b/>
          <w:color w:val="auto"/>
          <w:highlight w:val="none"/>
          <w:shd w:val="clear" w:color="auto" w:fill="FFFFFF"/>
        </w:rPr>
        <w:t>表4.2-1</w:t>
      </w:r>
      <w:r>
        <w:rPr>
          <w:rFonts w:hint="default" w:cs="Times New Roman"/>
          <w:b/>
          <w:color w:val="auto"/>
          <w:highlight w:val="none"/>
          <w:shd w:val="clear" w:color="auto" w:fill="FFFFFF"/>
          <w:lang w:val="en-US" w:eastAsia="zh-CN"/>
        </w:rPr>
        <w:t>4</w:t>
      </w:r>
      <w:r>
        <w:rPr>
          <w:rFonts w:hint="default" w:ascii="Times New Roman" w:hAnsi="Times New Roman" w:cs="Times New Roman"/>
          <w:b/>
          <w:color w:val="auto"/>
          <w:highlight w:val="none"/>
          <w:shd w:val="clear" w:color="auto" w:fill="FFFFFF"/>
        </w:rPr>
        <w:t xml:space="preserve">    土壤理化特性调查表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26"/>
        <w:gridCol w:w="2430"/>
        <w:gridCol w:w="624"/>
        <w:gridCol w:w="1684"/>
      </w:tblGrid>
      <w:tr w14:paraId="0E4E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0EA0CD05">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点位</w:t>
            </w:r>
          </w:p>
        </w:tc>
        <w:tc>
          <w:tcPr>
            <w:tcW w:w="1355" w:type="pct"/>
            <w:noWrap w:val="0"/>
            <w:vAlign w:val="center"/>
          </w:tcPr>
          <w:p w14:paraId="1643DF5B">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项目区范围外T18</w:t>
            </w:r>
          </w:p>
        </w:tc>
        <w:tc>
          <w:tcPr>
            <w:tcW w:w="348" w:type="pct"/>
            <w:noWrap w:val="0"/>
            <w:vAlign w:val="center"/>
          </w:tcPr>
          <w:p w14:paraId="4DFA226A">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时间</w:t>
            </w:r>
          </w:p>
        </w:tc>
        <w:tc>
          <w:tcPr>
            <w:tcW w:w="938" w:type="pct"/>
            <w:noWrap w:val="0"/>
            <w:vAlign w:val="center"/>
          </w:tcPr>
          <w:p w14:paraId="7203E50E">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2026.04.09</w:t>
            </w:r>
          </w:p>
        </w:tc>
      </w:tr>
      <w:tr w14:paraId="1DB0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1E0CED19">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经度</w:t>
            </w:r>
          </w:p>
        </w:tc>
        <w:tc>
          <w:tcPr>
            <w:tcW w:w="1355" w:type="pct"/>
            <w:noWrap w:val="0"/>
            <w:vAlign w:val="center"/>
          </w:tcPr>
          <w:p w14:paraId="07AEDAAF">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89°48'33.</w:t>
            </w:r>
            <w:r>
              <w:rPr>
                <w:rFonts w:hint="default" w:ascii="Times New Roman" w:hAnsi="Times New Roman" w:eastAsia="宋体" w:cs="Times New Roman"/>
                <w:b/>
                <w:bCs/>
                <w:color w:val="auto"/>
                <w:highlight w:val="none"/>
                <w:lang w:val="en-US" w:eastAsia="zh-CN"/>
              </w:rPr>
              <w:t>50</w:t>
            </w:r>
            <w:r>
              <w:rPr>
                <w:rFonts w:hint="default" w:ascii="Times New Roman" w:hAnsi="Times New Roman" w:eastAsia="宋体" w:cs="Times New Roman"/>
                <w:b/>
                <w:bCs/>
                <w:color w:val="auto"/>
                <w:highlight w:val="none"/>
              </w:rPr>
              <w:t>"</w:t>
            </w:r>
          </w:p>
        </w:tc>
        <w:tc>
          <w:tcPr>
            <w:tcW w:w="348" w:type="pct"/>
            <w:noWrap w:val="0"/>
            <w:vAlign w:val="center"/>
          </w:tcPr>
          <w:p w14:paraId="6EDE446B">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纬度</w:t>
            </w:r>
          </w:p>
        </w:tc>
        <w:tc>
          <w:tcPr>
            <w:tcW w:w="938" w:type="pct"/>
            <w:noWrap w:val="0"/>
            <w:vAlign w:val="center"/>
          </w:tcPr>
          <w:p w14:paraId="7F3EB107">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46°44'42.53"</w:t>
            </w:r>
          </w:p>
        </w:tc>
      </w:tr>
      <w:tr w14:paraId="6D30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2159F28E">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层次</w:t>
            </w:r>
          </w:p>
        </w:tc>
        <w:tc>
          <w:tcPr>
            <w:tcW w:w="2642" w:type="pct"/>
            <w:gridSpan w:val="3"/>
            <w:noWrap w:val="0"/>
            <w:vAlign w:val="center"/>
          </w:tcPr>
          <w:p w14:paraId="41E9E756">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0~0.2m</w:t>
            </w:r>
          </w:p>
        </w:tc>
      </w:tr>
      <w:tr w14:paraId="3860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15258E59">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颜色</w:t>
            </w:r>
          </w:p>
        </w:tc>
        <w:tc>
          <w:tcPr>
            <w:tcW w:w="2642" w:type="pct"/>
            <w:gridSpan w:val="3"/>
            <w:noWrap w:val="0"/>
            <w:vAlign w:val="center"/>
          </w:tcPr>
          <w:p w14:paraId="7169AB16">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黄棕</w:t>
            </w:r>
          </w:p>
        </w:tc>
      </w:tr>
      <w:tr w14:paraId="4260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5931AA38">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结构</w:t>
            </w:r>
          </w:p>
        </w:tc>
        <w:tc>
          <w:tcPr>
            <w:tcW w:w="2642" w:type="pct"/>
            <w:gridSpan w:val="3"/>
            <w:noWrap w:val="0"/>
            <w:vAlign w:val="center"/>
          </w:tcPr>
          <w:p w14:paraId="226471AC">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固体</w:t>
            </w:r>
          </w:p>
        </w:tc>
      </w:tr>
      <w:tr w14:paraId="4FF5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2AD26478">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质地</w:t>
            </w:r>
          </w:p>
        </w:tc>
        <w:tc>
          <w:tcPr>
            <w:tcW w:w="2642" w:type="pct"/>
            <w:gridSpan w:val="3"/>
            <w:noWrap w:val="0"/>
            <w:vAlign w:val="center"/>
          </w:tcPr>
          <w:p w14:paraId="2E75C48C">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砂土</w:t>
            </w:r>
          </w:p>
        </w:tc>
      </w:tr>
      <w:tr w14:paraId="4540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07BBF656">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砂砾含量（%）</w:t>
            </w:r>
          </w:p>
        </w:tc>
        <w:tc>
          <w:tcPr>
            <w:tcW w:w="2642" w:type="pct"/>
            <w:gridSpan w:val="3"/>
            <w:noWrap w:val="0"/>
            <w:vAlign w:val="center"/>
          </w:tcPr>
          <w:p w14:paraId="62297B0A">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90</w:t>
            </w:r>
          </w:p>
        </w:tc>
      </w:tr>
      <w:tr w14:paraId="4F6A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0AA6C86E">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其他异物</w:t>
            </w:r>
          </w:p>
        </w:tc>
        <w:tc>
          <w:tcPr>
            <w:tcW w:w="2642" w:type="pct"/>
            <w:gridSpan w:val="3"/>
            <w:noWrap w:val="0"/>
            <w:vAlign w:val="center"/>
          </w:tcPr>
          <w:p w14:paraId="5ADDA593">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石子</w:t>
            </w:r>
          </w:p>
        </w:tc>
      </w:tr>
      <w:tr w14:paraId="7ADE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72E6F74A">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pH值</w:t>
            </w:r>
          </w:p>
        </w:tc>
        <w:tc>
          <w:tcPr>
            <w:tcW w:w="2642" w:type="pct"/>
            <w:gridSpan w:val="3"/>
            <w:shd w:val="clear" w:color="auto" w:fill="auto"/>
            <w:noWrap w:val="0"/>
            <w:vAlign w:val="center"/>
          </w:tcPr>
          <w:p w14:paraId="218FF339">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8.3</w:t>
            </w:r>
          </w:p>
        </w:tc>
      </w:tr>
      <w:tr w14:paraId="53F0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50F55BB9">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阳离子交换量（cmol/kg（+））</w:t>
            </w:r>
          </w:p>
        </w:tc>
        <w:tc>
          <w:tcPr>
            <w:tcW w:w="2642" w:type="pct"/>
            <w:gridSpan w:val="3"/>
            <w:noWrap w:val="0"/>
            <w:vAlign w:val="center"/>
          </w:tcPr>
          <w:p w14:paraId="7A6C0637">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8.6</w:t>
            </w:r>
          </w:p>
        </w:tc>
      </w:tr>
      <w:tr w14:paraId="5251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7AF46CC1">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氧化还原电位（mV）</w:t>
            </w:r>
          </w:p>
        </w:tc>
        <w:tc>
          <w:tcPr>
            <w:tcW w:w="2642" w:type="pct"/>
            <w:gridSpan w:val="3"/>
            <w:noWrap w:val="0"/>
            <w:vAlign w:val="center"/>
          </w:tcPr>
          <w:p w14:paraId="2867C822">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413</w:t>
            </w:r>
          </w:p>
        </w:tc>
      </w:tr>
      <w:tr w14:paraId="00E0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01954390">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饱和导水率/（cm/s）</w:t>
            </w:r>
          </w:p>
        </w:tc>
        <w:tc>
          <w:tcPr>
            <w:tcW w:w="2642" w:type="pct"/>
            <w:gridSpan w:val="3"/>
            <w:noWrap w:val="0"/>
            <w:vAlign w:val="center"/>
          </w:tcPr>
          <w:p w14:paraId="472182A0">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w:t>
            </w:r>
          </w:p>
        </w:tc>
      </w:tr>
      <w:tr w14:paraId="47B2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0743CACC">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土壤容重/（kg/m³）</w:t>
            </w:r>
          </w:p>
        </w:tc>
        <w:tc>
          <w:tcPr>
            <w:tcW w:w="2642" w:type="pct"/>
            <w:gridSpan w:val="3"/>
            <w:noWrap w:val="0"/>
            <w:vAlign w:val="center"/>
          </w:tcPr>
          <w:p w14:paraId="4483B36B">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w:t>
            </w:r>
          </w:p>
        </w:tc>
      </w:tr>
      <w:tr w14:paraId="3DDE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6D22B062">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孔隙度（%）</w:t>
            </w:r>
          </w:p>
        </w:tc>
        <w:tc>
          <w:tcPr>
            <w:tcW w:w="2642" w:type="pct"/>
            <w:gridSpan w:val="3"/>
            <w:noWrap w:val="0"/>
            <w:vAlign w:val="center"/>
          </w:tcPr>
          <w:p w14:paraId="4F697A07">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w:t>
            </w:r>
          </w:p>
        </w:tc>
      </w:tr>
      <w:tr w14:paraId="548D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73CA04DB">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点位</w:t>
            </w:r>
          </w:p>
        </w:tc>
        <w:tc>
          <w:tcPr>
            <w:tcW w:w="1355" w:type="pct"/>
            <w:noWrap w:val="0"/>
            <w:vAlign w:val="center"/>
          </w:tcPr>
          <w:p w14:paraId="13859735">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项目区范围外T19</w:t>
            </w:r>
          </w:p>
        </w:tc>
        <w:tc>
          <w:tcPr>
            <w:tcW w:w="348" w:type="pct"/>
            <w:noWrap w:val="0"/>
            <w:vAlign w:val="center"/>
          </w:tcPr>
          <w:p w14:paraId="5BA72A39">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时间</w:t>
            </w:r>
          </w:p>
        </w:tc>
        <w:tc>
          <w:tcPr>
            <w:tcW w:w="938" w:type="pct"/>
            <w:noWrap w:val="0"/>
            <w:vAlign w:val="center"/>
          </w:tcPr>
          <w:p w14:paraId="34A33258">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2026.04.09</w:t>
            </w:r>
          </w:p>
        </w:tc>
      </w:tr>
      <w:tr w14:paraId="01BA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516DC65F">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经度</w:t>
            </w:r>
          </w:p>
        </w:tc>
        <w:tc>
          <w:tcPr>
            <w:tcW w:w="1355" w:type="pct"/>
            <w:noWrap w:val="0"/>
            <w:vAlign w:val="center"/>
          </w:tcPr>
          <w:p w14:paraId="27933991">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89°48'27.18"</w:t>
            </w:r>
          </w:p>
        </w:tc>
        <w:tc>
          <w:tcPr>
            <w:tcW w:w="348" w:type="pct"/>
            <w:noWrap w:val="0"/>
            <w:vAlign w:val="center"/>
          </w:tcPr>
          <w:p w14:paraId="2876530F">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纬度</w:t>
            </w:r>
          </w:p>
        </w:tc>
        <w:tc>
          <w:tcPr>
            <w:tcW w:w="938" w:type="pct"/>
            <w:noWrap w:val="0"/>
            <w:vAlign w:val="center"/>
          </w:tcPr>
          <w:p w14:paraId="430A0A3F">
            <w:pPr>
              <w:pStyle w:val="132"/>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46°44'56.73"</w:t>
            </w:r>
          </w:p>
        </w:tc>
      </w:tr>
      <w:tr w14:paraId="6396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6E95732D">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层次</w:t>
            </w:r>
          </w:p>
        </w:tc>
        <w:tc>
          <w:tcPr>
            <w:tcW w:w="2642" w:type="pct"/>
            <w:gridSpan w:val="3"/>
            <w:noWrap w:val="0"/>
            <w:vAlign w:val="center"/>
          </w:tcPr>
          <w:p w14:paraId="308EB5C9">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0.5~1.5m</w:t>
            </w:r>
          </w:p>
        </w:tc>
      </w:tr>
      <w:tr w14:paraId="1DCB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27B37492">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颜色</w:t>
            </w:r>
          </w:p>
        </w:tc>
        <w:tc>
          <w:tcPr>
            <w:tcW w:w="2642" w:type="pct"/>
            <w:gridSpan w:val="3"/>
            <w:noWrap w:val="0"/>
            <w:vAlign w:val="center"/>
          </w:tcPr>
          <w:p w14:paraId="778F28F1">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黄棕</w:t>
            </w:r>
          </w:p>
        </w:tc>
      </w:tr>
      <w:tr w14:paraId="2483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5AB4BA0F">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结构</w:t>
            </w:r>
          </w:p>
        </w:tc>
        <w:tc>
          <w:tcPr>
            <w:tcW w:w="2642" w:type="pct"/>
            <w:gridSpan w:val="3"/>
            <w:noWrap w:val="0"/>
            <w:vAlign w:val="center"/>
          </w:tcPr>
          <w:p w14:paraId="1A5984D0">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固体</w:t>
            </w:r>
          </w:p>
        </w:tc>
      </w:tr>
      <w:tr w14:paraId="78C9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3F52A51C">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质地</w:t>
            </w:r>
          </w:p>
        </w:tc>
        <w:tc>
          <w:tcPr>
            <w:tcW w:w="2642" w:type="pct"/>
            <w:gridSpan w:val="3"/>
            <w:noWrap w:val="0"/>
            <w:vAlign w:val="center"/>
          </w:tcPr>
          <w:p w14:paraId="029B81C8">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砂土</w:t>
            </w:r>
          </w:p>
        </w:tc>
      </w:tr>
      <w:tr w14:paraId="2FD5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2C8C3A82">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砂砾含量（%）</w:t>
            </w:r>
          </w:p>
        </w:tc>
        <w:tc>
          <w:tcPr>
            <w:tcW w:w="2642" w:type="pct"/>
            <w:gridSpan w:val="3"/>
            <w:noWrap w:val="0"/>
            <w:vAlign w:val="center"/>
          </w:tcPr>
          <w:p w14:paraId="736F387B">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90</w:t>
            </w:r>
          </w:p>
        </w:tc>
      </w:tr>
      <w:tr w14:paraId="5AE4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41922D95">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其他异物</w:t>
            </w:r>
          </w:p>
        </w:tc>
        <w:tc>
          <w:tcPr>
            <w:tcW w:w="2642" w:type="pct"/>
            <w:gridSpan w:val="3"/>
            <w:noWrap w:val="0"/>
            <w:vAlign w:val="center"/>
          </w:tcPr>
          <w:p w14:paraId="32FC77BD">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石子</w:t>
            </w:r>
          </w:p>
        </w:tc>
      </w:tr>
      <w:tr w14:paraId="0C50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noWrap w:val="0"/>
            <w:vAlign w:val="center"/>
          </w:tcPr>
          <w:p w14:paraId="3D370999">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pH值</w:t>
            </w:r>
          </w:p>
        </w:tc>
        <w:tc>
          <w:tcPr>
            <w:tcW w:w="2642" w:type="pct"/>
            <w:gridSpan w:val="3"/>
            <w:shd w:val="clear" w:color="auto" w:fill="auto"/>
            <w:noWrap w:val="0"/>
            <w:vAlign w:val="center"/>
          </w:tcPr>
          <w:p w14:paraId="7FC09910">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8.1</w:t>
            </w:r>
          </w:p>
        </w:tc>
      </w:tr>
      <w:tr w14:paraId="022E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70CCF401">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阳离子交换量（cmol/kg（+））</w:t>
            </w:r>
          </w:p>
        </w:tc>
        <w:tc>
          <w:tcPr>
            <w:tcW w:w="2642" w:type="pct"/>
            <w:gridSpan w:val="3"/>
            <w:noWrap w:val="0"/>
            <w:vAlign w:val="center"/>
          </w:tcPr>
          <w:p w14:paraId="71FCCDEA">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r>
      <w:tr w14:paraId="26EA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4ECBA9BB">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氧化还原电位（mV）</w:t>
            </w:r>
          </w:p>
        </w:tc>
        <w:tc>
          <w:tcPr>
            <w:tcW w:w="2642" w:type="pct"/>
            <w:gridSpan w:val="3"/>
            <w:noWrap w:val="0"/>
            <w:vAlign w:val="center"/>
          </w:tcPr>
          <w:p w14:paraId="01E24A11">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452</w:t>
            </w:r>
          </w:p>
        </w:tc>
      </w:tr>
      <w:tr w14:paraId="5519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67281214">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饱和导水率/（cm/s）</w:t>
            </w:r>
          </w:p>
        </w:tc>
        <w:tc>
          <w:tcPr>
            <w:tcW w:w="2642" w:type="pct"/>
            <w:gridSpan w:val="3"/>
            <w:noWrap w:val="0"/>
            <w:vAlign w:val="center"/>
          </w:tcPr>
          <w:p w14:paraId="4E939B07">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w:t>
            </w:r>
          </w:p>
        </w:tc>
      </w:tr>
      <w:tr w14:paraId="3282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6C3A5076">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土壤容重/（kg/m³）</w:t>
            </w:r>
          </w:p>
        </w:tc>
        <w:tc>
          <w:tcPr>
            <w:tcW w:w="2642" w:type="pct"/>
            <w:gridSpan w:val="3"/>
            <w:noWrap w:val="0"/>
            <w:vAlign w:val="center"/>
          </w:tcPr>
          <w:p w14:paraId="5C2925CF">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w:t>
            </w:r>
          </w:p>
        </w:tc>
      </w:tr>
      <w:tr w14:paraId="71F6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57" w:type="pct"/>
            <w:shd w:val="clear" w:color="auto" w:fill="auto"/>
            <w:noWrap w:val="0"/>
            <w:vAlign w:val="center"/>
          </w:tcPr>
          <w:p w14:paraId="748CA64E">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孔隙度（%）</w:t>
            </w:r>
          </w:p>
        </w:tc>
        <w:tc>
          <w:tcPr>
            <w:tcW w:w="2642" w:type="pct"/>
            <w:gridSpan w:val="3"/>
            <w:noWrap w:val="0"/>
            <w:vAlign w:val="center"/>
          </w:tcPr>
          <w:p w14:paraId="2BD8E665">
            <w:pPr>
              <w:pStyle w:val="1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w:t>
            </w:r>
          </w:p>
        </w:tc>
      </w:tr>
    </w:tbl>
    <w:p w14:paraId="1F0067D7">
      <w:pPr>
        <w:overflowPunct w:val="0"/>
        <w:topLinePunct/>
        <w:adjustRightInd w:val="0"/>
        <w:snapToGrid w:val="0"/>
        <w:ind w:firstLine="0" w:firstLineChars="0"/>
        <w:jc w:val="center"/>
        <w:rPr>
          <w:rFonts w:hint="default" w:ascii="Times New Roman" w:hAnsi="Times New Roman" w:cs="Times New Roman"/>
          <w:b/>
          <w:color w:val="auto"/>
          <w:highlight w:val="none"/>
          <w:shd w:val="clear" w:color="auto" w:fill="FFFFFF"/>
        </w:rPr>
      </w:pPr>
    </w:p>
    <w:p w14:paraId="7362875B">
      <w:pPr>
        <w:pStyle w:val="5"/>
        <w:ind w:firstLine="482"/>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de-DE"/>
        </w:rPr>
        <w:t>植被现状调查及评价</w:t>
      </w:r>
    </w:p>
    <w:p w14:paraId="6EA0E80E">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（1）植被类型及分布</w:t>
      </w:r>
    </w:p>
    <w:p w14:paraId="5E2CBD28">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富蕴县地处阿尔泰山南麓，植被随海拔与地域呈现明显分异：南部低海拔戈壁平原以荒漠草原为主，低山丘陵分布山地草原；北部阿尔泰山山区垂直带谱完整，自下而上依次分布森林草原、亚高山与高山草甸、高山嵩草芜原、高山苔原及冰雪带，主要树种为西伯利亚落叶松、新疆云杉、白桦等；额尔齐斯河、乌伦古河沿岸则带状发育河谷林、灌丛与湿地植被，整体形成北部分布森林草甸、中部河谷林灌交织、南部以荒漠草原为主的植被格局。</w:t>
      </w:r>
    </w:p>
    <w:p w14:paraId="165AC495">
      <w:pPr>
        <w:pStyle w:val="136"/>
        <w:shd w:val="clear"/>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（2）植被现状调查</w:t>
      </w:r>
    </w:p>
    <w:p w14:paraId="10122940">
      <w:pPr>
        <w:pStyle w:val="136"/>
        <w:shd w:val="clea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在区域踏勘的基础上，本次评价于202</w:t>
      </w:r>
      <w:r>
        <w:rPr>
          <w:rFonts w:hint="default" w:cs="Times New Roman"/>
          <w:color w:val="auto"/>
          <w:highlight w:val="none"/>
          <w:lang w:val="en-US" w:eastAsia="zh-CN"/>
        </w:rPr>
        <w:t>6</w:t>
      </w:r>
      <w:r>
        <w:rPr>
          <w:rFonts w:hint="default" w:ascii="Times New Roman" w:hAnsi="Times New Roman" w:cs="Times New Roman"/>
          <w:color w:val="auto"/>
          <w:highlight w:val="none"/>
          <w:lang w:val="en-US" w:eastAsia="zh-CN"/>
        </w:rPr>
        <w:t>年</w:t>
      </w:r>
      <w:r>
        <w:rPr>
          <w:rFonts w:hint="default" w:cs="Times New Roman"/>
          <w:color w:val="auto"/>
          <w:highlight w:val="none"/>
          <w:lang w:val="en-US" w:eastAsia="zh-CN"/>
        </w:rPr>
        <w:t>4</w:t>
      </w:r>
      <w:r>
        <w:rPr>
          <w:rFonts w:hint="default" w:ascii="Times New Roman" w:hAnsi="Times New Roman" w:cs="Times New Roman"/>
          <w:color w:val="auto"/>
          <w:highlight w:val="none"/>
          <w:lang w:val="en-US" w:eastAsia="zh-CN"/>
        </w:rPr>
        <w:t>月</w:t>
      </w:r>
      <w:r>
        <w:rPr>
          <w:rFonts w:hint="default" w:cs="Times New Roman"/>
          <w:color w:val="auto"/>
          <w:highlight w:val="none"/>
          <w:lang w:val="en-US" w:eastAsia="zh-CN"/>
        </w:rPr>
        <w:t>4</w:t>
      </w:r>
      <w:r>
        <w:rPr>
          <w:rFonts w:hint="default" w:ascii="Times New Roman" w:hAnsi="Times New Roman" w:cs="Times New Roman"/>
          <w:color w:val="auto"/>
          <w:highlight w:val="none"/>
          <w:lang w:val="en-US" w:eastAsia="zh-CN"/>
        </w:rPr>
        <w:t>日对项目区内的生态植被进行了样方调查，根据普遍性和典型性相结合的原则，结合评价区植被覆盖情况和工程影响情况，分别在矿区和评价区未受到人为破坏的地方设置样方点，进行了样方调查。本次选取的样方</w:t>
      </w:r>
      <w:r>
        <w:rPr>
          <w:rFonts w:hint="default" w:ascii="Times New Roman" w:hAnsi="Times New Roman" w:cs="Times New Roman"/>
          <w:color w:val="auto"/>
          <w:highlight w:val="none"/>
          <w:shd w:val="clear" w:fill="FFFFFF"/>
          <w:lang w:val="en-US" w:eastAsia="zh-CN"/>
        </w:rPr>
        <w:t>涉及</w:t>
      </w:r>
      <w:r>
        <w:rPr>
          <w:rFonts w:hint="default" w:ascii="Times New Roman" w:hAnsi="Times New Roman" w:cs="Times New Roman"/>
          <w:color w:val="auto"/>
          <w:highlight w:val="none"/>
          <w:lang w:val="en-US" w:eastAsia="zh-CN"/>
        </w:rPr>
        <w:t>项目区范围内不同土地利用类型、不同</w:t>
      </w:r>
      <w:r>
        <w:rPr>
          <w:rFonts w:hint="default" w:cs="Times New Roman"/>
          <w:color w:val="auto"/>
          <w:highlight w:val="none"/>
          <w:lang w:val="en-US" w:eastAsia="zh-CN"/>
        </w:rPr>
        <w:t>海拔</w:t>
      </w:r>
      <w:r>
        <w:rPr>
          <w:rFonts w:hint="default" w:ascii="Times New Roman" w:hAnsi="Times New Roman" w:cs="Times New Roman"/>
          <w:color w:val="auto"/>
          <w:highlight w:val="none"/>
          <w:lang w:val="en-US" w:eastAsia="zh-CN"/>
        </w:rPr>
        <w:t>、不同人为影响、不同植被生长环境等，具有代表性，样方为随机选取，不受主观因素限制，设置合理可行。</w:t>
      </w:r>
    </w:p>
    <w:p w14:paraId="37C9E4D6">
      <w:pPr>
        <w:pStyle w:val="136"/>
        <w:shd w:val="clea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样方面积</w:t>
      </w: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m×</w:t>
      </w: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m，根据项目区土地类型及植物组成和盖度，统计样方内植被种类、盖度、高度等。典型样方调查见样方表4.2-1</w:t>
      </w:r>
      <w:r>
        <w:rPr>
          <w:rFonts w:hint="default" w:cs="Times New Roman"/>
          <w:color w:val="auto"/>
          <w:highlight w:val="none"/>
          <w:lang w:val="en-US" w:eastAsia="zh-CN"/>
        </w:rPr>
        <w:t>5</w:t>
      </w:r>
      <w:r>
        <w:rPr>
          <w:rFonts w:hint="default" w:ascii="Times New Roman" w:hAnsi="Times New Roman" w:cs="Times New Roman"/>
          <w:color w:val="auto"/>
          <w:highlight w:val="none"/>
          <w:lang w:val="en-US" w:eastAsia="zh-CN"/>
        </w:rPr>
        <w:t>。</w:t>
      </w:r>
    </w:p>
    <w:p w14:paraId="21EE0F7F">
      <w:pPr>
        <w:pStyle w:val="137"/>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w:t>
      </w:r>
      <w:r>
        <w:rPr>
          <w:rFonts w:hint="default"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15</w:t>
      </w:r>
      <w:r>
        <w:rPr>
          <w:rFonts w:hint="default" w:ascii="Times New Roman" w:hAnsi="Times New Roman" w:cs="Times New Roman"/>
          <w:color w:val="auto"/>
          <w:highlight w:val="none"/>
          <w:lang w:val="en-US" w:eastAsia="zh-CN"/>
        </w:rPr>
        <w:t>a    群落样方编号1</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529"/>
        <w:gridCol w:w="1529"/>
        <w:gridCol w:w="1848"/>
        <w:gridCol w:w="1341"/>
        <w:gridCol w:w="1398"/>
      </w:tblGrid>
      <w:tr w14:paraId="6E278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004556EF">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调查日期</w:t>
            </w:r>
          </w:p>
        </w:tc>
        <w:tc>
          <w:tcPr>
            <w:tcW w:w="1529" w:type="dxa"/>
            <w:tcBorders>
              <w:tl2br w:val="nil"/>
              <w:tr2bl w:val="nil"/>
            </w:tcBorders>
            <w:vAlign w:val="center"/>
          </w:tcPr>
          <w:p w14:paraId="6E2449A6">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w:t>
            </w:r>
            <w:r>
              <w:rPr>
                <w:rFonts w:hint="default" w:cs="Times New Roman"/>
                <w:color w:val="auto"/>
                <w:highlight w:val="none"/>
                <w:lang w:val="en-US" w:eastAsia="zh-CN"/>
              </w:rPr>
              <w:t>6</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4</w:t>
            </w:r>
          </w:p>
        </w:tc>
        <w:tc>
          <w:tcPr>
            <w:tcW w:w="1529" w:type="dxa"/>
            <w:tcBorders>
              <w:tl2br w:val="nil"/>
              <w:tr2bl w:val="nil"/>
            </w:tcBorders>
            <w:vAlign w:val="center"/>
          </w:tcPr>
          <w:p w14:paraId="3C1377B6">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调查地点</w:t>
            </w:r>
          </w:p>
        </w:tc>
        <w:tc>
          <w:tcPr>
            <w:tcW w:w="1848" w:type="dxa"/>
            <w:tcBorders>
              <w:tl2br w:val="nil"/>
              <w:tr2bl w:val="nil"/>
            </w:tcBorders>
            <w:vAlign w:val="center"/>
          </w:tcPr>
          <w:p w14:paraId="705AAE18">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选矿场南侧</w:t>
            </w:r>
          </w:p>
        </w:tc>
        <w:tc>
          <w:tcPr>
            <w:tcW w:w="1341" w:type="dxa"/>
            <w:tcBorders>
              <w:tl2br w:val="nil"/>
              <w:tr2bl w:val="nil"/>
            </w:tcBorders>
            <w:vAlign w:val="center"/>
          </w:tcPr>
          <w:p w14:paraId="26847019">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样方面积</w:t>
            </w:r>
          </w:p>
        </w:tc>
        <w:tc>
          <w:tcPr>
            <w:tcW w:w="1398" w:type="dxa"/>
            <w:tcBorders>
              <w:tl2br w:val="nil"/>
              <w:tr2bl w:val="nil"/>
            </w:tcBorders>
            <w:vAlign w:val="center"/>
          </w:tcPr>
          <w:p w14:paraId="02053E2A">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m×</w:t>
            </w: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m</w:t>
            </w:r>
          </w:p>
        </w:tc>
      </w:tr>
      <w:tr w14:paraId="0CBB1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657FEA34">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海拔</w:t>
            </w:r>
          </w:p>
        </w:tc>
        <w:tc>
          <w:tcPr>
            <w:tcW w:w="1529" w:type="dxa"/>
            <w:tcBorders>
              <w:tl2br w:val="nil"/>
              <w:tr2bl w:val="nil"/>
            </w:tcBorders>
            <w:vAlign w:val="center"/>
          </w:tcPr>
          <w:p w14:paraId="17DB946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1100m</w:t>
            </w:r>
          </w:p>
        </w:tc>
        <w:tc>
          <w:tcPr>
            <w:tcW w:w="1529" w:type="dxa"/>
            <w:tcBorders>
              <w:tl2br w:val="nil"/>
              <w:tr2bl w:val="nil"/>
            </w:tcBorders>
            <w:vAlign w:val="center"/>
          </w:tcPr>
          <w:p w14:paraId="6FC1E20D">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坡度</w:t>
            </w:r>
          </w:p>
        </w:tc>
        <w:tc>
          <w:tcPr>
            <w:tcW w:w="1848" w:type="dxa"/>
            <w:tcBorders>
              <w:tl2br w:val="nil"/>
              <w:tr2bl w:val="nil"/>
            </w:tcBorders>
            <w:vAlign w:val="center"/>
          </w:tcPr>
          <w:p w14:paraId="22859340">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5</w:t>
            </w:r>
          </w:p>
        </w:tc>
        <w:tc>
          <w:tcPr>
            <w:tcW w:w="1341" w:type="dxa"/>
            <w:tcBorders>
              <w:tl2br w:val="nil"/>
              <w:tr2bl w:val="nil"/>
            </w:tcBorders>
            <w:vAlign w:val="center"/>
          </w:tcPr>
          <w:p w14:paraId="401000DE">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坡向</w:t>
            </w:r>
          </w:p>
        </w:tc>
        <w:tc>
          <w:tcPr>
            <w:tcW w:w="1398" w:type="dxa"/>
            <w:tcBorders>
              <w:tl2br w:val="nil"/>
              <w:tr2bl w:val="nil"/>
            </w:tcBorders>
            <w:vAlign w:val="center"/>
          </w:tcPr>
          <w:p w14:paraId="44A765A3">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w:t>
            </w:r>
          </w:p>
        </w:tc>
      </w:tr>
      <w:tr w14:paraId="7CD47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tcBorders>
              <w:tl2br w:val="nil"/>
              <w:tr2bl w:val="nil"/>
            </w:tcBorders>
            <w:vAlign w:val="center"/>
          </w:tcPr>
          <w:p w14:paraId="194B256F">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土壤类型</w:t>
            </w:r>
          </w:p>
        </w:tc>
        <w:tc>
          <w:tcPr>
            <w:tcW w:w="1529" w:type="dxa"/>
            <w:tcBorders>
              <w:tl2br w:val="nil"/>
              <w:tr2bl w:val="nil"/>
            </w:tcBorders>
            <w:vAlign w:val="center"/>
          </w:tcPr>
          <w:p w14:paraId="634866AB">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棕钙土</w:t>
            </w:r>
          </w:p>
        </w:tc>
        <w:tc>
          <w:tcPr>
            <w:tcW w:w="1529" w:type="dxa"/>
            <w:tcBorders>
              <w:tl2br w:val="nil"/>
              <w:tr2bl w:val="nil"/>
            </w:tcBorders>
            <w:vAlign w:val="center"/>
          </w:tcPr>
          <w:p w14:paraId="40D64CD9">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地形/地貌</w:t>
            </w:r>
          </w:p>
        </w:tc>
        <w:tc>
          <w:tcPr>
            <w:tcW w:w="1848" w:type="dxa"/>
            <w:tcBorders>
              <w:tl2br w:val="nil"/>
              <w:tr2bl w:val="nil"/>
            </w:tcBorders>
            <w:vAlign w:val="center"/>
          </w:tcPr>
          <w:p w14:paraId="42B2F004">
            <w:pPr>
              <w:pStyle w:val="135"/>
              <w:widowControl w:val="0"/>
              <w:shd w:val="clear"/>
              <w:bidi w:val="0"/>
              <w:rPr>
                <w:rFonts w:hint="default" w:ascii="Times New Roman" w:hAnsi="Times New Roman" w:eastAsia="宋体" w:cs="Times New Roman"/>
                <w:color w:val="auto"/>
                <w:highlight w:val="none"/>
                <w:lang w:val="en-US" w:eastAsia="zh-CN"/>
              </w:rPr>
            </w:pPr>
            <w:r>
              <w:rPr>
                <w:rFonts w:hint="default" w:cs="Times New Roman"/>
                <w:color w:val="auto"/>
                <w:highlight w:val="none"/>
                <w:lang w:val="en-US" w:eastAsia="zh-CN"/>
              </w:rPr>
              <w:t>戈壁荒漠</w:t>
            </w:r>
          </w:p>
        </w:tc>
        <w:tc>
          <w:tcPr>
            <w:tcW w:w="1341" w:type="dxa"/>
            <w:tcBorders>
              <w:tl2br w:val="nil"/>
              <w:tr2bl w:val="nil"/>
            </w:tcBorders>
            <w:vAlign w:val="center"/>
          </w:tcPr>
          <w:p w14:paraId="4D819C5A">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植被种类</w:t>
            </w:r>
          </w:p>
        </w:tc>
        <w:tc>
          <w:tcPr>
            <w:tcW w:w="1398" w:type="dxa"/>
            <w:tcBorders>
              <w:tl2br w:val="nil"/>
              <w:tr2bl w:val="nil"/>
            </w:tcBorders>
            <w:vAlign w:val="center"/>
          </w:tcPr>
          <w:p w14:paraId="05289FCA">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4C516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11329B79">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植被总盖度</w:t>
            </w:r>
          </w:p>
        </w:tc>
        <w:tc>
          <w:tcPr>
            <w:tcW w:w="1529" w:type="dxa"/>
            <w:tcBorders>
              <w:tl2br w:val="nil"/>
              <w:tr2bl w:val="nil"/>
            </w:tcBorders>
            <w:vAlign w:val="center"/>
          </w:tcPr>
          <w:p w14:paraId="023E235A">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30</w:t>
            </w:r>
            <w:r>
              <w:rPr>
                <w:rFonts w:hint="default" w:ascii="Times New Roman" w:hAnsi="Times New Roman" w:cs="Times New Roman"/>
                <w:color w:val="auto"/>
                <w:highlight w:val="none"/>
                <w:lang w:val="en-US" w:eastAsia="zh-CN"/>
              </w:rPr>
              <w:t>%</w:t>
            </w:r>
          </w:p>
        </w:tc>
        <w:tc>
          <w:tcPr>
            <w:tcW w:w="6116" w:type="dxa"/>
            <w:gridSpan w:val="4"/>
            <w:tcBorders>
              <w:tl2br w:val="nil"/>
              <w:tr2bl w:val="nil"/>
            </w:tcBorders>
            <w:vAlign w:val="center"/>
          </w:tcPr>
          <w:p w14:paraId="6E6C353A">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坐标：E89°48'59.108"，N46°44'29.613"</w:t>
            </w:r>
          </w:p>
        </w:tc>
      </w:tr>
      <w:tr w14:paraId="4E613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68D050FB">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529" w:type="dxa"/>
            <w:tcBorders>
              <w:tl2br w:val="nil"/>
              <w:tr2bl w:val="nil"/>
            </w:tcBorders>
            <w:vAlign w:val="center"/>
          </w:tcPr>
          <w:p w14:paraId="4E9B7C8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植物名称</w:t>
            </w:r>
          </w:p>
        </w:tc>
        <w:tc>
          <w:tcPr>
            <w:tcW w:w="1529" w:type="dxa"/>
            <w:tcBorders>
              <w:tl2br w:val="nil"/>
              <w:tr2bl w:val="nil"/>
            </w:tcBorders>
            <w:vAlign w:val="center"/>
          </w:tcPr>
          <w:p w14:paraId="26E72BB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高度（cm）</w:t>
            </w:r>
          </w:p>
        </w:tc>
        <w:tc>
          <w:tcPr>
            <w:tcW w:w="3189" w:type="dxa"/>
            <w:gridSpan w:val="2"/>
            <w:tcBorders>
              <w:tl2br w:val="nil"/>
              <w:tr2bl w:val="nil"/>
            </w:tcBorders>
            <w:vAlign w:val="center"/>
          </w:tcPr>
          <w:p w14:paraId="6A4268EA">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盖度（%）</w:t>
            </w:r>
          </w:p>
        </w:tc>
        <w:tc>
          <w:tcPr>
            <w:tcW w:w="1398" w:type="dxa"/>
            <w:tcBorders>
              <w:tl2br w:val="nil"/>
              <w:tr2bl w:val="nil"/>
            </w:tcBorders>
            <w:vAlign w:val="center"/>
          </w:tcPr>
          <w:p w14:paraId="35E0B3CB">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多度</w:t>
            </w:r>
          </w:p>
        </w:tc>
      </w:tr>
      <w:tr w14:paraId="41A0F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5C823444">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1529" w:type="dxa"/>
            <w:tcBorders>
              <w:tl2br w:val="nil"/>
              <w:tr2bl w:val="nil"/>
            </w:tcBorders>
            <w:vAlign w:val="center"/>
          </w:tcPr>
          <w:p w14:paraId="6E477DB3">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白茎绢蒿</w:t>
            </w:r>
          </w:p>
        </w:tc>
        <w:tc>
          <w:tcPr>
            <w:tcW w:w="1529" w:type="dxa"/>
            <w:tcBorders>
              <w:tl2br w:val="nil"/>
              <w:tr2bl w:val="nil"/>
            </w:tcBorders>
            <w:vAlign w:val="center"/>
          </w:tcPr>
          <w:p w14:paraId="45BB71AF">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5</w:t>
            </w:r>
          </w:p>
        </w:tc>
        <w:tc>
          <w:tcPr>
            <w:tcW w:w="3189" w:type="dxa"/>
            <w:gridSpan w:val="2"/>
            <w:tcBorders>
              <w:tl2br w:val="nil"/>
              <w:tr2bl w:val="nil"/>
            </w:tcBorders>
            <w:vAlign w:val="center"/>
          </w:tcPr>
          <w:p w14:paraId="04C9FD20">
            <w:pPr>
              <w:pStyle w:val="135"/>
              <w:widowControl w:val="0"/>
              <w:shd w:val="clea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cs="Times New Roman"/>
                <w:color w:val="auto"/>
                <w:highlight w:val="none"/>
                <w:lang w:val="en-US" w:eastAsia="zh-CN"/>
              </w:rPr>
              <w:t>0</w:t>
            </w:r>
          </w:p>
        </w:tc>
        <w:tc>
          <w:tcPr>
            <w:tcW w:w="1398" w:type="dxa"/>
            <w:tcBorders>
              <w:tl2br w:val="nil"/>
              <w:tr2bl w:val="nil"/>
            </w:tcBorders>
            <w:vAlign w:val="center"/>
          </w:tcPr>
          <w:p w14:paraId="55FF95F3">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Cop</w:t>
            </w:r>
            <w:r>
              <w:rPr>
                <w:rFonts w:hint="eastAsia" w:cs="Times New Roman"/>
                <w:color w:val="auto"/>
                <w:highlight w:val="none"/>
                <w:lang w:val="en-US" w:eastAsia="zh-CN"/>
              </w:rPr>
              <w:t>1</w:t>
            </w:r>
          </w:p>
        </w:tc>
      </w:tr>
      <w:tr w14:paraId="0A140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0981956C">
            <w:pPr>
              <w:pStyle w:val="135"/>
              <w:widowControl w:val="0"/>
              <w:shd w:val="clea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1529" w:type="dxa"/>
            <w:tcBorders>
              <w:tl2br w:val="nil"/>
              <w:tr2bl w:val="nil"/>
            </w:tcBorders>
            <w:vAlign w:val="center"/>
          </w:tcPr>
          <w:p w14:paraId="364A60A8">
            <w:pPr>
              <w:pStyle w:val="135"/>
              <w:widowControl w:val="0"/>
              <w:shd w:val="clea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驼绒藜</w:t>
            </w:r>
          </w:p>
        </w:tc>
        <w:tc>
          <w:tcPr>
            <w:tcW w:w="1529" w:type="dxa"/>
            <w:tcBorders>
              <w:tl2br w:val="nil"/>
              <w:tr2bl w:val="nil"/>
            </w:tcBorders>
            <w:vAlign w:val="center"/>
          </w:tcPr>
          <w:p w14:paraId="511F7A02">
            <w:pPr>
              <w:pStyle w:val="135"/>
              <w:widowControl w:val="0"/>
              <w:shd w:val="clear"/>
              <w:bidi w:val="0"/>
              <w:rPr>
                <w:rFonts w:hint="default" w:cs="Times New Roman"/>
                <w:color w:val="auto"/>
                <w:highlight w:val="none"/>
                <w:lang w:val="en-US" w:eastAsia="zh-CN"/>
              </w:rPr>
            </w:pPr>
            <w:r>
              <w:rPr>
                <w:rFonts w:hint="eastAsia" w:cs="Times New Roman"/>
                <w:color w:val="auto"/>
                <w:highlight w:val="none"/>
                <w:lang w:val="en-US" w:eastAsia="zh-CN"/>
              </w:rPr>
              <w:t>5</w:t>
            </w:r>
          </w:p>
        </w:tc>
        <w:tc>
          <w:tcPr>
            <w:tcW w:w="3189" w:type="dxa"/>
            <w:gridSpan w:val="2"/>
            <w:tcBorders>
              <w:tl2br w:val="nil"/>
              <w:tr2bl w:val="nil"/>
            </w:tcBorders>
            <w:vAlign w:val="center"/>
          </w:tcPr>
          <w:p w14:paraId="5096C8C0">
            <w:pPr>
              <w:pStyle w:val="135"/>
              <w:widowControl w:val="0"/>
              <w:shd w:val="clear"/>
              <w:bidi w:val="0"/>
              <w:rPr>
                <w:rFonts w:hint="default" w:cs="Times New Roman"/>
                <w:color w:val="auto"/>
                <w:highlight w:val="none"/>
                <w:lang w:val="en-US" w:eastAsia="zh-CN"/>
              </w:rPr>
            </w:pPr>
            <w:r>
              <w:rPr>
                <w:rFonts w:hint="eastAsia" w:cs="Times New Roman"/>
                <w:color w:val="auto"/>
                <w:highlight w:val="none"/>
                <w:lang w:val="en-US" w:eastAsia="zh-CN"/>
              </w:rPr>
              <w:t>10</w:t>
            </w:r>
          </w:p>
        </w:tc>
        <w:tc>
          <w:tcPr>
            <w:tcW w:w="1398" w:type="dxa"/>
            <w:tcBorders>
              <w:tl2br w:val="nil"/>
              <w:tr2bl w:val="nil"/>
            </w:tcBorders>
            <w:vAlign w:val="center"/>
          </w:tcPr>
          <w:p w14:paraId="03CEEF5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Cop</w:t>
            </w:r>
            <w:r>
              <w:rPr>
                <w:rFonts w:hint="eastAsia" w:cs="Times New Roman"/>
                <w:color w:val="auto"/>
                <w:highlight w:val="none"/>
                <w:lang w:val="en-US" w:eastAsia="zh-CN"/>
              </w:rPr>
              <w:t>1</w:t>
            </w:r>
          </w:p>
        </w:tc>
      </w:tr>
      <w:tr w14:paraId="12FAC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gridSpan w:val="6"/>
            <w:tcBorders>
              <w:tl2br w:val="nil"/>
              <w:tr2bl w:val="nil"/>
            </w:tcBorders>
            <w:vAlign w:val="center"/>
          </w:tcPr>
          <w:p w14:paraId="548EF44D">
            <w:pPr>
              <w:pStyle w:val="135"/>
              <w:keepNext w:val="0"/>
              <w:keepLines w:val="0"/>
              <w:pageBreakBefore w:val="0"/>
              <w:widowControl/>
              <w:shd w:val="clear"/>
              <w:kinsoku/>
              <w:wordWrap/>
              <w:overflowPunct/>
              <w:topLinePunct w:val="0"/>
              <w:autoSpaceDE/>
              <w:autoSpaceDN/>
              <w:bidi w:val="0"/>
              <w:adjustRightInd/>
              <w:snapToGrid/>
              <w:spacing w:line="240" w:lineRule="atLeas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3471545" cy="3579495"/>
                  <wp:effectExtent l="0" t="0" r="14605" b="1905"/>
                  <wp:docPr id="109" name="图片 109" descr="IMG_20260404_124216298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0260404_124216298_src"/>
                          <pic:cNvPicPr>
                            <a:picLocks noChangeAspect="1"/>
                          </pic:cNvPicPr>
                        </pic:nvPicPr>
                        <pic:blipFill>
                          <a:blip r:embed="rId49"/>
                          <a:srcRect t="2557" b="12088"/>
                          <a:stretch>
                            <a:fillRect/>
                          </a:stretch>
                        </pic:blipFill>
                        <pic:spPr>
                          <a:xfrm>
                            <a:off x="0" y="0"/>
                            <a:ext cx="3471545" cy="3579495"/>
                          </a:xfrm>
                          <a:prstGeom prst="rect">
                            <a:avLst/>
                          </a:prstGeom>
                        </pic:spPr>
                      </pic:pic>
                    </a:graphicData>
                  </a:graphic>
                </wp:inline>
              </w:drawing>
            </w:r>
          </w:p>
        </w:tc>
      </w:tr>
    </w:tbl>
    <w:p w14:paraId="129F886A">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14:paraId="3B5BD8B2">
      <w:pPr>
        <w:pStyle w:val="137"/>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表4.4.</w:t>
      </w:r>
      <w:r>
        <w:rPr>
          <w:rFonts w:hint="default"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15</w:t>
      </w:r>
      <w:r>
        <w:rPr>
          <w:rFonts w:hint="default" w:ascii="Times New Roman" w:hAnsi="Times New Roman" w:cs="Times New Roman"/>
          <w:color w:val="auto"/>
          <w:highlight w:val="none"/>
          <w:lang w:val="en-US" w:eastAsia="zh-CN"/>
        </w:rPr>
        <w:t>b    群落样方编号2</w:t>
      </w:r>
    </w:p>
    <w:tbl>
      <w:tblPr>
        <w:tblStyle w:val="34"/>
        <w:tblW w:w="50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529"/>
        <w:gridCol w:w="1529"/>
        <w:gridCol w:w="1529"/>
        <w:gridCol w:w="1530"/>
        <w:gridCol w:w="1530"/>
      </w:tblGrid>
      <w:tr w14:paraId="2ECCF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1B2EDE83">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调查日期</w:t>
            </w:r>
          </w:p>
        </w:tc>
        <w:tc>
          <w:tcPr>
            <w:tcW w:w="1529" w:type="dxa"/>
            <w:tcBorders>
              <w:tl2br w:val="nil"/>
              <w:tr2bl w:val="nil"/>
            </w:tcBorders>
            <w:vAlign w:val="center"/>
          </w:tcPr>
          <w:p w14:paraId="308D517A">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w:t>
            </w:r>
            <w:r>
              <w:rPr>
                <w:rFonts w:hint="default" w:cs="Times New Roman"/>
                <w:color w:val="auto"/>
                <w:highlight w:val="none"/>
                <w:lang w:val="en-US" w:eastAsia="zh-CN"/>
              </w:rPr>
              <w:t>6</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4</w:t>
            </w:r>
          </w:p>
        </w:tc>
        <w:tc>
          <w:tcPr>
            <w:tcW w:w="1529" w:type="dxa"/>
            <w:tcBorders>
              <w:tl2br w:val="nil"/>
              <w:tr2bl w:val="nil"/>
            </w:tcBorders>
            <w:vAlign w:val="center"/>
          </w:tcPr>
          <w:p w14:paraId="1A528161">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调查地点</w:t>
            </w:r>
          </w:p>
        </w:tc>
        <w:tc>
          <w:tcPr>
            <w:tcW w:w="1529" w:type="dxa"/>
            <w:tcBorders>
              <w:tl2br w:val="nil"/>
              <w:tr2bl w:val="nil"/>
            </w:tcBorders>
            <w:vAlign w:val="center"/>
          </w:tcPr>
          <w:p w14:paraId="566E37FF">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选矿厂东侧</w:t>
            </w:r>
          </w:p>
        </w:tc>
        <w:tc>
          <w:tcPr>
            <w:tcW w:w="1530" w:type="dxa"/>
            <w:tcBorders>
              <w:tl2br w:val="nil"/>
              <w:tr2bl w:val="nil"/>
            </w:tcBorders>
            <w:vAlign w:val="center"/>
          </w:tcPr>
          <w:p w14:paraId="336F49DE">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样方面积</w:t>
            </w:r>
          </w:p>
        </w:tc>
        <w:tc>
          <w:tcPr>
            <w:tcW w:w="1530" w:type="dxa"/>
            <w:tcBorders>
              <w:tl2br w:val="nil"/>
              <w:tr2bl w:val="nil"/>
            </w:tcBorders>
            <w:vAlign w:val="center"/>
          </w:tcPr>
          <w:p w14:paraId="5D432458">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m×</w:t>
            </w:r>
            <w:r>
              <w:rPr>
                <w:rFonts w:hint="default" w:cs="Times New Roman"/>
                <w:color w:val="auto"/>
                <w:highlight w:val="none"/>
                <w:lang w:val="en-US" w:eastAsia="zh-CN"/>
              </w:rPr>
              <w:t>1</w:t>
            </w:r>
            <w:r>
              <w:rPr>
                <w:rFonts w:hint="default" w:ascii="Times New Roman" w:hAnsi="Times New Roman" w:cs="Times New Roman"/>
                <w:color w:val="auto"/>
                <w:highlight w:val="none"/>
                <w:lang w:val="en-US" w:eastAsia="zh-CN"/>
              </w:rPr>
              <w:t>m</w:t>
            </w:r>
          </w:p>
        </w:tc>
      </w:tr>
      <w:tr w14:paraId="0BE22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tcBorders>
              <w:tl2br w:val="nil"/>
              <w:tr2bl w:val="nil"/>
            </w:tcBorders>
            <w:vAlign w:val="center"/>
          </w:tcPr>
          <w:p w14:paraId="2A2831A4">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海拔</w:t>
            </w:r>
          </w:p>
        </w:tc>
        <w:tc>
          <w:tcPr>
            <w:tcW w:w="1529" w:type="dxa"/>
            <w:tcBorders>
              <w:tl2br w:val="nil"/>
              <w:tr2bl w:val="nil"/>
            </w:tcBorders>
            <w:vAlign w:val="center"/>
          </w:tcPr>
          <w:p w14:paraId="13D5E6B1">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1107</w:t>
            </w:r>
          </w:p>
        </w:tc>
        <w:tc>
          <w:tcPr>
            <w:tcW w:w="1529" w:type="dxa"/>
            <w:tcBorders>
              <w:tl2br w:val="nil"/>
              <w:tr2bl w:val="nil"/>
            </w:tcBorders>
            <w:vAlign w:val="center"/>
          </w:tcPr>
          <w:p w14:paraId="7D4B40B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坡度</w:t>
            </w:r>
          </w:p>
        </w:tc>
        <w:tc>
          <w:tcPr>
            <w:tcW w:w="1529" w:type="dxa"/>
            <w:tcBorders>
              <w:tl2br w:val="nil"/>
              <w:tr2bl w:val="nil"/>
            </w:tcBorders>
            <w:vAlign w:val="center"/>
          </w:tcPr>
          <w:p w14:paraId="651ED780">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4</w:t>
            </w:r>
          </w:p>
        </w:tc>
        <w:tc>
          <w:tcPr>
            <w:tcW w:w="1530" w:type="dxa"/>
            <w:tcBorders>
              <w:tl2br w:val="nil"/>
              <w:tr2bl w:val="nil"/>
            </w:tcBorders>
            <w:vAlign w:val="center"/>
          </w:tcPr>
          <w:p w14:paraId="46F1CCE4">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坡向</w:t>
            </w:r>
          </w:p>
        </w:tc>
        <w:tc>
          <w:tcPr>
            <w:tcW w:w="1530" w:type="dxa"/>
            <w:tcBorders>
              <w:tl2br w:val="nil"/>
              <w:tr2bl w:val="nil"/>
            </w:tcBorders>
            <w:vAlign w:val="center"/>
          </w:tcPr>
          <w:p w14:paraId="5E75F93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w:t>
            </w:r>
          </w:p>
        </w:tc>
      </w:tr>
      <w:tr w14:paraId="11932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tcBorders>
              <w:tl2br w:val="nil"/>
              <w:tr2bl w:val="nil"/>
            </w:tcBorders>
            <w:vAlign w:val="center"/>
          </w:tcPr>
          <w:p w14:paraId="32F04A59">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土壤类型</w:t>
            </w:r>
          </w:p>
        </w:tc>
        <w:tc>
          <w:tcPr>
            <w:tcW w:w="1529" w:type="dxa"/>
            <w:tcBorders>
              <w:tl2br w:val="nil"/>
              <w:tr2bl w:val="nil"/>
            </w:tcBorders>
            <w:vAlign w:val="center"/>
          </w:tcPr>
          <w:p w14:paraId="14EECC18">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棕钙土</w:t>
            </w:r>
          </w:p>
        </w:tc>
        <w:tc>
          <w:tcPr>
            <w:tcW w:w="1529" w:type="dxa"/>
            <w:tcBorders>
              <w:tl2br w:val="nil"/>
              <w:tr2bl w:val="nil"/>
            </w:tcBorders>
            <w:vAlign w:val="center"/>
          </w:tcPr>
          <w:p w14:paraId="3641A94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地形/地貌</w:t>
            </w:r>
          </w:p>
        </w:tc>
        <w:tc>
          <w:tcPr>
            <w:tcW w:w="1529" w:type="dxa"/>
            <w:tcBorders>
              <w:tl2br w:val="nil"/>
              <w:tr2bl w:val="nil"/>
            </w:tcBorders>
            <w:vAlign w:val="center"/>
          </w:tcPr>
          <w:p w14:paraId="5AB6E506">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戈壁荒漠</w:t>
            </w:r>
          </w:p>
        </w:tc>
        <w:tc>
          <w:tcPr>
            <w:tcW w:w="1530" w:type="dxa"/>
            <w:tcBorders>
              <w:tl2br w:val="nil"/>
              <w:tr2bl w:val="nil"/>
            </w:tcBorders>
            <w:vAlign w:val="center"/>
          </w:tcPr>
          <w:p w14:paraId="6ADCC075">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植被种类</w:t>
            </w:r>
          </w:p>
        </w:tc>
        <w:tc>
          <w:tcPr>
            <w:tcW w:w="1530" w:type="dxa"/>
            <w:tcBorders>
              <w:tl2br w:val="nil"/>
              <w:tr2bl w:val="nil"/>
            </w:tcBorders>
            <w:vAlign w:val="center"/>
          </w:tcPr>
          <w:p w14:paraId="6E4529E5">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40E63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46A7B350">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植被总盖度</w:t>
            </w:r>
          </w:p>
        </w:tc>
        <w:tc>
          <w:tcPr>
            <w:tcW w:w="1529" w:type="dxa"/>
            <w:tcBorders>
              <w:tl2br w:val="nil"/>
              <w:tr2bl w:val="nil"/>
            </w:tcBorders>
            <w:vAlign w:val="center"/>
          </w:tcPr>
          <w:p w14:paraId="5AB070A6">
            <w:pPr>
              <w:pStyle w:val="135"/>
              <w:widowControl w:val="0"/>
              <w:shd w:val="clear"/>
              <w:bidi w:val="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30</w:t>
            </w:r>
            <w:r>
              <w:rPr>
                <w:rFonts w:hint="default" w:ascii="Times New Roman" w:hAnsi="Times New Roman" w:cs="Times New Roman"/>
                <w:color w:val="auto"/>
                <w:highlight w:val="none"/>
                <w:lang w:val="en-US" w:eastAsia="zh-CN"/>
              </w:rPr>
              <w:t>%</w:t>
            </w:r>
          </w:p>
        </w:tc>
        <w:tc>
          <w:tcPr>
            <w:tcW w:w="6118" w:type="dxa"/>
            <w:gridSpan w:val="4"/>
            <w:tcBorders>
              <w:tl2br w:val="nil"/>
              <w:tr2bl w:val="nil"/>
            </w:tcBorders>
            <w:vAlign w:val="center"/>
          </w:tcPr>
          <w:p w14:paraId="71A86325">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坐标：E</w:t>
            </w:r>
            <w:r>
              <w:rPr>
                <w:rFonts w:hint="default" w:cs="Times New Roman"/>
                <w:color w:val="auto"/>
                <w:highlight w:val="none"/>
                <w:lang w:val="en-US" w:eastAsia="zh-CN"/>
              </w:rPr>
              <w:t>89°49'12.510"</w:t>
            </w:r>
            <w:r>
              <w:rPr>
                <w:rFonts w:hint="default" w:ascii="Times New Roman" w:hAnsi="Times New Roman" w:cs="Times New Roman"/>
                <w:color w:val="auto"/>
                <w:highlight w:val="none"/>
                <w:lang w:val="en-US" w:eastAsia="zh-CN"/>
              </w:rPr>
              <w:t>，N</w:t>
            </w:r>
            <w:r>
              <w:rPr>
                <w:rFonts w:hint="default" w:cs="Times New Roman"/>
                <w:color w:val="auto"/>
                <w:highlight w:val="none"/>
                <w:lang w:val="en-US" w:eastAsia="zh-CN"/>
              </w:rPr>
              <w:t>46°44'40.755"</w:t>
            </w:r>
          </w:p>
        </w:tc>
      </w:tr>
      <w:tr w14:paraId="5258E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46BB34F1">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529" w:type="dxa"/>
            <w:tcBorders>
              <w:tl2br w:val="nil"/>
              <w:tr2bl w:val="nil"/>
            </w:tcBorders>
            <w:vAlign w:val="center"/>
          </w:tcPr>
          <w:p w14:paraId="6CB4D32B">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植物名称</w:t>
            </w:r>
          </w:p>
        </w:tc>
        <w:tc>
          <w:tcPr>
            <w:tcW w:w="1529" w:type="dxa"/>
            <w:tcBorders>
              <w:tl2br w:val="nil"/>
              <w:tr2bl w:val="nil"/>
            </w:tcBorders>
            <w:vAlign w:val="center"/>
          </w:tcPr>
          <w:p w14:paraId="7E580CBD">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高度（cm）</w:t>
            </w:r>
          </w:p>
        </w:tc>
        <w:tc>
          <w:tcPr>
            <w:tcW w:w="3059" w:type="dxa"/>
            <w:gridSpan w:val="2"/>
            <w:tcBorders>
              <w:tl2br w:val="nil"/>
              <w:tr2bl w:val="nil"/>
            </w:tcBorders>
            <w:vAlign w:val="center"/>
          </w:tcPr>
          <w:p w14:paraId="0DF7DD7D">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盖度（%）</w:t>
            </w:r>
          </w:p>
        </w:tc>
        <w:tc>
          <w:tcPr>
            <w:tcW w:w="1530" w:type="dxa"/>
            <w:tcBorders>
              <w:tl2br w:val="nil"/>
              <w:tr2bl w:val="nil"/>
            </w:tcBorders>
            <w:vAlign w:val="center"/>
          </w:tcPr>
          <w:p w14:paraId="730FA9AB">
            <w:pPr>
              <w:pStyle w:val="135"/>
              <w:widowControl w:val="0"/>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多度</w:t>
            </w:r>
          </w:p>
        </w:tc>
      </w:tr>
      <w:tr w14:paraId="098E3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29" w:type="dxa"/>
            <w:tcBorders>
              <w:tl2br w:val="nil"/>
              <w:tr2bl w:val="nil"/>
            </w:tcBorders>
            <w:vAlign w:val="center"/>
          </w:tcPr>
          <w:p w14:paraId="381ADE08">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1529" w:type="dxa"/>
            <w:tcBorders>
              <w:tl2br w:val="nil"/>
              <w:tr2bl w:val="nil"/>
            </w:tcBorders>
            <w:vAlign w:val="center"/>
          </w:tcPr>
          <w:p w14:paraId="41020A5E">
            <w:pPr>
              <w:pStyle w:val="135"/>
              <w:widowControl w:val="0"/>
              <w:shd w:val="clear"/>
              <w:bidi w:val="0"/>
              <w:ind w:firstLine="0" w:firstLineChars="0"/>
              <w:rPr>
                <w:rFonts w:hint="default" w:cs="Times New Roman"/>
                <w:color w:val="auto"/>
                <w:highlight w:val="none"/>
                <w:lang w:val="en-US" w:eastAsia="zh-CN"/>
              </w:rPr>
            </w:pPr>
            <w:r>
              <w:rPr>
                <w:rFonts w:hint="default" w:cs="Times New Roman"/>
                <w:color w:val="auto"/>
                <w:highlight w:val="none"/>
                <w:lang w:val="en-US" w:eastAsia="zh-CN"/>
              </w:rPr>
              <w:t>白茎绢蒿</w:t>
            </w:r>
          </w:p>
        </w:tc>
        <w:tc>
          <w:tcPr>
            <w:tcW w:w="1529" w:type="dxa"/>
            <w:tcBorders>
              <w:tl2br w:val="nil"/>
              <w:tr2bl w:val="nil"/>
            </w:tcBorders>
            <w:vAlign w:val="center"/>
          </w:tcPr>
          <w:p w14:paraId="43D96413">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5</w:t>
            </w:r>
          </w:p>
        </w:tc>
        <w:tc>
          <w:tcPr>
            <w:tcW w:w="3059" w:type="dxa"/>
            <w:gridSpan w:val="2"/>
            <w:tcBorders>
              <w:tl2br w:val="nil"/>
              <w:tr2bl w:val="nil"/>
            </w:tcBorders>
            <w:vAlign w:val="center"/>
          </w:tcPr>
          <w:p w14:paraId="51D0CC3C">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default" w:cs="Times New Roman"/>
                <w:color w:val="auto"/>
                <w:highlight w:val="none"/>
                <w:lang w:val="en-US" w:eastAsia="zh-CN"/>
              </w:rPr>
              <w:t>0</w:t>
            </w:r>
          </w:p>
        </w:tc>
        <w:tc>
          <w:tcPr>
            <w:tcW w:w="1530" w:type="dxa"/>
            <w:tcBorders>
              <w:tl2br w:val="nil"/>
              <w:tr2bl w:val="nil"/>
            </w:tcBorders>
            <w:vAlign w:val="center"/>
          </w:tcPr>
          <w:p w14:paraId="666F11FF">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Cop2</w:t>
            </w:r>
          </w:p>
        </w:tc>
      </w:tr>
      <w:tr w14:paraId="4EA4A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29" w:type="dxa"/>
            <w:tcBorders>
              <w:tl2br w:val="nil"/>
              <w:tr2bl w:val="nil"/>
            </w:tcBorders>
            <w:vAlign w:val="center"/>
          </w:tcPr>
          <w:p w14:paraId="7F1BA26C">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1529" w:type="dxa"/>
            <w:tcBorders>
              <w:tl2br w:val="nil"/>
              <w:tr2bl w:val="nil"/>
            </w:tcBorders>
            <w:vAlign w:val="center"/>
          </w:tcPr>
          <w:p w14:paraId="3B4DD828">
            <w:pPr>
              <w:pStyle w:val="135"/>
              <w:widowControl w:val="0"/>
              <w:shd w:val="clear"/>
              <w:bidi w:val="0"/>
              <w:ind w:firstLine="0" w:firstLineChars="0"/>
              <w:rPr>
                <w:rFonts w:hint="default" w:cs="Times New Roman"/>
                <w:color w:val="auto"/>
                <w:highlight w:val="none"/>
                <w:lang w:val="en-US" w:eastAsia="zh-CN"/>
              </w:rPr>
            </w:pPr>
            <w:r>
              <w:rPr>
                <w:rFonts w:hint="default" w:cs="Times New Roman"/>
                <w:color w:val="auto"/>
                <w:highlight w:val="none"/>
                <w:lang w:val="en-US" w:eastAsia="zh-CN"/>
              </w:rPr>
              <w:t>盐生假木贼</w:t>
            </w:r>
          </w:p>
        </w:tc>
        <w:tc>
          <w:tcPr>
            <w:tcW w:w="1529" w:type="dxa"/>
            <w:tcBorders>
              <w:tl2br w:val="nil"/>
              <w:tr2bl w:val="nil"/>
            </w:tcBorders>
            <w:vAlign w:val="center"/>
          </w:tcPr>
          <w:p w14:paraId="5A0E77ED">
            <w:pPr>
              <w:pStyle w:val="135"/>
              <w:widowControl w:val="0"/>
              <w:shd w:val="clear"/>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5</w:t>
            </w:r>
          </w:p>
        </w:tc>
        <w:tc>
          <w:tcPr>
            <w:tcW w:w="3059" w:type="dxa"/>
            <w:gridSpan w:val="2"/>
            <w:tcBorders>
              <w:tl2br w:val="nil"/>
              <w:tr2bl w:val="nil"/>
            </w:tcBorders>
            <w:vAlign w:val="center"/>
          </w:tcPr>
          <w:p w14:paraId="0EF89F08">
            <w:pPr>
              <w:pStyle w:val="135"/>
              <w:widowControl w:val="0"/>
              <w:shd w:val="clear"/>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10</w:t>
            </w:r>
          </w:p>
        </w:tc>
        <w:tc>
          <w:tcPr>
            <w:tcW w:w="1530" w:type="dxa"/>
            <w:tcBorders>
              <w:tl2br w:val="nil"/>
              <w:tr2bl w:val="nil"/>
            </w:tcBorders>
            <w:vAlign w:val="center"/>
          </w:tcPr>
          <w:p w14:paraId="56043420">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Cop</w:t>
            </w:r>
            <w:r>
              <w:rPr>
                <w:rFonts w:hint="eastAsia" w:cs="Times New Roman"/>
                <w:color w:val="auto"/>
                <w:highlight w:val="none"/>
                <w:lang w:val="en-US" w:eastAsia="zh-CN"/>
              </w:rPr>
              <w:t>1</w:t>
            </w:r>
          </w:p>
        </w:tc>
      </w:tr>
      <w:tr w14:paraId="78B5C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29" w:type="dxa"/>
            <w:tcBorders>
              <w:tl2br w:val="nil"/>
              <w:tr2bl w:val="nil"/>
            </w:tcBorders>
            <w:vAlign w:val="center"/>
          </w:tcPr>
          <w:p w14:paraId="638328DC">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p>
        </w:tc>
        <w:tc>
          <w:tcPr>
            <w:tcW w:w="1529" w:type="dxa"/>
            <w:tcBorders>
              <w:tl2br w:val="nil"/>
              <w:tr2bl w:val="nil"/>
            </w:tcBorders>
            <w:shd w:val="clear" w:color="auto" w:fill="auto"/>
            <w:vAlign w:val="center"/>
          </w:tcPr>
          <w:p w14:paraId="59E9E160">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eastAsia" w:cs="Times New Roman"/>
                <w:color w:val="auto"/>
                <w:highlight w:val="none"/>
                <w:lang w:val="en-US" w:eastAsia="zh-CN"/>
              </w:rPr>
              <w:t>驼绒藜</w:t>
            </w:r>
          </w:p>
        </w:tc>
        <w:tc>
          <w:tcPr>
            <w:tcW w:w="1529" w:type="dxa"/>
            <w:tcBorders>
              <w:tl2br w:val="nil"/>
              <w:tr2bl w:val="nil"/>
            </w:tcBorders>
            <w:shd w:val="clear" w:color="auto" w:fill="auto"/>
            <w:vAlign w:val="center"/>
          </w:tcPr>
          <w:p w14:paraId="0A225736">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eastAsia" w:cs="Times New Roman"/>
                <w:color w:val="auto"/>
                <w:highlight w:val="none"/>
                <w:lang w:val="en-US" w:eastAsia="zh-CN"/>
              </w:rPr>
              <w:t>5</w:t>
            </w:r>
          </w:p>
        </w:tc>
        <w:tc>
          <w:tcPr>
            <w:tcW w:w="3059" w:type="dxa"/>
            <w:gridSpan w:val="2"/>
            <w:tcBorders>
              <w:tl2br w:val="nil"/>
              <w:tr2bl w:val="nil"/>
            </w:tcBorders>
            <w:shd w:val="clear" w:color="auto" w:fill="auto"/>
            <w:vAlign w:val="center"/>
          </w:tcPr>
          <w:p w14:paraId="0857C114">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eastAsia" w:cs="Times New Roman"/>
                <w:color w:val="auto"/>
                <w:highlight w:val="none"/>
                <w:lang w:val="en-US" w:eastAsia="zh-CN"/>
              </w:rPr>
              <w:t>10</w:t>
            </w:r>
          </w:p>
        </w:tc>
        <w:tc>
          <w:tcPr>
            <w:tcW w:w="1530" w:type="dxa"/>
            <w:tcBorders>
              <w:tl2br w:val="nil"/>
              <w:tr2bl w:val="nil"/>
            </w:tcBorders>
            <w:shd w:val="clear" w:color="auto" w:fill="auto"/>
            <w:vAlign w:val="center"/>
          </w:tcPr>
          <w:p w14:paraId="3CB97BA5">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Cop</w:t>
            </w:r>
            <w:r>
              <w:rPr>
                <w:rFonts w:hint="eastAsia" w:cs="Times New Roman"/>
                <w:color w:val="auto"/>
                <w:highlight w:val="none"/>
                <w:lang w:val="en-US" w:eastAsia="zh-CN"/>
              </w:rPr>
              <w:t>1</w:t>
            </w:r>
          </w:p>
        </w:tc>
      </w:tr>
      <w:tr w14:paraId="505DA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6" w:type="dxa"/>
            <w:gridSpan w:val="6"/>
            <w:tcBorders>
              <w:tl2br w:val="nil"/>
              <w:tr2bl w:val="nil"/>
            </w:tcBorders>
            <w:vAlign w:val="center"/>
          </w:tcPr>
          <w:p w14:paraId="6218D9D2">
            <w:pPr>
              <w:pStyle w:val="135"/>
              <w:keepNext w:val="0"/>
              <w:keepLines w:val="0"/>
              <w:pageBreakBefore w:val="0"/>
              <w:widowControl/>
              <w:shd w:val="clear"/>
              <w:kinsoku/>
              <w:wordWrap/>
              <w:overflowPunct/>
              <w:topLinePunct w:val="0"/>
              <w:autoSpaceDE/>
              <w:autoSpaceDN/>
              <w:bidi w:val="0"/>
              <w:adjustRightInd/>
              <w:snapToGrid/>
              <w:spacing w:line="240" w:lineRule="atLeas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3843020" cy="3911600"/>
                  <wp:effectExtent l="0" t="0" r="5080" b="12700"/>
                  <wp:docPr id="110" name="图片 110" descr="IMG_20260404_124443140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0260404_124443140_src"/>
                          <pic:cNvPicPr>
                            <a:picLocks noChangeAspect="1"/>
                          </pic:cNvPicPr>
                        </pic:nvPicPr>
                        <pic:blipFill>
                          <a:blip r:embed="rId50"/>
                          <a:srcRect t="8593" b="15064"/>
                          <a:stretch>
                            <a:fillRect/>
                          </a:stretch>
                        </pic:blipFill>
                        <pic:spPr>
                          <a:xfrm>
                            <a:off x="0" y="0"/>
                            <a:ext cx="3843020" cy="3911600"/>
                          </a:xfrm>
                          <a:prstGeom prst="rect">
                            <a:avLst/>
                          </a:prstGeom>
                        </pic:spPr>
                      </pic:pic>
                    </a:graphicData>
                  </a:graphic>
                </wp:inline>
              </w:drawing>
            </w:r>
          </w:p>
        </w:tc>
      </w:tr>
    </w:tbl>
    <w:p w14:paraId="142AD18F">
      <w:pPr>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br w:type="page"/>
      </w:r>
    </w:p>
    <w:p w14:paraId="474D4AC0">
      <w:pPr>
        <w:pStyle w:val="137"/>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表4.4.</w:t>
      </w:r>
      <w:r>
        <w:rPr>
          <w:rFonts w:hint="default"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15</w:t>
      </w:r>
      <w:r>
        <w:rPr>
          <w:rFonts w:hint="default" w:ascii="Times New Roman" w:hAnsi="Times New Roman" w:cs="Times New Roman"/>
          <w:color w:val="auto"/>
          <w:highlight w:val="none"/>
          <w:lang w:val="en-US" w:eastAsia="zh-CN"/>
        </w:rPr>
        <w:t>c    群落样方编号3</w:t>
      </w:r>
    </w:p>
    <w:tbl>
      <w:tblPr>
        <w:tblStyle w:val="34"/>
        <w:tblW w:w="50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529"/>
        <w:gridCol w:w="1529"/>
        <w:gridCol w:w="1529"/>
        <w:gridCol w:w="1530"/>
        <w:gridCol w:w="1530"/>
      </w:tblGrid>
      <w:tr w14:paraId="2934F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5453CB06">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调查日期</w:t>
            </w:r>
          </w:p>
        </w:tc>
        <w:tc>
          <w:tcPr>
            <w:tcW w:w="1529" w:type="dxa"/>
            <w:tcBorders>
              <w:tl2br w:val="nil"/>
              <w:tr2bl w:val="nil"/>
            </w:tcBorders>
            <w:vAlign w:val="center"/>
          </w:tcPr>
          <w:p w14:paraId="4F06CAA4">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202</w:t>
            </w:r>
            <w:r>
              <w:rPr>
                <w:rFonts w:hint="default" w:cs="Times New Roman"/>
                <w:color w:val="auto"/>
                <w:highlight w:val="none"/>
                <w:lang w:val="en-US" w:eastAsia="zh-CN"/>
              </w:rPr>
              <w:t>6</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default" w:cs="Times New Roman"/>
                <w:color w:val="auto"/>
                <w:highlight w:val="none"/>
                <w:lang w:val="en-US" w:eastAsia="zh-CN"/>
              </w:rPr>
              <w:t>4</w:t>
            </w:r>
          </w:p>
        </w:tc>
        <w:tc>
          <w:tcPr>
            <w:tcW w:w="1529" w:type="dxa"/>
            <w:tcBorders>
              <w:tl2br w:val="nil"/>
              <w:tr2bl w:val="nil"/>
            </w:tcBorders>
            <w:vAlign w:val="center"/>
          </w:tcPr>
          <w:p w14:paraId="76C350D4">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调查地点</w:t>
            </w:r>
          </w:p>
        </w:tc>
        <w:tc>
          <w:tcPr>
            <w:tcW w:w="1529" w:type="dxa"/>
            <w:tcBorders>
              <w:tl2br w:val="nil"/>
              <w:tr2bl w:val="nil"/>
            </w:tcBorders>
            <w:vAlign w:val="center"/>
          </w:tcPr>
          <w:p w14:paraId="025B3404">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尾矿库北侧</w:t>
            </w:r>
          </w:p>
        </w:tc>
        <w:tc>
          <w:tcPr>
            <w:tcW w:w="1530" w:type="dxa"/>
            <w:tcBorders>
              <w:tl2br w:val="nil"/>
              <w:tr2bl w:val="nil"/>
            </w:tcBorders>
            <w:vAlign w:val="center"/>
          </w:tcPr>
          <w:p w14:paraId="481BB780">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样方面积</w:t>
            </w:r>
          </w:p>
        </w:tc>
        <w:tc>
          <w:tcPr>
            <w:tcW w:w="1530" w:type="dxa"/>
            <w:tcBorders>
              <w:tl2br w:val="nil"/>
              <w:tr2bl w:val="nil"/>
            </w:tcBorders>
            <w:vAlign w:val="center"/>
          </w:tcPr>
          <w:p w14:paraId="132CE9DB">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1m×1m</w:t>
            </w:r>
          </w:p>
        </w:tc>
      </w:tr>
      <w:tr w14:paraId="68F75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07B576B6">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cs="Times New Roman"/>
                <w:color w:val="auto"/>
                <w:highlight w:val="none"/>
                <w:lang w:val="en-US" w:eastAsia="zh-CN"/>
              </w:rPr>
              <w:t>海拔</w:t>
            </w:r>
          </w:p>
        </w:tc>
        <w:tc>
          <w:tcPr>
            <w:tcW w:w="1529" w:type="dxa"/>
            <w:tcBorders>
              <w:tl2br w:val="nil"/>
              <w:tr2bl w:val="nil"/>
            </w:tcBorders>
            <w:vAlign w:val="center"/>
          </w:tcPr>
          <w:p w14:paraId="65A9CB60">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highlight w:val="none"/>
                <w:lang w:val="en-US" w:eastAsia="zh-CN"/>
              </w:rPr>
              <w:t>1086</w:t>
            </w:r>
          </w:p>
        </w:tc>
        <w:tc>
          <w:tcPr>
            <w:tcW w:w="1529" w:type="dxa"/>
            <w:tcBorders>
              <w:tl2br w:val="nil"/>
              <w:tr2bl w:val="nil"/>
            </w:tcBorders>
            <w:vAlign w:val="center"/>
          </w:tcPr>
          <w:p w14:paraId="233249D5">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坡度</w:t>
            </w:r>
          </w:p>
        </w:tc>
        <w:tc>
          <w:tcPr>
            <w:tcW w:w="1529" w:type="dxa"/>
            <w:tcBorders>
              <w:tl2br w:val="nil"/>
              <w:tr2bl w:val="nil"/>
            </w:tcBorders>
            <w:vAlign w:val="center"/>
          </w:tcPr>
          <w:p w14:paraId="21A263E1">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5</w:t>
            </w:r>
          </w:p>
        </w:tc>
        <w:tc>
          <w:tcPr>
            <w:tcW w:w="1530" w:type="dxa"/>
            <w:tcBorders>
              <w:tl2br w:val="nil"/>
              <w:tr2bl w:val="nil"/>
            </w:tcBorders>
            <w:vAlign w:val="center"/>
          </w:tcPr>
          <w:p w14:paraId="1A0214D5">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坡向</w:t>
            </w:r>
          </w:p>
        </w:tc>
        <w:tc>
          <w:tcPr>
            <w:tcW w:w="1530" w:type="dxa"/>
            <w:tcBorders>
              <w:tl2br w:val="nil"/>
              <w:tr2bl w:val="nil"/>
            </w:tcBorders>
            <w:vAlign w:val="center"/>
          </w:tcPr>
          <w:p w14:paraId="5EEF38BE">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E</w:t>
            </w:r>
          </w:p>
        </w:tc>
      </w:tr>
      <w:tr w14:paraId="29B4E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tcBorders>
              <w:tl2br w:val="nil"/>
              <w:tr2bl w:val="nil"/>
            </w:tcBorders>
            <w:vAlign w:val="center"/>
          </w:tcPr>
          <w:p w14:paraId="4EC470DA">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土壤类型</w:t>
            </w:r>
          </w:p>
        </w:tc>
        <w:tc>
          <w:tcPr>
            <w:tcW w:w="1529" w:type="dxa"/>
            <w:tcBorders>
              <w:tl2br w:val="nil"/>
              <w:tr2bl w:val="nil"/>
            </w:tcBorders>
            <w:shd w:val="clear" w:color="auto" w:fill="auto"/>
            <w:vAlign w:val="center"/>
          </w:tcPr>
          <w:p w14:paraId="4B538317">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default" w:cs="Times New Roman"/>
                <w:color w:val="auto"/>
                <w:highlight w:val="none"/>
                <w:lang w:val="en-US" w:eastAsia="zh-CN"/>
              </w:rPr>
              <w:t>棕钙土</w:t>
            </w:r>
          </w:p>
        </w:tc>
        <w:tc>
          <w:tcPr>
            <w:tcW w:w="1529" w:type="dxa"/>
            <w:tcBorders>
              <w:tl2br w:val="nil"/>
              <w:tr2bl w:val="nil"/>
            </w:tcBorders>
            <w:shd w:val="clear" w:color="auto" w:fill="auto"/>
            <w:vAlign w:val="center"/>
          </w:tcPr>
          <w:p w14:paraId="2D1A3494">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地形/地貌</w:t>
            </w:r>
          </w:p>
        </w:tc>
        <w:tc>
          <w:tcPr>
            <w:tcW w:w="1529" w:type="dxa"/>
            <w:tcBorders>
              <w:tl2br w:val="nil"/>
              <w:tr2bl w:val="nil"/>
            </w:tcBorders>
            <w:shd w:val="clear" w:color="auto" w:fill="auto"/>
            <w:vAlign w:val="center"/>
          </w:tcPr>
          <w:p w14:paraId="28A71675">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default" w:cs="Times New Roman"/>
                <w:color w:val="auto"/>
                <w:highlight w:val="none"/>
                <w:lang w:val="en-US" w:eastAsia="zh-CN"/>
              </w:rPr>
              <w:t>戈壁荒漠</w:t>
            </w:r>
          </w:p>
        </w:tc>
        <w:tc>
          <w:tcPr>
            <w:tcW w:w="1530" w:type="dxa"/>
            <w:tcBorders>
              <w:tl2br w:val="nil"/>
              <w:tr2bl w:val="nil"/>
            </w:tcBorders>
            <w:vAlign w:val="center"/>
          </w:tcPr>
          <w:p w14:paraId="78AE8405">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植被种类</w:t>
            </w:r>
          </w:p>
        </w:tc>
        <w:tc>
          <w:tcPr>
            <w:tcW w:w="1530" w:type="dxa"/>
            <w:tcBorders>
              <w:tl2br w:val="nil"/>
              <w:tr2bl w:val="nil"/>
            </w:tcBorders>
            <w:vAlign w:val="center"/>
          </w:tcPr>
          <w:p w14:paraId="68A7A417">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1</w:t>
            </w:r>
          </w:p>
        </w:tc>
      </w:tr>
      <w:tr w14:paraId="0C19F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53395040">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植被总盖度</w:t>
            </w:r>
          </w:p>
        </w:tc>
        <w:tc>
          <w:tcPr>
            <w:tcW w:w="1529" w:type="dxa"/>
            <w:tcBorders>
              <w:tl2br w:val="nil"/>
              <w:tr2bl w:val="nil"/>
            </w:tcBorders>
            <w:vAlign w:val="center"/>
          </w:tcPr>
          <w:p w14:paraId="7A8E294A">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cs="Times New Roman"/>
                <w:color w:val="auto"/>
                <w:highlight w:val="none"/>
                <w:lang w:val="en-US" w:eastAsia="zh-CN"/>
              </w:rPr>
              <w:t>10</w:t>
            </w:r>
            <w:r>
              <w:rPr>
                <w:rFonts w:hint="default" w:ascii="Times New Roman" w:hAnsi="Times New Roman" w:cs="Times New Roman"/>
                <w:color w:val="auto"/>
                <w:highlight w:val="none"/>
                <w:lang w:val="en-US" w:eastAsia="zh-CN"/>
              </w:rPr>
              <w:t>%</w:t>
            </w:r>
          </w:p>
        </w:tc>
        <w:tc>
          <w:tcPr>
            <w:tcW w:w="6118" w:type="dxa"/>
            <w:gridSpan w:val="4"/>
            <w:tcBorders>
              <w:tl2br w:val="nil"/>
              <w:tr2bl w:val="nil"/>
            </w:tcBorders>
            <w:vAlign w:val="center"/>
          </w:tcPr>
          <w:p w14:paraId="4DB45E90">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坐标：E89°48'22.840"，N46°45'26.644"</w:t>
            </w:r>
          </w:p>
        </w:tc>
      </w:tr>
      <w:tr w14:paraId="7B100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2969FE25">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序号</w:t>
            </w:r>
          </w:p>
        </w:tc>
        <w:tc>
          <w:tcPr>
            <w:tcW w:w="1529" w:type="dxa"/>
            <w:tcBorders>
              <w:tl2br w:val="nil"/>
              <w:tr2bl w:val="nil"/>
            </w:tcBorders>
            <w:vAlign w:val="center"/>
          </w:tcPr>
          <w:p w14:paraId="739756CA">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植物名称</w:t>
            </w:r>
          </w:p>
        </w:tc>
        <w:tc>
          <w:tcPr>
            <w:tcW w:w="1529" w:type="dxa"/>
            <w:tcBorders>
              <w:tl2br w:val="nil"/>
              <w:tr2bl w:val="nil"/>
            </w:tcBorders>
            <w:vAlign w:val="center"/>
          </w:tcPr>
          <w:p w14:paraId="1C7AC91F">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高度（cm）</w:t>
            </w:r>
          </w:p>
        </w:tc>
        <w:tc>
          <w:tcPr>
            <w:tcW w:w="3059" w:type="dxa"/>
            <w:gridSpan w:val="2"/>
            <w:tcBorders>
              <w:tl2br w:val="nil"/>
              <w:tr2bl w:val="nil"/>
            </w:tcBorders>
            <w:vAlign w:val="center"/>
          </w:tcPr>
          <w:p w14:paraId="59A6B28B">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盖度（%）</w:t>
            </w:r>
          </w:p>
        </w:tc>
        <w:tc>
          <w:tcPr>
            <w:tcW w:w="1530" w:type="dxa"/>
            <w:tcBorders>
              <w:tl2br w:val="nil"/>
              <w:tr2bl w:val="nil"/>
            </w:tcBorders>
            <w:vAlign w:val="center"/>
          </w:tcPr>
          <w:p w14:paraId="6FD38D90">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多度</w:t>
            </w:r>
          </w:p>
        </w:tc>
      </w:tr>
      <w:tr w14:paraId="4A4D6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4E623C83">
            <w:pPr>
              <w:pStyle w:val="135"/>
              <w:widowControl w:val="0"/>
              <w:shd w:val="clear"/>
              <w:bidi w:val="0"/>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1</w:t>
            </w:r>
          </w:p>
        </w:tc>
        <w:tc>
          <w:tcPr>
            <w:tcW w:w="1529" w:type="dxa"/>
            <w:tcBorders>
              <w:tl2br w:val="nil"/>
              <w:tr2bl w:val="nil"/>
            </w:tcBorders>
            <w:vAlign w:val="center"/>
          </w:tcPr>
          <w:p w14:paraId="20290CB3">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纤细绢蒿</w:t>
            </w:r>
          </w:p>
        </w:tc>
        <w:tc>
          <w:tcPr>
            <w:tcW w:w="1529" w:type="dxa"/>
            <w:tcBorders>
              <w:tl2br w:val="nil"/>
              <w:tr2bl w:val="nil"/>
            </w:tcBorders>
            <w:vAlign w:val="center"/>
          </w:tcPr>
          <w:p w14:paraId="0E501E93">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1</w:t>
            </w:r>
            <w:r>
              <w:rPr>
                <w:rFonts w:hint="default" w:cs="Times New Roman"/>
                <w:color w:val="auto"/>
                <w:highlight w:val="none"/>
                <w:lang w:val="en-US" w:eastAsia="zh-CN"/>
              </w:rPr>
              <w:t>0</w:t>
            </w:r>
          </w:p>
        </w:tc>
        <w:tc>
          <w:tcPr>
            <w:tcW w:w="3059" w:type="dxa"/>
            <w:gridSpan w:val="2"/>
            <w:tcBorders>
              <w:tl2br w:val="nil"/>
              <w:tr2bl w:val="nil"/>
            </w:tcBorders>
            <w:vAlign w:val="center"/>
          </w:tcPr>
          <w:p w14:paraId="073296B5">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cs="Times New Roman"/>
                <w:color w:val="auto"/>
                <w:kern w:val="0"/>
                <w:sz w:val="21"/>
                <w:szCs w:val="21"/>
                <w:highlight w:val="none"/>
                <w:vertAlign w:val="baseline"/>
                <w:lang w:val="en-US" w:eastAsia="zh-CN" w:bidi="ar-SA"/>
              </w:rPr>
              <w:t>10</w:t>
            </w:r>
          </w:p>
        </w:tc>
        <w:tc>
          <w:tcPr>
            <w:tcW w:w="1530" w:type="dxa"/>
            <w:tcBorders>
              <w:tl2br w:val="nil"/>
              <w:tr2bl w:val="nil"/>
            </w:tcBorders>
            <w:vAlign w:val="center"/>
          </w:tcPr>
          <w:p w14:paraId="5F64E4F1">
            <w:pPr>
              <w:pStyle w:val="135"/>
              <w:widowControl w:val="0"/>
              <w:shd w:val="clear"/>
              <w:bidi w:val="0"/>
              <w:ind w:firstLine="0" w:firstLineChars="0"/>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Sp</w:t>
            </w:r>
          </w:p>
        </w:tc>
      </w:tr>
      <w:tr w14:paraId="05381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tcBorders>
              <w:tl2br w:val="nil"/>
              <w:tr2bl w:val="nil"/>
            </w:tcBorders>
            <w:vAlign w:val="center"/>
          </w:tcPr>
          <w:p w14:paraId="37EDA6B5">
            <w:pPr>
              <w:pStyle w:val="135"/>
              <w:widowControl w:val="0"/>
              <w:shd w:val="clear"/>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1529" w:type="dxa"/>
            <w:tcBorders>
              <w:tl2br w:val="nil"/>
              <w:tr2bl w:val="nil"/>
            </w:tcBorders>
            <w:shd w:val="clear" w:color="auto" w:fill="auto"/>
            <w:vAlign w:val="center"/>
          </w:tcPr>
          <w:p w14:paraId="315F2997">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eastAsia" w:cs="Times New Roman"/>
                <w:color w:val="auto"/>
                <w:highlight w:val="none"/>
                <w:lang w:val="en-US" w:eastAsia="zh-CN"/>
              </w:rPr>
              <w:t>驼绒藜</w:t>
            </w:r>
          </w:p>
        </w:tc>
        <w:tc>
          <w:tcPr>
            <w:tcW w:w="1529" w:type="dxa"/>
            <w:tcBorders>
              <w:tl2br w:val="nil"/>
              <w:tr2bl w:val="nil"/>
            </w:tcBorders>
            <w:shd w:val="clear" w:color="auto" w:fill="auto"/>
            <w:vAlign w:val="center"/>
          </w:tcPr>
          <w:p w14:paraId="1BBD9564">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eastAsia" w:cs="Times New Roman"/>
                <w:color w:val="auto"/>
                <w:highlight w:val="none"/>
                <w:lang w:val="en-US" w:eastAsia="zh-CN"/>
              </w:rPr>
              <w:t>5</w:t>
            </w:r>
          </w:p>
        </w:tc>
        <w:tc>
          <w:tcPr>
            <w:tcW w:w="3059" w:type="dxa"/>
            <w:gridSpan w:val="2"/>
            <w:tcBorders>
              <w:tl2br w:val="nil"/>
              <w:tr2bl w:val="nil"/>
            </w:tcBorders>
            <w:shd w:val="clear" w:color="auto" w:fill="auto"/>
            <w:vAlign w:val="center"/>
          </w:tcPr>
          <w:p w14:paraId="37C6BBBB">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eastAsia" w:cs="Times New Roman"/>
                <w:color w:val="auto"/>
                <w:highlight w:val="none"/>
                <w:lang w:val="en-US" w:eastAsia="zh-CN"/>
              </w:rPr>
              <w:t>10</w:t>
            </w:r>
          </w:p>
        </w:tc>
        <w:tc>
          <w:tcPr>
            <w:tcW w:w="1530" w:type="dxa"/>
            <w:tcBorders>
              <w:tl2br w:val="nil"/>
              <w:tr2bl w:val="nil"/>
            </w:tcBorders>
            <w:shd w:val="clear" w:color="auto" w:fill="auto"/>
            <w:vAlign w:val="center"/>
          </w:tcPr>
          <w:p w14:paraId="0F8087D4">
            <w:pPr>
              <w:pStyle w:val="135"/>
              <w:widowControl w:val="0"/>
              <w:shd w:val="clear"/>
              <w:bidi w:val="0"/>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Cop</w:t>
            </w:r>
            <w:r>
              <w:rPr>
                <w:rFonts w:hint="eastAsia" w:cs="Times New Roman"/>
                <w:color w:val="auto"/>
                <w:highlight w:val="none"/>
                <w:lang w:val="en-US" w:eastAsia="zh-CN"/>
              </w:rPr>
              <w:t>1</w:t>
            </w:r>
          </w:p>
        </w:tc>
      </w:tr>
      <w:tr w14:paraId="088D7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6" w:type="dxa"/>
            <w:gridSpan w:val="6"/>
            <w:tcBorders>
              <w:tl2br w:val="nil"/>
              <w:tr2bl w:val="nil"/>
            </w:tcBorders>
            <w:vAlign w:val="center"/>
          </w:tcPr>
          <w:p w14:paraId="40BD5A71">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drawing>
                <wp:inline distT="0" distB="0" distL="114300" distR="114300">
                  <wp:extent cx="3744595" cy="3594735"/>
                  <wp:effectExtent l="0" t="0" r="8255" b="5715"/>
                  <wp:docPr id="112" name="图片 112" descr="IMG_20260404_124340082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0260404_124340082_src"/>
                          <pic:cNvPicPr>
                            <a:picLocks noChangeAspect="1"/>
                          </pic:cNvPicPr>
                        </pic:nvPicPr>
                        <pic:blipFill>
                          <a:blip r:embed="rId51"/>
                          <a:srcRect t="8056" b="19943"/>
                          <a:stretch>
                            <a:fillRect/>
                          </a:stretch>
                        </pic:blipFill>
                        <pic:spPr>
                          <a:xfrm>
                            <a:off x="0" y="0"/>
                            <a:ext cx="3744595" cy="3594735"/>
                          </a:xfrm>
                          <a:prstGeom prst="rect">
                            <a:avLst/>
                          </a:prstGeom>
                        </pic:spPr>
                      </pic:pic>
                    </a:graphicData>
                  </a:graphic>
                </wp:inline>
              </w:drawing>
            </w:r>
          </w:p>
        </w:tc>
      </w:tr>
    </w:tbl>
    <w:p w14:paraId="0A03A0EA">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本次调查发现，项目区属典型的荒漠化草原植被类型，植被类型的差异性不大，天然植被以荒漠草原种类和数量占优势，主要</w:t>
      </w:r>
      <w:r>
        <w:rPr>
          <w:rFonts w:hint="default" w:cs="Times New Roman"/>
          <w:color w:val="auto"/>
          <w:highlight w:val="none"/>
          <w:lang w:val="en-US" w:eastAsia="zh-CN"/>
        </w:rPr>
        <w:t>由</w:t>
      </w:r>
      <w:r>
        <w:rPr>
          <w:rFonts w:hint="default" w:ascii="Times New Roman" w:hAnsi="Times New Roman" w:cs="Times New Roman"/>
          <w:color w:val="auto"/>
          <w:highlight w:val="none"/>
          <w:lang w:val="en-US" w:eastAsia="zh-CN"/>
        </w:rPr>
        <w:t>旱生、多年生、丛生禾草所组成，旱生、多年生草本植物在植被中起主要作用，群落盖度</w:t>
      </w:r>
      <w:r>
        <w:rPr>
          <w:rFonts w:hint="eastAsia" w:cs="Times New Roman"/>
          <w:color w:val="auto"/>
          <w:highlight w:val="none"/>
          <w:lang w:val="en-US" w:eastAsia="zh-CN"/>
        </w:rPr>
        <w:t>较低</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结合项目区草原等级鉴定书，项目区</w:t>
      </w:r>
      <w:r>
        <w:rPr>
          <w:rFonts w:hint="default" w:ascii="Times New Roman" w:hAnsi="Times New Roman" w:cs="Times New Roman"/>
          <w:color w:val="auto"/>
          <w:highlight w:val="none"/>
          <w:lang w:val="en-US" w:eastAsia="zh-CN"/>
        </w:rPr>
        <w:t>总体植被覆盖率</w:t>
      </w:r>
      <w:r>
        <w:rPr>
          <w:rFonts w:hint="eastAsia" w:cs="Times New Roman"/>
          <w:color w:val="auto"/>
          <w:highlight w:val="none"/>
          <w:lang w:val="en-US" w:eastAsia="zh-CN"/>
        </w:rPr>
        <w:t>约3</w:t>
      </w:r>
      <w:r>
        <w:rPr>
          <w:rFonts w:hint="default" w:ascii="Times New Roman" w:hAnsi="Times New Roman" w:cs="Times New Roman"/>
          <w:color w:val="auto"/>
          <w:highlight w:val="none"/>
          <w:lang w:val="en-US" w:eastAsia="zh-CN"/>
        </w:rPr>
        <w:t>0%。植被主要是超旱生小半乔木，半灌木和灌木组成，亦有一年生盐柴类，多年生禾草和短生植物层片出现。在砾石含量少的沙质和壤质土，</w:t>
      </w:r>
      <w:r>
        <w:rPr>
          <w:rFonts w:hint="eastAsia" w:cs="Times New Roman"/>
          <w:color w:val="auto"/>
          <w:highlight w:val="none"/>
          <w:lang w:val="en-US" w:eastAsia="zh-CN"/>
        </w:rPr>
        <w:t>主要</w:t>
      </w:r>
      <w:r>
        <w:rPr>
          <w:rFonts w:hint="default" w:ascii="Times New Roman" w:hAnsi="Times New Roman" w:cs="Times New Roman"/>
          <w:color w:val="auto"/>
          <w:highlight w:val="none"/>
          <w:lang w:val="en-US" w:eastAsia="zh-CN"/>
        </w:rPr>
        <w:t>以盐生假木贼和</w:t>
      </w:r>
      <w:r>
        <w:rPr>
          <w:rFonts w:hint="eastAsia" w:cs="Times New Roman"/>
          <w:color w:val="auto"/>
          <w:highlight w:val="none"/>
          <w:lang w:val="en-US" w:eastAsia="zh-CN"/>
        </w:rPr>
        <w:t>绢蒿</w:t>
      </w:r>
      <w:r>
        <w:rPr>
          <w:rFonts w:hint="default" w:ascii="Times New Roman" w:hAnsi="Times New Roman" w:cs="Times New Roman"/>
          <w:color w:val="auto"/>
          <w:highlight w:val="none"/>
          <w:lang w:val="en-US" w:eastAsia="zh-CN"/>
        </w:rPr>
        <w:t>构成群落。项目区分布植被主要</w:t>
      </w:r>
      <w:r>
        <w:rPr>
          <w:rFonts w:hint="default" w:cs="Times New Roman"/>
          <w:color w:val="auto"/>
          <w:highlight w:val="none"/>
          <w:lang w:val="en-US" w:eastAsia="zh-CN"/>
        </w:rPr>
        <w:t>以</w:t>
      </w:r>
      <w:r>
        <w:rPr>
          <w:rFonts w:hint="default" w:ascii="Times New Roman" w:hAnsi="Times New Roman" w:cs="Times New Roman"/>
          <w:color w:val="auto"/>
          <w:highlight w:val="none"/>
          <w:lang w:val="en-US" w:eastAsia="zh-CN"/>
        </w:rPr>
        <w:t>绢蒿类为主，包括白茎绢蒿及纤细绢蒿。</w:t>
      </w:r>
      <w:r>
        <w:rPr>
          <w:rFonts w:hint="default" w:ascii="Times New Roman" w:hAnsi="Times New Roman" w:cs="Times New Roman"/>
          <w:color w:val="auto"/>
          <w:highlight w:val="none"/>
          <w:shd w:val="clear" w:color="auto" w:fill="FFFFFF"/>
        </w:rPr>
        <w:t>植被类型详见图4.2-</w:t>
      </w:r>
      <w:r>
        <w:rPr>
          <w:rFonts w:hint="default" w:ascii="Times New Roman" w:hAnsi="Times New Roman" w:cs="Times New Roman"/>
          <w:color w:val="auto"/>
          <w:highlight w:val="none"/>
          <w:shd w:val="clear" w:color="auto" w:fill="FFFFFF"/>
          <w:lang w:val="en-US" w:eastAsia="zh-CN"/>
        </w:rPr>
        <w:t>4</w:t>
      </w:r>
      <w:r>
        <w:rPr>
          <w:rFonts w:hint="default" w:ascii="Times New Roman" w:hAnsi="Times New Roman" w:cs="Times New Roman"/>
          <w:color w:val="auto"/>
          <w:highlight w:val="none"/>
          <w:shd w:val="clear" w:color="auto" w:fill="FFFFFF"/>
        </w:rPr>
        <w:t>。</w:t>
      </w:r>
    </w:p>
    <w:p w14:paraId="53154F33">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对照《新疆维吾尔自治区人民政府关于公布〈新疆维吾尔自治区重点保护野生植物名录〉的通知》（新政发〔2023〕63号），评价范围不存在名录中所列重点保护野生植物。</w:t>
      </w:r>
    </w:p>
    <w:p w14:paraId="47E0BA5B">
      <w:pPr>
        <w:pStyle w:val="5"/>
        <w:ind w:firstLine="482"/>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de-DE"/>
        </w:rPr>
        <w:t>区域动物现状</w:t>
      </w:r>
    </w:p>
    <w:p w14:paraId="5C40797D">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所在区域在中国动物地理区划划分中属古北界、中亚亚界、蒙新区、西部荒漠亚区、准噶尔盆地小区。该区域属草原化荒漠地带，其分布的野生动物种类以准噶尔盆地常见种为优势，以啮齿类和爬行类的种类和数量为最大；鸟类多分布于项目区所在区域外围农田区附近，数量较少，种类贫乏。区域内常见的物种有荒漠麻蜥、快步麻蜥、凤头百灵、旱獭、蜥蜴，鼠类等。</w:t>
      </w:r>
    </w:p>
    <w:p w14:paraId="24BC6D57">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区域内少有珍稀濒危物种分布。在野生动物种类中，鸢和红隼等猛禽属国家二级保护动物，在该地域出现仅为游徒或飞过，且该类动物的原生栖息地不在评价范围内。项目所在区域主要动物种类见表4.</w:t>
      </w:r>
      <w:r>
        <w:rPr>
          <w:rFonts w:hint="default" w:cs="Times New Roman"/>
          <w:color w:val="auto"/>
          <w:highlight w:val="none"/>
          <w:lang w:val="en-US" w:eastAsia="zh-CN"/>
        </w:rPr>
        <w:t>2-16</w:t>
      </w:r>
      <w:r>
        <w:rPr>
          <w:rFonts w:hint="default" w:ascii="Times New Roman" w:hAnsi="Times New Roman" w:cs="Times New Roman"/>
          <w:color w:val="auto"/>
          <w:highlight w:val="none"/>
          <w:lang w:val="en-US" w:eastAsia="zh-CN"/>
        </w:rPr>
        <w:t>。</w:t>
      </w:r>
    </w:p>
    <w:p w14:paraId="583B025C">
      <w:pPr>
        <w:pStyle w:val="1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w:t>
      </w:r>
      <w:r>
        <w:rPr>
          <w:rFonts w:hint="default" w:cs="Times New Roman"/>
          <w:color w:val="auto"/>
          <w:highlight w:val="none"/>
          <w:lang w:val="en-US" w:eastAsia="zh-CN"/>
        </w:rPr>
        <w:t>2-16</w:t>
      </w:r>
      <w:r>
        <w:rPr>
          <w:rFonts w:hint="default" w:ascii="Times New Roman" w:hAnsi="Times New Roman" w:cs="Times New Roman"/>
          <w:color w:val="auto"/>
          <w:highlight w:val="none"/>
          <w:lang w:val="en-US" w:eastAsia="zh-CN"/>
        </w:rPr>
        <w:t xml:space="preserve">    区域主要动物种类</w:t>
      </w:r>
    </w:p>
    <w:tbl>
      <w:tblPr>
        <w:tblStyle w:val="34"/>
        <w:tblW w:w="499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61"/>
        <w:gridCol w:w="2090"/>
        <w:gridCol w:w="5821"/>
      </w:tblGrid>
      <w:tr w14:paraId="211CB3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6280DBFF">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序号</w:t>
            </w:r>
          </w:p>
        </w:tc>
        <w:tc>
          <w:tcPr>
            <w:tcW w:w="1139" w:type="pct"/>
            <w:tcBorders>
              <w:tl2br w:val="nil"/>
              <w:tr2bl w:val="nil"/>
            </w:tcBorders>
            <w:vAlign w:val="center"/>
          </w:tcPr>
          <w:p w14:paraId="37761283">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中文名</w:t>
            </w:r>
          </w:p>
        </w:tc>
        <w:tc>
          <w:tcPr>
            <w:tcW w:w="3172" w:type="pct"/>
            <w:tcBorders>
              <w:tl2br w:val="nil"/>
              <w:tr2bl w:val="nil"/>
            </w:tcBorders>
            <w:vAlign w:val="center"/>
          </w:tcPr>
          <w:p w14:paraId="50E428A6">
            <w:pPr>
              <w:pStyle w:val="13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学名</w:t>
            </w:r>
          </w:p>
        </w:tc>
      </w:tr>
      <w:tr w14:paraId="01B604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323D9489">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1139" w:type="pct"/>
            <w:tcBorders>
              <w:tl2br w:val="nil"/>
              <w:tr2bl w:val="nil"/>
            </w:tcBorders>
            <w:vAlign w:val="center"/>
          </w:tcPr>
          <w:p w14:paraId="291EFF3F">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变色沙蜥</w:t>
            </w:r>
          </w:p>
        </w:tc>
        <w:tc>
          <w:tcPr>
            <w:tcW w:w="3172" w:type="pct"/>
            <w:tcBorders>
              <w:tl2br w:val="nil"/>
              <w:tr2bl w:val="nil"/>
            </w:tcBorders>
            <w:vAlign w:val="center"/>
          </w:tcPr>
          <w:p w14:paraId="1A5689A3">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Phrynocephalus versicolor</w:t>
            </w:r>
          </w:p>
        </w:tc>
      </w:tr>
      <w:tr w14:paraId="218F31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2A1AF4C2">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139" w:type="pct"/>
            <w:tcBorders>
              <w:tl2br w:val="nil"/>
              <w:tr2bl w:val="nil"/>
            </w:tcBorders>
            <w:vAlign w:val="center"/>
          </w:tcPr>
          <w:p w14:paraId="54E1EF00">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快步麻蜥</w:t>
            </w:r>
          </w:p>
        </w:tc>
        <w:tc>
          <w:tcPr>
            <w:tcW w:w="3172" w:type="pct"/>
            <w:tcBorders>
              <w:tl2br w:val="nil"/>
              <w:tr2bl w:val="nil"/>
            </w:tcBorders>
            <w:vAlign w:val="center"/>
          </w:tcPr>
          <w:p w14:paraId="377491ED">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Eremias velox</w:t>
            </w:r>
          </w:p>
        </w:tc>
      </w:tr>
      <w:tr w14:paraId="1444B1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682E8799">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139" w:type="pct"/>
            <w:tcBorders>
              <w:tl2br w:val="nil"/>
              <w:tr2bl w:val="nil"/>
            </w:tcBorders>
            <w:vAlign w:val="center"/>
          </w:tcPr>
          <w:p w14:paraId="471F6FAF">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东疆沙蜥</w:t>
            </w:r>
          </w:p>
        </w:tc>
        <w:tc>
          <w:tcPr>
            <w:tcW w:w="3172" w:type="pct"/>
            <w:tcBorders>
              <w:tl2br w:val="nil"/>
              <w:tr2bl w:val="nil"/>
            </w:tcBorders>
            <w:vAlign w:val="center"/>
          </w:tcPr>
          <w:p w14:paraId="4DA522C9">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Phrynocephalus grumgrizimaloi</w:t>
            </w:r>
          </w:p>
        </w:tc>
      </w:tr>
      <w:tr w14:paraId="7D2E6F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6A72B6CB">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139" w:type="pct"/>
            <w:tcBorders>
              <w:tl2br w:val="nil"/>
              <w:tr2bl w:val="nil"/>
            </w:tcBorders>
            <w:vAlign w:val="center"/>
          </w:tcPr>
          <w:p w14:paraId="3B9AB23D">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黄脊游蛇</w:t>
            </w:r>
          </w:p>
        </w:tc>
        <w:tc>
          <w:tcPr>
            <w:tcW w:w="3172" w:type="pct"/>
            <w:tcBorders>
              <w:tl2br w:val="nil"/>
              <w:tr2bl w:val="nil"/>
            </w:tcBorders>
            <w:vAlign w:val="center"/>
          </w:tcPr>
          <w:p w14:paraId="3F1BF7B4">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Coluber spinalis</w:t>
            </w:r>
          </w:p>
        </w:tc>
      </w:tr>
      <w:tr w14:paraId="62AC0D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1A6D298B">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139" w:type="pct"/>
            <w:tcBorders>
              <w:tl2br w:val="nil"/>
              <w:tr2bl w:val="nil"/>
            </w:tcBorders>
            <w:vAlign w:val="center"/>
          </w:tcPr>
          <w:p w14:paraId="2DF8707D">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红隼</w:t>
            </w:r>
          </w:p>
        </w:tc>
        <w:tc>
          <w:tcPr>
            <w:tcW w:w="3172" w:type="pct"/>
            <w:tcBorders>
              <w:tl2br w:val="nil"/>
              <w:tr2bl w:val="nil"/>
            </w:tcBorders>
            <w:vAlign w:val="center"/>
          </w:tcPr>
          <w:p w14:paraId="6CEE2479">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F. tinnunculus</w:t>
            </w:r>
          </w:p>
        </w:tc>
      </w:tr>
      <w:tr w14:paraId="5A207F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3412835A">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1139" w:type="pct"/>
            <w:tcBorders>
              <w:tl2br w:val="nil"/>
              <w:tr2bl w:val="nil"/>
            </w:tcBorders>
            <w:vAlign w:val="center"/>
          </w:tcPr>
          <w:p w14:paraId="14D22757">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鹅喉羚</w:t>
            </w:r>
          </w:p>
        </w:tc>
        <w:tc>
          <w:tcPr>
            <w:tcW w:w="3172" w:type="pct"/>
            <w:tcBorders>
              <w:tl2br w:val="nil"/>
              <w:tr2bl w:val="nil"/>
            </w:tcBorders>
            <w:vAlign w:val="center"/>
          </w:tcPr>
          <w:p w14:paraId="5E2FBF0A">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Goitred Gazelle</w:t>
            </w:r>
          </w:p>
        </w:tc>
      </w:tr>
      <w:tr w14:paraId="17525E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134FF070">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1139" w:type="pct"/>
            <w:tcBorders>
              <w:tl2br w:val="nil"/>
              <w:tr2bl w:val="nil"/>
            </w:tcBorders>
            <w:vAlign w:val="center"/>
          </w:tcPr>
          <w:p w14:paraId="02A45EBD">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家麻雀</w:t>
            </w:r>
          </w:p>
        </w:tc>
        <w:tc>
          <w:tcPr>
            <w:tcW w:w="3172" w:type="pct"/>
            <w:tcBorders>
              <w:tl2br w:val="nil"/>
              <w:tr2bl w:val="nil"/>
            </w:tcBorders>
            <w:vAlign w:val="center"/>
          </w:tcPr>
          <w:p w14:paraId="36616149">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Passer domesticus</w:t>
            </w:r>
          </w:p>
        </w:tc>
      </w:tr>
      <w:tr w14:paraId="5641FB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2DA195BF">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1139" w:type="pct"/>
            <w:tcBorders>
              <w:tl2br w:val="nil"/>
              <w:tr2bl w:val="nil"/>
            </w:tcBorders>
            <w:vAlign w:val="center"/>
          </w:tcPr>
          <w:p w14:paraId="0188D39F">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凤头百灵</w:t>
            </w:r>
          </w:p>
        </w:tc>
        <w:tc>
          <w:tcPr>
            <w:tcW w:w="3172" w:type="pct"/>
            <w:tcBorders>
              <w:tl2br w:val="nil"/>
              <w:tr2bl w:val="nil"/>
            </w:tcBorders>
            <w:vAlign w:val="center"/>
          </w:tcPr>
          <w:p w14:paraId="72887DD1">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Galerida cristata</w:t>
            </w:r>
          </w:p>
        </w:tc>
      </w:tr>
      <w:tr w14:paraId="6C48C8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52BEE9C9">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1139" w:type="pct"/>
            <w:tcBorders>
              <w:tl2br w:val="nil"/>
              <w:tr2bl w:val="nil"/>
            </w:tcBorders>
            <w:vAlign w:val="center"/>
          </w:tcPr>
          <w:p w14:paraId="22256AC7">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根田鼠</w:t>
            </w:r>
          </w:p>
        </w:tc>
        <w:tc>
          <w:tcPr>
            <w:tcW w:w="3172" w:type="pct"/>
            <w:tcBorders>
              <w:tl2br w:val="nil"/>
              <w:tr2bl w:val="nil"/>
            </w:tcBorders>
            <w:vAlign w:val="center"/>
          </w:tcPr>
          <w:p w14:paraId="58600C5C">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Microtus oeconomus</w:t>
            </w:r>
          </w:p>
        </w:tc>
      </w:tr>
      <w:tr w14:paraId="1B0E25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87" w:type="pct"/>
            <w:tcBorders>
              <w:tl2br w:val="nil"/>
              <w:tr2bl w:val="nil"/>
            </w:tcBorders>
            <w:vAlign w:val="center"/>
          </w:tcPr>
          <w:p w14:paraId="34043A75">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139" w:type="pct"/>
            <w:tcBorders>
              <w:tl2br w:val="nil"/>
              <w:tr2bl w:val="nil"/>
            </w:tcBorders>
            <w:vAlign w:val="center"/>
          </w:tcPr>
          <w:p w14:paraId="426D5628">
            <w:pPr>
              <w:pStyle w:val="1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小地兔</w:t>
            </w:r>
          </w:p>
        </w:tc>
        <w:tc>
          <w:tcPr>
            <w:tcW w:w="3172" w:type="pct"/>
            <w:tcBorders>
              <w:tl2br w:val="nil"/>
              <w:tr2bl w:val="nil"/>
            </w:tcBorders>
            <w:vAlign w:val="center"/>
          </w:tcPr>
          <w:p w14:paraId="44A04FD6">
            <w:pPr>
              <w:pStyle w:val="132"/>
              <w:bidi w:val="0"/>
              <w:rPr>
                <w:rFonts w:hint="default" w:ascii="Times New Roman" w:hAnsi="Times New Roman" w:cs="Times New Roman"/>
                <w:i/>
                <w:iCs/>
                <w:color w:val="auto"/>
                <w:highlight w:val="none"/>
                <w:lang w:val="en-US" w:eastAsia="zh-CN"/>
              </w:rPr>
            </w:pPr>
            <w:r>
              <w:rPr>
                <w:rFonts w:hint="default" w:ascii="Times New Roman" w:hAnsi="Times New Roman" w:cs="Times New Roman"/>
                <w:i/>
                <w:iCs/>
                <w:color w:val="auto"/>
                <w:highlight w:val="none"/>
              </w:rPr>
              <w:t>Alactagulus pygmaeus</w:t>
            </w:r>
          </w:p>
        </w:tc>
      </w:tr>
    </w:tbl>
    <w:p w14:paraId="0B381BFB">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本次动物多样性调查采取样线法结合专家和公众咨询方法开展，调查期间同时收集了地区有关动物多样性资料。</w:t>
      </w:r>
    </w:p>
    <w:p w14:paraId="6281DD9D">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①样线法</w:t>
      </w:r>
    </w:p>
    <w:p w14:paraId="17722F75">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两栖类与爬行类样线法调查：调查方法以样线法为主，具体操作为：3人一组，样线左右两侧各1人负责观察寻找，剩余1人负责记录，调查人员沿选定的路线匀速前进，一般行进速度为2km/h。在实地调查过程中，仔细搜寻样线两侧的两栖动物和爬行动物，并使用奥维互动地图软件或轨迹记录仪对物种进行定位，详细记录动物发现位点的地理坐标、海拔、生境及航迹等信息，对物种实体及其生境进行拍照。尽量不采集标本，对当场不能辨认的物种，采集，1～2只带回住所进行鉴定，并于鉴定后放生。</w:t>
      </w:r>
    </w:p>
    <w:p w14:paraId="78043113">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鸟类样线法调查：评价区内大部分地区的鸟类调查采用样线法。在每个调查点依据生境类型和地形布设样线，各样线互不重叠；样线长度以1～3km为宜。通过望远镜、数码相机等观察样带两侧约200m以内的鸟类，辅以鸟类鸣叫声、飞行姿势、生态习性和羽毛等辨认。仔细记录发现鸟类的名称、数量、距离中线的距离，并利用奥维互动地图软件或轨迹记录仪记录鸟类物种发现点的经纬度、海拔、生境、样带长度及航迹等信息。如未观察到鸟类，但能听到鸟类鸣叫声的，借助录音笔记录其鸣声，以此作为识别物种的依据。</w:t>
      </w:r>
    </w:p>
    <w:p w14:paraId="0028F3B9">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兽类样线法调查：兽类调查与鸟类调查同时进行。调查时统计样线两边的兽类足迹、粪便、叫声及活体的活动情况等，并在发现动物实体或其痕迹时，利用奥维互动地图软件或轨迹记录仪记录动物名称、数量、痕迹种类及地理位置、航迹等信息。</w:t>
      </w:r>
    </w:p>
    <w:p w14:paraId="45F377ED">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经现场调查，沿途涉及生境类型相对简单且均一，以草甸为主、部分地区有针叶林生境。结合本项目的特点，本次调查针对评价区设置5条动物调查样线，进行现场调查，在此基础上结合评价区有关动物多样性的历史调查、统计资料，汇总整理评价区陆生动物名录，能够反映评价区陆生野生动物种类、数量和分布情况。</w:t>
      </w:r>
    </w:p>
    <w:p w14:paraId="62252482">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动物调查样线调查情况见表4.2-</w:t>
      </w:r>
      <w:r>
        <w:rPr>
          <w:rFonts w:hint="default" w:cs="Times New Roman"/>
          <w:color w:val="auto"/>
          <w:highlight w:val="none"/>
          <w:lang w:val="en-US" w:eastAsia="zh-CN"/>
        </w:rPr>
        <w:t>17</w:t>
      </w:r>
      <w:r>
        <w:rPr>
          <w:rFonts w:hint="default" w:ascii="Times New Roman" w:hAnsi="Times New Roman" w:eastAsia="宋体" w:cs="Times New Roman"/>
          <w:color w:val="auto"/>
          <w:highlight w:val="none"/>
          <w:lang w:val="en-US" w:eastAsia="zh-CN"/>
        </w:rPr>
        <w:t>。</w:t>
      </w:r>
    </w:p>
    <w:p w14:paraId="7CB07B46">
      <w:pPr>
        <w:spacing w:before="180" w:line="219"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1"/>
          <w:sz w:val="24"/>
          <w:szCs w:val="24"/>
          <w:highlight w:val="none"/>
        </w:rPr>
        <w:t>表</w:t>
      </w:r>
      <w:r>
        <w:rPr>
          <w:rFonts w:hint="default" w:ascii="Times New Roman" w:hAnsi="Times New Roman" w:eastAsia="宋体" w:cs="Times New Roman"/>
          <w:color w:val="auto"/>
          <w:spacing w:val="-54"/>
          <w:sz w:val="24"/>
          <w:szCs w:val="24"/>
          <w:highlight w:val="none"/>
        </w:rPr>
        <w:t xml:space="preserve"> </w:t>
      </w:r>
      <w:r>
        <w:rPr>
          <w:rFonts w:hint="default" w:ascii="Times New Roman" w:hAnsi="Times New Roman" w:eastAsia="Times New Roman" w:cs="Times New Roman"/>
          <w:b/>
          <w:bCs/>
          <w:color w:val="auto"/>
          <w:spacing w:val="-1"/>
          <w:sz w:val="24"/>
          <w:szCs w:val="24"/>
          <w:highlight w:val="none"/>
        </w:rPr>
        <w:t>4.2-</w:t>
      </w:r>
      <w:r>
        <w:rPr>
          <w:rFonts w:hint="default" w:cs="Times New Roman"/>
          <w:b/>
          <w:bCs/>
          <w:color w:val="auto"/>
          <w:spacing w:val="-1"/>
          <w:sz w:val="24"/>
          <w:szCs w:val="24"/>
          <w:highlight w:val="none"/>
          <w:lang w:val="en-US" w:eastAsia="zh-CN"/>
        </w:rPr>
        <w:t>17</w:t>
      </w:r>
      <w:r>
        <w:rPr>
          <w:rFonts w:hint="default" w:ascii="Times New Roman" w:hAnsi="Times New Roman" w:eastAsia="Times New Roman" w:cs="Times New Roman"/>
          <w:b/>
          <w:bCs/>
          <w:color w:val="auto"/>
          <w:spacing w:val="-1"/>
          <w:sz w:val="24"/>
          <w:szCs w:val="24"/>
          <w:highlight w:val="none"/>
        </w:rPr>
        <w:t xml:space="preserve">   </w:t>
      </w:r>
      <w:r>
        <w:rPr>
          <w:rFonts w:hint="default" w:ascii="Times New Roman" w:hAnsi="Times New Roman" w:eastAsia="宋体" w:cs="Times New Roman"/>
          <w:b/>
          <w:bCs/>
          <w:color w:val="auto"/>
          <w:spacing w:val="-1"/>
          <w:sz w:val="24"/>
          <w:szCs w:val="24"/>
          <w:highlight w:val="none"/>
        </w:rPr>
        <w:t>陆生动物调</w:t>
      </w:r>
      <w:r>
        <w:rPr>
          <w:rFonts w:hint="default" w:ascii="Times New Roman" w:hAnsi="Times New Roman" w:eastAsia="宋体" w:cs="Times New Roman"/>
          <w:b/>
          <w:bCs/>
          <w:color w:val="auto"/>
          <w:spacing w:val="-2"/>
          <w:sz w:val="24"/>
          <w:szCs w:val="24"/>
          <w:highlight w:val="none"/>
        </w:rPr>
        <w:t>查样线</w:t>
      </w:r>
      <w:r>
        <w:rPr>
          <w:rFonts w:hint="default" w:ascii="Times New Roman" w:hAnsi="Times New Roman" w:eastAsia="宋体" w:cs="Times New Roman"/>
          <w:b/>
          <w:bCs/>
          <w:color w:val="auto"/>
          <w:spacing w:val="-2"/>
          <w:sz w:val="24"/>
          <w:szCs w:val="24"/>
          <w:highlight w:val="none"/>
          <w:lang w:val="en-US" w:eastAsia="zh-CN"/>
        </w:rPr>
        <w:t>调查</w:t>
      </w:r>
      <w:r>
        <w:rPr>
          <w:rFonts w:hint="default" w:ascii="Times New Roman" w:hAnsi="Times New Roman" w:eastAsia="宋体" w:cs="Times New Roman"/>
          <w:b/>
          <w:bCs/>
          <w:color w:val="auto"/>
          <w:spacing w:val="-2"/>
          <w:sz w:val="24"/>
          <w:szCs w:val="24"/>
          <w:highlight w:val="none"/>
        </w:rPr>
        <w:t>情况表</w:t>
      </w:r>
    </w:p>
    <w:p w14:paraId="64FDBD27">
      <w:pPr>
        <w:spacing w:line="16" w:lineRule="exact"/>
        <w:rPr>
          <w:rFonts w:hint="default" w:ascii="Times New Roman" w:hAnsi="Times New Roman" w:cs="Times New Roman"/>
          <w:color w:val="auto"/>
          <w:highlight w:val="none"/>
        </w:rPr>
      </w:pPr>
    </w:p>
    <w:tbl>
      <w:tblPr>
        <w:tblStyle w:val="9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02"/>
        <w:gridCol w:w="1686"/>
        <w:gridCol w:w="1358"/>
        <w:gridCol w:w="1017"/>
        <w:gridCol w:w="1463"/>
        <w:gridCol w:w="685"/>
        <w:gridCol w:w="685"/>
        <w:gridCol w:w="685"/>
        <w:gridCol w:w="702"/>
      </w:tblGrid>
      <w:tr w14:paraId="2AA83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tblHeader/>
        </w:trPr>
        <w:tc>
          <w:tcPr>
            <w:tcW w:w="390" w:type="pct"/>
            <w:noWrap w:val="0"/>
            <w:vAlign w:val="center"/>
          </w:tcPr>
          <w:p w14:paraId="7AE82A6F">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bCs/>
                <w:i w:val="0"/>
                <w:iCs w:val="0"/>
                <w:color w:val="auto"/>
                <w:sz w:val="21"/>
                <w:szCs w:val="21"/>
                <w:highlight w:val="none"/>
                <w:lang w:val="en-US" w:eastAsia="en-US"/>
              </w:rPr>
            </w:pPr>
            <w:r>
              <w:rPr>
                <w:rFonts w:hint="default" w:ascii="Times New Roman" w:hAnsi="Times New Roman" w:eastAsia="宋体" w:cs="Times New Roman"/>
                <w:b/>
                <w:bCs/>
                <w:i w:val="0"/>
                <w:iCs w:val="0"/>
                <w:color w:val="auto"/>
                <w:sz w:val="21"/>
                <w:szCs w:val="21"/>
                <w:highlight w:val="none"/>
                <w:lang w:val="en-US" w:eastAsia="en-US"/>
              </w:rPr>
              <w:t>编号</w:t>
            </w:r>
          </w:p>
        </w:tc>
        <w:tc>
          <w:tcPr>
            <w:tcW w:w="937" w:type="pct"/>
            <w:noWrap w:val="0"/>
            <w:vAlign w:val="center"/>
          </w:tcPr>
          <w:p w14:paraId="672B4487">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bCs/>
                <w:i w:val="0"/>
                <w:iCs w:val="0"/>
                <w:color w:val="auto"/>
                <w:sz w:val="21"/>
                <w:szCs w:val="21"/>
                <w:highlight w:val="none"/>
                <w:lang w:val="en-US" w:eastAsia="en-US"/>
              </w:rPr>
            </w:pPr>
            <w:r>
              <w:rPr>
                <w:rFonts w:hint="default" w:ascii="Times New Roman" w:hAnsi="Times New Roman" w:eastAsia="宋体" w:cs="Times New Roman"/>
                <w:b/>
                <w:bCs/>
                <w:i w:val="0"/>
                <w:iCs w:val="0"/>
                <w:color w:val="auto"/>
                <w:sz w:val="21"/>
                <w:szCs w:val="21"/>
                <w:highlight w:val="none"/>
                <w:lang w:val="en-US" w:eastAsia="en-US"/>
              </w:rPr>
              <w:t>位置</w:t>
            </w:r>
          </w:p>
        </w:tc>
        <w:tc>
          <w:tcPr>
            <w:tcW w:w="755" w:type="pct"/>
            <w:noWrap w:val="0"/>
            <w:vAlign w:val="center"/>
          </w:tcPr>
          <w:p w14:paraId="39CC97B3">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bCs/>
                <w:i w:val="0"/>
                <w:iCs w:val="0"/>
                <w:color w:val="auto"/>
                <w:sz w:val="21"/>
                <w:szCs w:val="21"/>
                <w:highlight w:val="none"/>
                <w:lang w:val="en-US" w:eastAsia="en-US"/>
              </w:rPr>
            </w:pPr>
            <w:r>
              <w:rPr>
                <w:rFonts w:hint="default" w:ascii="Times New Roman" w:hAnsi="Times New Roman" w:eastAsia="宋体" w:cs="Times New Roman"/>
                <w:b/>
                <w:bCs/>
                <w:i w:val="0"/>
                <w:iCs w:val="0"/>
                <w:color w:val="auto"/>
                <w:sz w:val="21"/>
                <w:szCs w:val="21"/>
                <w:highlight w:val="none"/>
                <w:lang w:val="en-US" w:eastAsia="en-US"/>
              </w:rPr>
              <w:t>样线长度</w:t>
            </w:r>
          </w:p>
        </w:tc>
        <w:tc>
          <w:tcPr>
            <w:tcW w:w="565" w:type="pct"/>
            <w:noWrap w:val="0"/>
            <w:vAlign w:val="center"/>
          </w:tcPr>
          <w:p w14:paraId="2A55F0D3">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bCs/>
                <w:i w:val="0"/>
                <w:iCs w:val="0"/>
                <w:color w:val="auto"/>
                <w:sz w:val="21"/>
                <w:szCs w:val="21"/>
                <w:highlight w:val="none"/>
                <w:lang w:val="en-US" w:eastAsia="en-US"/>
              </w:rPr>
            </w:pPr>
            <w:r>
              <w:rPr>
                <w:rFonts w:hint="default" w:ascii="Times New Roman" w:hAnsi="Times New Roman" w:eastAsia="宋体" w:cs="Times New Roman"/>
                <w:b/>
                <w:bCs/>
                <w:i w:val="0"/>
                <w:iCs w:val="0"/>
                <w:color w:val="auto"/>
                <w:sz w:val="21"/>
                <w:szCs w:val="21"/>
                <w:highlight w:val="none"/>
                <w:lang w:val="en-US" w:eastAsia="en-US"/>
              </w:rPr>
              <w:t>特征</w:t>
            </w:r>
          </w:p>
        </w:tc>
        <w:tc>
          <w:tcPr>
            <w:tcW w:w="813" w:type="pct"/>
            <w:shd w:val="clear" w:color="auto" w:fill="auto"/>
            <w:noWrap w:val="0"/>
            <w:vAlign w:val="center"/>
          </w:tcPr>
          <w:p w14:paraId="478DFDF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b/>
                <w:bCs/>
                <w:i w:val="0"/>
                <w:iCs w:val="0"/>
                <w:color w:val="auto"/>
                <w:kern w:val="2"/>
                <w:sz w:val="21"/>
                <w:szCs w:val="21"/>
                <w:highlight w:val="none"/>
                <w:lang w:val="en-US" w:eastAsia="en-US" w:bidi="ar-SA"/>
              </w:rPr>
            </w:pPr>
            <w:r>
              <w:rPr>
                <w:rFonts w:hint="default" w:ascii="Times New Roman" w:hAnsi="Times New Roman" w:eastAsia="宋体" w:cs="Times New Roman"/>
                <w:b/>
                <w:bCs/>
                <w:i w:val="0"/>
                <w:iCs w:val="0"/>
                <w:color w:val="auto"/>
                <w:sz w:val="21"/>
                <w:szCs w:val="21"/>
                <w:highlight w:val="none"/>
                <w:lang w:val="en-US" w:eastAsia="en-US"/>
              </w:rPr>
              <w:t>海拔高度</w:t>
            </w:r>
          </w:p>
        </w:tc>
        <w:tc>
          <w:tcPr>
            <w:tcW w:w="381" w:type="pct"/>
            <w:shd w:val="clear" w:color="auto" w:fill="auto"/>
            <w:noWrap w:val="0"/>
            <w:vAlign w:val="center"/>
          </w:tcPr>
          <w:p w14:paraId="2AF66E7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b/>
                <w:bCs/>
                <w:i w:val="0"/>
                <w:iCs w:val="0"/>
                <w:color w:val="auto"/>
                <w:kern w:val="2"/>
                <w:sz w:val="21"/>
                <w:szCs w:val="21"/>
                <w:highlight w:val="none"/>
                <w:lang w:val="en-US" w:eastAsia="en-US" w:bidi="ar-SA"/>
              </w:rPr>
            </w:pPr>
            <w:r>
              <w:rPr>
                <w:rFonts w:hint="default" w:ascii="Times New Roman" w:hAnsi="Times New Roman" w:eastAsia="宋体" w:cs="Times New Roman"/>
                <w:b/>
                <w:bCs/>
                <w:i w:val="0"/>
                <w:iCs w:val="0"/>
                <w:color w:val="auto"/>
                <w:sz w:val="21"/>
                <w:szCs w:val="21"/>
                <w:highlight w:val="none"/>
                <w:lang w:val="en-US" w:eastAsia="en-US"/>
              </w:rPr>
              <w:t>粪便</w:t>
            </w:r>
          </w:p>
        </w:tc>
        <w:tc>
          <w:tcPr>
            <w:tcW w:w="381" w:type="pct"/>
            <w:shd w:val="clear" w:color="auto" w:fill="auto"/>
            <w:noWrap w:val="0"/>
            <w:vAlign w:val="center"/>
          </w:tcPr>
          <w:p w14:paraId="618A621C">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b/>
                <w:bCs/>
                <w:i w:val="0"/>
                <w:iCs w:val="0"/>
                <w:color w:val="auto"/>
                <w:kern w:val="2"/>
                <w:sz w:val="21"/>
                <w:szCs w:val="21"/>
                <w:highlight w:val="none"/>
                <w:lang w:val="en-US" w:eastAsia="en-US" w:bidi="ar-SA"/>
              </w:rPr>
            </w:pPr>
            <w:r>
              <w:rPr>
                <w:rFonts w:hint="default" w:ascii="Times New Roman" w:hAnsi="Times New Roman" w:eastAsia="宋体" w:cs="Times New Roman"/>
                <w:b/>
                <w:bCs/>
                <w:i w:val="0"/>
                <w:iCs w:val="0"/>
                <w:color w:val="auto"/>
                <w:sz w:val="21"/>
                <w:szCs w:val="21"/>
                <w:highlight w:val="none"/>
                <w:lang w:val="en-US" w:eastAsia="en-US"/>
              </w:rPr>
              <w:t>脚印</w:t>
            </w:r>
          </w:p>
        </w:tc>
        <w:tc>
          <w:tcPr>
            <w:tcW w:w="381" w:type="pct"/>
            <w:shd w:val="clear" w:color="auto" w:fill="auto"/>
            <w:noWrap w:val="0"/>
            <w:vAlign w:val="center"/>
          </w:tcPr>
          <w:p w14:paraId="16A49C51">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b/>
                <w:bCs/>
                <w:i w:val="0"/>
                <w:iCs w:val="0"/>
                <w:color w:val="auto"/>
                <w:kern w:val="2"/>
                <w:sz w:val="21"/>
                <w:szCs w:val="21"/>
                <w:highlight w:val="none"/>
                <w:lang w:val="en-US" w:eastAsia="en-US" w:bidi="ar-SA"/>
              </w:rPr>
            </w:pPr>
            <w:r>
              <w:rPr>
                <w:rFonts w:hint="default" w:ascii="Times New Roman" w:hAnsi="Times New Roman" w:eastAsia="宋体" w:cs="Times New Roman"/>
                <w:b/>
                <w:bCs/>
                <w:i w:val="0"/>
                <w:iCs w:val="0"/>
                <w:color w:val="auto"/>
                <w:sz w:val="21"/>
                <w:szCs w:val="21"/>
                <w:highlight w:val="none"/>
                <w:lang w:val="en-US" w:eastAsia="en-US"/>
              </w:rPr>
              <w:t>洞穴</w:t>
            </w:r>
          </w:p>
        </w:tc>
        <w:tc>
          <w:tcPr>
            <w:tcW w:w="390" w:type="pct"/>
            <w:shd w:val="clear" w:color="auto" w:fill="auto"/>
            <w:noWrap w:val="0"/>
            <w:vAlign w:val="center"/>
          </w:tcPr>
          <w:p w14:paraId="691CFEDC">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b/>
                <w:bCs/>
                <w:i w:val="0"/>
                <w:iCs w:val="0"/>
                <w:color w:val="auto"/>
                <w:kern w:val="2"/>
                <w:sz w:val="21"/>
                <w:szCs w:val="21"/>
                <w:highlight w:val="none"/>
                <w:lang w:val="en-US" w:eastAsia="en-US" w:bidi="ar-SA"/>
              </w:rPr>
            </w:pPr>
            <w:r>
              <w:rPr>
                <w:rFonts w:hint="default" w:ascii="Times New Roman" w:hAnsi="Times New Roman" w:eastAsia="宋体" w:cs="Times New Roman"/>
                <w:b/>
                <w:bCs/>
                <w:i w:val="0"/>
                <w:iCs w:val="0"/>
                <w:color w:val="auto"/>
                <w:sz w:val="21"/>
                <w:szCs w:val="21"/>
                <w:highlight w:val="none"/>
                <w:lang w:val="en-US" w:eastAsia="en-US"/>
              </w:rPr>
              <w:t>动物</w:t>
            </w:r>
          </w:p>
        </w:tc>
      </w:tr>
      <w:tr w14:paraId="69FCB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390" w:type="pct"/>
            <w:noWrap w:val="0"/>
            <w:vAlign w:val="center"/>
          </w:tcPr>
          <w:p w14:paraId="5C40DF83">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en-US"/>
              </w:rPr>
              <w:t>L1</w:t>
            </w:r>
          </w:p>
        </w:tc>
        <w:tc>
          <w:tcPr>
            <w:tcW w:w="937" w:type="pct"/>
            <w:noWrap w:val="0"/>
            <w:vAlign w:val="center"/>
          </w:tcPr>
          <w:p w14:paraId="6FAA430D">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选矿厂南侧</w:t>
            </w:r>
          </w:p>
        </w:tc>
        <w:tc>
          <w:tcPr>
            <w:tcW w:w="755" w:type="pct"/>
            <w:noWrap w:val="0"/>
            <w:vAlign w:val="center"/>
          </w:tcPr>
          <w:p w14:paraId="1A2E41F6">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eastAsia"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1.1km</w:t>
            </w:r>
          </w:p>
        </w:tc>
        <w:tc>
          <w:tcPr>
            <w:tcW w:w="565" w:type="pct"/>
            <w:noWrap w:val="0"/>
            <w:vAlign w:val="center"/>
          </w:tcPr>
          <w:p w14:paraId="3BF71306">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牧草地</w:t>
            </w:r>
          </w:p>
        </w:tc>
        <w:tc>
          <w:tcPr>
            <w:tcW w:w="813" w:type="pct"/>
            <w:shd w:val="clear" w:color="auto" w:fill="auto"/>
            <w:noWrap w:val="0"/>
            <w:vAlign w:val="center"/>
          </w:tcPr>
          <w:p w14:paraId="514010B1">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1100-1097</w:t>
            </w:r>
          </w:p>
        </w:tc>
        <w:tc>
          <w:tcPr>
            <w:tcW w:w="381" w:type="pct"/>
            <w:shd w:val="clear" w:color="auto" w:fill="auto"/>
            <w:noWrap w:val="0"/>
            <w:vAlign w:val="center"/>
          </w:tcPr>
          <w:p w14:paraId="1FDDAEE4">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3处</w:t>
            </w:r>
          </w:p>
        </w:tc>
        <w:tc>
          <w:tcPr>
            <w:tcW w:w="381" w:type="pct"/>
            <w:shd w:val="clear" w:color="auto" w:fill="auto"/>
            <w:noWrap w:val="0"/>
            <w:vAlign w:val="center"/>
          </w:tcPr>
          <w:p w14:paraId="751C464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eastAsia="宋体" w:cs="Times New Roman"/>
                <w:i w:val="0"/>
                <w:iCs w:val="0"/>
                <w:color w:val="auto"/>
                <w:sz w:val="21"/>
                <w:szCs w:val="21"/>
                <w:highlight w:val="none"/>
                <w:lang w:val="en-US" w:eastAsia="zh-CN"/>
              </w:rPr>
              <w:t>/</w:t>
            </w:r>
          </w:p>
        </w:tc>
        <w:tc>
          <w:tcPr>
            <w:tcW w:w="381" w:type="pct"/>
            <w:shd w:val="clear" w:color="auto" w:fill="auto"/>
            <w:noWrap w:val="0"/>
            <w:vAlign w:val="center"/>
          </w:tcPr>
          <w:p w14:paraId="103A2435">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en-US"/>
              </w:rPr>
              <w:t>/</w:t>
            </w:r>
          </w:p>
        </w:tc>
        <w:tc>
          <w:tcPr>
            <w:tcW w:w="390" w:type="pct"/>
            <w:shd w:val="clear" w:color="auto" w:fill="auto"/>
            <w:noWrap w:val="0"/>
            <w:vAlign w:val="center"/>
          </w:tcPr>
          <w:p w14:paraId="5305E7C6">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羊</w:t>
            </w:r>
          </w:p>
        </w:tc>
      </w:tr>
      <w:tr w14:paraId="7D00E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390" w:type="pct"/>
            <w:noWrap w:val="0"/>
            <w:vAlign w:val="center"/>
          </w:tcPr>
          <w:p w14:paraId="1E0C19D1">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en-US"/>
              </w:rPr>
              <w:t>L2</w:t>
            </w:r>
          </w:p>
        </w:tc>
        <w:tc>
          <w:tcPr>
            <w:tcW w:w="937" w:type="pct"/>
            <w:noWrap w:val="0"/>
            <w:vAlign w:val="center"/>
          </w:tcPr>
          <w:p w14:paraId="268B69B4">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zh-CN"/>
              </w:rPr>
              <w:t>选矿厂东侧</w:t>
            </w:r>
          </w:p>
        </w:tc>
        <w:tc>
          <w:tcPr>
            <w:tcW w:w="755" w:type="pct"/>
            <w:noWrap w:val="0"/>
            <w:vAlign w:val="center"/>
          </w:tcPr>
          <w:p w14:paraId="02C971C2">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en-US"/>
              </w:rPr>
              <w:t>1.2km</w:t>
            </w:r>
          </w:p>
        </w:tc>
        <w:tc>
          <w:tcPr>
            <w:tcW w:w="565" w:type="pct"/>
            <w:noWrap w:val="0"/>
            <w:vAlign w:val="center"/>
          </w:tcPr>
          <w:p w14:paraId="769B600B">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zh-CN"/>
              </w:rPr>
              <w:t>牧草地</w:t>
            </w:r>
          </w:p>
        </w:tc>
        <w:tc>
          <w:tcPr>
            <w:tcW w:w="813" w:type="pct"/>
            <w:shd w:val="clear" w:color="auto" w:fill="auto"/>
            <w:noWrap w:val="0"/>
            <w:vAlign w:val="center"/>
          </w:tcPr>
          <w:p w14:paraId="6B786EB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1102-1139</w:t>
            </w:r>
          </w:p>
        </w:tc>
        <w:tc>
          <w:tcPr>
            <w:tcW w:w="381" w:type="pct"/>
            <w:shd w:val="clear" w:color="auto" w:fill="auto"/>
            <w:noWrap w:val="0"/>
            <w:vAlign w:val="center"/>
          </w:tcPr>
          <w:p w14:paraId="6F3C5E93">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en-US"/>
              </w:rPr>
              <w:t>/</w:t>
            </w:r>
          </w:p>
        </w:tc>
        <w:tc>
          <w:tcPr>
            <w:tcW w:w="381" w:type="pct"/>
            <w:shd w:val="clear" w:color="auto" w:fill="auto"/>
            <w:noWrap w:val="0"/>
            <w:vAlign w:val="center"/>
          </w:tcPr>
          <w:p w14:paraId="2C8201A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en-US"/>
              </w:rPr>
              <w:t>/</w:t>
            </w:r>
          </w:p>
        </w:tc>
        <w:tc>
          <w:tcPr>
            <w:tcW w:w="381" w:type="pct"/>
            <w:shd w:val="clear" w:color="auto" w:fill="auto"/>
            <w:noWrap w:val="0"/>
            <w:vAlign w:val="center"/>
          </w:tcPr>
          <w:p w14:paraId="765B33E7">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en-US"/>
              </w:rPr>
              <w:t>/</w:t>
            </w:r>
          </w:p>
        </w:tc>
        <w:tc>
          <w:tcPr>
            <w:tcW w:w="390" w:type="pct"/>
            <w:shd w:val="clear" w:color="auto" w:fill="auto"/>
            <w:noWrap w:val="0"/>
            <w:vAlign w:val="center"/>
          </w:tcPr>
          <w:p w14:paraId="3483333A">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羊</w:t>
            </w:r>
          </w:p>
        </w:tc>
      </w:tr>
      <w:tr w14:paraId="37856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390" w:type="pct"/>
            <w:noWrap w:val="0"/>
            <w:vAlign w:val="center"/>
          </w:tcPr>
          <w:p w14:paraId="0DA4B6F7">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en-US"/>
              </w:rPr>
              <w:t>L3</w:t>
            </w:r>
          </w:p>
        </w:tc>
        <w:tc>
          <w:tcPr>
            <w:tcW w:w="937" w:type="pct"/>
            <w:noWrap w:val="0"/>
            <w:vAlign w:val="center"/>
          </w:tcPr>
          <w:p w14:paraId="6BC04D17">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zh-CN"/>
              </w:rPr>
              <w:t>尾矿库北侧</w:t>
            </w:r>
          </w:p>
        </w:tc>
        <w:tc>
          <w:tcPr>
            <w:tcW w:w="755" w:type="pct"/>
            <w:noWrap w:val="0"/>
            <w:vAlign w:val="center"/>
          </w:tcPr>
          <w:p w14:paraId="5E421EC4">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eastAsia" w:ascii="Times New Roman" w:hAnsi="Times New Roman" w:eastAsia="宋体" w:cs="Times New Roman"/>
                <w:i w:val="0"/>
                <w:iCs w:val="0"/>
                <w:color w:val="auto"/>
                <w:sz w:val="21"/>
                <w:szCs w:val="21"/>
                <w:highlight w:val="none"/>
                <w:lang w:val="en-US" w:eastAsia="zh-CN"/>
              </w:rPr>
            </w:pPr>
            <w:r>
              <w:rPr>
                <w:rFonts w:hint="eastAsia" w:cs="Times New Roman"/>
                <w:i w:val="0"/>
                <w:iCs w:val="0"/>
                <w:color w:val="auto"/>
                <w:sz w:val="21"/>
                <w:szCs w:val="21"/>
                <w:highlight w:val="none"/>
                <w:lang w:val="en-US" w:eastAsia="zh-CN"/>
              </w:rPr>
              <w:t>1.1km</w:t>
            </w:r>
          </w:p>
        </w:tc>
        <w:tc>
          <w:tcPr>
            <w:tcW w:w="565" w:type="pct"/>
            <w:noWrap w:val="0"/>
            <w:vAlign w:val="center"/>
          </w:tcPr>
          <w:p w14:paraId="01CA56F5">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i w:val="0"/>
                <w:iCs w:val="0"/>
                <w:color w:val="auto"/>
                <w:sz w:val="21"/>
                <w:szCs w:val="21"/>
                <w:highlight w:val="none"/>
                <w:lang w:val="en-US" w:eastAsia="en-US"/>
              </w:rPr>
            </w:pPr>
            <w:r>
              <w:rPr>
                <w:rFonts w:hint="default" w:ascii="Times New Roman" w:hAnsi="Times New Roman" w:eastAsia="宋体" w:cs="Times New Roman"/>
                <w:i w:val="0"/>
                <w:iCs w:val="0"/>
                <w:color w:val="auto"/>
                <w:sz w:val="21"/>
                <w:szCs w:val="21"/>
                <w:highlight w:val="none"/>
                <w:lang w:val="en-US" w:eastAsia="zh-CN"/>
              </w:rPr>
              <w:t>牧草地</w:t>
            </w:r>
          </w:p>
        </w:tc>
        <w:tc>
          <w:tcPr>
            <w:tcW w:w="813" w:type="pct"/>
            <w:shd w:val="clear" w:color="auto" w:fill="auto"/>
            <w:noWrap w:val="0"/>
            <w:vAlign w:val="center"/>
          </w:tcPr>
          <w:p w14:paraId="1F7901E5">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1085-1091</w:t>
            </w:r>
          </w:p>
        </w:tc>
        <w:tc>
          <w:tcPr>
            <w:tcW w:w="381" w:type="pct"/>
            <w:shd w:val="clear" w:color="auto" w:fill="auto"/>
            <w:noWrap w:val="0"/>
            <w:vAlign w:val="center"/>
          </w:tcPr>
          <w:p w14:paraId="04CD0C3B">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2处</w:t>
            </w:r>
          </w:p>
        </w:tc>
        <w:tc>
          <w:tcPr>
            <w:tcW w:w="381" w:type="pct"/>
            <w:shd w:val="clear" w:color="auto" w:fill="auto"/>
            <w:noWrap w:val="0"/>
            <w:vAlign w:val="center"/>
          </w:tcPr>
          <w:p w14:paraId="1B54A671">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en-US"/>
              </w:rPr>
              <w:t>/</w:t>
            </w:r>
          </w:p>
        </w:tc>
        <w:tc>
          <w:tcPr>
            <w:tcW w:w="381" w:type="pct"/>
            <w:shd w:val="clear" w:color="auto" w:fill="auto"/>
            <w:noWrap w:val="0"/>
            <w:vAlign w:val="center"/>
          </w:tcPr>
          <w:p w14:paraId="29B98701">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en-US"/>
              </w:rPr>
              <w:t>/</w:t>
            </w:r>
          </w:p>
        </w:tc>
        <w:tc>
          <w:tcPr>
            <w:tcW w:w="390" w:type="pct"/>
            <w:shd w:val="clear" w:color="auto" w:fill="auto"/>
            <w:noWrap w:val="0"/>
            <w:vAlign w:val="center"/>
          </w:tcPr>
          <w:p w14:paraId="4C0EA22E">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羊</w:t>
            </w:r>
          </w:p>
        </w:tc>
      </w:tr>
    </w:tbl>
    <w:p w14:paraId="5C15E57A">
      <w:pPr>
        <w:overflowPunct w:val="0"/>
        <w:topLinePunct/>
        <w:ind w:firstLine="480"/>
        <w:rPr>
          <w:rFonts w:hint="default" w:ascii="Times New Roman" w:hAnsi="Times New Roman" w:eastAsia="宋体" w:cs="Times New Roman"/>
          <w:color w:val="auto"/>
          <w:highlight w:val="none"/>
          <w:shd w:val="clear" w:color="auto" w:fill="FFFFFF"/>
          <w:lang w:val="en-US" w:eastAsia="zh-CN"/>
        </w:rPr>
      </w:pPr>
      <w:r>
        <w:rPr>
          <w:rFonts w:hint="default" w:ascii="Times New Roman" w:hAnsi="Times New Roman" w:cs="Times New Roman"/>
          <w:color w:val="auto"/>
          <w:highlight w:val="none"/>
          <w:lang w:val="en-US" w:eastAsia="zh-CN"/>
        </w:rPr>
        <w:t>根据现场调查发现，本项目</w:t>
      </w:r>
      <w:r>
        <w:rPr>
          <w:rFonts w:hint="default" w:cs="Times New Roman"/>
          <w:color w:val="auto"/>
          <w:highlight w:val="none"/>
          <w:lang w:val="en-US" w:eastAsia="zh-CN"/>
        </w:rPr>
        <w:t>临近</w:t>
      </w:r>
      <w:r>
        <w:rPr>
          <w:rFonts w:hint="default" w:ascii="Times New Roman" w:hAnsi="Times New Roman" w:cs="Times New Roman"/>
          <w:color w:val="auto"/>
          <w:highlight w:val="none"/>
          <w:lang w:val="en-US" w:eastAsia="zh-CN"/>
        </w:rPr>
        <w:t>工业园区，区内人为扰动频繁，调查期间未见重点保护动物出没，仅有少量的小动物如麻雀、田鼠及蜥蜴等出没。</w:t>
      </w:r>
      <w:r>
        <w:rPr>
          <w:rFonts w:hint="default" w:ascii="Times New Roman" w:hAnsi="Times New Roman" w:cs="Times New Roman"/>
          <w:color w:val="auto"/>
          <w:highlight w:val="none"/>
          <w:shd w:val="clear" w:color="auto" w:fill="FFFFFF"/>
        </w:rPr>
        <w:t>项目区不存在《新疆国家重点保护野生动物名录</w:t>
      </w:r>
      <w:r>
        <w:rPr>
          <w:rFonts w:hint="default" w:cs="Times New Roman"/>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新疆维吾尔自治区重点保护野生动物名录（修订）》所列的保护动物以及《新疆国家重点保护野生植物名录》《新疆维吾尔自治区重点保护野生植物名录（第一批）》中所列的保护植物。</w:t>
      </w:r>
      <w:r>
        <w:rPr>
          <w:rFonts w:hint="default" w:cs="Times New Roman"/>
          <w:color w:val="auto"/>
          <w:highlight w:val="none"/>
          <w:shd w:val="clear" w:color="auto" w:fill="FFFFFF"/>
          <w:lang w:val="en-US" w:eastAsia="zh-CN"/>
        </w:rPr>
        <w:t>本项目样方及样线调查表见图4.2-5。</w:t>
      </w:r>
    </w:p>
    <w:p w14:paraId="31C6CB05">
      <w:pPr>
        <w:pStyle w:val="5"/>
        <w:ind w:firstLine="482"/>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de-DE"/>
        </w:rPr>
        <w:t>土地利用类型</w:t>
      </w:r>
    </w:p>
    <w:p w14:paraId="3C5CCBDC">
      <w:pPr>
        <w:overflowPunct w:val="0"/>
        <w:topLinePunct/>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本项目土地利用类型为</w:t>
      </w:r>
      <w:r>
        <w:rPr>
          <w:rFonts w:hint="default" w:ascii="Times New Roman" w:hAnsi="Times New Roman" w:cs="Times New Roman"/>
          <w:color w:val="auto"/>
          <w:highlight w:val="none"/>
          <w:shd w:val="clear" w:color="auto" w:fill="FFFFFF"/>
          <w:lang w:val="en-US" w:eastAsia="zh-CN"/>
        </w:rPr>
        <w:t>低</w:t>
      </w:r>
      <w:r>
        <w:rPr>
          <w:rFonts w:hint="default" w:ascii="Times New Roman" w:hAnsi="Times New Roman" w:cs="Times New Roman"/>
          <w:color w:val="auto"/>
          <w:highlight w:val="none"/>
          <w:shd w:val="clear" w:color="auto" w:fill="FFFFFF"/>
        </w:rPr>
        <w:t>覆盖度草地，详见图4.2-</w:t>
      </w:r>
      <w:r>
        <w:rPr>
          <w:rFonts w:hint="default" w:cs="Times New Roman"/>
          <w:color w:val="auto"/>
          <w:highlight w:val="none"/>
          <w:shd w:val="clear" w:color="auto" w:fill="FFFFFF"/>
          <w:lang w:val="en-US" w:eastAsia="zh-CN"/>
        </w:rPr>
        <w:t>6</w:t>
      </w:r>
      <w:r>
        <w:rPr>
          <w:rFonts w:hint="default" w:ascii="Times New Roman" w:hAnsi="Times New Roman" w:cs="Times New Roman"/>
          <w:color w:val="auto"/>
          <w:highlight w:val="none"/>
          <w:shd w:val="clear" w:color="auto" w:fill="FFFFFF"/>
        </w:rPr>
        <w:t>。</w:t>
      </w:r>
    </w:p>
    <w:p w14:paraId="4AB58E97">
      <w:pPr>
        <w:pStyle w:val="5"/>
        <w:ind w:firstLine="482"/>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7土地沙化现状调查</w:t>
      </w:r>
    </w:p>
    <w:p w14:paraId="5F983FDF">
      <w:pPr>
        <w:overflowPunct w:val="0"/>
        <w:topLinePunct/>
        <w:ind w:firstLine="480"/>
        <w:rPr>
          <w:rFonts w:hint="default" w:ascii="Times New Roman" w:hAnsi="Times New Roman" w:eastAsia="宋体" w:cs="Times New Roman"/>
          <w:color w:val="auto"/>
          <w:highlight w:val="none"/>
          <w:shd w:val="clear" w:color="auto" w:fill="FFFFFF"/>
          <w:lang w:val="en-US" w:eastAsia="zh-CN"/>
        </w:rPr>
      </w:pPr>
      <w:r>
        <w:rPr>
          <w:rFonts w:hint="default" w:ascii="Times New Roman" w:hAnsi="Times New Roman" w:eastAsia="宋体" w:cs="Times New Roman"/>
          <w:color w:val="auto"/>
          <w:highlight w:val="none"/>
          <w:shd w:val="clear" w:color="auto" w:fill="FFFFFF"/>
          <w:lang w:val="en-US" w:eastAsia="zh-CN"/>
        </w:rPr>
        <w:t>根据新疆第六次荒漠化和沙化监测领导小组办公室和新疆维吾尔自治区林业规划院于二〇二一年十二月编制完成的《新疆第六次沙化监测报告》，按新疆沙化土地自然地理单元分布特征划分两个大的自然地理单元即：北疆，南疆。本项目所在地北疆－阿勒泰地区沙化土地面积445.39万公顷，占全疆沙化土地面积比例为5.96%，本项目所在富蕴县位于古尔班通古特沙漠－福海及乌伦古河沙漠片区，该片区沙漠面积928平方千米，占全疆沙漠的0.21%，沙漠中的沙化土地面积2.90万公顷，其中半固定沙地0.10万公顷，固定沙地2.12万公顷，沙化耕地0.68万公顷。进一步根据新疆第六次沙化监测沙化土地类型分布图判断本工程所在地位于非沙化土地范围，结合现状调查情况，项目区土地无沙化现象、无沙化趋势。本项目与沙化土地分布见图4.2-</w:t>
      </w:r>
      <w:r>
        <w:rPr>
          <w:rFonts w:hint="default" w:cs="Times New Roman"/>
          <w:color w:val="auto"/>
          <w:highlight w:val="none"/>
          <w:shd w:val="clear" w:color="auto" w:fill="FFFFFF"/>
          <w:lang w:val="en-US" w:eastAsia="zh-CN"/>
        </w:rPr>
        <w:t>7</w:t>
      </w:r>
      <w:r>
        <w:rPr>
          <w:rFonts w:hint="default" w:ascii="Times New Roman" w:hAnsi="Times New Roman" w:eastAsia="宋体" w:cs="Times New Roman"/>
          <w:color w:val="auto"/>
          <w:highlight w:val="none"/>
          <w:shd w:val="clear" w:color="auto" w:fill="FFFFFF"/>
          <w:lang w:val="en-US" w:eastAsia="zh-CN"/>
        </w:rPr>
        <w:t>。</w:t>
      </w:r>
    </w:p>
    <w:p w14:paraId="7E885E28">
      <w:pPr>
        <w:pStyle w:val="4"/>
        <w:numPr>
          <w:ilvl w:val="2"/>
          <w:numId w:val="0"/>
        </w:numPr>
        <w:bidi w:val="0"/>
        <w:ind w:leftChars="0"/>
        <w:rPr>
          <w:rFonts w:hint="default" w:ascii="Times New Roman" w:hAnsi="Times New Roman" w:eastAsia="宋体" w:cs="Times New Roman"/>
          <w:b/>
          <w:bCs/>
          <w:color w:val="auto"/>
          <w:highlight w:val="none"/>
          <w:lang w:val="en-US" w:eastAsia="zh-CN"/>
        </w:rPr>
      </w:pPr>
      <w:r>
        <w:rPr>
          <w:rFonts w:hint="default"/>
          <w:color w:val="auto"/>
          <w:highlight w:val="none"/>
          <w:lang w:val="en-US" w:eastAsia="zh-CN"/>
        </w:rPr>
        <w:t>4.2.6矿石辐射监测结果及评价</w:t>
      </w:r>
    </w:p>
    <w:p w14:paraId="2C00CEC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核工业二一六大队检测研究院于202</w:t>
      </w:r>
      <w:r>
        <w:rPr>
          <w:rFonts w:hint="default"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年</w:t>
      </w:r>
      <w:r>
        <w:rPr>
          <w:rFonts w:hint="default"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月</w:t>
      </w:r>
      <w:r>
        <w:rPr>
          <w:rFonts w:hint="default"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日对尾矿及废石混合物进行了铀（钍）系单个核素活度浓度检测，监测结果见表4.2-</w:t>
      </w:r>
      <w:r>
        <w:rPr>
          <w:rFonts w:hint="default"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eastAsia="zh-CN"/>
        </w:rPr>
        <w:t>。</w:t>
      </w:r>
    </w:p>
    <w:p w14:paraId="26FCF01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default" w:cs="Times New Roman"/>
          <w:b/>
          <w:bCs/>
          <w:color w:val="auto"/>
          <w:sz w:val="24"/>
          <w:szCs w:val="24"/>
          <w:highlight w:val="none"/>
          <w:lang w:val="en-US" w:eastAsia="zh-CN"/>
        </w:rPr>
        <w:t>18</w:t>
      </w:r>
      <w:r>
        <w:rPr>
          <w:rFonts w:hint="default" w:ascii="Times New Roman" w:hAnsi="Times New Roman" w:eastAsia="宋体" w:cs="Times New Roman"/>
          <w:b/>
          <w:bCs/>
          <w:color w:val="auto"/>
          <w:sz w:val="24"/>
          <w:szCs w:val="24"/>
          <w:highlight w:val="none"/>
          <w:lang w:val="en-US" w:eastAsia="zh-CN"/>
        </w:rPr>
        <w:t xml:space="preserve">    矿石核素监测结果    单位：Bq/kg</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2157"/>
        <w:gridCol w:w="1529"/>
        <w:gridCol w:w="1529"/>
        <w:gridCol w:w="1529"/>
        <w:gridCol w:w="1533"/>
      </w:tblGrid>
      <w:tr w14:paraId="67E3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Merge w:val="restart"/>
            <w:tcBorders>
              <w:top w:val="single" w:color="auto" w:sz="12" w:space="0"/>
              <w:left w:val="single" w:color="auto" w:sz="12" w:space="0"/>
            </w:tcBorders>
            <w:noWrap w:val="0"/>
            <w:vAlign w:val="center"/>
          </w:tcPr>
          <w:p w14:paraId="5433B5B5">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序号</w:t>
            </w:r>
          </w:p>
        </w:tc>
        <w:tc>
          <w:tcPr>
            <w:tcW w:w="1175" w:type="pct"/>
            <w:vMerge w:val="restart"/>
            <w:tcBorders>
              <w:top w:val="single" w:color="auto" w:sz="12" w:space="0"/>
            </w:tcBorders>
            <w:noWrap w:val="0"/>
            <w:vAlign w:val="center"/>
          </w:tcPr>
          <w:p w14:paraId="47CF90D9">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样品</w:t>
            </w:r>
          </w:p>
        </w:tc>
        <w:tc>
          <w:tcPr>
            <w:tcW w:w="3334" w:type="pct"/>
            <w:gridSpan w:val="4"/>
            <w:tcBorders>
              <w:top w:val="single" w:color="auto" w:sz="12" w:space="0"/>
              <w:right w:val="single" w:color="auto" w:sz="12" w:space="0"/>
            </w:tcBorders>
            <w:noWrap w:val="0"/>
            <w:vAlign w:val="center"/>
          </w:tcPr>
          <w:p w14:paraId="1D391F02">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测试项目</w:t>
            </w:r>
          </w:p>
        </w:tc>
      </w:tr>
      <w:tr w14:paraId="23FB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Merge w:val="continue"/>
            <w:tcBorders>
              <w:left w:val="single" w:color="auto" w:sz="12" w:space="0"/>
            </w:tcBorders>
            <w:noWrap w:val="0"/>
            <w:vAlign w:val="center"/>
          </w:tcPr>
          <w:p w14:paraId="2F1F802B">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p>
        </w:tc>
        <w:tc>
          <w:tcPr>
            <w:tcW w:w="1175" w:type="pct"/>
            <w:vMerge w:val="continue"/>
            <w:noWrap w:val="0"/>
            <w:vAlign w:val="center"/>
          </w:tcPr>
          <w:p w14:paraId="246B2A58">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p>
        </w:tc>
        <w:tc>
          <w:tcPr>
            <w:tcW w:w="833" w:type="pct"/>
            <w:noWrap w:val="0"/>
            <w:vAlign w:val="center"/>
          </w:tcPr>
          <w:p w14:paraId="7FF2CFF3">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4"/>
                <w:szCs w:val="24"/>
                <w:highlight w:val="none"/>
                <w:vertAlign w:val="superscript"/>
                <w:lang w:val="en-US" w:eastAsia="zh-CN"/>
              </w:rPr>
              <w:t>226</w:t>
            </w:r>
            <w:r>
              <w:rPr>
                <w:rFonts w:hint="default" w:ascii="Times New Roman" w:hAnsi="Times New Roman" w:cs="Times New Roman"/>
                <w:b/>
                <w:bCs/>
                <w:color w:val="auto"/>
                <w:sz w:val="24"/>
                <w:szCs w:val="24"/>
                <w:highlight w:val="none"/>
                <w:lang w:val="en-US" w:eastAsia="zh-CN"/>
              </w:rPr>
              <w:t>Ra</w:t>
            </w:r>
          </w:p>
        </w:tc>
        <w:tc>
          <w:tcPr>
            <w:tcW w:w="833" w:type="pct"/>
            <w:noWrap w:val="0"/>
            <w:vAlign w:val="center"/>
          </w:tcPr>
          <w:p w14:paraId="7194D3F5">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4"/>
                <w:szCs w:val="24"/>
                <w:highlight w:val="none"/>
                <w:vertAlign w:val="superscript"/>
                <w:lang w:val="en-US" w:eastAsia="zh-CN"/>
              </w:rPr>
              <w:t>232</w:t>
            </w:r>
            <w:r>
              <w:rPr>
                <w:rFonts w:hint="default" w:ascii="Times New Roman" w:hAnsi="Times New Roman" w:cs="Times New Roman"/>
                <w:b/>
                <w:bCs/>
                <w:color w:val="auto"/>
                <w:sz w:val="24"/>
                <w:szCs w:val="24"/>
                <w:highlight w:val="none"/>
                <w:lang w:val="en-US" w:eastAsia="zh-CN"/>
              </w:rPr>
              <w:t>Th</w:t>
            </w:r>
          </w:p>
        </w:tc>
        <w:tc>
          <w:tcPr>
            <w:tcW w:w="833" w:type="pct"/>
            <w:noWrap w:val="0"/>
            <w:vAlign w:val="center"/>
          </w:tcPr>
          <w:p w14:paraId="3AD43A49">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4"/>
                <w:szCs w:val="24"/>
                <w:highlight w:val="none"/>
                <w:vertAlign w:val="superscript"/>
                <w:lang w:val="en-US" w:eastAsia="zh-CN"/>
              </w:rPr>
              <w:t>40</w:t>
            </w:r>
            <w:r>
              <w:rPr>
                <w:rFonts w:hint="default" w:ascii="Times New Roman" w:hAnsi="Times New Roman" w:cs="Times New Roman"/>
                <w:b/>
                <w:bCs/>
                <w:color w:val="auto"/>
                <w:sz w:val="24"/>
                <w:szCs w:val="24"/>
                <w:highlight w:val="none"/>
                <w:lang w:val="en-US" w:eastAsia="zh-CN"/>
              </w:rPr>
              <w:t>K</w:t>
            </w:r>
          </w:p>
        </w:tc>
        <w:tc>
          <w:tcPr>
            <w:tcW w:w="834" w:type="pct"/>
            <w:tcBorders>
              <w:right w:val="single" w:color="auto" w:sz="12" w:space="0"/>
            </w:tcBorders>
            <w:noWrap w:val="0"/>
            <w:vAlign w:val="center"/>
          </w:tcPr>
          <w:p w14:paraId="628FCC32">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4"/>
                <w:szCs w:val="24"/>
                <w:highlight w:val="none"/>
                <w:vertAlign w:val="superscript"/>
                <w:lang w:val="en-US" w:eastAsia="zh-CN"/>
              </w:rPr>
              <w:t>238</w:t>
            </w:r>
            <w:r>
              <w:rPr>
                <w:rFonts w:hint="default" w:ascii="Times New Roman" w:hAnsi="Times New Roman" w:cs="Times New Roman"/>
                <w:b/>
                <w:bCs/>
                <w:color w:val="auto"/>
                <w:sz w:val="24"/>
                <w:szCs w:val="24"/>
                <w:highlight w:val="none"/>
                <w:lang w:val="en-US" w:eastAsia="zh-CN"/>
              </w:rPr>
              <w:t>U</w:t>
            </w:r>
          </w:p>
        </w:tc>
      </w:tr>
      <w:tr w14:paraId="5CC6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tcBorders>
              <w:left w:val="single" w:color="auto" w:sz="12" w:space="0"/>
              <w:bottom w:val="single" w:color="auto" w:sz="12" w:space="0"/>
            </w:tcBorders>
            <w:noWrap w:val="0"/>
            <w:vAlign w:val="center"/>
          </w:tcPr>
          <w:p w14:paraId="2CA90ABF">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1175" w:type="pct"/>
            <w:tcBorders>
              <w:bottom w:val="single" w:color="auto" w:sz="12" w:space="0"/>
            </w:tcBorders>
            <w:noWrap w:val="0"/>
            <w:vAlign w:val="center"/>
          </w:tcPr>
          <w:p w14:paraId="77712FF0">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尾矿及废石混合物</w:t>
            </w:r>
          </w:p>
        </w:tc>
        <w:tc>
          <w:tcPr>
            <w:tcW w:w="833" w:type="pct"/>
            <w:tcBorders>
              <w:bottom w:val="single" w:color="auto" w:sz="12" w:space="0"/>
            </w:tcBorders>
            <w:noWrap w:val="0"/>
            <w:vAlign w:val="center"/>
          </w:tcPr>
          <w:p w14:paraId="276A0A1B">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14.2</w:t>
            </w:r>
          </w:p>
        </w:tc>
        <w:tc>
          <w:tcPr>
            <w:tcW w:w="833" w:type="pct"/>
            <w:tcBorders>
              <w:bottom w:val="single" w:color="auto" w:sz="12" w:space="0"/>
            </w:tcBorders>
            <w:noWrap w:val="0"/>
            <w:vAlign w:val="center"/>
          </w:tcPr>
          <w:p w14:paraId="520CBDEE">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7.1</w:t>
            </w:r>
          </w:p>
        </w:tc>
        <w:tc>
          <w:tcPr>
            <w:tcW w:w="833" w:type="pct"/>
            <w:tcBorders>
              <w:bottom w:val="single" w:color="auto" w:sz="12" w:space="0"/>
            </w:tcBorders>
            <w:noWrap w:val="0"/>
            <w:vAlign w:val="center"/>
          </w:tcPr>
          <w:p w14:paraId="135CE775">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492</w:t>
            </w:r>
          </w:p>
        </w:tc>
        <w:tc>
          <w:tcPr>
            <w:tcW w:w="834" w:type="pct"/>
            <w:tcBorders>
              <w:bottom w:val="single" w:color="auto" w:sz="12" w:space="0"/>
              <w:right w:val="single" w:color="auto" w:sz="12" w:space="0"/>
            </w:tcBorders>
            <w:noWrap w:val="0"/>
            <w:vAlign w:val="center"/>
          </w:tcPr>
          <w:p w14:paraId="415C5955">
            <w:pPr>
              <w:keepNext w:val="0"/>
              <w:keepLines w:val="0"/>
              <w:pageBreakBefore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小于7.6</w:t>
            </w:r>
          </w:p>
        </w:tc>
      </w:tr>
    </w:tbl>
    <w:p w14:paraId="58A71B97">
      <w:pPr>
        <w:bidi w:val="0"/>
        <w:rPr>
          <w:color w:val="auto"/>
          <w:highlight w:val="none"/>
        </w:rPr>
      </w:pPr>
      <w:r>
        <w:rPr>
          <w:rFonts w:hint="default" w:ascii="Times New Roman" w:hAnsi="Times New Roman" w:cs="Times New Roman"/>
          <w:color w:val="auto"/>
          <w:sz w:val="24"/>
          <w:szCs w:val="24"/>
          <w:highlight w:val="none"/>
          <w:lang w:val="en-US" w:eastAsia="zh-CN"/>
        </w:rPr>
        <w:t>结果显示</w:t>
      </w:r>
      <w:r>
        <w:rPr>
          <w:rFonts w:hint="default" w:ascii="Times New Roman" w:hAnsi="Times New Roman" w:cs="Times New Roman"/>
          <w:color w:val="auto"/>
          <w:sz w:val="24"/>
          <w:szCs w:val="24"/>
          <w:highlight w:val="none"/>
          <w:vertAlign w:val="superscript"/>
          <w:lang w:val="en-US" w:eastAsia="zh-CN"/>
        </w:rPr>
        <w:t>238</w:t>
      </w:r>
      <w:r>
        <w:rPr>
          <w:rFonts w:hint="default" w:ascii="Times New Roman" w:hAnsi="Times New Roman" w:cs="Times New Roman"/>
          <w:color w:val="auto"/>
          <w:sz w:val="24"/>
          <w:szCs w:val="24"/>
          <w:highlight w:val="none"/>
          <w:lang w:val="en-US" w:eastAsia="zh-CN"/>
        </w:rPr>
        <w:t>U、</w:t>
      </w:r>
      <w:r>
        <w:rPr>
          <w:rFonts w:hint="default" w:ascii="Times New Roman" w:hAnsi="Times New Roman" w:cs="Times New Roman"/>
          <w:color w:val="auto"/>
          <w:sz w:val="24"/>
          <w:szCs w:val="24"/>
          <w:highlight w:val="none"/>
          <w:vertAlign w:val="superscript"/>
          <w:lang w:val="en-US" w:eastAsia="zh-CN"/>
        </w:rPr>
        <w:t>226</w:t>
      </w:r>
      <w:r>
        <w:rPr>
          <w:rFonts w:hint="default" w:ascii="Times New Roman" w:hAnsi="Times New Roman" w:cs="Times New Roman"/>
          <w:color w:val="auto"/>
          <w:sz w:val="24"/>
          <w:szCs w:val="24"/>
          <w:highlight w:val="none"/>
          <w:lang w:val="en-US" w:eastAsia="zh-CN"/>
        </w:rPr>
        <w:t>Ra、</w:t>
      </w:r>
      <w:r>
        <w:rPr>
          <w:rFonts w:hint="default" w:ascii="Times New Roman" w:hAnsi="Times New Roman" w:cs="Times New Roman"/>
          <w:color w:val="auto"/>
          <w:sz w:val="24"/>
          <w:szCs w:val="24"/>
          <w:highlight w:val="none"/>
          <w:vertAlign w:val="superscript"/>
          <w:lang w:val="en-US" w:eastAsia="zh-CN"/>
        </w:rPr>
        <w:t>232</w:t>
      </w:r>
      <w:r>
        <w:rPr>
          <w:rFonts w:hint="default" w:ascii="Times New Roman" w:hAnsi="Times New Roman" w:cs="Times New Roman"/>
          <w:color w:val="auto"/>
          <w:sz w:val="24"/>
          <w:szCs w:val="24"/>
          <w:highlight w:val="none"/>
          <w:lang w:val="en-US" w:eastAsia="zh-CN"/>
        </w:rPr>
        <w:t>Th、</w:t>
      </w:r>
      <w:r>
        <w:rPr>
          <w:rFonts w:hint="default" w:ascii="Times New Roman" w:hAnsi="Times New Roman" w:cs="Times New Roman"/>
          <w:color w:val="auto"/>
          <w:sz w:val="24"/>
          <w:szCs w:val="24"/>
          <w:highlight w:val="none"/>
          <w:vertAlign w:val="superscript"/>
          <w:lang w:val="en-US" w:eastAsia="zh-CN"/>
        </w:rPr>
        <w:t>40</w:t>
      </w:r>
      <w:r>
        <w:rPr>
          <w:rFonts w:hint="default" w:ascii="Times New Roman" w:hAnsi="Times New Roman" w:cs="Times New Roman"/>
          <w:color w:val="auto"/>
          <w:sz w:val="24"/>
          <w:szCs w:val="24"/>
          <w:highlight w:val="none"/>
          <w:lang w:val="en-US" w:eastAsia="zh-CN"/>
        </w:rPr>
        <w:t>K等元素活度浓度均未超过1贝克/克（Bq/g），检测报告详见附件。</w:t>
      </w:r>
    </w:p>
    <w:p w14:paraId="7086D711">
      <w:pPr>
        <w:overflowPunct w:val="0"/>
        <w:topLinePunct/>
        <w:ind w:firstLine="480"/>
        <w:rPr>
          <w:rFonts w:hint="default" w:ascii="Times New Roman" w:hAnsi="Times New Roman" w:eastAsia="宋体" w:cs="Times New Roman"/>
          <w:color w:val="auto"/>
          <w:highlight w:val="none"/>
          <w:shd w:val="clear" w:color="auto" w:fill="FFFFFF"/>
          <w:lang w:val="en-US" w:eastAsia="zh-CN"/>
        </w:rPr>
        <w:sectPr>
          <w:footerReference r:id="rId25" w:type="default"/>
          <w:footerReference r:id="rId26" w:type="even"/>
          <w:pgSz w:w="11906" w:h="16838"/>
          <w:pgMar w:top="1474" w:right="1474" w:bottom="1474" w:left="1474" w:header="850" w:footer="1134" w:gutter="0"/>
          <w:cols w:space="720" w:num="1"/>
          <w:docGrid w:linePitch="312" w:charSpace="0"/>
        </w:sectPr>
      </w:pPr>
    </w:p>
    <w:p w14:paraId="1FD939E9">
      <w:pPr>
        <w:pStyle w:val="2"/>
        <w:spacing w:line="720" w:lineRule="exact"/>
        <w:rPr>
          <w:rFonts w:hint="default" w:ascii="Times New Roman" w:hAnsi="Times New Roman" w:cs="Times New Roman"/>
          <w:color w:val="auto"/>
          <w:highlight w:val="none"/>
        </w:rPr>
      </w:pPr>
      <w:bookmarkStart w:id="694" w:name="_Toc493523114"/>
      <w:bookmarkStart w:id="695" w:name="_Toc484105109"/>
      <w:bookmarkStart w:id="696" w:name="_Toc26580"/>
      <w:bookmarkStart w:id="697" w:name="_Toc15490"/>
      <w:bookmarkStart w:id="698" w:name="_Toc30353"/>
      <w:bookmarkStart w:id="699" w:name="_Toc29195"/>
      <w:bookmarkStart w:id="700" w:name="_Toc9752"/>
      <w:bookmarkStart w:id="701" w:name="_Toc107414663"/>
      <w:bookmarkStart w:id="702" w:name="_Toc107413896"/>
      <w:bookmarkStart w:id="703" w:name="_Toc20787"/>
      <w:bookmarkStart w:id="704" w:name="_Toc1736"/>
      <w:bookmarkStart w:id="705" w:name="_Toc30557"/>
      <w:bookmarkStart w:id="706" w:name="_Toc20316"/>
      <w:bookmarkStart w:id="707" w:name="_Toc6745"/>
      <w:bookmarkStart w:id="708" w:name="_Toc13282"/>
      <w:bookmarkStart w:id="709" w:name="_Toc32565"/>
      <w:bookmarkStart w:id="710" w:name="_Toc14279"/>
      <w:bookmarkStart w:id="711" w:name="_Toc2272"/>
      <w:bookmarkStart w:id="712" w:name="_Toc15934"/>
      <w:bookmarkStart w:id="713" w:name="_Toc9731"/>
      <w:bookmarkStart w:id="714" w:name="_Toc15495"/>
      <w:bookmarkStart w:id="715" w:name="_Toc22456"/>
      <w:bookmarkStart w:id="716" w:name="_Toc27520"/>
      <w:bookmarkStart w:id="717" w:name="_Toc14307"/>
      <w:r>
        <w:rPr>
          <w:rFonts w:hint="default" w:ascii="Times New Roman" w:hAnsi="Times New Roman" w:cs="Times New Roman"/>
          <w:color w:val="auto"/>
          <w:highlight w:val="none"/>
        </w:rPr>
        <w:t>5 环境影响</w:t>
      </w:r>
      <w:bookmarkEnd w:id="694"/>
      <w:bookmarkEnd w:id="695"/>
      <w:r>
        <w:rPr>
          <w:rFonts w:hint="default" w:ascii="Times New Roman" w:hAnsi="Times New Roman" w:cs="Times New Roman"/>
          <w:color w:val="auto"/>
          <w:highlight w:val="none"/>
        </w:rPr>
        <w:t>预测与评价</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02F539C">
      <w:pPr>
        <w:pStyle w:val="3"/>
        <w:spacing w:line="560" w:lineRule="atLeast"/>
        <w:rPr>
          <w:rFonts w:hint="default" w:ascii="Times New Roman" w:hAnsi="Times New Roman" w:cs="Times New Roman"/>
          <w:color w:val="auto"/>
          <w:highlight w:val="none"/>
        </w:rPr>
      </w:pPr>
      <w:bookmarkStart w:id="718" w:name="_Toc1604"/>
      <w:bookmarkStart w:id="719" w:name="_Toc107414664"/>
      <w:bookmarkStart w:id="720" w:name="_Toc30343"/>
      <w:bookmarkStart w:id="721" w:name="_Toc107413897"/>
      <w:bookmarkStart w:id="722" w:name="_Toc8381"/>
      <w:bookmarkStart w:id="723" w:name="_Toc23228"/>
      <w:bookmarkStart w:id="724" w:name="_Toc23825"/>
      <w:r>
        <w:rPr>
          <w:rFonts w:hint="default" w:ascii="Times New Roman" w:hAnsi="Times New Roman" w:cs="Times New Roman"/>
          <w:color w:val="auto"/>
          <w:highlight w:val="none"/>
        </w:rPr>
        <w:t>5.1施工期环境影响预测与评价</w:t>
      </w:r>
      <w:bookmarkEnd w:id="718"/>
      <w:bookmarkEnd w:id="719"/>
      <w:bookmarkEnd w:id="720"/>
      <w:bookmarkEnd w:id="721"/>
      <w:bookmarkEnd w:id="722"/>
      <w:bookmarkEnd w:id="723"/>
      <w:bookmarkEnd w:id="724"/>
    </w:p>
    <w:p w14:paraId="4031750B">
      <w:pPr>
        <w:pStyle w:val="4"/>
        <w:rPr>
          <w:rFonts w:hint="default" w:ascii="Times New Roman" w:hAnsi="Times New Roman" w:cs="Times New Roman"/>
          <w:color w:val="auto"/>
          <w:highlight w:val="none"/>
        </w:rPr>
      </w:pPr>
      <w:bookmarkStart w:id="725" w:name="_Toc5063"/>
      <w:bookmarkStart w:id="726" w:name="_Toc27995"/>
      <w:bookmarkStart w:id="727" w:name="_Toc8337"/>
      <w:r>
        <w:rPr>
          <w:rFonts w:hint="default" w:ascii="Times New Roman" w:hAnsi="Times New Roman" w:cs="Times New Roman"/>
          <w:color w:val="auto"/>
          <w:highlight w:val="none"/>
        </w:rPr>
        <w:t>5.1.1施工期废气环境影响分析</w:t>
      </w:r>
      <w:bookmarkEnd w:id="725"/>
      <w:bookmarkEnd w:id="726"/>
      <w:bookmarkEnd w:id="727"/>
    </w:p>
    <w:p w14:paraId="25BBE945">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本项目施工期产生的废气主要来自施工扬尘与汽车尾气等。</w:t>
      </w:r>
    </w:p>
    <w:p w14:paraId="4786D56C">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在施工过程中，开挖土方造成土地裸露和土方堆积，建筑材料装卸以及运输车辆行驶等均会产生粉尘，这些粉尘随风扩散造成施工扬尘。施工扬尘的大小随施工季节、施工管理等不同差别甚大，影响可达150～300m。</w:t>
      </w:r>
    </w:p>
    <w:p w14:paraId="62935E50">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（1）施工扬尘的来源</w:t>
      </w:r>
    </w:p>
    <w:p w14:paraId="7F2104D6">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1）场地平整、土方堆放和清运过程造成的扬尘；</w:t>
      </w:r>
    </w:p>
    <w:p w14:paraId="02433629">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2）道路建设造成的扬尘；</w:t>
      </w:r>
    </w:p>
    <w:p w14:paraId="58B1DBDB">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3）建筑材料运输、装卸、堆放的扬尘；</w:t>
      </w:r>
    </w:p>
    <w:p w14:paraId="5CF1E644">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4）运输车辆往来造成的扬尘；</w:t>
      </w:r>
    </w:p>
    <w:p w14:paraId="7EFD38BF">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5）施工垃圾的堆放和清运过</w:t>
      </w:r>
      <w:r>
        <w:rPr>
          <w:rFonts w:hint="default" w:ascii="Times New Roman" w:hAnsi="Times New Roman" w:cs="Times New Roman"/>
          <w:color w:val="auto"/>
          <w:kern w:val="2"/>
          <w:highlight w:val="none"/>
          <w:lang w:eastAsia="zh-CN"/>
        </w:rPr>
        <w:t>程中</w:t>
      </w:r>
      <w:r>
        <w:rPr>
          <w:rFonts w:hint="default" w:ascii="Times New Roman" w:hAnsi="Times New Roman" w:cs="Times New Roman"/>
          <w:color w:val="auto"/>
          <w:kern w:val="2"/>
          <w:highlight w:val="none"/>
        </w:rPr>
        <w:t>造成的扬尘。</w:t>
      </w:r>
    </w:p>
    <w:p w14:paraId="35528B41">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（2）扬尘对大气环境的影响分析</w:t>
      </w:r>
    </w:p>
    <w:p w14:paraId="3E2AFCCD">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根据类比调查资料可知，施工及运输车辆引起的扬尘影响道路两侧各约50m的区域；表土剥离扬尘污染严重，空气中扬尘浓度可达20mg/m</w:t>
      </w:r>
      <w:r>
        <w:rPr>
          <w:rFonts w:hint="default" w:ascii="Times New Roman" w:hAnsi="Times New Roman" w:cs="Times New Roman"/>
          <w:color w:val="auto"/>
          <w:kern w:val="2"/>
          <w:highlight w:val="none"/>
          <w:vertAlign w:val="superscript"/>
        </w:rPr>
        <w:t>3</w:t>
      </w:r>
      <w:r>
        <w:rPr>
          <w:rFonts w:hint="default" w:ascii="Times New Roman" w:hAnsi="Times New Roman" w:cs="Times New Roman"/>
          <w:color w:val="auto"/>
          <w:kern w:val="2"/>
          <w:highlight w:val="none"/>
        </w:rPr>
        <w:t>，随着距离的增加，TSP浓度迅速下降，影响范围主要在周围50m内；建筑工地扬尘的影响范围主要在施工场地外100m以内。</w:t>
      </w:r>
    </w:p>
    <w:p w14:paraId="30D544F0">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（3）施工废气影响分析</w:t>
      </w:r>
    </w:p>
    <w:p w14:paraId="6963ABF9">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施工废气来源包括各种燃油机械的废气排放以及运输车辆产生的尾气。</w:t>
      </w:r>
    </w:p>
    <w:p w14:paraId="07B66DB7">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szCs w:val="24"/>
          <w:highlight w:val="none"/>
        </w:rPr>
        <w:t>燃油机械和汽车尾气中的污染物主要有一氧化碳（CO）、碳氢化合物（C</w:t>
      </w:r>
      <w:r>
        <w:rPr>
          <w:rFonts w:hint="default" w:ascii="Times New Roman" w:hAnsi="Times New Roman" w:cs="Times New Roman"/>
          <w:color w:val="auto"/>
          <w:szCs w:val="24"/>
          <w:highlight w:val="none"/>
          <w:vertAlign w:val="subscript"/>
        </w:rPr>
        <w:t>m</w:t>
      </w:r>
      <w:r>
        <w:rPr>
          <w:rFonts w:hint="default" w:ascii="Times New Roman" w:hAnsi="Times New Roman" w:cs="Times New Roman"/>
          <w:color w:val="auto"/>
          <w:szCs w:val="24"/>
          <w:highlight w:val="none"/>
        </w:rPr>
        <w:t>H</w:t>
      </w:r>
      <w:r>
        <w:rPr>
          <w:rFonts w:hint="default" w:ascii="Times New Roman" w:hAnsi="Times New Roman" w:cs="Times New Roman"/>
          <w:color w:val="auto"/>
          <w:szCs w:val="24"/>
          <w:highlight w:val="none"/>
          <w:vertAlign w:val="subscript"/>
        </w:rPr>
        <w:t>n</w:t>
      </w:r>
      <w:r>
        <w:rPr>
          <w:rFonts w:hint="default" w:ascii="Times New Roman" w:hAnsi="Times New Roman" w:cs="Times New Roman"/>
          <w:color w:val="auto"/>
          <w:szCs w:val="24"/>
          <w:highlight w:val="none"/>
        </w:rPr>
        <w:t>）及氮氧化物（NO</w:t>
      </w:r>
      <w:r>
        <w:rPr>
          <w:rFonts w:hint="default" w:ascii="Times New Roman" w:hAnsi="Times New Roman" w:cs="Times New Roman"/>
          <w:color w:val="auto"/>
          <w:szCs w:val="24"/>
          <w:highlight w:val="none"/>
          <w:vertAlign w:val="subscript"/>
        </w:rPr>
        <w:t>x</w:t>
      </w:r>
      <w:r>
        <w:rPr>
          <w:rFonts w:hint="default" w:ascii="Times New Roman" w:hAnsi="Times New Roman" w:cs="Times New Roman"/>
          <w:color w:val="auto"/>
          <w:szCs w:val="24"/>
          <w:highlight w:val="none"/>
        </w:rPr>
        <w:t>）等。据有关单位在施工现场的测试结果表明：氮氧化物（NO</w:t>
      </w:r>
      <w:r>
        <w:rPr>
          <w:rFonts w:hint="default" w:ascii="Times New Roman" w:hAnsi="Times New Roman" w:cs="Times New Roman"/>
          <w:color w:val="auto"/>
          <w:szCs w:val="24"/>
          <w:highlight w:val="none"/>
          <w:vertAlign w:val="subscript"/>
        </w:rPr>
        <w:t>x</w:t>
      </w:r>
      <w:r>
        <w:rPr>
          <w:rFonts w:hint="default" w:ascii="Times New Roman" w:hAnsi="Times New Roman" w:cs="Times New Roman"/>
          <w:color w:val="auto"/>
          <w:szCs w:val="24"/>
          <w:highlight w:val="none"/>
        </w:rPr>
        <w:t>）的浓度可达到150μg/m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，其影响范围在下风向200m的范围内。</w:t>
      </w:r>
    </w:p>
    <w:p w14:paraId="1C82B716">
      <w:pPr>
        <w:pStyle w:val="4"/>
        <w:rPr>
          <w:rFonts w:hint="default" w:ascii="Times New Roman" w:hAnsi="Times New Roman" w:cs="Times New Roman"/>
          <w:color w:val="auto"/>
          <w:highlight w:val="none"/>
        </w:rPr>
      </w:pPr>
      <w:bookmarkStart w:id="728" w:name="_Toc18909"/>
      <w:bookmarkStart w:id="729" w:name="_Toc9655"/>
      <w:bookmarkStart w:id="730" w:name="_Toc7174"/>
      <w:r>
        <w:rPr>
          <w:rFonts w:hint="default" w:ascii="Times New Roman" w:hAnsi="Times New Roman" w:cs="Times New Roman"/>
          <w:color w:val="auto"/>
          <w:highlight w:val="none"/>
        </w:rPr>
        <w:t>5.1.2施工期废水环境影响分析</w:t>
      </w:r>
      <w:bookmarkEnd w:id="728"/>
      <w:bookmarkEnd w:id="729"/>
      <w:bookmarkEnd w:id="730"/>
    </w:p>
    <w:p w14:paraId="76215ABA">
      <w:pPr>
        <w:autoSpaceDE w:val="0"/>
        <w:autoSpaceDN w:val="0"/>
        <w:ind w:firstLine="48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施工期废水为工程废水和生活污水。工程废水包括进出施工场地的车辆清洗产生的泥浆水等工程废水，</w:t>
      </w:r>
      <w:r>
        <w:rPr>
          <w:rFonts w:hint="default" w:ascii="Times New Roman" w:hAnsi="Times New Roman" w:cs="Times New Roman"/>
          <w:color w:val="auto"/>
          <w:kern w:val="0"/>
          <w:highlight w:val="none"/>
          <w:lang w:val="zh-CN"/>
        </w:rPr>
        <w:t>主要污染物为含有较高的石油类、悬浮物等</w:t>
      </w:r>
      <w:r>
        <w:rPr>
          <w:rFonts w:hint="default" w:ascii="Times New Roman" w:hAnsi="Times New Roman" w:cs="Times New Roman"/>
          <w:color w:val="auto"/>
          <w:highlight w:val="none"/>
        </w:rPr>
        <w:t>。生活污水来自基建施工人员排放的生活污水，主要污染物为COD、BOD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、SS等</w:t>
      </w:r>
      <w:r>
        <w:rPr>
          <w:rFonts w:hint="default" w:ascii="Times New Roman" w:hAnsi="Times New Roman" w:cs="Times New Roman"/>
          <w:color w:val="auto"/>
          <w:kern w:val="0"/>
          <w:highlight w:val="none"/>
          <w:lang w:val="zh-CN"/>
        </w:rPr>
        <w:t>，项目</w:t>
      </w:r>
      <w:r>
        <w:rPr>
          <w:rFonts w:hint="default" w:ascii="Times New Roman" w:hAnsi="Times New Roman" w:cs="Times New Roman"/>
          <w:color w:val="auto"/>
          <w:kern w:val="0"/>
          <w:highlight w:val="none"/>
        </w:rPr>
        <w:t>废水</w:t>
      </w:r>
      <w:r>
        <w:rPr>
          <w:rFonts w:hint="default" w:ascii="Times New Roman" w:hAnsi="Times New Roman" w:cs="Times New Roman"/>
          <w:color w:val="auto"/>
          <w:kern w:val="0"/>
          <w:highlight w:val="none"/>
          <w:lang w:val="zh-CN"/>
        </w:rPr>
        <w:t>处置不当会对施工场地周围产生短时间的不良影响</w:t>
      </w:r>
      <w:r>
        <w:rPr>
          <w:rFonts w:hint="default" w:ascii="Times New Roman" w:hAnsi="Times New Roman" w:cs="Times New Roman"/>
          <w:color w:val="auto"/>
          <w:highlight w:val="none"/>
        </w:rPr>
        <w:t>，需要对项目废水进行处置，具体分析如下：</w:t>
      </w:r>
    </w:p>
    <w:p w14:paraId="5788797B">
      <w:pPr>
        <w:autoSpaceDE w:val="0"/>
        <w:autoSpaceDN w:val="0"/>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（1）生活污水</w:t>
      </w:r>
    </w:p>
    <w:p w14:paraId="77F7F175">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生活污水主要污染物为SS、COD、氨氮等。施工期间进场施工人数约为70人左右，施工人员生活用水按30L/人·d计，用水量为2.1m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/d，排放系数以0.8计，排放量约为1.68m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kern w:val="0"/>
          <w:highlight w:val="none"/>
          <w:lang w:val="zh-CN"/>
        </w:rPr>
        <w:t>施工期生活污水产生量不大，施工期</w:t>
      </w:r>
      <w:r>
        <w:rPr>
          <w:rFonts w:hint="default" w:ascii="Times New Roman" w:hAnsi="Times New Roman" w:cs="Times New Roman"/>
          <w:color w:val="auto"/>
          <w:kern w:val="0"/>
          <w:highlight w:val="none"/>
          <w:lang w:val="en-US" w:eastAsia="zh-CN"/>
        </w:rPr>
        <w:t>建议先建设</w:t>
      </w:r>
      <w:r>
        <w:rPr>
          <w:rFonts w:hint="default" w:ascii="Times New Roman" w:hAnsi="Times New Roman" w:cs="Times New Roman"/>
          <w:color w:val="auto"/>
          <w:kern w:val="0"/>
          <w:highlight w:val="none"/>
          <w:lang w:val="zh-CN"/>
        </w:rPr>
        <w:t>生活区</w:t>
      </w:r>
      <w:r>
        <w:rPr>
          <w:rFonts w:hint="default" w:ascii="Times New Roman" w:hAnsi="Times New Roman" w:cs="Times New Roman"/>
          <w:color w:val="auto"/>
          <w:szCs w:val="28"/>
          <w:highlight w:val="none"/>
        </w:rPr>
        <w:t>污水处理设施处理，</w:t>
      </w:r>
      <w:r>
        <w:rPr>
          <w:rFonts w:hint="default" w:ascii="Times New Roman" w:hAnsi="Times New Roman" w:cs="Times New Roman"/>
          <w:color w:val="auto"/>
          <w:kern w:val="0"/>
          <w:highlight w:val="none"/>
          <w:lang w:val="zh-CN"/>
        </w:rPr>
        <w:t>处理满足</w:t>
      </w:r>
      <w:r>
        <w:rPr>
          <w:rFonts w:hint="default" w:ascii="Times New Roman" w:hAnsi="Times New Roman" w:cs="Times New Roman"/>
          <w:color w:val="auto"/>
          <w:highlight w:val="none"/>
        </w:rPr>
        <w:t>《农村生活污水处理排放标准》（DB65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kern w:val="0"/>
          <w:highlight w:val="none"/>
          <w:lang w:val="zh-CN"/>
        </w:rPr>
        <w:t>，不外排。</w:t>
      </w:r>
      <w:r>
        <w:rPr>
          <w:rFonts w:hint="default" w:ascii="Times New Roman" w:hAnsi="Times New Roman" w:cs="Times New Roman"/>
          <w:color w:val="auto"/>
          <w:highlight w:val="none"/>
          <w:lang w:bidi="ar"/>
        </w:rPr>
        <w:t>对项目区周围水环境影响较小。</w:t>
      </w:r>
    </w:p>
    <w:p w14:paraId="0A43DBB4">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w:t>
      </w:r>
      <w:r>
        <w:rPr>
          <w:rFonts w:hint="default" w:ascii="Times New Roman" w:hAnsi="Times New Roman" w:cs="Times New Roman"/>
          <w:color w:val="auto"/>
          <w:highlight w:val="none"/>
        </w:rPr>
        <w:t>工程废水</w:t>
      </w:r>
    </w:p>
    <w:p w14:paraId="4C54F432">
      <w:pPr>
        <w:overflowPunct w:val="0"/>
        <w:topLinePunct/>
        <w:ind w:firstLine="48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工程废水包括进出施工场地的车辆清洗产生的泥浆水等工程废水，主要污染物是SS、石油类，水量较少，施工废水经隔油、沉淀处理后用于洒水抑尘。</w:t>
      </w:r>
    </w:p>
    <w:p w14:paraId="4E5B5915">
      <w:pPr>
        <w:pStyle w:val="4"/>
        <w:rPr>
          <w:rFonts w:hint="default" w:ascii="Times New Roman" w:hAnsi="Times New Roman" w:cs="Times New Roman"/>
          <w:color w:val="auto"/>
          <w:highlight w:val="none"/>
        </w:rPr>
      </w:pPr>
      <w:bookmarkStart w:id="731" w:name="_Toc14441"/>
      <w:bookmarkStart w:id="732" w:name="_Toc31387"/>
      <w:bookmarkStart w:id="733" w:name="_Toc3687"/>
      <w:r>
        <w:rPr>
          <w:rFonts w:hint="default" w:ascii="Times New Roman" w:hAnsi="Times New Roman" w:cs="Times New Roman"/>
          <w:color w:val="auto"/>
          <w:highlight w:val="none"/>
        </w:rPr>
        <w:t>5.1.3施工期噪声环境影响分析</w:t>
      </w:r>
      <w:bookmarkEnd w:id="731"/>
      <w:bookmarkEnd w:id="732"/>
      <w:bookmarkEnd w:id="733"/>
    </w:p>
    <w:p w14:paraId="733728C7">
      <w:pPr>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（1）施工期噪声源分析</w:t>
      </w:r>
    </w:p>
    <w:p w14:paraId="672F26C9">
      <w:pPr>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施工噪声具有阶段性、临时性和不固定性，不同的施工设备产生的噪声不同，在多台机械设备同时作业时，各机械声级将会叠加。各施工阶段的主要噪声源及其声级见表5.1-1，施工期各交通运输车辆噪声排放统计见表5.1-2，施工机械噪声测试值、预测值见表5.1-3。</w:t>
      </w:r>
    </w:p>
    <w:p w14:paraId="48DDA509">
      <w:pPr>
        <w:ind w:firstLine="120" w:firstLineChars="5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表5.1-1    主要噪声源及其声级    单位：dB（A）</w:t>
      </w:r>
    </w:p>
    <w:tbl>
      <w:tblPr>
        <w:tblStyle w:val="33"/>
        <w:tblW w:w="85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1999"/>
        <w:gridCol w:w="3225"/>
        <w:gridCol w:w="3295"/>
      </w:tblGrid>
      <w:tr w14:paraId="7AA628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blHeader/>
          <w:jc w:val="center"/>
        </w:trPr>
        <w:tc>
          <w:tcPr>
            <w:tcW w:w="1999" w:type="dxa"/>
            <w:tcBorders>
              <w:tl2br w:val="nil"/>
              <w:tr2bl w:val="nil"/>
            </w:tcBorders>
            <w:vAlign w:val="center"/>
          </w:tcPr>
          <w:p w14:paraId="6E58C0F1">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sz w:val="21"/>
                <w:szCs w:val="21"/>
                <w:highlight w:val="none"/>
              </w:rPr>
              <w:t>施工期</w:t>
            </w:r>
          </w:p>
        </w:tc>
        <w:tc>
          <w:tcPr>
            <w:tcW w:w="3225" w:type="dxa"/>
            <w:tcBorders>
              <w:tl2br w:val="nil"/>
              <w:tr2bl w:val="nil"/>
            </w:tcBorders>
            <w:vAlign w:val="center"/>
          </w:tcPr>
          <w:p w14:paraId="19104949">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sz w:val="21"/>
                <w:szCs w:val="21"/>
                <w:highlight w:val="none"/>
              </w:rPr>
              <w:t>主要声源</w:t>
            </w:r>
          </w:p>
        </w:tc>
        <w:tc>
          <w:tcPr>
            <w:tcW w:w="3295" w:type="dxa"/>
            <w:tcBorders>
              <w:tl2br w:val="nil"/>
              <w:tr2bl w:val="nil"/>
            </w:tcBorders>
            <w:vAlign w:val="center"/>
          </w:tcPr>
          <w:p w14:paraId="26522BEF">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sz w:val="21"/>
                <w:szCs w:val="21"/>
                <w:highlight w:val="none"/>
              </w:rPr>
              <w:t>声级</w:t>
            </w:r>
          </w:p>
        </w:tc>
      </w:tr>
      <w:tr w14:paraId="6542C7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93" w:hRule="atLeast"/>
          <w:jc w:val="center"/>
        </w:trPr>
        <w:tc>
          <w:tcPr>
            <w:tcW w:w="1999" w:type="dxa"/>
            <w:vMerge w:val="restart"/>
            <w:tcBorders>
              <w:tl2br w:val="nil"/>
              <w:tr2bl w:val="nil"/>
            </w:tcBorders>
            <w:vAlign w:val="center"/>
          </w:tcPr>
          <w:p w14:paraId="331FF02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土石方阶段</w:t>
            </w:r>
          </w:p>
        </w:tc>
        <w:tc>
          <w:tcPr>
            <w:tcW w:w="3225" w:type="dxa"/>
            <w:tcBorders>
              <w:tl2br w:val="nil"/>
              <w:tr2bl w:val="nil"/>
            </w:tcBorders>
            <w:vAlign w:val="center"/>
          </w:tcPr>
          <w:p w14:paraId="1107688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挖土机</w:t>
            </w:r>
          </w:p>
        </w:tc>
        <w:tc>
          <w:tcPr>
            <w:tcW w:w="3295" w:type="dxa"/>
            <w:tcBorders>
              <w:tl2br w:val="nil"/>
              <w:tr2bl w:val="nil"/>
            </w:tcBorders>
            <w:vAlign w:val="center"/>
          </w:tcPr>
          <w:p w14:paraId="6075262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78～96</w:t>
            </w:r>
          </w:p>
        </w:tc>
      </w:tr>
      <w:tr w14:paraId="03E9FD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57B89F72">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7D92B1D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冲击机</w:t>
            </w:r>
          </w:p>
        </w:tc>
        <w:tc>
          <w:tcPr>
            <w:tcW w:w="3295" w:type="dxa"/>
            <w:tcBorders>
              <w:tl2br w:val="nil"/>
              <w:tr2bl w:val="nil"/>
            </w:tcBorders>
            <w:vAlign w:val="center"/>
          </w:tcPr>
          <w:p w14:paraId="2698F64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95</w:t>
            </w:r>
          </w:p>
        </w:tc>
      </w:tr>
      <w:tr w14:paraId="43D096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19660953">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308976E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3295" w:type="dxa"/>
            <w:tcBorders>
              <w:tl2br w:val="nil"/>
              <w:tr2bl w:val="nil"/>
            </w:tcBorders>
            <w:vAlign w:val="center"/>
          </w:tcPr>
          <w:p w14:paraId="701A309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75～85</w:t>
            </w:r>
          </w:p>
        </w:tc>
      </w:tr>
      <w:tr w14:paraId="62D518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61CB4345">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320E3D07">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压缩机</w:t>
            </w:r>
          </w:p>
        </w:tc>
        <w:tc>
          <w:tcPr>
            <w:tcW w:w="3295" w:type="dxa"/>
            <w:tcBorders>
              <w:tl2br w:val="nil"/>
              <w:tr2bl w:val="nil"/>
            </w:tcBorders>
            <w:vAlign w:val="center"/>
          </w:tcPr>
          <w:p w14:paraId="25ACF41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75～88</w:t>
            </w:r>
          </w:p>
        </w:tc>
      </w:tr>
      <w:tr w14:paraId="6DF7A7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1" w:hRule="atLeast"/>
          <w:jc w:val="center"/>
        </w:trPr>
        <w:tc>
          <w:tcPr>
            <w:tcW w:w="1999" w:type="dxa"/>
            <w:vMerge w:val="restart"/>
            <w:tcBorders>
              <w:tl2br w:val="nil"/>
              <w:tr2bl w:val="nil"/>
            </w:tcBorders>
            <w:vAlign w:val="center"/>
          </w:tcPr>
          <w:p w14:paraId="72FA291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sz w:val="21"/>
                <w:highlight w:val="none"/>
              </w:rPr>
              <w:t>结构施工阶段</w:t>
            </w:r>
          </w:p>
        </w:tc>
        <w:tc>
          <w:tcPr>
            <w:tcW w:w="3225" w:type="dxa"/>
            <w:tcBorders>
              <w:tl2br w:val="nil"/>
              <w:tr2bl w:val="nil"/>
            </w:tcBorders>
            <w:vAlign w:val="center"/>
          </w:tcPr>
          <w:p w14:paraId="3FA6C04A">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振捣器</w:t>
            </w:r>
          </w:p>
        </w:tc>
        <w:tc>
          <w:tcPr>
            <w:tcW w:w="3295" w:type="dxa"/>
            <w:tcBorders>
              <w:tl2br w:val="nil"/>
              <w:tr2bl w:val="nil"/>
            </w:tcBorders>
            <w:vAlign w:val="center"/>
          </w:tcPr>
          <w:p w14:paraId="77F9483C">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100～105</w:t>
            </w:r>
          </w:p>
        </w:tc>
      </w:tr>
      <w:tr w14:paraId="06CBEC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4411FD10">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252EB2ED">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电锯</w:t>
            </w:r>
          </w:p>
        </w:tc>
        <w:tc>
          <w:tcPr>
            <w:tcW w:w="3295" w:type="dxa"/>
            <w:tcBorders>
              <w:tl2br w:val="nil"/>
              <w:tr2bl w:val="nil"/>
            </w:tcBorders>
            <w:vAlign w:val="center"/>
          </w:tcPr>
          <w:p w14:paraId="69BACB3C">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100～105</w:t>
            </w:r>
          </w:p>
        </w:tc>
      </w:tr>
      <w:tr w14:paraId="70992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2157C13B">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79DB4C1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电焊机</w:t>
            </w:r>
          </w:p>
        </w:tc>
        <w:tc>
          <w:tcPr>
            <w:tcW w:w="3295" w:type="dxa"/>
            <w:tcBorders>
              <w:tl2br w:val="nil"/>
              <w:tr2bl w:val="nil"/>
            </w:tcBorders>
            <w:vAlign w:val="center"/>
          </w:tcPr>
          <w:p w14:paraId="7A572207">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90～95</w:t>
            </w:r>
          </w:p>
        </w:tc>
      </w:tr>
      <w:tr w14:paraId="7FC3CC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1EE3DDF3">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1E686EDE">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3295" w:type="dxa"/>
            <w:tcBorders>
              <w:tl2br w:val="nil"/>
              <w:tr2bl w:val="nil"/>
            </w:tcBorders>
            <w:vAlign w:val="center"/>
          </w:tcPr>
          <w:p w14:paraId="36514DA7">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75～85</w:t>
            </w:r>
          </w:p>
        </w:tc>
      </w:tr>
      <w:tr w14:paraId="7A961A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restart"/>
            <w:tcBorders>
              <w:tl2br w:val="nil"/>
              <w:tr2bl w:val="nil"/>
            </w:tcBorders>
            <w:vAlign w:val="center"/>
          </w:tcPr>
          <w:p w14:paraId="0E4A1EE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设备安装阶段</w:t>
            </w:r>
          </w:p>
        </w:tc>
        <w:tc>
          <w:tcPr>
            <w:tcW w:w="3225" w:type="dxa"/>
            <w:tcBorders>
              <w:tl2br w:val="nil"/>
              <w:tr2bl w:val="nil"/>
            </w:tcBorders>
            <w:vAlign w:val="center"/>
          </w:tcPr>
          <w:p w14:paraId="412500C9">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电钻</w:t>
            </w:r>
          </w:p>
        </w:tc>
        <w:tc>
          <w:tcPr>
            <w:tcW w:w="3295" w:type="dxa"/>
            <w:tcBorders>
              <w:tl2br w:val="nil"/>
              <w:tr2bl w:val="nil"/>
            </w:tcBorders>
            <w:vAlign w:val="center"/>
          </w:tcPr>
          <w:p w14:paraId="1D9D38E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100～105</w:t>
            </w:r>
          </w:p>
        </w:tc>
      </w:tr>
      <w:tr w14:paraId="362DE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09F15EB8">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69F191BE">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电锤</w:t>
            </w:r>
          </w:p>
        </w:tc>
        <w:tc>
          <w:tcPr>
            <w:tcW w:w="3295" w:type="dxa"/>
            <w:tcBorders>
              <w:tl2br w:val="nil"/>
              <w:tr2bl w:val="nil"/>
            </w:tcBorders>
            <w:vAlign w:val="center"/>
          </w:tcPr>
          <w:p w14:paraId="1B1B153A">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100～105</w:t>
            </w:r>
          </w:p>
        </w:tc>
      </w:tr>
      <w:tr w14:paraId="5C0471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0FC502E1">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5EFDE40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手工钻</w:t>
            </w:r>
          </w:p>
        </w:tc>
        <w:tc>
          <w:tcPr>
            <w:tcW w:w="3295" w:type="dxa"/>
            <w:tcBorders>
              <w:tl2br w:val="nil"/>
              <w:tr2bl w:val="nil"/>
            </w:tcBorders>
            <w:vAlign w:val="center"/>
          </w:tcPr>
          <w:p w14:paraId="62FDAE2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100～105</w:t>
            </w:r>
          </w:p>
        </w:tc>
      </w:tr>
      <w:tr w14:paraId="53CF73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5D7B2139">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30DBDAD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无齿锯</w:t>
            </w:r>
          </w:p>
        </w:tc>
        <w:tc>
          <w:tcPr>
            <w:tcW w:w="3295" w:type="dxa"/>
            <w:tcBorders>
              <w:tl2br w:val="nil"/>
              <w:tr2bl w:val="nil"/>
            </w:tcBorders>
            <w:vAlign w:val="center"/>
          </w:tcPr>
          <w:p w14:paraId="3F42184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105</w:t>
            </w:r>
          </w:p>
        </w:tc>
      </w:tr>
      <w:tr w14:paraId="22BD6C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209DEA19">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7A60F27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多功能木工刨</w:t>
            </w:r>
          </w:p>
        </w:tc>
        <w:tc>
          <w:tcPr>
            <w:tcW w:w="3295" w:type="dxa"/>
            <w:tcBorders>
              <w:tl2br w:val="nil"/>
              <w:tr2bl w:val="nil"/>
            </w:tcBorders>
            <w:vAlign w:val="center"/>
          </w:tcPr>
          <w:p w14:paraId="692E327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90～100</w:t>
            </w:r>
          </w:p>
        </w:tc>
      </w:tr>
      <w:tr w14:paraId="17343D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379CDDE0">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1B4FDDF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角向磨光机</w:t>
            </w:r>
          </w:p>
        </w:tc>
        <w:tc>
          <w:tcPr>
            <w:tcW w:w="3295" w:type="dxa"/>
            <w:tcBorders>
              <w:tl2br w:val="nil"/>
              <w:tr2bl w:val="nil"/>
            </w:tcBorders>
            <w:vAlign w:val="center"/>
          </w:tcPr>
          <w:p w14:paraId="67A543D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100～115</w:t>
            </w:r>
          </w:p>
        </w:tc>
      </w:tr>
    </w:tbl>
    <w:p w14:paraId="43A92C19">
      <w:pPr>
        <w:spacing w:line="500" w:lineRule="exact"/>
        <w:ind w:firstLine="120" w:firstLineChars="5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表5.1-2    交通运输车辆噪声排放    单位：dB（A）</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50"/>
        <w:gridCol w:w="2688"/>
        <w:gridCol w:w="2068"/>
        <w:gridCol w:w="1913"/>
      </w:tblGrid>
      <w:tr w14:paraId="52A8C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850" w:type="dxa"/>
            <w:vAlign w:val="center"/>
          </w:tcPr>
          <w:p w14:paraId="4F1B0702">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施工阶段</w:t>
            </w:r>
          </w:p>
        </w:tc>
        <w:tc>
          <w:tcPr>
            <w:tcW w:w="2688" w:type="dxa"/>
            <w:vAlign w:val="center"/>
          </w:tcPr>
          <w:p w14:paraId="19DC6BB0">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运输内容</w:t>
            </w:r>
          </w:p>
        </w:tc>
        <w:tc>
          <w:tcPr>
            <w:tcW w:w="2068" w:type="dxa"/>
            <w:vAlign w:val="center"/>
          </w:tcPr>
          <w:p w14:paraId="3F4293A8">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车辆类型</w:t>
            </w:r>
          </w:p>
        </w:tc>
        <w:tc>
          <w:tcPr>
            <w:tcW w:w="1913" w:type="dxa"/>
            <w:vAlign w:val="center"/>
          </w:tcPr>
          <w:p w14:paraId="5FF678DF">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声源强度[dB（A）]</w:t>
            </w:r>
          </w:p>
        </w:tc>
      </w:tr>
      <w:tr w14:paraId="33D36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2DD19A0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土石方阶段</w:t>
            </w:r>
          </w:p>
        </w:tc>
        <w:tc>
          <w:tcPr>
            <w:tcW w:w="2688" w:type="dxa"/>
            <w:vAlign w:val="center"/>
          </w:tcPr>
          <w:p w14:paraId="3424029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场内运输</w:t>
            </w:r>
          </w:p>
        </w:tc>
        <w:tc>
          <w:tcPr>
            <w:tcW w:w="2068" w:type="dxa"/>
            <w:vAlign w:val="center"/>
          </w:tcPr>
          <w:p w14:paraId="599D5D4E">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大型载重车</w:t>
            </w:r>
          </w:p>
        </w:tc>
        <w:tc>
          <w:tcPr>
            <w:tcW w:w="1913" w:type="dxa"/>
            <w:vAlign w:val="center"/>
          </w:tcPr>
          <w:p w14:paraId="15121407">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84～89</w:t>
            </w:r>
          </w:p>
        </w:tc>
      </w:tr>
      <w:tr w14:paraId="2F989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63DD758A">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结构施工阶段</w:t>
            </w:r>
          </w:p>
        </w:tc>
        <w:tc>
          <w:tcPr>
            <w:tcW w:w="2688" w:type="dxa"/>
            <w:vAlign w:val="center"/>
          </w:tcPr>
          <w:p w14:paraId="0B29F51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钢筋、商品混凝土</w:t>
            </w:r>
          </w:p>
        </w:tc>
        <w:tc>
          <w:tcPr>
            <w:tcW w:w="2068" w:type="dxa"/>
            <w:vAlign w:val="center"/>
          </w:tcPr>
          <w:p w14:paraId="6A09C40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混凝土罐车、载重车</w:t>
            </w:r>
          </w:p>
        </w:tc>
        <w:tc>
          <w:tcPr>
            <w:tcW w:w="1913" w:type="dxa"/>
            <w:vAlign w:val="center"/>
          </w:tcPr>
          <w:p w14:paraId="6784A6C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80～85</w:t>
            </w:r>
          </w:p>
        </w:tc>
      </w:tr>
      <w:tr w14:paraId="22AF7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5ACFD24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设备安装阶段</w:t>
            </w:r>
          </w:p>
        </w:tc>
        <w:tc>
          <w:tcPr>
            <w:tcW w:w="2688" w:type="dxa"/>
            <w:vAlign w:val="center"/>
          </w:tcPr>
          <w:p w14:paraId="2CC1FDE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各种装修材料及必备设备</w:t>
            </w:r>
          </w:p>
        </w:tc>
        <w:tc>
          <w:tcPr>
            <w:tcW w:w="2068" w:type="dxa"/>
            <w:vAlign w:val="center"/>
          </w:tcPr>
          <w:p w14:paraId="003CA5A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轻型载重卡车</w:t>
            </w:r>
          </w:p>
        </w:tc>
        <w:tc>
          <w:tcPr>
            <w:tcW w:w="1913" w:type="dxa"/>
            <w:vAlign w:val="center"/>
          </w:tcPr>
          <w:p w14:paraId="05FFA6CC">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75～80</w:t>
            </w:r>
          </w:p>
        </w:tc>
      </w:tr>
    </w:tbl>
    <w:p w14:paraId="5F70845D">
      <w:pPr>
        <w:spacing w:line="500" w:lineRule="exact"/>
        <w:ind w:firstLine="120" w:firstLineChars="5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表5.1-3    施工机械噪声测试值、预测值    单位：dB（A）</w:t>
      </w:r>
    </w:p>
    <w:tbl>
      <w:tblPr>
        <w:tblStyle w:val="33"/>
        <w:tblW w:w="85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1505"/>
        <w:gridCol w:w="648"/>
        <w:gridCol w:w="701"/>
        <w:gridCol w:w="700"/>
        <w:gridCol w:w="700"/>
        <w:gridCol w:w="700"/>
        <w:gridCol w:w="700"/>
        <w:gridCol w:w="700"/>
        <w:gridCol w:w="717"/>
        <w:gridCol w:w="717"/>
        <w:gridCol w:w="731"/>
      </w:tblGrid>
      <w:tr w14:paraId="561B14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58" w:hRule="atLeast"/>
          <w:jc w:val="center"/>
        </w:trPr>
        <w:tc>
          <w:tcPr>
            <w:tcW w:w="1505" w:type="dxa"/>
            <w:vMerge w:val="restart"/>
            <w:tcBorders>
              <w:tl2br w:val="nil"/>
              <w:tr2bl w:val="nil"/>
            </w:tcBorders>
            <w:vAlign w:val="center"/>
          </w:tcPr>
          <w:p w14:paraId="4953A493">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设备</w:t>
            </w:r>
          </w:p>
          <w:p w14:paraId="637A66B6">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名称</w:t>
            </w:r>
          </w:p>
        </w:tc>
        <w:tc>
          <w:tcPr>
            <w:tcW w:w="648" w:type="dxa"/>
            <w:vMerge w:val="restart"/>
            <w:tcBorders>
              <w:tl2br w:val="nil"/>
              <w:tr2bl w:val="nil"/>
            </w:tcBorders>
            <w:vAlign w:val="center"/>
          </w:tcPr>
          <w:p w14:paraId="5D85640B">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声级</w:t>
            </w:r>
          </w:p>
        </w:tc>
        <w:tc>
          <w:tcPr>
            <w:tcW w:w="6366" w:type="dxa"/>
            <w:gridSpan w:val="9"/>
            <w:tcBorders>
              <w:tl2br w:val="nil"/>
              <w:tr2bl w:val="nil"/>
            </w:tcBorders>
            <w:vAlign w:val="center"/>
          </w:tcPr>
          <w:p w14:paraId="0F832616">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不同距离处的噪声值</w:t>
            </w:r>
          </w:p>
        </w:tc>
      </w:tr>
      <w:tr w14:paraId="3759D7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27" w:hRule="atLeast"/>
          <w:jc w:val="center"/>
        </w:trPr>
        <w:tc>
          <w:tcPr>
            <w:tcW w:w="1505" w:type="dxa"/>
            <w:vMerge w:val="continue"/>
            <w:tcBorders>
              <w:tl2br w:val="nil"/>
              <w:tr2bl w:val="nil"/>
            </w:tcBorders>
            <w:vAlign w:val="center"/>
          </w:tcPr>
          <w:p w14:paraId="0F8A92D6">
            <w:pPr>
              <w:spacing w:line="360" w:lineRule="exact"/>
              <w:ind w:firstLine="0" w:firstLineChars="0"/>
              <w:jc w:val="center"/>
              <w:rPr>
                <w:rFonts w:hint="default" w:ascii="Times New Roman" w:hAnsi="Times New Roman" w:cs="Times New Roman"/>
                <w:b/>
                <w:bCs/>
                <w:color w:val="auto"/>
                <w:highlight w:val="none"/>
              </w:rPr>
            </w:pPr>
          </w:p>
        </w:tc>
        <w:tc>
          <w:tcPr>
            <w:tcW w:w="648" w:type="dxa"/>
            <w:vMerge w:val="continue"/>
            <w:tcBorders>
              <w:tl2br w:val="nil"/>
              <w:tr2bl w:val="nil"/>
            </w:tcBorders>
            <w:vAlign w:val="center"/>
          </w:tcPr>
          <w:p w14:paraId="7C79C6D6">
            <w:pPr>
              <w:spacing w:line="360" w:lineRule="exact"/>
              <w:ind w:firstLine="0" w:firstLineChars="0"/>
              <w:jc w:val="center"/>
              <w:rPr>
                <w:rFonts w:hint="default" w:ascii="Times New Roman" w:hAnsi="Times New Roman" w:cs="Times New Roman"/>
                <w:b/>
                <w:bCs/>
                <w:color w:val="auto"/>
                <w:highlight w:val="none"/>
              </w:rPr>
            </w:pPr>
          </w:p>
        </w:tc>
        <w:tc>
          <w:tcPr>
            <w:tcW w:w="701" w:type="dxa"/>
            <w:tcBorders>
              <w:tl2br w:val="nil"/>
              <w:tr2bl w:val="nil"/>
            </w:tcBorders>
            <w:vAlign w:val="center"/>
          </w:tcPr>
          <w:p w14:paraId="42426C17">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5m</w:t>
            </w:r>
          </w:p>
        </w:tc>
        <w:tc>
          <w:tcPr>
            <w:tcW w:w="700" w:type="dxa"/>
            <w:tcBorders>
              <w:tl2br w:val="nil"/>
              <w:tr2bl w:val="nil"/>
            </w:tcBorders>
            <w:vAlign w:val="center"/>
          </w:tcPr>
          <w:p w14:paraId="4DEF30E5">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10m</w:t>
            </w:r>
          </w:p>
        </w:tc>
        <w:tc>
          <w:tcPr>
            <w:tcW w:w="700" w:type="dxa"/>
            <w:tcBorders>
              <w:tl2br w:val="nil"/>
              <w:tr2bl w:val="nil"/>
            </w:tcBorders>
            <w:vAlign w:val="center"/>
          </w:tcPr>
          <w:p w14:paraId="6AFAC8A6">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20m</w:t>
            </w:r>
          </w:p>
        </w:tc>
        <w:tc>
          <w:tcPr>
            <w:tcW w:w="700" w:type="dxa"/>
            <w:tcBorders>
              <w:tl2br w:val="nil"/>
              <w:tr2bl w:val="nil"/>
            </w:tcBorders>
            <w:vAlign w:val="center"/>
          </w:tcPr>
          <w:p w14:paraId="4FCDF991">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40m</w:t>
            </w:r>
          </w:p>
        </w:tc>
        <w:tc>
          <w:tcPr>
            <w:tcW w:w="700" w:type="dxa"/>
            <w:tcBorders>
              <w:tl2br w:val="nil"/>
              <w:tr2bl w:val="nil"/>
            </w:tcBorders>
            <w:vAlign w:val="center"/>
          </w:tcPr>
          <w:p w14:paraId="5F2CE52B">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60m</w:t>
            </w:r>
          </w:p>
        </w:tc>
        <w:tc>
          <w:tcPr>
            <w:tcW w:w="700" w:type="dxa"/>
            <w:tcBorders>
              <w:tl2br w:val="nil"/>
              <w:tr2bl w:val="nil"/>
            </w:tcBorders>
            <w:vAlign w:val="center"/>
          </w:tcPr>
          <w:p w14:paraId="2E26FE1E">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80m</w:t>
            </w:r>
          </w:p>
        </w:tc>
        <w:tc>
          <w:tcPr>
            <w:tcW w:w="717" w:type="dxa"/>
            <w:tcBorders>
              <w:tl2br w:val="nil"/>
              <w:tr2bl w:val="nil"/>
            </w:tcBorders>
            <w:vAlign w:val="center"/>
          </w:tcPr>
          <w:p w14:paraId="6A3DE8AE">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100m</w:t>
            </w:r>
          </w:p>
        </w:tc>
        <w:tc>
          <w:tcPr>
            <w:tcW w:w="717" w:type="dxa"/>
            <w:tcBorders>
              <w:tl2br w:val="nil"/>
              <w:tr2bl w:val="nil"/>
            </w:tcBorders>
            <w:vAlign w:val="center"/>
          </w:tcPr>
          <w:p w14:paraId="6439FE50">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150m</w:t>
            </w:r>
          </w:p>
        </w:tc>
        <w:tc>
          <w:tcPr>
            <w:tcW w:w="731" w:type="dxa"/>
            <w:tcBorders>
              <w:tl2br w:val="nil"/>
              <w:tr2bl w:val="nil"/>
            </w:tcBorders>
            <w:vAlign w:val="center"/>
          </w:tcPr>
          <w:p w14:paraId="1F463390">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200m</w:t>
            </w:r>
          </w:p>
        </w:tc>
      </w:tr>
      <w:tr w14:paraId="12C89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662B80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挖土机</w:t>
            </w:r>
          </w:p>
        </w:tc>
        <w:tc>
          <w:tcPr>
            <w:tcW w:w="648" w:type="dxa"/>
            <w:tcBorders>
              <w:tl2br w:val="nil"/>
              <w:tr2bl w:val="nil"/>
            </w:tcBorders>
            <w:vAlign w:val="center"/>
          </w:tcPr>
          <w:p w14:paraId="11FCF68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96</w:t>
            </w:r>
          </w:p>
        </w:tc>
        <w:tc>
          <w:tcPr>
            <w:tcW w:w="701" w:type="dxa"/>
            <w:tcBorders>
              <w:tl2br w:val="nil"/>
              <w:tr2bl w:val="nil"/>
            </w:tcBorders>
            <w:vAlign w:val="center"/>
          </w:tcPr>
          <w:p w14:paraId="7D493DD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74.05</w:t>
            </w:r>
          </w:p>
        </w:tc>
        <w:tc>
          <w:tcPr>
            <w:tcW w:w="700" w:type="dxa"/>
            <w:tcBorders>
              <w:tl2br w:val="nil"/>
              <w:tr2bl w:val="nil"/>
            </w:tcBorders>
            <w:vAlign w:val="center"/>
          </w:tcPr>
          <w:p w14:paraId="6C0DED9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68.03</w:t>
            </w:r>
          </w:p>
        </w:tc>
        <w:tc>
          <w:tcPr>
            <w:tcW w:w="700" w:type="dxa"/>
            <w:tcBorders>
              <w:tl2br w:val="nil"/>
              <w:tr2bl w:val="nil"/>
            </w:tcBorders>
            <w:vAlign w:val="center"/>
          </w:tcPr>
          <w:p w14:paraId="2BFC38C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62.01</w:t>
            </w:r>
          </w:p>
        </w:tc>
        <w:tc>
          <w:tcPr>
            <w:tcW w:w="700" w:type="dxa"/>
            <w:tcBorders>
              <w:tl2br w:val="nil"/>
              <w:tr2bl w:val="nil"/>
            </w:tcBorders>
            <w:vAlign w:val="center"/>
          </w:tcPr>
          <w:p w14:paraId="3370BF8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55.99</w:t>
            </w:r>
          </w:p>
        </w:tc>
        <w:tc>
          <w:tcPr>
            <w:tcW w:w="700" w:type="dxa"/>
            <w:tcBorders>
              <w:tl2br w:val="nil"/>
              <w:tr2bl w:val="nil"/>
            </w:tcBorders>
            <w:vAlign w:val="center"/>
          </w:tcPr>
          <w:p w14:paraId="7038A3E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52.47</w:t>
            </w:r>
          </w:p>
        </w:tc>
        <w:tc>
          <w:tcPr>
            <w:tcW w:w="700" w:type="dxa"/>
            <w:tcBorders>
              <w:tl2br w:val="nil"/>
              <w:tr2bl w:val="nil"/>
            </w:tcBorders>
            <w:vAlign w:val="center"/>
          </w:tcPr>
          <w:p w14:paraId="0999DB6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49.97</w:t>
            </w:r>
          </w:p>
        </w:tc>
        <w:tc>
          <w:tcPr>
            <w:tcW w:w="717" w:type="dxa"/>
            <w:tcBorders>
              <w:tl2br w:val="nil"/>
              <w:tr2bl w:val="nil"/>
            </w:tcBorders>
            <w:vAlign w:val="center"/>
          </w:tcPr>
          <w:p w14:paraId="6BB0BE4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48.03</w:t>
            </w:r>
          </w:p>
        </w:tc>
        <w:tc>
          <w:tcPr>
            <w:tcW w:w="717" w:type="dxa"/>
            <w:tcBorders>
              <w:tl2br w:val="nil"/>
              <w:tr2bl w:val="nil"/>
            </w:tcBorders>
            <w:vAlign w:val="center"/>
          </w:tcPr>
          <w:p w14:paraId="04A1E46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44.51</w:t>
            </w:r>
          </w:p>
        </w:tc>
        <w:tc>
          <w:tcPr>
            <w:tcW w:w="731" w:type="dxa"/>
            <w:tcBorders>
              <w:tl2br w:val="nil"/>
              <w:tr2bl w:val="nil"/>
            </w:tcBorders>
            <w:vAlign w:val="center"/>
          </w:tcPr>
          <w:p w14:paraId="17CCD45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42.01</w:t>
            </w:r>
          </w:p>
        </w:tc>
      </w:tr>
      <w:tr w14:paraId="0EA73D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40D9ED3A">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冲击机</w:t>
            </w:r>
          </w:p>
        </w:tc>
        <w:tc>
          <w:tcPr>
            <w:tcW w:w="648" w:type="dxa"/>
            <w:tcBorders>
              <w:tl2br w:val="nil"/>
              <w:tr2bl w:val="nil"/>
            </w:tcBorders>
            <w:vAlign w:val="center"/>
          </w:tcPr>
          <w:p w14:paraId="4F28A56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95</w:t>
            </w:r>
          </w:p>
        </w:tc>
        <w:tc>
          <w:tcPr>
            <w:tcW w:w="701" w:type="dxa"/>
            <w:tcBorders>
              <w:tl2br w:val="nil"/>
              <w:tr2bl w:val="nil"/>
            </w:tcBorders>
            <w:vAlign w:val="center"/>
          </w:tcPr>
          <w:p w14:paraId="2F28275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73.05</w:t>
            </w:r>
          </w:p>
        </w:tc>
        <w:tc>
          <w:tcPr>
            <w:tcW w:w="700" w:type="dxa"/>
            <w:tcBorders>
              <w:tl2br w:val="nil"/>
              <w:tr2bl w:val="nil"/>
            </w:tcBorders>
            <w:vAlign w:val="center"/>
          </w:tcPr>
          <w:p w14:paraId="719828A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67.03</w:t>
            </w:r>
          </w:p>
        </w:tc>
        <w:tc>
          <w:tcPr>
            <w:tcW w:w="700" w:type="dxa"/>
            <w:tcBorders>
              <w:tl2br w:val="nil"/>
              <w:tr2bl w:val="nil"/>
            </w:tcBorders>
            <w:vAlign w:val="center"/>
          </w:tcPr>
          <w:p w14:paraId="771D7AE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61.01</w:t>
            </w:r>
          </w:p>
        </w:tc>
        <w:tc>
          <w:tcPr>
            <w:tcW w:w="700" w:type="dxa"/>
            <w:tcBorders>
              <w:tl2br w:val="nil"/>
              <w:tr2bl w:val="nil"/>
            </w:tcBorders>
            <w:vAlign w:val="center"/>
          </w:tcPr>
          <w:p w14:paraId="30CD711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54.99</w:t>
            </w:r>
          </w:p>
        </w:tc>
        <w:tc>
          <w:tcPr>
            <w:tcW w:w="700" w:type="dxa"/>
            <w:tcBorders>
              <w:tl2br w:val="nil"/>
              <w:tr2bl w:val="nil"/>
            </w:tcBorders>
            <w:vAlign w:val="center"/>
          </w:tcPr>
          <w:p w14:paraId="6394E84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51.47</w:t>
            </w:r>
          </w:p>
        </w:tc>
        <w:tc>
          <w:tcPr>
            <w:tcW w:w="700" w:type="dxa"/>
            <w:tcBorders>
              <w:tl2br w:val="nil"/>
              <w:tr2bl w:val="nil"/>
            </w:tcBorders>
            <w:vAlign w:val="center"/>
          </w:tcPr>
          <w:p w14:paraId="570B937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48.97</w:t>
            </w:r>
          </w:p>
        </w:tc>
        <w:tc>
          <w:tcPr>
            <w:tcW w:w="717" w:type="dxa"/>
            <w:tcBorders>
              <w:tl2br w:val="nil"/>
              <w:tr2bl w:val="nil"/>
            </w:tcBorders>
            <w:vAlign w:val="center"/>
          </w:tcPr>
          <w:p w14:paraId="435CFC9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47.03</w:t>
            </w:r>
          </w:p>
        </w:tc>
        <w:tc>
          <w:tcPr>
            <w:tcW w:w="717" w:type="dxa"/>
            <w:tcBorders>
              <w:tl2br w:val="nil"/>
              <w:tr2bl w:val="nil"/>
            </w:tcBorders>
            <w:vAlign w:val="center"/>
          </w:tcPr>
          <w:p w14:paraId="1CB269B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43.51</w:t>
            </w:r>
          </w:p>
        </w:tc>
        <w:tc>
          <w:tcPr>
            <w:tcW w:w="731" w:type="dxa"/>
            <w:tcBorders>
              <w:tl2br w:val="nil"/>
              <w:tr2bl w:val="nil"/>
            </w:tcBorders>
            <w:vAlign w:val="center"/>
          </w:tcPr>
          <w:p w14:paraId="4A6512E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41.01</w:t>
            </w:r>
          </w:p>
        </w:tc>
      </w:tr>
      <w:tr w14:paraId="07096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324E5584">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648" w:type="dxa"/>
            <w:tcBorders>
              <w:tl2br w:val="nil"/>
              <w:tr2bl w:val="nil"/>
            </w:tcBorders>
            <w:vAlign w:val="center"/>
          </w:tcPr>
          <w:p w14:paraId="1055187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85</w:t>
            </w:r>
          </w:p>
        </w:tc>
        <w:tc>
          <w:tcPr>
            <w:tcW w:w="701" w:type="dxa"/>
            <w:tcBorders>
              <w:tl2br w:val="nil"/>
              <w:tr2bl w:val="nil"/>
            </w:tcBorders>
            <w:vAlign w:val="center"/>
          </w:tcPr>
          <w:p w14:paraId="0D4A31E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63.05</w:t>
            </w:r>
          </w:p>
        </w:tc>
        <w:tc>
          <w:tcPr>
            <w:tcW w:w="700" w:type="dxa"/>
            <w:tcBorders>
              <w:tl2br w:val="nil"/>
              <w:tr2bl w:val="nil"/>
            </w:tcBorders>
            <w:vAlign w:val="center"/>
          </w:tcPr>
          <w:p w14:paraId="18640E3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00" w:type="dxa"/>
            <w:tcBorders>
              <w:tl2br w:val="nil"/>
              <w:tr2bl w:val="nil"/>
            </w:tcBorders>
            <w:vAlign w:val="center"/>
          </w:tcPr>
          <w:p w14:paraId="08F4FF9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c>
          <w:tcPr>
            <w:tcW w:w="700" w:type="dxa"/>
            <w:tcBorders>
              <w:tl2br w:val="nil"/>
              <w:tr2bl w:val="nil"/>
            </w:tcBorders>
            <w:vAlign w:val="center"/>
          </w:tcPr>
          <w:p w14:paraId="0945C7E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44.99</w:t>
            </w:r>
          </w:p>
        </w:tc>
        <w:tc>
          <w:tcPr>
            <w:tcW w:w="700" w:type="dxa"/>
            <w:tcBorders>
              <w:tl2br w:val="nil"/>
              <w:tr2bl w:val="nil"/>
            </w:tcBorders>
            <w:vAlign w:val="center"/>
          </w:tcPr>
          <w:p w14:paraId="368AB1D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41.47</w:t>
            </w:r>
          </w:p>
        </w:tc>
        <w:tc>
          <w:tcPr>
            <w:tcW w:w="700" w:type="dxa"/>
            <w:tcBorders>
              <w:tl2br w:val="nil"/>
              <w:tr2bl w:val="nil"/>
            </w:tcBorders>
            <w:vAlign w:val="center"/>
          </w:tcPr>
          <w:p w14:paraId="0E751D3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38.97</w:t>
            </w:r>
          </w:p>
        </w:tc>
        <w:tc>
          <w:tcPr>
            <w:tcW w:w="717" w:type="dxa"/>
            <w:tcBorders>
              <w:tl2br w:val="nil"/>
              <w:tr2bl w:val="nil"/>
            </w:tcBorders>
            <w:vAlign w:val="center"/>
          </w:tcPr>
          <w:p w14:paraId="193D293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37.03</w:t>
            </w:r>
          </w:p>
        </w:tc>
        <w:tc>
          <w:tcPr>
            <w:tcW w:w="717" w:type="dxa"/>
            <w:tcBorders>
              <w:tl2br w:val="nil"/>
              <w:tr2bl w:val="nil"/>
            </w:tcBorders>
            <w:vAlign w:val="center"/>
          </w:tcPr>
          <w:p w14:paraId="5FE3D37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33.51</w:t>
            </w:r>
          </w:p>
        </w:tc>
        <w:tc>
          <w:tcPr>
            <w:tcW w:w="731" w:type="dxa"/>
            <w:tcBorders>
              <w:tl2br w:val="nil"/>
              <w:tr2bl w:val="nil"/>
            </w:tcBorders>
            <w:vAlign w:val="center"/>
          </w:tcPr>
          <w:p w14:paraId="61BBDC9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31.01</w:t>
            </w:r>
          </w:p>
        </w:tc>
      </w:tr>
      <w:tr w14:paraId="098F50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F876174">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压缩机</w:t>
            </w:r>
          </w:p>
        </w:tc>
        <w:tc>
          <w:tcPr>
            <w:tcW w:w="648" w:type="dxa"/>
            <w:tcBorders>
              <w:tl2br w:val="nil"/>
              <w:tr2bl w:val="nil"/>
            </w:tcBorders>
            <w:vAlign w:val="center"/>
          </w:tcPr>
          <w:p w14:paraId="5815798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88</w:t>
            </w:r>
          </w:p>
        </w:tc>
        <w:tc>
          <w:tcPr>
            <w:tcW w:w="701" w:type="dxa"/>
            <w:tcBorders>
              <w:tl2br w:val="nil"/>
              <w:tr2bl w:val="nil"/>
            </w:tcBorders>
            <w:vAlign w:val="center"/>
          </w:tcPr>
          <w:p w14:paraId="539CFBE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66.05</w:t>
            </w:r>
          </w:p>
        </w:tc>
        <w:tc>
          <w:tcPr>
            <w:tcW w:w="700" w:type="dxa"/>
            <w:tcBorders>
              <w:tl2br w:val="nil"/>
              <w:tr2bl w:val="nil"/>
            </w:tcBorders>
            <w:vAlign w:val="center"/>
          </w:tcPr>
          <w:p w14:paraId="0FF87DD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60.03</w:t>
            </w:r>
          </w:p>
        </w:tc>
        <w:tc>
          <w:tcPr>
            <w:tcW w:w="700" w:type="dxa"/>
            <w:tcBorders>
              <w:tl2br w:val="nil"/>
              <w:tr2bl w:val="nil"/>
            </w:tcBorders>
            <w:vAlign w:val="center"/>
          </w:tcPr>
          <w:p w14:paraId="50E79C9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54.01</w:t>
            </w:r>
          </w:p>
        </w:tc>
        <w:tc>
          <w:tcPr>
            <w:tcW w:w="700" w:type="dxa"/>
            <w:tcBorders>
              <w:tl2br w:val="nil"/>
              <w:tr2bl w:val="nil"/>
            </w:tcBorders>
            <w:vAlign w:val="center"/>
          </w:tcPr>
          <w:p w14:paraId="0E37820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47.99</w:t>
            </w:r>
          </w:p>
        </w:tc>
        <w:tc>
          <w:tcPr>
            <w:tcW w:w="700" w:type="dxa"/>
            <w:tcBorders>
              <w:tl2br w:val="nil"/>
              <w:tr2bl w:val="nil"/>
            </w:tcBorders>
            <w:vAlign w:val="center"/>
          </w:tcPr>
          <w:p w14:paraId="56EFF56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44.47</w:t>
            </w:r>
          </w:p>
        </w:tc>
        <w:tc>
          <w:tcPr>
            <w:tcW w:w="700" w:type="dxa"/>
            <w:tcBorders>
              <w:tl2br w:val="nil"/>
              <w:tr2bl w:val="nil"/>
            </w:tcBorders>
            <w:vAlign w:val="center"/>
          </w:tcPr>
          <w:p w14:paraId="65F899B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41.97</w:t>
            </w:r>
          </w:p>
        </w:tc>
        <w:tc>
          <w:tcPr>
            <w:tcW w:w="717" w:type="dxa"/>
            <w:tcBorders>
              <w:tl2br w:val="nil"/>
              <w:tr2bl w:val="nil"/>
            </w:tcBorders>
            <w:vAlign w:val="center"/>
          </w:tcPr>
          <w:p w14:paraId="23AB1AC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40.03</w:t>
            </w:r>
          </w:p>
        </w:tc>
        <w:tc>
          <w:tcPr>
            <w:tcW w:w="717" w:type="dxa"/>
            <w:tcBorders>
              <w:tl2br w:val="nil"/>
              <w:tr2bl w:val="nil"/>
            </w:tcBorders>
            <w:vAlign w:val="center"/>
          </w:tcPr>
          <w:p w14:paraId="7CE7E22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36.51</w:t>
            </w:r>
          </w:p>
        </w:tc>
        <w:tc>
          <w:tcPr>
            <w:tcW w:w="731" w:type="dxa"/>
            <w:tcBorders>
              <w:tl2br w:val="nil"/>
              <w:tr2bl w:val="nil"/>
            </w:tcBorders>
            <w:vAlign w:val="center"/>
          </w:tcPr>
          <w:p w14:paraId="6C50949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34.01</w:t>
            </w:r>
          </w:p>
        </w:tc>
      </w:tr>
      <w:tr w14:paraId="0DDD5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46F9FD9">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振捣器</w:t>
            </w:r>
          </w:p>
        </w:tc>
        <w:tc>
          <w:tcPr>
            <w:tcW w:w="648" w:type="dxa"/>
            <w:tcBorders>
              <w:tl2br w:val="nil"/>
              <w:tr2bl w:val="nil"/>
            </w:tcBorders>
            <w:vAlign w:val="center"/>
          </w:tcPr>
          <w:p w14:paraId="52A0644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29E97D2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83.05</w:t>
            </w:r>
          </w:p>
        </w:tc>
        <w:tc>
          <w:tcPr>
            <w:tcW w:w="700" w:type="dxa"/>
            <w:tcBorders>
              <w:tl2br w:val="nil"/>
              <w:tr2bl w:val="nil"/>
            </w:tcBorders>
            <w:vAlign w:val="center"/>
          </w:tcPr>
          <w:p w14:paraId="4424D92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77.03</w:t>
            </w:r>
          </w:p>
        </w:tc>
        <w:tc>
          <w:tcPr>
            <w:tcW w:w="700" w:type="dxa"/>
            <w:tcBorders>
              <w:tl2br w:val="nil"/>
              <w:tr2bl w:val="nil"/>
            </w:tcBorders>
            <w:vAlign w:val="center"/>
          </w:tcPr>
          <w:p w14:paraId="54366FB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71.01</w:t>
            </w:r>
          </w:p>
        </w:tc>
        <w:tc>
          <w:tcPr>
            <w:tcW w:w="700" w:type="dxa"/>
            <w:tcBorders>
              <w:tl2br w:val="nil"/>
              <w:tr2bl w:val="nil"/>
            </w:tcBorders>
            <w:vAlign w:val="center"/>
          </w:tcPr>
          <w:p w14:paraId="78D72E6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64.99</w:t>
            </w:r>
          </w:p>
        </w:tc>
        <w:tc>
          <w:tcPr>
            <w:tcW w:w="700" w:type="dxa"/>
            <w:tcBorders>
              <w:tl2br w:val="nil"/>
              <w:tr2bl w:val="nil"/>
            </w:tcBorders>
            <w:vAlign w:val="center"/>
          </w:tcPr>
          <w:p w14:paraId="4D40DB6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61.47</w:t>
            </w:r>
          </w:p>
        </w:tc>
        <w:tc>
          <w:tcPr>
            <w:tcW w:w="700" w:type="dxa"/>
            <w:tcBorders>
              <w:tl2br w:val="nil"/>
              <w:tr2bl w:val="nil"/>
            </w:tcBorders>
            <w:vAlign w:val="center"/>
          </w:tcPr>
          <w:p w14:paraId="2805EB6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58.97</w:t>
            </w:r>
          </w:p>
        </w:tc>
        <w:tc>
          <w:tcPr>
            <w:tcW w:w="717" w:type="dxa"/>
            <w:tcBorders>
              <w:tl2br w:val="nil"/>
              <w:tr2bl w:val="nil"/>
            </w:tcBorders>
            <w:vAlign w:val="center"/>
          </w:tcPr>
          <w:p w14:paraId="5CBFFDE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17" w:type="dxa"/>
            <w:tcBorders>
              <w:tl2br w:val="nil"/>
              <w:tr2bl w:val="nil"/>
            </w:tcBorders>
            <w:vAlign w:val="center"/>
          </w:tcPr>
          <w:p w14:paraId="5C6D34E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53.51</w:t>
            </w:r>
          </w:p>
        </w:tc>
        <w:tc>
          <w:tcPr>
            <w:tcW w:w="731" w:type="dxa"/>
            <w:tcBorders>
              <w:tl2br w:val="nil"/>
              <w:tr2bl w:val="nil"/>
            </w:tcBorders>
            <w:vAlign w:val="center"/>
          </w:tcPr>
          <w:p w14:paraId="1145CBF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r>
      <w:tr w14:paraId="56DE3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769E86B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电锯</w:t>
            </w:r>
          </w:p>
        </w:tc>
        <w:tc>
          <w:tcPr>
            <w:tcW w:w="648" w:type="dxa"/>
            <w:tcBorders>
              <w:tl2br w:val="nil"/>
              <w:tr2bl w:val="nil"/>
            </w:tcBorders>
          </w:tcPr>
          <w:p w14:paraId="6D9DA6B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5A720CD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83.05</w:t>
            </w:r>
          </w:p>
        </w:tc>
        <w:tc>
          <w:tcPr>
            <w:tcW w:w="700" w:type="dxa"/>
            <w:tcBorders>
              <w:tl2br w:val="nil"/>
              <w:tr2bl w:val="nil"/>
            </w:tcBorders>
            <w:vAlign w:val="center"/>
          </w:tcPr>
          <w:p w14:paraId="38B5D2B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77.03</w:t>
            </w:r>
          </w:p>
        </w:tc>
        <w:tc>
          <w:tcPr>
            <w:tcW w:w="700" w:type="dxa"/>
            <w:tcBorders>
              <w:tl2br w:val="nil"/>
              <w:tr2bl w:val="nil"/>
            </w:tcBorders>
            <w:vAlign w:val="center"/>
          </w:tcPr>
          <w:p w14:paraId="4865518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71.01</w:t>
            </w:r>
          </w:p>
        </w:tc>
        <w:tc>
          <w:tcPr>
            <w:tcW w:w="700" w:type="dxa"/>
            <w:tcBorders>
              <w:tl2br w:val="nil"/>
              <w:tr2bl w:val="nil"/>
            </w:tcBorders>
            <w:vAlign w:val="center"/>
          </w:tcPr>
          <w:p w14:paraId="7AC1FC6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64.99</w:t>
            </w:r>
          </w:p>
        </w:tc>
        <w:tc>
          <w:tcPr>
            <w:tcW w:w="700" w:type="dxa"/>
            <w:tcBorders>
              <w:tl2br w:val="nil"/>
              <w:tr2bl w:val="nil"/>
            </w:tcBorders>
            <w:vAlign w:val="center"/>
          </w:tcPr>
          <w:p w14:paraId="442BF4E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61.47</w:t>
            </w:r>
          </w:p>
        </w:tc>
        <w:tc>
          <w:tcPr>
            <w:tcW w:w="700" w:type="dxa"/>
            <w:tcBorders>
              <w:tl2br w:val="nil"/>
              <w:tr2bl w:val="nil"/>
            </w:tcBorders>
            <w:vAlign w:val="center"/>
          </w:tcPr>
          <w:p w14:paraId="01CBEE4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58.97</w:t>
            </w:r>
          </w:p>
        </w:tc>
        <w:tc>
          <w:tcPr>
            <w:tcW w:w="717" w:type="dxa"/>
            <w:tcBorders>
              <w:tl2br w:val="nil"/>
              <w:tr2bl w:val="nil"/>
            </w:tcBorders>
            <w:vAlign w:val="center"/>
          </w:tcPr>
          <w:p w14:paraId="42E66B6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17" w:type="dxa"/>
            <w:tcBorders>
              <w:tl2br w:val="nil"/>
              <w:tr2bl w:val="nil"/>
            </w:tcBorders>
            <w:vAlign w:val="center"/>
          </w:tcPr>
          <w:p w14:paraId="45E8850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53.51</w:t>
            </w:r>
          </w:p>
        </w:tc>
        <w:tc>
          <w:tcPr>
            <w:tcW w:w="731" w:type="dxa"/>
            <w:tcBorders>
              <w:tl2br w:val="nil"/>
              <w:tr2bl w:val="nil"/>
            </w:tcBorders>
            <w:vAlign w:val="center"/>
          </w:tcPr>
          <w:p w14:paraId="228B257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r>
      <w:tr w14:paraId="3CA248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BA7C68D">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电焊机</w:t>
            </w:r>
          </w:p>
        </w:tc>
        <w:tc>
          <w:tcPr>
            <w:tcW w:w="648" w:type="dxa"/>
            <w:tcBorders>
              <w:tl2br w:val="nil"/>
              <w:tr2bl w:val="nil"/>
            </w:tcBorders>
          </w:tcPr>
          <w:p w14:paraId="12FA684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95</w:t>
            </w:r>
          </w:p>
        </w:tc>
        <w:tc>
          <w:tcPr>
            <w:tcW w:w="701" w:type="dxa"/>
            <w:tcBorders>
              <w:tl2br w:val="nil"/>
              <w:tr2bl w:val="nil"/>
            </w:tcBorders>
            <w:vAlign w:val="center"/>
          </w:tcPr>
          <w:p w14:paraId="7BEA0A8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73.05</w:t>
            </w:r>
          </w:p>
        </w:tc>
        <w:tc>
          <w:tcPr>
            <w:tcW w:w="700" w:type="dxa"/>
            <w:tcBorders>
              <w:tl2br w:val="nil"/>
              <w:tr2bl w:val="nil"/>
            </w:tcBorders>
            <w:vAlign w:val="center"/>
          </w:tcPr>
          <w:p w14:paraId="512E2D6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67.03</w:t>
            </w:r>
          </w:p>
        </w:tc>
        <w:tc>
          <w:tcPr>
            <w:tcW w:w="700" w:type="dxa"/>
            <w:tcBorders>
              <w:tl2br w:val="nil"/>
              <w:tr2bl w:val="nil"/>
            </w:tcBorders>
            <w:vAlign w:val="center"/>
          </w:tcPr>
          <w:p w14:paraId="2117CA2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61.01</w:t>
            </w:r>
          </w:p>
        </w:tc>
        <w:tc>
          <w:tcPr>
            <w:tcW w:w="700" w:type="dxa"/>
            <w:tcBorders>
              <w:tl2br w:val="nil"/>
              <w:tr2bl w:val="nil"/>
            </w:tcBorders>
            <w:vAlign w:val="center"/>
          </w:tcPr>
          <w:p w14:paraId="090025E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54.99</w:t>
            </w:r>
          </w:p>
        </w:tc>
        <w:tc>
          <w:tcPr>
            <w:tcW w:w="700" w:type="dxa"/>
            <w:tcBorders>
              <w:tl2br w:val="nil"/>
              <w:tr2bl w:val="nil"/>
            </w:tcBorders>
            <w:vAlign w:val="center"/>
          </w:tcPr>
          <w:p w14:paraId="461751C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51.47</w:t>
            </w:r>
          </w:p>
        </w:tc>
        <w:tc>
          <w:tcPr>
            <w:tcW w:w="700" w:type="dxa"/>
            <w:tcBorders>
              <w:tl2br w:val="nil"/>
              <w:tr2bl w:val="nil"/>
            </w:tcBorders>
            <w:vAlign w:val="center"/>
          </w:tcPr>
          <w:p w14:paraId="036E07C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48.97</w:t>
            </w:r>
          </w:p>
        </w:tc>
        <w:tc>
          <w:tcPr>
            <w:tcW w:w="717" w:type="dxa"/>
            <w:tcBorders>
              <w:tl2br w:val="nil"/>
              <w:tr2bl w:val="nil"/>
            </w:tcBorders>
            <w:vAlign w:val="center"/>
          </w:tcPr>
          <w:p w14:paraId="1107A3F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47.03</w:t>
            </w:r>
          </w:p>
        </w:tc>
        <w:tc>
          <w:tcPr>
            <w:tcW w:w="717" w:type="dxa"/>
            <w:tcBorders>
              <w:tl2br w:val="nil"/>
              <w:tr2bl w:val="nil"/>
            </w:tcBorders>
            <w:vAlign w:val="center"/>
          </w:tcPr>
          <w:p w14:paraId="5017732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43.51</w:t>
            </w:r>
          </w:p>
        </w:tc>
        <w:tc>
          <w:tcPr>
            <w:tcW w:w="731" w:type="dxa"/>
            <w:tcBorders>
              <w:tl2br w:val="nil"/>
              <w:tr2bl w:val="nil"/>
            </w:tcBorders>
            <w:vAlign w:val="center"/>
          </w:tcPr>
          <w:p w14:paraId="5B9AD3B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41.01</w:t>
            </w:r>
          </w:p>
        </w:tc>
      </w:tr>
      <w:tr w14:paraId="77ABFA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9F1580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648" w:type="dxa"/>
            <w:tcBorders>
              <w:tl2br w:val="nil"/>
              <w:tr2bl w:val="nil"/>
            </w:tcBorders>
          </w:tcPr>
          <w:p w14:paraId="4A905EC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85</w:t>
            </w:r>
          </w:p>
        </w:tc>
        <w:tc>
          <w:tcPr>
            <w:tcW w:w="701" w:type="dxa"/>
            <w:tcBorders>
              <w:tl2br w:val="nil"/>
              <w:tr2bl w:val="nil"/>
            </w:tcBorders>
            <w:vAlign w:val="center"/>
          </w:tcPr>
          <w:p w14:paraId="287493F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63.05</w:t>
            </w:r>
          </w:p>
        </w:tc>
        <w:tc>
          <w:tcPr>
            <w:tcW w:w="700" w:type="dxa"/>
            <w:tcBorders>
              <w:tl2br w:val="nil"/>
              <w:tr2bl w:val="nil"/>
            </w:tcBorders>
            <w:vAlign w:val="center"/>
          </w:tcPr>
          <w:p w14:paraId="68F0144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00" w:type="dxa"/>
            <w:tcBorders>
              <w:tl2br w:val="nil"/>
              <w:tr2bl w:val="nil"/>
            </w:tcBorders>
            <w:vAlign w:val="center"/>
          </w:tcPr>
          <w:p w14:paraId="7701C12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c>
          <w:tcPr>
            <w:tcW w:w="700" w:type="dxa"/>
            <w:tcBorders>
              <w:tl2br w:val="nil"/>
              <w:tr2bl w:val="nil"/>
            </w:tcBorders>
            <w:vAlign w:val="center"/>
          </w:tcPr>
          <w:p w14:paraId="0873DA4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44.99</w:t>
            </w:r>
          </w:p>
        </w:tc>
        <w:tc>
          <w:tcPr>
            <w:tcW w:w="700" w:type="dxa"/>
            <w:tcBorders>
              <w:tl2br w:val="nil"/>
              <w:tr2bl w:val="nil"/>
            </w:tcBorders>
            <w:vAlign w:val="center"/>
          </w:tcPr>
          <w:p w14:paraId="67EE230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41.47</w:t>
            </w:r>
          </w:p>
        </w:tc>
        <w:tc>
          <w:tcPr>
            <w:tcW w:w="700" w:type="dxa"/>
            <w:tcBorders>
              <w:tl2br w:val="nil"/>
              <w:tr2bl w:val="nil"/>
            </w:tcBorders>
            <w:vAlign w:val="center"/>
          </w:tcPr>
          <w:p w14:paraId="66215C0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38.97</w:t>
            </w:r>
          </w:p>
        </w:tc>
        <w:tc>
          <w:tcPr>
            <w:tcW w:w="717" w:type="dxa"/>
            <w:tcBorders>
              <w:tl2br w:val="nil"/>
              <w:tr2bl w:val="nil"/>
            </w:tcBorders>
            <w:vAlign w:val="center"/>
          </w:tcPr>
          <w:p w14:paraId="5A764F1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37.03</w:t>
            </w:r>
          </w:p>
        </w:tc>
        <w:tc>
          <w:tcPr>
            <w:tcW w:w="717" w:type="dxa"/>
            <w:tcBorders>
              <w:tl2br w:val="nil"/>
              <w:tr2bl w:val="nil"/>
            </w:tcBorders>
            <w:vAlign w:val="center"/>
          </w:tcPr>
          <w:p w14:paraId="7BA3A94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33.51</w:t>
            </w:r>
          </w:p>
        </w:tc>
        <w:tc>
          <w:tcPr>
            <w:tcW w:w="731" w:type="dxa"/>
            <w:tcBorders>
              <w:tl2br w:val="nil"/>
              <w:tr2bl w:val="nil"/>
            </w:tcBorders>
            <w:vAlign w:val="center"/>
          </w:tcPr>
          <w:p w14:paraId="4609824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31.01</w:t>
            </w:r>
          </w:p>
        </w:tc>
      </w:tr>
      <w:tr w14:paraId="6F0EB3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31994BBA">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电钻</w:t>
            </w:r>
          </w:p>
        </w:tc>
        <w:tc>
          <w:tcPr>
            <w:tcW w:w="648" w:type="dxa"/>
            <w:tcBorders>
              <w:tl2br w:val="nil"/>
              <w:tr2bl w:val="nil"/>
            </w:tcBorders>
          </w:tcPr>
          <w:p w14:paraId="5E14E6B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61CB78C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83.05</w:t>
            </w:r>
          </w:p>
        </w:tc>
        <w:tc>
          <w:tcPr>
            <w:tcW w:w="700" w:type="dxa"/>
            <w:tcBorders>
              <w:tl2br w:val="nil"/>
              <w:tr2bl w:val="nil"/>
            </w:tcBorders>
            <w:vAlign w:val="center"/>
          </w:tcPr>
          <w:p w14:paraId="49448E1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77.03</w:t>
            </w:r>
          </w:p>
        </w:tc>
        <w:tc>
          <w:tcPr>
            <w:tcW w:w="700" w:type="dxa"/>
            <w:tcBorders>
              <w:tl2br w:val="nil"/>
              <w:tr2bl w:val="nil"/>
            </w:tcBorders>
            <w:vAlign w:val="center"/>
          </w:tcPr>
          <w:p w14:paraId="694622A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71.01</w:t>
            </w:r>
          </w:p>
        </w:tc>
        <w:tc>
          <w:tcPr>
            <w:tcW w:w="700" w:type="dxa"/>
            <w:tcBorders>
              <w:tl2br w:val="nil"/>
              <w:tr2bl w:val="nil"/>
            </w:tcBorders>
            <w:vAlign w:val="center"/>
          </w:tcPr>
          <w:p w14:paraId="38C5F8A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64.99</w:t>
            </w:r>
          </w:p>
        </w:tc>
        <w:tc>
          <w:tcPr>
            <w:tcW w:w="700" w:type="dxa"/>
            <w:tcBorders>
              <w:tl2br w:val="nil"/>
              <w:tr2bl w:val="nil"/>
            </w:tcBorders>
            <w:vAlign w:val="center"/>
          </w:tcPr>
          <w:p w14:paraId="28E62FE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61.47</w:t>
            </w:r>
          </w:p>
        </w:tc>
        <w:tc>
          <w:tcPr>
            <w:tcW w:w="700" w:type="dxa"/>
            <w:tcBorders>
              <w:tl2br w:val="nil"/>
              <w:tr2bl w:val="nil"/>
            </w:tcBorders>
            <w:vAlign w:val="center"/>
          </w:tcPr>
          <w:p w14:paraId="5775319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58.97</w:t>
            </w:r>
          </w:p>
        </w:tc>
        <w:tc>
          <w:tcPr>
            <w:tcW w:w="717" w:type="dxa"/>
            <w:tcBorders>
              <w:tl2br w:val="nil"/>
              <w:tr2bl w:val="nil"/>
            </w:tcBorders>
            <w:vAlign w:val="center"/>
          </w:tcPr>
          <w:p w14:paraId="44898FC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17" w:type="dxa"/>
            <w:tcBorders>
              <w:tl2br w:val="nil"/>
              <w:tr2bl w:val="nil"/>
            </w:tcBorders>
            <w:vAlign w:val="center"/>
          </w:tcPr>
          <w:p w14:paraId="1179121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53.51</w:t>
            </w:r>
          </w:p>
        </w:tc>
        <w:tc>
          <w:tcPr>
            <w:tcW w:w="731" w:type="dxa"/>
            <w:tcBorders>
              <w:tl2br w:val="nil"/>
              <w:tr2bl w:val="nil"/>
            </w:tcBorders>
            <w:vAlign w:val="center"/>
          </w:tcPr>
          <w:p w14:paraId="6FCC9FB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r>
      <w:tr w14:paraId="61AAA9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F7478ED">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电锤</w:t>
            </w:r>
          </w:p>
        </w:tc>
        <w:tc>
          <w:tcPr>
            <w:tcW w:w="648" w:type="dxa"/>
            <w:tcBorders>
              <w:tl2br w:val="nil"/>
              <w:tr2bl w:val="nil"/>
            </w:tcBorders>
          </w:tcPr>
          <w:p w14:paraId="7ABB9DF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0B7CE32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83.05</w:t>
            </w:r>
          </w:p>
        </w:tc>
        <w:tc>
          <w:tcPr>
            <w:tcW w:w="700" w:type="dxa"/>
            <w:tcBorders>
              <w:tl2br w:val="nil"/>
              <w:tr2bl w:val="nil"/>
            </w:tcBorders>
            <w:vAlign w:val="center"/>
          </w:tcPr>
          <w:p w14:paraId="6C2993F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77.03</w:t>
            </w:r>
          </w:p>
        </w:tc>
        <w:tc>
          <w:tcPr>
            <w:tcW w:w="700" w:type="dxa"/>
            <w:tcBorders>
              <w:tl2br w:val="nil"/>
              <w:tr2bl w:val="nil"/>
            </w:tcBorders>
            <w:vAlign w:val="center"/>
          </w:tcPr>
          <w:p w14:paraId="2F9CABF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71.01</w:t>
            </w:r>
          </w:p>
        </w:tc>
        <w:tc>
          <w:tcPr>
            <w:tcW w:w="700" w:type="dxa"/>
            <w:tcBorders>
              <w:tl2br w:val="nil"/>
              <w:tr2bl w:val="nil"/>
            </w:tcBorders>
            <w:vAlign w:val="center"/>
          </w:tcPr>
          <w:p w14:paraId="7E9B15C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64.99</w:t>
            </w:r>
          </w:p>
        </w:tc>
        <w:tc>
          <w:tcPr>
            <w:tcW w:w="700" w:type="dxa"/>
            <w:tcBorders>
              <w:tl2br w:val="nil"/>
              <w:tr2bl w:val="nil"/>
            </w:tcBorders>
            <w:vAlign w:val="center"/>
          </w:tcPr>
          <w:p w14:paraId="340475E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61.47</w:t>
            </w:r>
          </w:p>
        </w:tc>
        <w:tc>
          <w:tcPr>
            <w:tcW w:w="700" w:type="dxa"/>
            <w:tcBorders>
              <w:tl2br w:val="nil"/>
              <w:tr2bl w:val="nil"/>
            </w:tcBorders>
            <w:vAlign w:val="center"/>
          </w:tcPr>
          <w:p w14:paraId="076DE41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58.97</w:t>
            </w:r>
          </w:p>
        </w:tc>
        <w:tc>
          <w:tcPr>
            <w:tcW w:w="717" w:type="dxa"/>
            <w:tcBorders>
              <w:tl2br w:val="nil"/>
              <w:tr2bl w:val="nil"/>
            </w:tcBorders>
            <w:vAlign w:val="center"/>
          </w:tcPr>
          <w:p w14:paraId="3BEC369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17" w:type="dxa"/>
            <w:tcBorders>
              <w:tl2br w:val="nil"/>
              <w:tr2bl w:val="nil"/>
            </w:tcBorders>
            <w:vAlign w:val="center"/>
          </w:tcPr>
          <w:p w14:paraId="2C134CA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53.51</w:t>
            </w:r>
          </w:p>
        </w:tc>
        <w:tc>
          <w:tcPr>
            <w:tcW w:w="731" w:type="dxa"/>
            <w:tcBorders>
              <w:tl2br w:val="nil"/>
              <w:tr2bl w:val="nil"/>
            </w:tcBorders>
            <w:vAlign w:val="center"/>
          </w:tcPr>
          <w:p w14:paraId="0CB3EFB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r>
      <w:tr w14:paraId="10F6FD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7A5B69DE">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手工钻</w:t>
            </w:r>
          </w:p>
        </w:tc>
        <w:tc>
          <w:tcPr>
            <w:tcW w:w="648" w:type="dxa"/>
            <w:tcBorders>
              <w:tl2br w:val="nil"/>
              <w:tr2bl w:val="nil"/>
            </w:tcBorders>
          </w:tcPr>
          <w:p w14:paraId="76EA15B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5A3FF13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83.05</w:t>
            </w:r>
          </w:p>
        </w:tc>
        <w:tc>
          <w:tcPr>
            <w:tcW w:w="700" w:type="dxa"/>
            <w:tcBorders>
              <w:tl2br w:val="nil"/>
              <w:tr2bl w:val="nil"/>
            </w:tcBorders>
            <w:vAlign w:val="center"/>
          </w:tcPr>
          <w:p w14:paraId="67AB693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77.03</w:t>
            </w:r>
          </w:p>
        </w:tc>
        <w:tc>
          <w:tcPr>
            <w:tcW w:w="700" w:type="dxa"/>
            <w:tcBorders>
              <w:tl2br w:val="nil"/>
              <w:tr2bl w:val="nil"/>
            </w:tcBorders>
            <w:vAlign w:val="center"/>
          </w:tcPr>
          <w:p w14:paraId="03622E6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71.01</w:t>
            </w:r>
          </w:p>
        </w:tc>
        <w:tc>
          <w:tcPr>
            <w:tcW w:w="700" w:type="dxa"/>
            <w:tcBorders>
              <w:tl2br w:val="nil"/>
              <w:tr2bl w:val="nil"/>
            </w:tcBorders>
            <w:vAlign w:val="center"/>
          </w:tcPr>
          <w:p w14:paraId="144BD42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64.99</w:t>
            </w:r>
          </w:p>
        </w:tc>
        <w:tc>
          <w:tcPr>
            <w:tcW w:w="700" w:type="dxa"/>
            <w:tcBorders>
              <w:tl2br w:val="nil"/>
              <w:tr2bl w:val="nil"/>
            </w:tcBorders>
            <w:vAlign w:val="center"/>
          </w:tcPr>
          <w:p w14:paraId="56C12E5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61.47</w:t>
            </w:r>
          </w:p>
        </w:tc>
        <w:tc>
          <w:tcPr>
            <w:tcW w:w="700" w:type="dxa"/>
            <w:tcBorders>
              <w:tl2br w:val="nil"/>
              <w:tr2bl w:val="nil"/>
            </w:tcBorders>
            <w:vAlign w:val="center"/>
          </w:tcPr>
          <w:p w14:paraId="12BA53C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58.97</w:t>
            </w:r>
          </w:p>
        </w:tc>
        <w:tc>
          <w:tcPr>
            <w:tcW w:w="717" w:type="dxa"/>
            <w:tcBorders>
              <w:tl2br w:val="nil"/>
              <w:tr2bl w:val="nil"/>
            </w:tcBorders>
            <w:vAlign w:val="center"/>
          </w:tcPr>
          <w:p w14:paraId="107F4C7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17" w:type="dxa"/>
            <w:tcBorders>
              <w:tl2br w:val="nil"/>
              <w:tr2bl w:val="nil"/>
            </w:tcBorders>
            <w:vAlign w:val="center"/>
          </w:tcPr>
          <w:p w14:paraId="7910448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53.51</w:t>
            </w:r>
          </w:p>
        </w:tc>
        <w:tc>
          <w:tcPr>
            <w:tcW w:w="731" w:type="dxa"/>
            <w:tcBorders>
              <w:tl2br w:val="nil"/>
              <w:tr2bl w:val="nil"/>
            </w:tcBorders>
            <w:vAlign w:val="center"/>
          </w:tcPr>
          <w:p w14:paraId="66431C4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r>
      <w:tr w14:paraId="1C6D8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F2B903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无齿锯</w:t>
            </w:r>
          </w:p>
        </w:tc>
        <w:tc>
          <w:tcPr>
            <w:tcW w:w="648" w:type="dxa"/>
            <w:tcBorders>
              <w:tl2br w:val="nil"/>
              <w:tr2bl w:val="nil"/>
            </w:tcBorders>
          </w:tcPr>
          <w:p w14:paraId="2F91119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2B0382B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83.05</w:t>
            </w:r>
          </w:p>
        </w:tc>
        <w:tc>
          <w:tcPr>
            <w:tcW w:w="700" w:type="dxa"/>
            <w:tcBorders>
              <w:tl2br w:val="nil"/>
              <w:tr2bl w:val="nil"/>
            </w:tcBorders>
            <w:vAlign w:val="center"/>
          </w:tcPr>
          <w:p w14:paraId="10385C8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77.03</w:t>
            </w:r>
          </w:p>
        </w:tc>
        <w:tc>
          <w:tcPr>
            <w:tcW w:w="700" w:type="dxa"/>
            <w:tcBorders>
              <w:tl2br w:val="nil"/>
              <w:tr2bl w:val="nil"/>
            </w:tcBorders>
            <w:vAlign w:val="center"/>
          </w:tcPr>
          <w:p w14:paraId="5C93FA4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71.01</w:t>
            </w:r>
          </w:p>
        </w:tc>
        <w:tc>
          <w:tcPr>
            <w:tcW w:w="700" w:type="dxa"/>
            <w:tcBorders>
              <w:tl2br w:val="nil"/>
              <w:tr2bl w:val="nil"/>
            </w:tcBorders>
            <w:vAlign w:val="center"/>
          </w:tcPr>
          <w:p w14:paraId="15A0BD2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64.99</w:t>
            </w:r>
          </w:p>
        </w:tc>
        <w:tc>
          <w:tcPr>
            <w:tcW w:w="700" w:type="dxa"/>
            <w:tcBorders>
              <w:tl2br w:val="nil"/>
              <w:tr2bl w:val="nil"/>
            </w:tcBorders>
            <w:vAlign w:val="center"/>
          </w:tcPr>
          <w:p w14:paraId="0F5DFFF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61.47</w:t>
            </w:r>
          </w:p>
        </w:tc>
        <w:tc>
          <w:tcPr>
            <w:tcW w:w="700" w:type="dxa"/>
            <w:tcBorders>
              <w:tl2br w:val="nil"/>
              <w:tr2bl w:val="nil"/>
            </w:tcBorders>
            <w:vAlign w:val="center"/>
          </w:tcPr>
          <w:p w14:paraId="7B970D5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58.97</w:t>
            </w:r>
          </w:p>
        </w:tc>
        <w:tc>
          <w:tcPr>
            <w:tcW w:w="717" w:type="dxa"/>
            <w:tcBorders>
              <w:tl2br w:val="nil"/>
              <w:tr2bl w:val="nil"/>
            </w:tcBorders>
            <w:vAlign w:val="center"/>
          </w:tcPr>
          <w:p w14:paraId="5DB3A65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57.03</w:t>
            </w:r>
          </w:p>
        </w:tc>
        <w:tc>
          <w:tcPr>
            <w:tcW w:w="717" w:type="dxa"/>
            <w:tcBorders>
              <w:tl2br w:val="nil"/>
              <w:tr2bl w:val="nil"/>
            </w:tcBorders>
            <w:vAlign w:val="center"/>
          </w:tcPr>
          <w:p w14:paraId="51F8B3A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53.51</w:t>
            </w:r>
          </w:p>
        </w:tc>
        <w:tc>
          <w:tcPr>
            <w:tcW w:w="731" w:type="dxa"/>
            <w:tcBorders>
              <w:tl2br w:val="nil"/>
              <w:tr2bl w:val="nil"/>
            </w:tcBorders>
            <w:vAlign w:val="center"/>
          </w:tcPr>
          <w:p w14:paraId="3529793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51.01</w:t>
            </w:r>
          </w:p>
        </w:tc>
      </w:tr>
      <w:tr w14:paraId="30442C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68105F2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多功能木工刨</w:t>
            </w:r>
          </w:p>
        </w:tc>
        <w:tc>
          <w:tcPr>
            <w:tcW w:w="648" w:type="dxa"/>
            <w:tcBorders>
              <w:tl2br w:val="nil"/>
              <w:tr2bl w:val="nil"/>
            </w:tcBorders>
          </w:tcPr>
          <w:p w14:paraId="73E6CE5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100</w:t>
            </w:r>
          </w:p>
        </w:tc>
        <w:tc>
          <w:tcPr>
            <w:tcW w:w="701" w:type="dxa"/>
            <w:tcBorders>
              <w:tl2br w:val="nil"/>
              <w:tr2bl w:val="nil"/>
            </w:tcBorders>
          </w:tcPr>
          <w:p w14:paraId="0EC6A7C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78.05</w:t>
            </w:r>
          </w:p>
        </w:tc>
        <w:tc>
          <w:tcPr>
            <w:tcW w:w="700" w:type="dxa"/>
            <w:tcBorders>
              <w:tl2br w:val="nil"/>
              <w:tr2bl w:val="nil"/>
            </w:tcBorders>
          </w:tcPr>
          <w:p w14:paraId="38935D1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72.03</w:t>
            </w:r>
          </w:p>
        </w:tc>
        <w:tc>
          <w:tcPr>
            <w:tcW w:w="700" w:type="dxa"/>
            <w:tcBorders>
              <w:tl2br w:val="nil"/>
              <w:tr2bl w:val="nil"/>
            </w:tcBorders>
          </w:tcPr>
          <w:p w14:paraId="09AC6D0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66.01</w:t>
            </w:r>
          </w:p>
        </w:tc>
        <w:tc>
          <w:tcPr>
            <w:tcW w:w="700" w:type="dxa"/>
            <w:tcBorders>
              <w:tl2br w:val="nil"/>
              <w:tr2bl w:val="nil"/>
            </w:tcBorders>
          </w:tcPr>
          <w:p w14:paraId="0723EA3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59.99</w:t>
            </w:r>
          </w:p>
        </w:tc>
        <w:tc>
          <w:tcPr>
            <w:tcW w:w="700" w:type="dxa"/>
            <w:tcBorders>
              <w:tl2br w:val="nil"/>
              <w:tr2bl w:val="nil"/>
            </w:tcBorders>
          </w:tcPr>
          <w:p w14:paraId="7875A35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56.47</w:t>
            </w:r>
          </w:p>
        </w:tc>
        <w:tc>
          <w:tcPr>
            <w:tcW w:w="700" w:type="dxa"/>
            <w:tcBorders>
              <w:tl2br w:val="nil"/>
              <w:tr2bl w:val="nil"/>
            </w:tcBorders>
          </w:tcPr>
          <w:p w14:paraId="79F810A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53.97</w:t>
            </w:r>
          </w:p>
        </w:tc>
        <w:tc>
          <w:tcPr>
            <w:tcW w:w="717" w:type="dxa"/>
            <w:tcBorders>
              <w:tl2br w:val="nil"/>
              <w:tr2bl w:val="nil"/>
            </w:tcBorders>
          </w:tcPr>
          <w:p w14:paraId="3C2EF5B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52.03</w:t>
            </w:r>
          </w:p>
        </w:tc>
        <w:tc>
          <w:tcPr>
            <w:tcW w:w="717" w:type="dxa"/>
            <w:tcBorders>
              <w:tl2br w:val="nil"/>
              <w:tr2bl w:val="nil"/>
            </w:tcBorders>
          </w:tcPr>
          <w:p w14:paraId="6266E89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48.51</w:t>
            </w:r>
          </w:p>
        </w:tc>
        <w:tc>
          <w:tcPr>
            <w:tcW w:w="731" w:type="dxa"/>
            <w:tcBorders>
              <w:tl2br w:val="nil"/>
              <w:tr2bl w:val="nil"/>
            </w:tcBorders>
          </w:tcPr>
          <w:p w14:paraId="264875B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46.01</w:t>
            </w:r>
          </w:p>
        </w:tc>
      </w:tr>
      <w:tr w14:paraId="0C1693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65BD03D7">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角向磨光机</w:t>
            </w:r>
          </w:p>
        </w:tc>
        <w:tc>
          <w:tcPr>
            <w:tcW w:w="648" w:type="dxa"/>
            <w:tcBorders>
              <w:tl2br w:val="nil"/>
              <w:tr2bl w:val="nil"/>
            </w:tcBorders>
          </w:tcPr>
          <w:p w14:paraId="487A50B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115</w:t>
            </w:r>
          </w:p>
        </w:tc>
        <w:tc>
          <w:tcPr>
            <w:tcW w:w="701" w:type="dxa"/>
            <w:tcBorders>
              <w:tl2br w:val="nil"/>
              <w:tr2bl w:val="nil"/>
            </w:tcBorders>
          </w:tcPr>
          <w:p w14:paraId="051C6CD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93.05</w:t>
            </w:r>
          </w:p>
        </w:tc>
        <w:tc>
          <w:tcPr>
            <w:tcW w:w="700" w:type="dxa"/>
            <w:tcBorders>
              <w:tl2br w:val="nil"/>
              <w:tr2bl w:val="nil"/>
            </w:tcBorders>
          </w:tcPr>
          <w:p w14:paraId="186B25B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87.03</w:t>
            </w:r>
          </w:p>
        </w:tc>
        <w:tc>
          <w:tcPr>
            <w:tcW w:w="700" w:type="dxa"/>
            <w:tcBorders>
              <w:tl2br w:val="nil"/>
              <w:tr2bl w:val="nil"/>
            </w:tcBorders>
          </w:tcPr>
          <w:p w14:paraId="4562705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81.01</w:t>
            </w:r>
          </w:p>
        </w:tc>
        <w:tc>
          <w:tcPr>
            <w:tcW w:w="700" w:type="dxa"/>
            <w:tcBorders>
              <w:tl2br w:val="nil"/>
              <w:tr2bl w:val="nil"/>
            </w:tcBorders>
          </w:tcPr>
          <w:p w14:paraId="43109E6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74.99</w:t>
            </w:r>
          </w:p>
        </w:tc>
        <w:tc>
          <w:tcPr>
            <w:tcW w:w="700" w:type="dxa"/>
            <w:tcBorders>
              <w:tl2br w:val="nil"/>
              <w:tr2bl w:val="nil"/>
            </w:tcBorders>
          </w:tcPr>
          <w:p w14:paraId="2EDC22A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71.47</w:t>
            </w:r>
          </w:p>
        </w:tc>
        <w:tc>
          <w:tcPr>
            <w:tcW w:w="700" w:type="dxa"/>
            <w:tcBorders>
              <w:tl2br w:val="nil"/>
              <w:tr2bl w:val="nil"/>
            </w:tcBorders>
          </w:tcPr>
          <w:p w14:paraId="2FF0F72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68.97</w:t>
            </w:r>
          </w:p>
        </w:tc>
        <w:tc>
          <w:tcPr>
            <w:tcW w:w="717" w:type="dxa"/>
            <w:tcBorders>
              <w:tl2br w:val="nil"/>
              <w:tr2bl w:val="nil"/>
            </w:tcBorders>
          </w:tcPr>
          <w:p w14:paraId="0E771C8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67.03</w:t>
            </w:r>
          </w:p>
        </w:tc>
        <w:tc>
          <w:tcPr>
            <w:tcW w:w="717" w:type="dxa"/>
            <w:tcBorders>
              <w:tl2br w:val="nil"/>
              <w:tr2bl w:val="nil"/>
            </w:tcBorders>
          </w:tcPr>
          <w:p w14:paraId="7103D6B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63.51</w:t>
            </w:r>
          </w:p>
        </w:tc>
        <w:tc>
          <w:tcPr>
            <w:tcW w:w="731" w:type="dxa"/>
            <w:tcBorders>
              <w:tl2br w:val="nil"/>
              <w:tr2bl w:val="nil"/>
            </w:tcBorders>
          </w:tcPr>
          <w:p w14:paraId="552779A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61.01</w:t>
            </w:r>
          </w:p>
        </w:tc>
      </w:tr>
    </w:tbl>
    <w:p w14:paraId="7DDB0E07">
      <w:pPr>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由表5.1-3可知，施工机械中以振捣器、电锯、电钻等噪声影响程度最大。各种机械噪声源强均在75dB（A）以上，对靠近施工现场100m范围内的影响较大。由于在项目区周围2.0km范围内无居民区，所以工程施工对外环境的影响较小。</w:t>
      </w:r>
    </w:p>
    <w:p w14:paraId="5A0BA555">
      <w:pPr>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另外，施工期运送土石方、原材料会导致往来运输车流量增加，交通噪声亦会随之突然增加，将对周边环境产生一定不利影响。</w:t>
      </w:r>
    </w:p>
    <w:p w14:paraId="267A007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施工噪声影响是短期的，施工结束后施工噪声自然消失。只要注意调整施工时间、合理安排施工场地等，可以将施工噪声的影响减至最低。</w:t>
      </w:r>
    </w:p>
    <w:p w14:paraId="7B1C06B3">
      <w:pPr>
        <w:pStyle w:val="4"/>
        <w:rPr>
          <w:rFonts w:hint="default" w:ascii="Times New Roman" w:hAnsi="Times New Roman" w:cs="Times New Roman"/>
          <w:color w:val="auto"/>
          <w:highlight w:val="none"/>
        </w:rPr>
      </w:pPr>
      <w:bookmarkStart w:id="734" w:name="_Toc17490"/>
      <w:bookmarkStart w:id="735" w:name="_Toc26544"/>
      <w:bookmarkStart w:id="736" w:name="_Toc29422"/>
      <w:r>
        <w:rPr>
          <w:rFonts w:hint="default" w:ascii="Times New Roman" w:hAnsi="Times New Roman" w:cs="Times New Roman"/>
          <w:color w:val="auto"/>
          <w:highlight w:val="none"/>
        </w:rPr>
        <w:t>5.1.4施工期固体废物环境影响分析</w:t>
      </w:r>
      <w:bookmarkEnd w:id="734"/>
      <w:bookmarkEnd w:id="735"/>
      <w:bookmarkEnd w:id="736"/>
    </w:p>
    <w:p w14:paraId="2F0FD09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施工过程中产生的固废主要为地面建（构）筑物建设产生的建筑垃圾及施工人员产生的生活垃圾等。</w:t>
      </w:r>
    </w:p>
    <w:p w14:paraId="573F5E31">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建筑垃圾包括施工中产生的废弃砖石和洒落的混凝土、设备安装过</w:t>
      </w:r>
      <w:r>
        <w:rPr>
          <w:rFonts w:hint="default" w:ascii="Times New Roman" w:hAnsi="Times New Roman" w:cs="Times New Roman"/>
          <w:color w:val="auto"/>
          <w:highlight w:val="none"/>
          <w:lang w:eastAsia="zh-CN"/>
        </w:rPr>
        <w:t>程中</w:t>
      </w:r>
      <w:r>
        <w:rPr>
          <w:rFonts w:hint="default" w:ascii="Times New Roman" w:hAnsi="Times New Roman" w:cs="Times New Roman"/>
          <w:color w:val="auto"/>
          <w:highlight w:val="none"/>
        </w:rPr>
        <w:t>产生的金属废料等。金属废料施工后可进行回收，建筑垃圾由施工单位集中收集后运走，回收利用，不能回收利用的集中收集后送至当地建筑垃圾填埋场填埋处理。采取上述措施后对项目周围环境影响较小。</w:t>
      </w:r>
    </w:p>
    <w:p w14:paraId="2D56D44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包括残剩食物、废纸等。这些固废处置不当将会影响景观，污染土壤和水体，生活垃圾还会散发恶臭，因此要求设置生活垃圾收集池进行集中堆放，与厂区生活垃圾一并处理，生活垃圾集中收集后，定期清运</w:t>
      </w:r>
      <w:r>
        <w:rPr>
          <w:rFonts w:hint="default" w:ascii="Times New Roman" w:hAnsi="Times New Roman" w:cs="Times New Roman"/>
          <w:color w:val="auto"/>
          <w:highlight w:val="none"/>
          <w:lang w:val="en-US" w:eastAsia="zh-CN"/>
        </w:rPr>
        <w:t>至</w:t>
      </w:r>
      <w:r>
        <w:rPr>
          <w:rFonts w:hint="default" w:cs="Times New Roman"/>
          <w:color w:val="auto"/>
          <w:highlight w:val="none"/>
          <w:lang w:val="en-US" w:eastAsia="zh-CN"/>
        </w:rPr>
        <w:t>富蕴县杜热镇生活垃圾填埋场</w:t>
      </w:r>
      <w:r>
        <w:rPr>
          <w:rFonts w:hint="default" w:ascii="Times New Roman" w:hAnsi="Times New Roman" w:cs="Times New Roman"/>
          <w:color w:val="auto"/>
          <w:highlight w:val="none"/>
          <w:lang w:val="en-US" w:eastAsia="zh-CN"/>
        </w:rPr>
        <w:t>填埋处置</w:t>
      </w:r>
      <w:r>
        <w:rPr>
          <w:rFonts w:hint="default" w:ascii="Times New Roman" w:hAnsi="Times New Roman" w:cs="Times New Roman"/>
          <w:color w:val="auto"/>
          <w:highlight w:val="none"/>
        </w:rPr>
        <w:t>。</w:t>
      </w:r>
    </w:p>
    <w:p w14:paraId="39333F15">
      <w:pPr>
        <w:overflowPunct w:val="0"/>
        <w:topLinePunct/>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采取上述措施后对项目周围环境影响较小。</w:t>
      </w:r>
    </w:p>
    <w:p w14:paraId="7A81BE51">
      <w:pPr>
        <w:pStyle w:val="4"/>
        <w:rPr>
          <w:rFonts w:hint="default" w:ascii="Times New Roman" w:hAnsi="Times New Roman" w:cs="Times New Roman"/>
          <w:color w:val="auto"/>
          <w:highlight w:val="none"/>
        </w:rPr>
      </w:pPr>
      <w:bookmarkStart w:id="737" w:name="_Toc12329"/>
      <w:bookmarkStart w:id="738" w:name="_Toc5048"/>
      <w:bookmarkStart w:id="739" w:name="_Toc22620"/>
      <w:r>
        <w:rPr>
          <w:rFonts w:hint="default" w:ascii="Times New Roman" w:hAnsi="Times New Roman" w:cs="Times New Roman"/>
          <w:color w:val="auto"/>
          <w:highlight w:val="none"/>
        </w:rPr>
        <w:t>5.1.5施工期生态环境影响分析</w:t>
      </w:r>
      <w:bookmarkEnd w:id="737"/>
      <w:bookmarkEnd w:id="738"/>
      <w:bookmarkEnd w:id="739"/>
    </w:p>
    <w:p w14:paraId="3BC83602">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5.1.5.1土地利用影响分析</w:t>
      </w:r>
    </w:p>
    <w:p w14:paraId="3AB4308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1、工程占地对区域生态环境的影响</w:t>
      </w:r>
    </w:p>
    <w:p w14:paraId="2C4D139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土地资源的占用分为临时性占地和永久性占地两种类型。永久性占地一经征用，其土地利用类型将发生根本性的改变，例如由旱地、林地、灌草地、其它草地等改变为建设用地，并贯穿于整个施工期和运营期，对当地土地利用结构和功能有一定影响；临时用地则由附属工程和临时工程所占用，在工程施工完毕后按照《土地复垦条例》的规定，进行土地复垦整治，将逐渐恢复原有土地使用功能。</w:t>
      </w:r>
    </w:p>
    <w:p w14:paraId="5826758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本项目占地情况如下：</w:t>
      </w:r>
    </w:p>
    <w:p w14:paraId="292A59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（1）永久性占地</w:t>
      </w:r>
    </w:p>
    <w:p w14:paraId="6F8B5AB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val="en-US" w:eastAsia="zh-CN"/>
        </w:rPr>
        <w:t>新建</w:t>
      </w:r>
      <w:r>
        <w:rPr>
          <w:rFonts w:hint="default" w:ascii="Times New Roman" w:hAnsi="Times New Roman" w:cs="Times New Roman"/>
          <w:color w:val="auto"/>
          <w:highlight w:val="none"/>
        </w:rPr>
        <w:t>项目，本项目新增永久占地为新建选矿厂、尾矿库</w:t>
      </w:r>
      <w:r>
        <w:rPr>
          <w:rFonts w:hint="default" w:cs="Times New Roman"/>
          <w:color w:val="auto"/>
          <w:highlight w:val="none"/>
          <w:lang w:eastAsia="zh-CN"/>
        </w:rPr>
        <w:t>、</w:t>
      </w:r>
      <w:r>
        <w:rPr>
          <w:rFonts w:hint="default" w:ascii="Times New Roman" w:hAnsi="Times New Roman" w:cs="Times New Roman"/>
          <w:color w:val="auto"/>
          <w:highlight w:val="none"/>
        </w:rPr>
        <w:t>办公生活区</w:t>
      </w:r>
      <w:r>
        <w:rPr>
          <w:rFonts w:hint="default" w:cs="Times New Roman"/>
          <w:color w:val="auto"/>
          <w:highlight w:val="none"/>
          <w:lang w:val="en-US" w:eastAsia="zh-CN"/>
        </w:rPr>
        <w:t>及道路</w:t>
      </w:r>
      <w:r>
        <w:rPr>
          <w:rFonts w:hint="default" w:ascii="Times New Roman" w:hAnsi="Times New Roman" w:cs="Times New Roman"/>
          <w:color w:val="auto"/>
          <w:highlight w:val="none"/>
        </w:rPr>
        <w:t>占地，占地类型主要为</w:t>
      </w:r>
      <w:r>
        <w:rPr>
          <w:rFonts w:hint="default" w:ascii="Times New Roman" w:hAnsi="Times New Roman" w:cs="Times New Roman"/>
          <w:color w:val="auto"/>
          <w:highlight w:val="none"/>
          <w:lang w:val="en-US" w:eastAsia="zh-CN"/>
        </w:rPr>
        <w:t>低</w:t>
      </w:r>
      <w:r>
        <w:rPr>
          <w:rFonts w:hint="default" w:ascii="Times New Roman" w:hAnsi="Times New Roman" w:cs="Times New Roman"/>
          <w:color w:val="auto"/>
          <w:highlight w:val="none"/>
        </w:rPr>
        <w:t>覆盖度草地。新增占地面积</w:t>
      </w:r>
      <w:r>
        <w:rPr>
          <w:rFonts w:hint="default" w:cs="Times New Roman"/>
          <w:color w:val="auto"/>
          <w:highlight w:val="none"/>
          <w:lang w:val="en-US" w:eastAsia="zh-CN"/>
        </w:rPr>
        <w:t>3</w:t>
      </w:r>
      <w:r>
        <w:rPr>
          <w:rFonts w:hint="eastAsia" w:cs="Times New Roman"/>
          <w:color w:val="auto"/>
          <w:highlight w:val="none"/>
          <w:lang w:val="en-US" w:eastAsia="zh-CN"/>
        </w:rPr>
        <w:t>3.6</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03D7E39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本项目对项目区土地的破坏方式共分为两种，分别为：①土地压占：本项目建设区域内主要为</w:t>
      </w:r>
      <w:r>
        <w:rPr>
          <w:rFonts w:hint="default" w:ascii="Times New Roman" w:hAnsi="Times New Roman" w:cs="Times New Roman"/>
          <w:color w:val="auto"/>
          <w:highlight w:val="none"/>
          <w:lang w:val="en-US" w:eastAsia="zh-CN"/>
        </w:rPr>
        <w:t>选矿厂、</w:t>
      </w:r>
      <w:r>
        <w:rPr>
          <w:rFonts w:hint="default" w:ascii="Times New Roman" w:hAnsi="Times New Roman" w:cs="Times New Roman"/>
          <w:color w:val="auto"/>
          <w:highlight w:val="none"/>
        </w:rPr>
        <w:t>尾矿库、</w:t>
      </w:r>
      <w:r>
        <w:rPr>
          <w:rFonts w:hint="default" w:ascii="Times New Roman" w:hAnsi="Times New Roman" w:cs="Times New Roman"/>
          <w:color w:val="auto"/>
          <w:highlight w:val="none"/>
          <w:lang w:val="en-US" w:eastAsia="zh-CN"/>
        </w:rPr>
        <w:t>办公生活区</w:t>
      </w:r>
      <w:r>
        <w:rPr>
          <w:rFonts w:hint="default" w:ascii="Times New Roman" w:hAnsi="Times New Roman" w:cs="Times New Roman"/>
          <w:color w:val="auto"/>
          <w:highlight w:val="none"/>
        </w:rPr>
        <w:t>等；②土地污染：尾矿库、联络道路等在生产与利用中对土地的扰动与破坏。这两种土地破坏方式都会造成占地区域内土地利用功能的改变，将原有</w:t>
      </w:r>
      <w:r>
        <w:rPr>
          <w:rFonts w:hint="default" w:ascii="Times New Roman" w:hAnsi="Times New Roman" w:cs="Times New Roman"/>
          <w:color w:val="auto"/>
          <w:highlight w:val="none"/>
          <w:lang w:val="en-US" w:eastAsia="zh-CN"/>
        </w:rPr>
        <w:t>的低</w:t>
      </w:r>
      <w:r>
        <w:rPr>
          <w:rFonts w:hint="default" w:ascii="Times New Roman" w:hAnsi="Times New Roman" w:cs="Times New Roman"/>
          <w:color w:val="auto"/>
          <w:highlight w:val="none"/>
        </w:rPr>
        <w:t>覆盖度草地变为工矿用地。</w:t>
      </w:r>
    </w:p>
    <w:p w14:paraId="62631DB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（2）临时性占地</w:t>
      </w:r>
    </w:p>
    <w:p w14:paraId="1F386A8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val="en-US" w:eastAsia="zh-CN"/>
        </w:rPr>
        <w:t>新建</w:t>
      </w:r>
      <w:r>
        <w:rPr>
          <w:rFonts w:hint="default" w:ascii="Times New Roman" w:hAnsi="Times New Roman" w:cs="Times New Roman"/>
          <w:color w:val="auto"/>
          <w:highlight w:val="none"/>
        </w:rPr>
        <w:t>项目，其所有工程施工过程中施工人员活动、施工机械</w:t>
      </w:r>
      <w:r>
        <w:rPr>
          <w:rFonts w:hint="default" w:cs="Times New Roman"/>
          <w:color w:val="auto"/>
          <w:highlight w:val="none"/>
          <w:lang w:eastAsia="zh-CN"/>
        </w:rPr>
        <w:t>碾轧</w:t>
      </w:r>
      <w:r>
        <w:rPr>
          <w:rFonts w:hint="default" w:ascii="Times New Roman" w:hAnsi="Times New Roman" w:cs="Times New Roman"/>
          <w:color w:val="auto"/>
          <w:highlight w:val="none"/>
        </w:rPr>
        <w:t>、施工材料堆放、施工料场、施工临时设施建设、施工场地平整所占用的土地等，均</w:t>
      </w:r>
      <w:r>
        <w:rPr>
          <w:rFonts w:hint="default" w:ascii="Times New Roman" w:hAnsi="Times New Roman" w:cs="Times New Roman"/>
          <w:color w:val="auto"/>
          <w:highlight w:val="none"/>
          <w:lang w:val="en-US" w:eastAsia="zh-CN"/>
        </w:rPr>
        <w:t>会新增临时占地。</w:t>
      </w:r>
    </w:p>
    <w:p w14:paraId="23AB477C">
      <w:pPr>
        <w:overflowPunct w:val="0"/>
        <w:topLinePunct/>
        <w:adjustRightInd w:val="0"/>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2、工程建设对区域植被影响</w:t>
      </w:r>
    </w:p>
    <w:p w14:paraId="60D81993">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cs="Times New Roman"/>
          <w:color w:val="auto"/>
          <w:highlight w:val="none"/>
          <w:lang w:eastAsia="zh-CN"/>
        </w:rPr>
        <w:t>在</w:t>
      </w:r>
      <w:r>
        <w:rPr>
          <w:rFonts w:hint="default" w:ascii="Times New Roman" w:hAnsi="Times New Roman" w:cs="Times New Roman"/>
          <w:color w:val="auto"/>
          <w:highlight w:val="none"/>
        </w:rPr>
        <w:t>建设过程中将不可避免地会占用和破坏一定面积的土地。这些活动将直接破坏地表土层和植被，造成生物量损失，从而造成对原有生态系统的破坏。</w:t>
      </w:r>
    </w:p>
    <w:p w14:paraId="2B3CDD5D">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结合实地调查，主要植被是杂草草甸等植被，劣质牧草比重较多，样方调查结果显示，工程所占土地的生物量在0.1~0.2kg/m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，产草量约为150~750kg/hm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highlight w:val="none"/>
        </w:rPr>
        <w:t>以植被为核心的生态系统将由于生产活动会完全被清除掉，这种清除植被的活动包括建构筑物场地平整、尾矿库土地压占等。其占地植被类型部分为高覆盖度草地，统计项目开发建设区内有植被区域的各类型面积，并结合其单位面积平均生物量进行估算，得：本次选矿厂、尾矿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办公生活区</w:t>
      </w:r>
      <w:r>
        <w:rPr>
          <w:rFonts w:hint="default" w:ascii="Times New Roman" w:hAnsi="Times New Roman" w:cs="Times New Roman"/>
          <w:color w:val="auto"/>
          <w:highlight w:val="none"/>
        </w:rPr>
        <w:t>及联络道路的建设造成植被地表植被破坏的主要为</w:t>
      </w:r>
      <w:r>
        <w:rPr>
          <w:rFonts w:hint="default" w:ascii="Times New Roman" w:hAnsi="Times New Roman" w:cs="Times New Roman"/>
          <w:color w:val="auto"/>
          <w:highlight w:val="none"/>
          <w:lang w:val="en-US" w:eastAsia="zh-CN"/>
        </w:rPr>
        <w:t>绢蒿</w:t>
      </w:r>
      <w:r>
        <w:rPr>
          <w:rFonts w:hint="default" w:ascii="Times New Roman" w:hAnsi="Times New Roman" w:cs="Times New Roman"/>
          <w:color w:val="auto"/>
          <w:highlight w:val="none"/>
        </w:rPr>
        <w:t>，占地面积为</w:t>
      </w:r>
      <w:r>
        <w:rPr>
          <w:rFonts w:hint="default" w:cs="Times New Roman"/>
          <w:color w:val="auto"/>
          <w:highlight w:val="none"/>
          <w:lang w:val="en-US" w:eastAsia="zh-CN"/>
        </w:rPr>
        <w:t>3</w:t>
      </w:r>
      <w:r>
        <w:rPr>
          <w:rFonts w:hint="eastAsia" w:cs="Times New Roman"/>
          <w:color w:val="auto"/>
          <w:highlight w:val="none"/>
          <w:lang w:val="en-US" w:eastAsia="zh-CN"/>
        </w:rPr>
        <w:t>3.6</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，造成地表植被生物损失量约</w:t>
      </w:r>
      <w:r>
        <w:rPr>
          <w:rFonts w:hint="eastAsia" w:cs="Times New Roman"/>
          <w:color w:val="auto"/>
          <w:highlight w:val="none"/>
          <w:lang w:val="en-US" w:eastAsia="zh-CN"/>
        </w:rPr>
        <w:t>50.4</w:t>
      </w:r>
      <w:r>
        <w:rPr>
          <w:rFonts w:hint="default" w:ascii="Times New Roman" w:hAnsi="Times New Roman" w:cs="Times New Roman"/>
          <w:color w:val="auto"/>
          <w:highlight w:val="none"/>
        </w:rPr>
        <w:t>t/a。本项目将使占地范围内的植被全部遭到破坏。土地利用类型的改变，使得项目区域植被生长稀疏，累计生物量低。原生植被在遭到破坏后的第一个生长期内将全部消失，一次性减少了植被的面积，导致蓄水保土功能降低或丧失。施工期结束后，将开展生态恢复及治理工作，另外选矿厂、尾矿库服役期及闭库后，逐年开展生态环境恢复、治理，可以减少对矿区及周边的生态影响。</w:t>
      </w:r>
    </w:p>
    <w:p w14:paraId="35ACDA8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植被影响分析</w:t>
      </w:r>
    </w:p>
    <w:p w14:paraId="3A96CC15">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本项目拟新建尾矿库及选矿厂、配套</w:t>
      </w:r>
      <w:r>
        <w:rPr>
          <w:rFonts w:hint="default" w:ascii="Times New Roman" w:hAnsi="Times New Roman" w:cs="Times New Roman"/>
          <w:color w:val="auto"/>
          <w:highlight w:val="none"/>
          <w:lang w:val="en-US" w:eastAsia="zh-CN"/>
        </w:rPr>
        <w:t>办公</w:t>
      </w:r>
      <w:r>
        <w:rPr>
          <w:rFonts w:hint="default" w:ascii="Times New Roman" w:hAnsi="Times New Roman" w:cs="Times New Roman"/>
          <w:color w:val="auto"/>
          <w:highlight w:val="none"/>
        </w:rPr>
        <w:t>生活区等建构筑物，本项目施工期对植被的影响主要有尾矿库及选矿厂、生活区等新增占地范围内原有植物（主要植被类型为</w:t>
      </w:r>
      <w:r>
        <w:rPr>
          <w:rFonts w:hint="default" w:ascii="Times New Roman" w:hAnsi="Times New Roman" w:cs="Times New Roman"/>
          <w:color w:val="auto"/>
          <w:highlight w:val="none"/>
          <w:lang w:val="en-US" w:eastAsia="zh-CN"/>
        </w:rPr>
        <w:t>绢蒿</w:t>
      </w:r>
      <w:r>
        <w:rPr>
          <w:rFonts w:hint="default" w:ascii="Times New Roman" w:hAnsi="Times New Roman" w:cs="Times New Roman"/>
          <w:color w:val="auto"/>
          <w:highlight w:val="none"/>
        </w:rPr>
        <w:t>）的剥离、清理及占压。土壤开挖区范围内植物的地上部分与根系均被清除，施工带的植被由于挖掘土石的堆放、人员的践踏、施工车辆和机具的碾压而受到不同程度的破坏，会造成地上部分破坏甚至死亡。</w:t>
      </w:r>
    </w:p>
    <w:p w14:paraId="0ED748F5">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对植被的影响，因具体工程类型的不同而有所差异，其中</w:t>
      </w:r>
      <w:r>
        <w:rPr>
          <w:rFonts w:hint="default" w:ascii="Times New Roman" w:hAnsi="Times New Roman" w:cs="Times New Roman"/>
          <w:color w:val="auto"/>
          <w:highlight w:val="none"/>
          <w:lang w:val="en-US" w:eastAsia="zh-CN"/>
        </w:rPr>
        <w:t>选矿厂、</w:t>
      </w:r>
      <w:r>
        <w:rPr>
          <w:rFonts w:hint="default" w:ascii="Times New Roman" w:hAnsi="Times New Roman" w:cs="Times New Roman"/>
          <w:color w:val="auto"/>
          <w:highlight w:val="none"/>
        </w:rPr>
        <w:t>尾矿库建设对植被的影响呈片状分布。从工程类别的影响来看，尾矿库等永久占地原有植被全部遭到破坏，本项目所在区域植被生长较为茂盛，主要植被有</w:t>
      </w:r>
      <w:r>
        <w:rPr>
          <w:rFonts w:hint="default" w:ascii="Times New Roman" w:hAnsi="Times New Roman" w:cs="Times New Roman"/>
          <w:color w:val="auto"/>
          <w:highlight w:val="none"/>
          <w:lang w:val="en-US" w:eastAsia="zh-CN"/>
        </w:rPr>
        <w:t>绢蒿</w:t>
      </w:r>
      <w:r>
        <w:rPr>
          <w:rFonts w:hint="default" w:ascii="Times New Roman" w:hAnsi="Times New Roman" w:cs="Times New Roman"/>
          <w:color w:val="auto"/>
          <w:highlight w:val="none"/>
        </w:rPr>
        <w:t>等，计算得出项目生物损失量为</w:t>
      </w:r>
      <w:r>
        <w:rPr>
          <w:rFonts w:hint="eastAsia" w:cs="Times New Roman"/>
          <w:color w:val="auto"/>
          <w:highlight w:val="none"/>
          <w:lang w:val="en-US" w:eastAsia="zh-CN"/>
        </w:rPr>
        <w:t>50.4</w:t>
      </w:r>
      <w:r>
        <w:rPr>
          <w:rFonts w:hint="default" w:ascii="Times New Roman" w:hAnsi="Times New Roman" w:cs="Times New Roman"/>
          <w:color w:val="auto"/>
          <w:highlight w:val="none"/>
        </w:rPr>
        <w:t>t。</w:t>
      </w:r>
    </w:p>
    <w:p w14:paraId="4C335DFC">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野生动物影响分析</w:t>
      </w:r>
    </w:p>
    <w:p w14:paraId="58154DFB">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根据本工程的特点，各种施工机械的噪声及施工人员的活动干扰，都将使原来栖息在工程区附近的各种野生动物受到惊吓而迁移别处</w:t>
      </w:r>
      <w:r>
        <w:rPr>
          <w:rFonts w:hint="default" w:cs="Times New Roman"/>
          <w:color w:val="auto"/>
          <w:highlight w:val="none"/>
          <w:lang w:eastAsia="zh-CN"/>
        </w:rPr>
        <w:t>安身</w:t>
      </w:r>
      <w:r>
        <w:rPr>
          <w:rFonts w:hint="default" w:ascii="Times New Roman" w:hAnsi="Times New Roman" w:cs="Times New Roman"/>
          <w:color w:val="auto"/>
          <w:highlight w:val="none"/>
        </w:rPr>
        <w:t>。施工过程中应采取一定的措施</w:t>
      </w:r>
      <w:r>
        <w:rPr>
          <w:rFonts w:hint="default" w:cs="Times New Roman"/>
          <w:color w:val="auto"/>
          <w:highlight w:val="none"/>
          <w:lang w:eastAsia="zh-CN"/>
        </w:rPr>
        <w:t>减少</w:t>
      </w:r>
      <w:r>
        <w:rPr>
          <w:rFonts w:hint="default" w:ascii="Times New Roman" w:hAnsi="Times New Roman" w:cs="Times New Roman"/>
          <w:color w:val="auto"/>
          <w:highlight w:val="none"/>
        </w:rPr>
        <w:t>噪声的排放，对施工人员进行保护野生动物的宣传教育。施工期结束后施工人员撤离，对</w:t>
      </w:r>
      <w:r>
        <w:rPr>
          <w:rFonts w:hint="default" w:cs="Times New Roman"/>
          <w:color w:val="auto"/>
          <w:highlight w:val="none"/>
          <w:lang w:eastAsia="zh-CN"/>
        </w:rPr>
        <w:t>野生动物的</w:t>
      </w:r>
      <w:r>
        <w:rPr>
          <w:rFonts w:hint="default" w:ascii="Times New Roman" w:hAnsi="Times New Roman" w:cs="Times New Roman"/>
          <w:color w:val="auto"/>
          <w:highlight w:val="none"/>
        </w:rPr>
        <w:t>扰动会就此消失，因此对于野生动物的栖息地来说不会产生大的影响，不会导致野生动物因丧失栖息地而灭绝。</w:t>
      </w:r>
    </w:p>
    <w:p w14:paraId="1E7253B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水土流失影响分析</w:t>
      </w:r>
    </w:p>
    <w:p w14:paraId="7B1DE21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过程中，由于施工人员践踏、机械作业等，将对地表植被及土壤结构造成破坏，形成一定面积的裸地，遇到雨天气将会造成水土流失，开挖的土石方将占用一定的土地，对占地范围产生扰动、植被破坏，开挖土石方堆存易发生水土流失。工程建设新增水土流失产生于以下方面：</w:t>
      </w:r>
    </w:p>
    <w:p w14:paraId="416AAB9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①本项目实施期间，由于场地开拓及平整地基土层的填挖、施工人员临时生活区、施工道路的布置等，均有可能造成原生地表植被的破坏，引发和加剧水土流失。</w:t>
      </w:r>
    </w:p>
    <w:p w14:paraId="3817DDA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②弃渣堆放被风蚀的可能性较大，若堆放或保护措施不当，将会在大风作用下产生水土流失。</w:t>
      </w:r>
    </w:p>
    <w:p w14:paraId="7FE9462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本项目建设性质来看，项目及其配套设施建设将扰动原地貌，改变地形地貌，破坏植被，工程建设对拟建项目占地范围内的土地产生扰动，项目占地面积较小，影响范围也有限，对项目区周边水土流失的影响不大。</w:t>
      </w:r>
    </w:p>
    <w:p w14:paraId="5C032D7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景观生态影响分析</w:t>
      </w:r>
    </w:p>
    <w:p w14:paraId="7511BDA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将使评价区内新增工业景观类型，如尾矿库、联络道路等，在一定程度上增加了景观多样性。评价区域新增人工景观要素，呈点状和线状分布，增加了评价区的斑块和廊道数量；同时也使原有自然景观比例和结构发生变化；由于新的斑块和廊道的增加，对原有景观基质的面积造成一定的挤占，使原有基质及板块之间的连续性和连通性受到一定影响，对景观产生较强的分裂效果。</w:t>
      </w:r>
    </w:p>
    <w:p w14:paraId="6FE0A23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景观美学角度来看，人工建筑物与构筑物的出现，给原来以自然曲线为主的自然景观中，增加了直线、直角型斑块和廊道等人工景观，形成自然和人类共同作用的复合景观，对原有景观产生一定影响。该区域无风景名胜区，在采取绿化、植被恢复措施后，可减缓局部景观切割、镶嵌造成的异质性影响。</w:t>
      </w:r>
    </w:p>
    <w:p w14:paraId="4B060D2C">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区域生态系统影响分析</w:t>
      </w:r>
    </w:p>
    <w:p w14:paraId="137386B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实施将对区域草原生态系统的结构和功能产生一定影响，但对局部生态系统的结构和功能产生影响是临时性的。从整个评价区来看，该工程不会减少生态系统的数量，不会改变评价区生态系统结构的完整性和生态系统的稳定性。评价认为，采取必要的生态保护措施后，项目建设对评价区内的其它各生态系统影响小。</w:t>
      </w:r>
    </w:p>
    <w:p w14:paraId="1D2F5DE8">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5.1.</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土壤</w:t>
      </w:r>
      <w:r>
        <w:rPr>
          <w:rFonts w:hint="default" w:ascii="Times New Roman" w:hAnsi="Times New Roman" w:eastAsia="宋体" w:cs="Times New Roman"/>
          <w:color w:val="auto"/>
          <w:highlight w:val="none"/>
        </w:rPr>
        <w:t>影响</w:t>
      </w:r>
      <w:r>
        <w:rPr>
          <w:rFonts w:hint="default" w:ascii="Times New Roman" w:hAnsi="Times New Roman" w:cs="Times New Roman"/>
          <w:color w:val="auto"/>
          <w:highlight w:val="none"/>
        </w:rPr>
        <w:t>分析</w:t>
      </w:r>
    </w:p>
    <w:p w14:paraId="4045AA0C">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1、土壤理化性质</w:t>
      </w:r>
    </w:p>
    <w:p w14:paraId="621927ED">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施工过程中，土石方开挖、堆放、回填及材料堆放、人工</w:t>
      </w:r>
      <w:r>
        <w:rPr>
          <w:rFonts w:hint="default" w:cs="Times New Roman"/>
          <w:color w:val="auto"/>
          <w:highlight w:val="none"/>
          <w:lang w:eastAsia="zh-CN"/>
        </w:rPr>
        <w:t>踩踏</w:t>
      </w:r>
      <w:r>
        <w:rPr>
          <w:rFonts w:hint="default" w:ascii="Times New Roman" w:hAnsi="Times New Roman" w:cs="Times New Roman"/>
          <w:color w:val="auto"/>
          <w:highlight w:val="none"/>
        </w:rPr>
        <w:t>、机械设备碾压等活动对土壤理化性质影响较大。</w:t>
      </w:r>
    </w:p>
    <w:p w14:paraId="0C3E6792">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（1）扰乱土壤表层，破坏土壤结构</w:t>
      </w:r>
    </w:p>
    <w:p w14:paraId="0C260A56">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表层肥力集中、腐殖质含量高、水分相对优越，深度15～25cm，表层土层松软，团粒结构发达。地表开挖必定扰乱和破坏土壤表层，除开挖处受到直接的破坏外，挖出土方的堆放将直接占压开挖处附近的土地，破坏土壤表层及其结构。由于表层的团粒结构是经过较长的历史时期形成的，一旦遭到破坏，短期内难以恢复。因此，施工过程中，对土壤表层的影响较严重。</w:t>
      </w:r>
    </w:p>
    <w:p w14:paraId="674CE2F4">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（2）混合土壤层次，改变土体构型</w:t>
      </w:r>
    </w:p>
    <w:p w14:paraId="1775ACB9">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w:t>
      </w:r>
      <w:r>
        <w:rPr>
          <w:rFonts w:hint="default" w:cs="Times New Roman"/>
          <w:color w:val="auto"/>
          <w:highlight w:val="none"/>
          <w:lang w:eastAsia="zh-CN"/>
        </w:rPr>
        <w:t>期间</w:t>
      </w:r>
      <w:r>
        <w:rPr>
          <w:rFonts w:hint="default" w:ascii="Times New Roman" w:hAnsi="Times New Roman" w:cs="Times New Roman"/>
          <w:color w:val="auto"/>
          <w:highlight w:val="none"/>
        </w:rPr>
        <w:t>的土石方开挖与回填，使原土壤层次混合，原土体构型破坏。土体构型的破坏，将改变土体中物质和能量的运动变化规律，使表层通气透水性变差，使亚表层保水、保肥性能降低。</w:t>
      </w:r>
    </w:p>
    <w:p w14:paraId="504D0C4B">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（3）影响土壤紧实度</w:t>
      </w:r>
    </w:p>
    <w:p w14:paraId="2C6A0DC1">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施工机械碾压，尤其在坡度较大的地段，将大大改变土壤的紧实程度，与原有的上松下紧结构相比，极不利于土壤的通气、透水作用，甚至导致压实地段的地表寸草不生，形成局部人工荒漠化现象。</w:t>
      </w:r>
    </w:p>
    <w:p w14:paraId="41BF838A">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2、土壤肥力影响</w:t>
      </w:r>
    </w:p>
    <w:p w14:paraId="784A9DCC">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中的有机质、氮、磷、钾等养分含量，均表现为表土层远高于心土层；施工期土石方的开挖与回填，将扰动甚至打乱原土体构型，使土壤肥力状况受到较大的影响。据资料统计，即使在实行分层堆放、分层回填措施下，土壤的有机质也将下降42.6～46.5%左右，氮下降27～50.6%，磷下降33.3～46.0%，钾下降26.3～32.5%，这表明即使对表层土实行分层堆放和分层覆土，工程开挖对土壤养分仍具有明显的影响。因此在土石方开挖、回填过程中，必须严格对表层土实行分层堆放和分层回填，尽量减小因工程开挖施工对土壤养分的影响。</w:t>
      </w:r>
    </w:p>
    <w:p w14:paraId="2BB74407">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3、土壤污染影响</w:t>
      </w:r>
    </w:p>
    <w:p w14:paraId="68BC5F2A">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将产生施工垃圾、生活垃圾以及焊渣、废弃涂料等废物。这些固体垃圾含有难分解的物质，如不妥善管理，回填入土，将影响土壤质量。另外施工过程中，各种设备的燃油滴漏也可能对施工区域土壤造成一定的影响。</w:t>
      </w:r>
    </w:p>
    <w:p w14:paraId="0606CF24">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施工结束，通过采取一定的措施，土壤质量将逐渐得到恢复。正常营运期间对土壤的影响较小，主要是清管排放的残渣、污水可能对土壤造成一定的影响。因此，在清管时要做好回收工作，将其对土壤环境的影响降至最低程度。此外，类比调查表明：</w:t>
      </w:r>
    </w:p>
    <w:p w14:paraId="39D6059D">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cs="Times New Roman"/>
          <w:color w:val="auto"/>
          <w:highlight w:val="none"/>
          <w:lang w:val="en-US" w:eastAsia="zh-CN"/>
        </w:rPr>
        <w:t>运营期</w:t>
      </w:r>
      <w:r>
        <w:rPr>
          <w:rFonts w:hint="default" w:ascii="Times New Roman" w:hAnsi="Times New Roman" w:cs="Times New Roman"/>
          <w:color w:val="auto"/>
          <w:highlight w:val="none"/>
        </w:rPr>
        <w:t>间，地表土壤温度比相邻地段高1~3℃，蒸发量加大，土壤水分减少，冬季土表积雪提前融化，将可能形成一条明显的沟带。</w:t>
      </w:r>
    </w:p>
    <w:p w14:paraId="589EC14F">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总之，项目施工改变了土壤结构和土壤养分状况，但通过采取一定的措施，土壤质量将会逐渐得到恢复。</w:t>
      </w:r>
    </w:p>
    <w:p w14:paraId="6BF94326">
      <w:pPr>
        <w:pStyle w:val="3"/>
        <w:rPr>
          <w:rFonts w:hint="default" w:ascii="Times New Roman" w:hAnsi="Times New Roman" w:cs="Times New Roman"/>
          <w:color w:val="auto"/>
          <w:highlight w:val="none"/>
        </w:rPr>
      </w:pPr>
      <w:bookmarkStart w:id="740" w:name="_Toc27236"/>
      <w:bookmarkStart w:id="741" w:name="_Toc107413898"/>
      <w:bookmarkStart w:id="742" w:name="_Toc21045"/>
      <w:bookmarkStart w:id="743" w:name="_Toc15184"/>
      <w:bookmarkStart w:id="744" w:name="_Toc107414665"/>
      <w:bookmarkStart w:id="745" w:name="_Toc9308"/>
      <w:bookmarkStart w:id="746" w:name="_Toc17497"/>
      <w:r>
        <w:rPr>
          <w:rFonts w:hint="default" w:ascii="Times New Roman" w:hAnsi="Times New Roman" w:cs="Times New Roman"/>
          <w:color w:val="auto"/>
          <w:highlight w:val="none"/>
        </w:rPr>
        <w:t>5.2运营期环境影响预测与评价</w:t>
      </w:r>
      <w:bookmarkEnd w:id="740"/>
      <w:bookmarkEnd w:id="741"/>
      <w:bookmarkEnd w:id="742"/>
      <w:bookmarkEnd w:id="743"/>
      <w:bookmarkEnd w:id="744"/>
      <w:bookmarkEnd w:id="745"/>
      <w:bookmarkEnd w:id="746"/>
    </w:p>
    <w:p w14:paraId="6CE27454">
      <w:pPr>
        <w:pStyle w:val="4"/>
        <w:rPr>
          <w:rFonts w:hint="default" w:ascii="Times New Roman" w:hAnsi="Times New Roman" w:cs="Times New Roman"/>
          <w:color w:val="auto"/>
          <w:highlight w:val="none"/>
        </w:rPr>
      </w:pPr>
      <w:bookmarkStart w:id="747" w:name="_Toc21874"/>
      <w:bookmarkStart w:id="748" w:name="_Toc15983"/>
      <w:bookmarkStart w:id="749" w:name="_Toc1930"/>
      <w:r>
        <w:rPr>
          <w:rFonts w:hint="default" w:ascii="Times New Roman" w:hAnsi="Times New Roman" w:cs="Times New Roman"/>
          <w:color w:val="auto"/>
          <w:highlight w:val="none"/>
        </w:rPr>
        <w:t>5.2.1运营期大气环境影响分析与评价</w:t>
      </w:r>
      <w:bookmarkEnd w:id="747"/>
      <w:bookmarkEnd w:id="748"/>
      <w:bookmarkEnd w:id="749"/>
    </w:p>
    <w:p w14:paraId="3C912A5A">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5.2.1.1污染气象特征分析</w:t>
      </w:r>
    </w:p>
    <w:p w14:paraId="40D25EE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（1）资料来源</w:t>
      </w:r>
    </w:p>
    <w:p w14:paraId="6C9A6B0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项目常规地面气象观测数据来源于距厂址直线距离约为</w:t>
      </w:r>
      <w:r>
        <w:rPr>
          <w:rFonts w:hint="default" w:cs="Times New Roman"/>
          <w:color w:val="auto"/>
          <w:highlight w:val="none"/>
          <w:lang w:val="en-US" w:eastAsia="zh-CN"/>
        </w:rPr>
        <w:t>36</w:t>
      </w:r>
      <w:r>
        <w:rPr>
          <w:rFonts w:hint="default" w:ascii="Times New Roman" w:hAnsi="Times New Roman" w:cs="Times New Roman"/>
          <w:color w:val="auto"/>
          <w:highlight w:val="none"/>
        </w:rPr>
        <w:t>km的</w:t>
      </w:r>
      <w:r>
        <w:rPr>
          <w:rFonts w:hint="default" w:cs="Times New Roman"/>
          <w:color w:val="auto"/>
          <w:highlight w:val="none"/>
          <w:lang w:val="en-US" w:eastAsia="zh-CN"/>
        </w:rPr>
        <w:t>富蕴</w:t>
      </w:r>
      <w:r>
        <w:rPr>
          <w:rFonts w:hint="default" w:ascii="Times New Roman" w:hAnsi="Times New Roman" w:cs="Times New Roman"/>
          <w:color w:val="auto"/>
          <w:highlight w:val="none"/>
        </w:rPr>
        <w:t>气象观测站（51</w:t>
      </w:r>
      <w:r>
        <w:rPr>
          <w:rFonts w:hint="default" w:cs="Times New Roman"/>
          <w:color w:val="auto"/>
          <w:highlight w:val="none"/>
          <w:lang w:val="en-US" w:eastAsia="zh-CN"/>
        </w:rPr>
        <w:t>087</w:t>
      </w:r>
      <w:r>
        <w:rPr>
          <w:rFonts w:hint="default" w:ascii="Times New Roman" w:hAnsi="Times New Roman" w:cs="Times New Roman"/>
          <w:color w:val="auto"/>
          <w:highlight w:val="none"/>
        </w:rPr>
        <w:t>），地理坐标为北纬</w:t>
      </w:r>
      <w:r>
        <w:rPr>
          <w:rFonts w:hint="default" w:cs="Times New Roman"/>
          <w:color w:val="auto"/>
          <w:highlight w:val="none"/>
          <w:lang w:val="en-US" w:eastAsia="zh-CN"/>
        </w:rPr>
        <w:t>47.01</w:t>
      </w:r>
      <w:r>
        <w:rPr>
          <w:rFonts w:hint="default" w:ascii="Times New Roman" w:hAnsi="Times New Roman" w:cs="Times New Roman"/>
          <w:color w:val="auto"/>
          <w:highlight w:val="none"/>
        </w:rPr>
        <w:t>°，东经</w:t>
      </w:r>
      <w:r>
        <w:rPr>
          <w:rFonts w:hint="default" w:cs="Times New Roman"/>
          <w:color w:val="auto"/>
          <w:highlight w:val="none"/>
          <w:lang w:val="en-US" w:eastAsia="zh-CN"/>
        </w:rPr>
        <w:t>89.49</w:t>
      </w:r>
      <w:r>
        <w:rPr>
          <w:rFonts w:hint="default" w:ascii="Times New Roman" w:hAnsi="Times New Roman" w:cs="Times New Roman"/>
          <w:color w:val="auto"/>
          <w:highlight w:val="none"/>
        </w:rPr>
        <w:t>°，气象站海拔约</w:t>
      </w:r>
      <w:r>
        <w:rPr>
          <w:rFonts w:hint="default" w:cs="Times New Roman"/>
          <w:color w:val="auto"/>
          <w:highlight w:val="none"/>
          <w:lang w:val="en-US" w:eastAsia="zh-CN"/>
        </w:rPr>
        <w:t>843</w:t>
      </w:r>
      <w:r>
        <w:rPr>
          <w:rFonts w:hint="default" w:ascii="Times New Roman" w:hAnsi="Times New Roman" w:cs="Times New Roman"/>
          <w:color w:val="auto"/>
          <w:highlight w:val="none"/>
        </w:rPr>
        <w:t>m，本次采用</w:t>
      </w:r>
      <w:r>
        <w:rPr>
          <w:rFonts w:hint="default" w:cs="Times New Roman"/>
          <w:color w:val="auto"/>
          <w:highlight w:val="none"/>
          <w:lang w:val="en-US" w:eastAsia="zh-CN"/>
        </w:rPr>
        <w:t>富蕴</w:t>
      </w:r>
      <w:r>
        <w:rPr>
          <w:rFonts w:hint="default" w:ascii="Times New Roman" w:hAnsi="Times New Roman" w:cs="Times New Roman"/>
          <w:color w:val="auto"/>
          <w:highlight w:val="none"/>
        </w:rPr>
        <w:t>气象观测站202</w:t>
      </w:r>
      <w:r>
        <w:rPr>
          <w:rFonts w:hint="default" w:cs="Times New Roman"/>
          <w:color w:val="auto"/>
          <w:highlight w:val="none"/>
          <w:lang w:val="en-US" w:eastAsia="zh-CN"/>
        </w:rPr>
        <w:t>3</w:t>
      </w:r>
      <w:r>
        <w:rPr>
          <w:rFonts w:hint="default" w:ascii="Times New Roman" w:hAnsi="Times New Roman" w:cs="Times New Roman"/>
          <w:color w:val="auto"/>
          <w:highlight w:val="none"/>
        </w:rPr>
        <w:t>年气象数据。由于本项目与气象站受同一气候系统的影响和控制，</w:t>
      </w:r>
      <w:r>
        <w:rPr>
          <w:rFonts w:hint="default" w:cs="Times New Roman"/>
          <w:color w:val="auto"/>
          <w:highlight w:val="none"/>
          <w:lang w:val="en-US" w:eastAsia="zh-CN"/>
        </w:rPr>
        <w:t>富蕴</w:t>
      </w:r>
      <w:r>
        <w:rPr>
          <w:rFonts w:hint="default" w:ascii="Times New Roman" w:hAnsi="Times New Roman" w:cs="Times New Roman"/>
          <w:color w:val="auto"/>
          <w:highlight w:val="none"/>
        </w:rPr>
        <w:t>气象观测站的多年常规气象资料可以基本反映本项目区域的气候基本特征。本次环评收集整理了</w:t>
      </w:r>
      <w:r>
        <w:rPr>
          <w:rFonts w:hint="default" w:cs="Times New Roman"/>
          <w:color w:val="auto"/>
          <w:highlight w:val="none"/>
          <w:lang w:val="en-US" w:eastAsia="zh-CN"/>
        </w:rPr>
        <w:t>富蕴</w:t>
      </w:r>
      <w:r>
        <w:rPr>
          <w:rFonts w:hint="default" w:ascii="Times New Roman" w:hAnsi="Times New Roman" w:cs="Times New Roman"/>
          <w:color w:val="auto"/>
          <w:highlight w:val="none"/>
        </w:rPr>
        <w:t>气象观测站近20年常规气象资料及气温、气压、相对湿度、风向风速、蒸发量、降水量等主要气象要素资料。</w:t>
      </w:r>
    </w:p>
    <w:p w14:paraId="246E256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（2）气象特征分析</w:t>
      </w:r>
    </w:p>
    <w:p w14:paraId="25D9B122">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富蕴县属温带大陆性寒冷干旱气候，四季分明，其特点是：春旱多风、夏秋短暂、冬季严寒而漫长。气温年变化和日变化大，日照长，蒸发较强，降水少，气候干燥，沙尘天气多。春季升温快，沙尘天气主要集中在春季后期到夏季初期；夏季炎热干燥，降水较其它三季明显增多；秋季降温迅速；冬季天晴雪少，低温期长，风力微弱。富蕴县主要常规气象参数统计资料，见表4.1-1。</w:t>
      </w:r>
    </w:p>
    <w:p w14:paraId="67A9536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（3）地面气象要素的基本特征</w:t>
      </w:r>
    </w:p>
    <w:p w14:paraId="4823089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①地面温度特征</w:t>
      </w:r>
    </w:p>
    <w:p w14:paraId="0EABE1D4">
      <w:pPr>
        <w:ind w:firstLine="480"/>
        <w:rPr>
          <w:rFonts w:hint="default" w:ascii="Times New Roman" w:hAnsi="Times New Roman" w:cs="Times New Roman"/>
          <w:color w:val="auto"/>
          <w:highlight w:val="none"/>
        </w:rPr>
      </w:pPr>
      <w:bookmarkStart w:id="750" w:name="OLE_LINK3"/>
      <w:r>
        <w:rPr>
          <w:rFonts w:hint="default" w:ascii="Times New Roman" w:hAnsi="Times New Roman" w:cs="Times New Roman"/>
          <w:color w:val="auto"/>
          <w:highlight w:val="none"/>
        </w:rPr>
        <w:t>项目所在区域</w:t>
      </w:r>
      <w:r>
        <w:rPr>
          <w:rFonts w:hint="default" w:cs="Times New Roman"/>
          <w:color w:val="auto"/>
          <w:highlight w:val="none"/>
          <w:lang w:val="en-US" w:eastAsia="zh-CN"/>
        </w:rPr>
        <w:t>富蕴</w:t>
      </w:r>
      <w:r>
        <w:rPr>
          <w:rFonts w:hint="default" w:ascii="Times New Roman" w:hAnsi="Times New Roman" w:cs="Times New Roman"/>
          <w:color w:val="auto"/>
          <w:highlight w:val="none"/>
        </w:rPr>
        <w:t>气象观测站202</w:t>
      </w:r>
      <w:r>
        <w:rPr>
          <w:rFonts w:hint="default" w:cs="Times New Roman"/>
          <w:color w:val="auto"/>
          <w:highlight w:val="none"/>
          <w:lang w:val="en-US" w:eastAsia="zh-CN"/>
        </w:rPr>
        <w:t>3</w:t>
      </w:r>
      <w:r>
        <w:rPr>
          <w:rFonts w:hint="default" w:ascii="Times New Roman" w:hAnsi="Times New Roman" w:cs="Times New Roman"/>
          <w:color w:val="auto"/>
          <w:highlight w:val="none"/>
        </w:rPr>
        <w:t>年平均气温月变化见表5.2-1及图5.2-1</w:t>
      </w:r>
      <w:bookmarkEnd w:id="750"/>
      <w:r>
        <w:rPr>
          <w:rFonts w:hint="default" w:ascii="Times New Roman" w:hAnsi="Times New Roman" w:cs="Times New Roman"/>
          <w:color w:val="auto"/>
          <w:highlight w:val="none"/>
        </w:rPr>
        <w:t>。</w:t>
      </w:r>
    </w:p>
    <w:p w14:paraId="5B5527CF">
      <w:pPr>
        <w:tabs>
          <w:tab w:val="left" w:pos="0"/>
          <w:tab w:val="left" w:pos="7380"/>
        </w:tabs>
        <w:autoSpaceDE w:val="0"/>
        <w:autoSpaceDN w:val="0"/>
        <w:snapToGrid w:val="0"/>
        <w:ind w:firstLine="0" w:firstLineChars="0"/>
        <w:jc w:val="center"/>
        <w:rPr>
          <w:rFonts w:hint="default" w:ascii="Times New Roman" w:hAnsi="Times New Roman" w:cs="Times New Roman"/>
          <w:b/>
          <w:color w:val="auto"/>
          <w:kern w:val="32"/>
          <w:highlight w:val="none"/>
        </w:rPr>
      </w:pPr>
      <w:r>
        <w:rPr>
          <w:color w:val="auto"/>
          <w:highlight w:val="none"/>
        </w:rPr>
        <w:drawing>
          <wp:anchor distT="0" distB="0" distL="114300" distR="114300" simplePos="0" relativeHeight="251702272" behindDoc="0" locked="0" layoutInCell="1" allowOverlap="1">
            <wp:simplePos x="0" y="0"/>
            <wp:positionH relativeFrom="column">
              <wp:posOffset>-37465</wp:posOffset>
            </wp:positionH>
            <wp:positionV relativeFrom="paragraph">
              <wp:posOffset>70485</wp:posOffset>
            </wp:positionV>
            <wp:extent cx="5271135" cy="2023745"/>
            <wp:effectExtent l="4445" t="4445" r="20320" b="10160"/>
            <wp:wrapTopAndBottom/>
            <wp:docPr id="20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hint="default" w:ascii="Times New Roman" w:hAnsi="Times New Roman" w:cs="Times New Roman"/>
          <w:b/>
          <w:color w:val="auto"/>
          <w:kern w:val="32"/>
          <w:highlight w:val="none"/>
        </w:rPr>
        <w:t>表5.2-1    年平均温度的月变化</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6"/>
        <w:gridCol w:w="740"/>
        <w:gridCol w:w="741"/>
        <w:gridCol w:w="740"/>
        <w:gridCol w:w="571"/>
        <w:gridCol w:w="571"/>
        <w:gridCol w:w="571"/>
        <w:gridCol w:w="672"/>
        <w:gridCol w:w="672"/>
        <w:gridCol w:w="571"/>
        <w:gridCol w:w="637"/>
        <w:gridCol w:w="740"/>
        <w:gridCol w:w="740"/>
      </w:tblGrid>
      <w:tr w14:paraId="702E7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dxa"/>
            <w:tcBorders>
              <w:tl2br w:val="nil"/>
              <w:tr2bl w:val="nil"/>
            </w:tcBorders>
            <w:vAlign w:val="center"/>
          </w:tcPr>
          <w:p w14:paraId="47A68416">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月份</w:t>
            </w:r>
          </w:p>
        </w:tc>
        <w:tc>
          <w:tcPr>
            <w:tcW w:w="740" w:type="dxa"/>
            <w:tcBorders>
              <w:tl2br w:val="nil"/>
              <w:tr2bl w:val="nil"/>
            </w:tcBorders>
            <w:vAlign w:val="center"/>
          </w:tcPr>
          <w:p w14:paraId="5DAED141">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1月</w:t>
            </w:r>
          </w:p>
        </w:tc>
        <w:tc>
          <w:tcPr>
            <w:tcW w:w="741" w:type="dxa"/>
            <w:tcBorders>
              <w:tl2br w:val="nil"/>
              <w:tr2bl w:val="nil"/>
            </w:tcBorders>
            <w:vAlign w:val="center"/>
          </w:tcPr>
          <w:p w14:paraId="58301F7B">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2月</w:t>
            </w:r>
          </w:p>
        </w:tc>
        <w:tc>
          <w:tcPr>
            <w:tcW w:w="740" w:type="dxa"/>
            <w:tcBorders>
              <w:tl2br w:val="nil"/>
              <w:tr2bl w:val="nil"/>
            </w:tcBorders>
            <w:vAlign w:val="center"/>
          </w:tcPr>
          <w:p w14:paraId="0A727D53">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3月</w:t>
            </w:r>
          </w:p>
        </w:tc>
        <w:tc>
          <w:tcPr>
            <w:tcW w:w="571" w:type="dxa"/>
            <w:tcBorders>
              <w:tl2br w:val="nil"/>
              <w:tr2bl w:val="nil"/>
            </w:tcBorders>
            <w:vAlign w:val="center"/>
          </w:tcPr>
          <w:p w14:paraId="3059D202">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4月</w:t>
            </w:r>
          </w:p>
        </w:tc>
        <w:tc>
          <w:tcPr>
            <w:tcW w:w="571" w:type="dxa"/>
            <w:tcBorders>
              <w:tl2br w:val="nil"/>
              <w:tr2bl w:val="nil"/>
            </w:tcBorders>
            <w:vAlign w:val="center"/>
          </w:tcPr>
          <w:p w14:paraId="1FBB2DDD">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5月</w:t>
            </w:r>
          </w:p>
        </w:tc>
        <w:tc>
          <w:tcPr>
            <w:tcW w:w="571" w:type="dxa"/>
            <w:tcBorders>
              <w:tl2br w:val="nil"/>
              <w:tr2bl w:val="nil"/>
            </w:tcBorders>
            <w:vAlign w:val="center"/>
          </w:tcPr>
          <w:p w14:paraId="0C262CC5">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6月</w:t>
            </w:r>
          </w:p>
        </w:tc>
        <w:tc>
          <w:tcPr>
            <w:tcW w:w="672" w:type="dxa"/>
            <w:tcBorders>
              <w:tl2br w:val="nil"/>
              <w:tr2bl w:val="nil"/>
            </w:tcBorders>
            <w:vAlign w:val="center"/>
          </w:tcPr>
          <w:p w14:paraId="67EF6870">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7月</w:t>
            </w:r>
          </w:p>
        </w:tc>
        <w:tc>
          <w:tcPr>
            <w:tcW w:w="672" w:type="dxa"/>
            <w:tcBorders>
              <w:tl2br w:val="nil"/>
              <w:tr2bl w:val="nil"/>
            </w:tcBorders>
            <w:vAlign w:val="center"/>
          </w:tcPr>
          <w:p w14:paraId="15794F7B">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8月</w:t>
            </w:r>
          </w:p>
        </w:tc>
        <w:tc>
          <w:tcPr>
            <w:tcW w:w="571" w:type="dxa"/>
            <w:tcBorders>
              <w:tl2br w:val="nil"/>
              <w:tr2bl w:val="nil"/>
            </w:tcBorders>
            <w:vAlign w:val="center"/>
          </w:tcPr>
          <w:p w14:paraId="430321F8">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9月</w:t>
            </w:r>
          </w:p>
        </w:tc>
        <w:tc>
          <w:tcPr>
            <w:tcW w:w="637" w:type="dxa"/>
            <w:tcBorders>
              <w:tl2br w:val="nil"/>
              <w:tr2bl w:val="nil"/>
            </w:tcBorders>
            <w:vAlign w:val="center"/>
          </w:tcPr>
          <w:p w14:paraId="001F7371">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10月</w:t>
            </w:r>
          </w:p>
        </w:tc>
        <w:tc>
          <w:tcPr>
            <w:tcW w:w="740" w:type="dxa"/>
            <w:tcBorders>
              <w:tl2br w:val="nil"/>
              <w:tr2bl w:val="nil"/>
            </w:tcBorders>
            <w:vAlign w:val="center"/>
          </w:tcPr>
          <w:p w14:paraId="24A496D2">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11月</w:t>
            </w:r>
          </w:p>
        </w:tc>
        <w:tc>
          <w:tcPr>
            <w:tcW w:w="740" w:type="dxa"/>
            <w:tcBorders>
              <w:tl2br w:val="nil"/>
              <w:tr2bl w:val="nil"/>
            </w:tcBorders>
            <w:vAlign w:val="center"/>
          </w:tcPr>
          <w:p w14:paraId="6C9058F2">
            <w:pPr>
              <w:spacing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12月</w:t>
            </w:r>
          </w:p>
        </w:tc>
      </w:tr>
      <w:tr w14:paraId="32E98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6" w:type="dxa"/>
            <w:tcBorders>
              <w:tl2br w:val="nil"/>
              <w:tr2bl w:val="nil"/>
            </w:tcBorders>
            <w:vAlign w:val="center"/>
          </w:tcPr>
          <w:p w14:paraId="2383FFD2">
            <w:pPr>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温度(℃)</w:t>
            </w:r>
          </w:p>
        </w:tc>
        <w:tc>
          <w:tcPr>
            <w:tcW w:w="740" w:type="dxa"/>
            <w:tcBorders>
              <w:tl2br w:val="nil"/>
              <w:tr2bl w:val="nil"/>
            </w:tcBorders>
            <w:vAlign w:val="center"/>
          </w:tcPr>
          <w:p w14:paraId="5CF5F40B">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-13.38</w:t>
            </w:r>
          </w:p>
        </w:tc>
        <w:tc>
          <w:tcPr>
            <w:tcW w:w="741" w:type="dxa"/>
            <w:tcBorders>
              <w:tl2br w:val="nil"/>
              <w:tr2bl w:val="nil"/>
            </w:tcBorders>
            <w:vAlign w:val="center"/>
          </w:tcPr>
          <w:p w14:paraId="162DF89F">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-12.61</w:t>
            </w:r>
          </w:p>
        </w:tc>
        <w:tc>
          <w:tcPr>
            <w:tcW w:w="740" w:type="dxa"/>
            <w:tcBorders>
              <w:tl2br w:val="nil"/>
              <w:tr2bl w:val="nil"/>
            </w:tcBorders>
            <w:vAlign w:val="center"/>
          </w:tcPr>
          <w:p w14:paraId="216D57BA">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-1.56</w:t>
            </w:r>
          </w:p>
        </w:tc>
        <w:tc>
          <w:tcPr>
            <w:tcW w:w="571" w:type="dxa"/>
            <w:tcBorders>
              <w:tl2br w:val="nil"/>
              <w:tr2bl w:val="nil"/>
            </w:tcBorders>
            <w:vAlign w:val="center"/>
          </w:tcPr>
          <w:p w14:paraId="76AA06ED">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10.31</w:t>
            </w:r>
          </w:p>
        </w:tc>
        <w:tc>
          <w:tcPr>
            <w:tcW w:w="571" w:type="dxa"/>
            <w:tcBorders>
              <w:tl2br w:val="nil"/>
              <w:tr2bl w:val="nil"/>
            </w:tcBorders>
            <w:vAlign w:val="center"/>
          </w:tcPr>
          <w:p w14:paraId="35AE7B49">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20.14</w:t>
            </w:r>
          </w:p>
        </w:tc>
        <w:tc>
          <w:tcPr>
            <w:tcW w:w="571" w:type="dxa"/>
            <w:tcBorders>
              <w:tl2br w:val="nil"/>
              <w:tr2bl w:val="nil"/>
            </w:tcBorders>
            <w:vAlign w:val="center"/>
          </w:tcPr>
          <w:p w14:paraId="640DEBD0">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23.05</w:t>
            </w:r>
          </w:p>
        </w:tc>
        <w:tc>
          <w:tcPr>
            <w:tcW w:w="672" w:type="dxa"/>
            <w:tcBorders>
              <w:tl2br w:val="nil"/>
              <w:tr2bl w:val="nil"/>
            </w:tcBorders>
            <w:vAlign w:val="center"/>
          </w:tcPr>
          <w:p w14:paraId="6E1F4161">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22.71</w:t>
            </w:r>
          </w:p>
        </w:tc>
        <w:tc>
          <w:tcPr>
            <w:tcW w:w="672" w:type="dxa"/>
            <w:tcBorders>
              <w:tl2br w:val="nil"/>
              <w:tr2bl w:val="nil"/>
            </w:tcBorders>
            <w:vAlign w:val="center"/>
          </w:tcPr>
          <w:p w14:paraId="3DCDFECF">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21.02</w:t>
            </w:r>
          </w:p>
        </w:tc>
        <w:tc>
          <w:tcPr>
            <w:tcW w:w="571" w:type="dxa"/>
            <w:tcBorders>
              <w:tl2br w:val="nil"/>
              <w:tr2bl w:val="nil"/>
            </w:tcBorders>
            <w:vAlign w:val="center"/>
          </w:tcPr>
          <w:p w14:paraId="3C4E62E9">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16.98</w:t>
            </w:r>
          </w:p>
        </w:tc>
        <w:tc>
          <w:tcPr>
            <w:tcW w:w="637" w:type="dxa"/>
            <w:tcBorders>
              <w:tl2br w:val="nil"/>
              <w:tr2bl w:val="nil"/>
            </w:tcBorders>
            <w:vAlign w:val="center"/>
          </w:tcPr>
          <w:p w14:paraId="13A26F8A">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6.61</w:t>
            </w:r>
          </w:p>
        </w:tc>
        <w:tc>
          <w:tcPr>
            <w:tcW w:w="740" w:type="dxa"/>
            <w:tcBorders>
              <w:tl2br w:val="nil"/>
              <w:tr2bl w:val="nil"/>
            </w:tcBorders>
            <w:vAlign w:val="center"/>
          </w:tcPr>
          <w:p w14:paraId="408BB127">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-4.52</w:t>
            </w:r>
          </w:p>
        </w:tc>
        <w:tc>
          <w:tcPr>
            <w:tcW w:w="740" w:type="dxa"/>
            <w:tcBorders>
              <w:tl2br w:val="nil"/>
              <w:tr2bl w:val="nil"/>
            </w:tcBorders>
            <w:vAlign w:val="center"/>
          </w:tcPr>
          <w:p w14:paraId="154B5DB9">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-17.99</w:t>
            </w:r>
          </w:p>
        </w:tc>
      </w:tr>
    </w:tbl>
    <w:p w14:paraId="4099EFE6">
      <w:pPr>
        <w:snapToGrid w:val="0"/>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图5.2-1   202</w:t>
      </w:r>
      <w:r>
        <w:rPr>
          <w:rFonts w:hint="default" w:cs="Times New Roman"/>
          <w:b/>
          <w:color w:val="auto"/>
          <w:kern w:val="0"/>
          <w:highlight w:val="none"/>
          <w:lang w:val="en-US" w:eastAsia="zh-CN"/>
        </w:rPr>
        <w:t>3</w:t>
      </w:r>
      <w:r>
        <w:rPr>
          <w:rFonts w:hint="default" w:ascii="Times New Roman" w:hAnsi="Times New Roman" w:cs="Times New Roman"/>
          <w:b/>
          <w:color w:val="auto"/>
          <w:kern w:val="0"/>
          <w:highlight w:val="none"/>
        </w:rPr>
        <w:t>年平均气温月变化图</w:t>
      </w:r>
    </w:p>
    <w:p w14:paraId="2BF6A4C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②风速特征</w:t>
      </w:r>
    </w:p>
    <w:p w14:paraId="5661DD37">
      <w:pPr>
        <w:ind w:firstLine="480"/>
        <w:rPr>
          <w:rFonts w:hint="default" w:ascii="Times New Roman" w:hAnsi="Times New Roman" w:cs="Times New Roman"/>
          <w:color w:val="auto"/>
          <w:highlight w:val="none"/>
        </w:rPr>
      </w:pPr>
      <w:r>
        <w:rPr>
          <w:rFonts w:hint="default" w:cs="Times New Roman"/>
          <w:color w:val="auto"/>
          <w:highlight w:val="none"/>
          <w:lang w:val="en-US" w:eastAsia="zh-CN"/>
        </w:rPr>
        <w:t>项目区富蕴</w:t>
      </w:r>
      <w:r>
        <w:rPr>
          <w:rFonts w:hint="default" w:ascii="Times New Roman" w:hAnsi="Times New Roman" w:cs="Times New Roman"/>
          <w:color w:val="auto"/>
          <w:highlight w:val="none"/>
        </w:rPr>
        <w:t>气象观测站202</w:t>
      </w:r>
      <w:r>
        <w:rPr>
          <w:rFonts w:hint="default" w:cs="Times New Roman"/>
          <w:color w:val="auto"/>
          <w:highlight w:val="none"/>
          <w:lang w:val="en-US" w:eastAsia="zh-CN"/>
        </w:rPr>
        <w:t>3</w:t>
      </w:r>
      <w:r>
        <w:rPr>
          <w:rFonts w:hint="default" w:ascii="Times New Roman" w:hAnsi="Times New Roman" w:cs="Times New Roman"/>
          <w:color w:val="auto"/>
          <w:highlight w:val="none"/>
        </w:rPr>
        <w:t>年平均风速月变化见表5.2-2及图5.2-2。</w:t>
      </w:r>
    </w:p>
    <w:p w14:paraId="69EADAC9">
      <w:pPr>
        <w:tabs>
          <w:tab w:val="left" w:pos="0"/>
          <w:tab w:val="left" w:pos="7380"/>
        </w:tabs>
        <w:autoSpaceDE w:val="0"/>
        <w:autoSpaceDN w:val="0"/>
        <w:snapToGrid w:val="0"/>
        <w:ind w:firstLine="0" w:firstLineChars="0"/>
        <w:jc w:val="center"/>
        <w:rPr>
          <w:rFonts w:hint="default" w:ascii="Times New Roman" w:hAnsi="Times New Roman" w:cs="Times New Roman"/>
          <w:b/>
          <w:color w:val="auto"/>
          <w:kern w:val="32"/>
          <w:highlight w:val="none"/>
        </w:rPr>
      </w:pPr>
      <w:r>
        <w:rPr>
          <w:rFonts w:hint="default" w:ascii="Times New Roman" w:hAnsi="Times New Roman" w:cs="Times New Roman"/>
          <w:b/>
          <w:color w:val="auto"/>
          <w:kern w:val="32"/>
          <w:highlight w:val="none"/>
        </w:rPr>
        <w:t>表5.2-2    年平均风速的月变化</w:t>
      </w:r>
    </w:p>
    <w:tbl>
      <w:tblPr>
        <w:tblStyle w:val="33"/>
        <w:tblW w:w="85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5"/>
        <w:gridCol w:w="594"/>
        <w:gridCol w:w="594"/>
        <w:gridCol w:w="594"/>
        <w:gridCol w:w="593"/>
        <w:gridCol w:w="593"/>
        <w:gridCol w:w="593"/>
        <w:gridCol w:w="593"/>
        <w:gridCol w:w="593"/>
        <w:gridCol w:w="593"/>
        <w:gridCol w:w="698"/>
        <w:gridCol w:w="686"/>
        <w:gridCol w:w="698"/>
      </w:tblGrid>
      <w:tr w14:paraId="47759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95" w:type="dxa"/>
            <w:tcBorders>
              <w:bottom w:val="single" w:color="auto" w:sz="4" w:space="0"/>
              <w:right w:val="single" w:color="auto" w:sz="4" w:space="0"/>
            </w:tcBorders>
            <w:vAlign w:val="center"/>
          </w:tcPr>
          <w:p w14:paraId="20DBDF5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月份</w:t>
            </w:r>
          </w:p>
        </w:tc>
        <w:tc>
          <w:tcPr>
            <w:tcW w:w="594" w:type="dxa"/>
            <w:tcBorders>
              <w:left w:val="single" w:color="auto" w:sz="4" w:space="0"/>
              <w:bottom w:val="single" w:color="auto" w:sz="4" w:space="0"/>
              <w:right w:val="single" w:color="auto" w:sz="4" w:space="0"/>
            </w:tcBorders>
            <w:vAlign w:val="center"/>
          </w:tcPr>
          <w:p w14:paraId="4AC30D4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1月</w:t>
            </w:r>
          </w:p>
        </w:tc>
        <w:tc>
          <w:tcPr>
            <w:tcW w:w="594" w:type="dxa"/>
            <w:tcBorders>
              <w:left w:val="single" w:color="auto" w:sz="4" w:space="0"/>
              <w:bottom w:val="single" w:color="auto" w:sz="4" w:space="0"/>
              <w:right w:val="single" w:color="auto" w:sz="4" w:space="0"/>
            </w:tcBorders>
            <w:vAlign w:val="center"/>
          </w:tcPr>
          <w:p w14:paraId="5AD2DE4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2月</w:t>
            </w:r>
          </w:p>
        </w:tc>
        <w:tc>
          <w:tcPr>
            <w:tcW w:w="594" w:type="dxa"/>
            <w:tcBorders>
              <w:left w:val="single" w:color="auto" w:sz="4" w:space="0"/>
              <w:bottom w:val="single" w:color="auto" w:sz="4" w:space="0"/>
              <w:right w:val="single" w:color="auto" w:sz="4" w:space="0"/>
            </w:tcBorders>
            <w:vAlign w:val="center"/>
          </w:tcPr>
          <w:p w14:paraId="632D705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3月</w:t>
            </w:r>
          </w:p>
        </w:tc>
        <w:tc>
          <w:tcPr>
            <w:tcW w:w="593" w:type="dxa"/>
            <w:tcBorders>
              <w:left w:val="single" w:color="auto" w:sz="4" w:space="0"/>
              <w:bottom w:val="single" w:color="auto" w:sz="4" w:space="0"/>
              <w:right w:val="single" w:color="auto" w:sz="4" w:space="0"/>
            </w:tcBorders>
            <w:vAlign w:val="center"/>
          </w:tcPr>
          <w:p w14:paraId="432CD26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4月</w:t>
            </w:r>
          </w:p>
        </w:tc>
        <w:tc>
          <w:tcPr>
            <w:tcW w:w="593" w:type="dxa"/>
            <w:tcBorders>
              <w:left w:val="single" w:color="auto" w:sz="4" w:space="0"/>
              <w:bottom w:val="single" w:color="auto" w:sz="4" w:space="0"/>
              <w:right w:val="single" w:color="auto" w:sz="4" w:space="0"/>
            </w:tcBorders>
            <w:vAlign w:val="center"/>
          </w:tcPr>
          <w:p w14:paraId="24A3D90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5月</w:t>
            </w:r>
          </w:p>
        </w:tc>
        <w:tc>
          <w:tcPr>
            <w:tcW w:w="593" w:type="dxa"/>
            <w:tcBorders>
              <w:left w:val="single" w:color="auto" w:sz="4" w:space="0"/>
              <w:bottom w:val="single" w:color="auto" w:sz="4" w:space="0"/>
              <w:right w:val="single" w:color="auto" w:sz="4" w:space="0"/>
            </w:tcBorders>
            <w:vAlign w:val="center"/>
          </w:tcPr>
          <w:p w14:paraId="5352F74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6月</w:t>
            </w:r>
          </w:p>
        </w:tc>
        <w:tc>
          <w:tcPr>
            <w:tcW w:w="593" w:type="dxa"/>
            <w:tcBorders>
              <w:left w:val="single" w:color="auto" w:sz="4" w:space="0"/>
              <w:bottom w:val="single" w:color="auto" w:sz="4" w:space="0"/>
              <w:right w:val="single" w:color="auto" w:sz="4" w:space="0"/>
            </w:tcBorders>
            <w:vAlign w:val="center"/>
          </w:tcPr>
          <w:p w14:paraId="4F9534D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7月</w:t>
            </w:r>
          </w:p>
        </w:tc>
        <w:tc>
          <w:tcPr>
            <w:tcW w:w="593" w:type="dxa"/>
            <w:tcBorders>
              <w:left w:val="single" w:color="auto" w:sz="4" w:space="0"/>
              <w:bottom w:val="single" w:color="auto" w:sz="4" w:space="0"/>
              <w:right w:val="single" w:color="auto" w:sz="4" w:space="0"/>
            </w:tcBorders>
            <w:vAlign w:val="center"/>
          </w:tcPr>
          <w:p w14:paraId="7446ECF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8月</w:t>
            </w:r>
          </w:p>
        </w:tc>
        <w:tc>
          <w:tcPr>
            <w:tcW w:w="593" w:type="dxa"/>
            <w:tcBorders>
              <w:left w:val="single" w:color="auto" w:sz="4" w:space="0"/>
              <w:bottom w:val="single" w:color="auto" w:sz="4" w:space="0"/>
              <w:right w:val="single" w:color="auto" w:sz="4" w:space="0"/>
            </w:tcBorders>
            <w:vAlign w:val="center"/>
          </w:tcPr>
          <w:p w14:paraId="4407E38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9月</w:t>
            </w:r>
          </w:p>
        </w:tc>
        <w:tc>
          <w:tcPr>
            <w:tcW w:w="698" w:type="dxa"/>
            <w:tcBorders>
              <w:left w:val="single" w:color="auto" w:sz="4" w:space="0"/>
              <w:bottom w:val="single" w:color="auto" w:sz="4" w:space="0"/>
              <w:right w:val="single" w:color="auto" w:sz="4" w:space="0"/>
            </w:tcBorders>
            <w:vAlign w:val="center"/>
          </w:tcPr>
          <w:p w14:paraId="032D837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10月</w:t>
            </w:r>
          </w:p>
        </w:tc>
        <w:tc>
          <w:tcPr>
            <w:tcW w:w="686" w:type="dxa"/>
            <w:tcBorders>
              <w:left w:val="single" w:color="auto" w:sz="4" w:space="0"/>
              <w:bottom w:val="single" w:color="auto" w:sz="4" w:space="0"/>
              <w:right w:val="single" w:color="auto" w:sz="4" w:space="0"/>
            </w:tcBorders>
            <w:vAlign w:val="center"/>
          </w:tcPr>
          <w:p w14:paraId="28E8E70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11月</w:t>
            </w:r>
          </w:p>
        </w:tc>
        <w:tc>
          <w:tcPr>
            <w:tcW w:w="698" w:type="dxa"/>
            <w:tcBorders>
              <w:left w:val="single" w:color="auto" w:sz="4" w:space="0"/>
              <w:bottom w:val="single" w:color="auto" w:sz="4" w:space="0"/>
            </w:tcBorders>
            <w:vAlign w:val="center"/>
          </w:tcPr>
          <w:p w14:paraId="6A58909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12月</w:t>
            </w:r>
          </w:p>
        </w:tc>
      </w:tr>
      <w:tr w14:paraId="01BC6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95" w:type="dxa"/>
            <w:tcBorders>
              <w:top w:val="single" w:color="auto" w:sz="4" w:space="0"/>
              <w:right w:val="single" w:color="auto" w:sz="4" w:space="0"/>
            </w:tcBorders>
            <w:vAlign w:val="center"/>
          </w:tcPr>
          <w:p w14:paraId="76D6AE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风速(m/s)</w:t>
            </w:r>
          </w:p>
        </w:tc>
        <w:tc>
          <w:tcPr>
            <w:tcW w:w="594" w:type="dxa"/>
            <w:tcBorders>
              <w:top w:val="single" w:color="auto" w:sz="4" w:space="0"/>
              <w:left w:val="single" w:color="auto" w:sz="4" w:space="0"/>
              <w:right w:val="single" w:color="auto" w:sz="4" w:space="0"/>
            </w:tcBorders>
            <w:vAlign w:val="center"/>
          </w:tcPr>
          <w:p w14:paraId="4A62D4C0">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1.12</w:t>
            </w:r>
          </w:p>
        </w:tc>
        <w:tc>
          <w:tcPr>
            <w:tcW w:w="594" w:type="dxa"/>
            <w:tcBorders>
              <w:top w:val="single" w:color="auto" w:sz="4" w:space="0"/>
              <w:left w:val="single" w:color="auto" w:sz="4" w:space="0"/>
              <w:right w:val="single" w:color="auto" w:sz="4" w:space="0"/>
            </w:tcBorders>
            <w:vAlign w:val="center"/>
          </w:tcPr>
          <w:p w14:paraId="71511429">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1.15</w:t>
            </w:r>
          </w:p>
        </w:tc>
        <w:tc>
          <w:tcPr>
            <w:tcW w:w="594" w:type="dxa"/>
            <w:tcBorders>
              <w:top w:val="single" w:color="auto" w:sz="4" w:space="0"/>
              <w:left w:val="single" w:color="auto" w:sz="4" w:space="0"/>
              <w:right w:val="single" w:color="auto" w:sz="4" w:space="0"/>
            </w:tcBorders>
            <w:vAlign w:val="center"/>
          </w:tcPr>
          <w:p w14:paraId="71420CE6">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2.28</w:t>
            </w:r>
          </w:p>
        </w:tc>
        <w:tc>
          <w:tcPr>
            <w:tcW w:w="593" w:type="dxa"/>
            <w:tcBorders>
              <w:top w:val="single" w:color="auto" w:sz="4" w:space="0"/>
              <w:left w:val="single" w:color="auto" w:sz="4" w:space="0"/>
              <w:right w:val="single" w:color="auto" w:sz="4" w:space="0"/>
            </w:tcBorders>
            <w:vAlign w:val="center"/>
          </w:tcPr>
          <w:p w14:paraId="34E328D4">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3.68</w:t>
            </w:r>
          </w:p>
        </w:tc>
        <w:tc>
          <w:tcPr>
            <w:tcW w:w="593" w:type="dxa"/>
            <w:tcBorders>
              <w:top w:val="single" w:color="auto" w:sz="4" w:space="0"/>
              <w:left w:val="single" w:color="auto" w:sz="4" w:space="0"/>
              <w:right w:val="single" w:color="auto" w:sz="4" w:space="0"/>
            </w:tcBorders>
            <w:vAlign w:val="center"/>
          </w:tcPr>
          <w:p w14:paraId="1B5C274B">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3.46</w:t>
            </w:r>
          </w:p>
        </w:tc>
        <w:tc>
          <w:tcPr>
            <w:tcW w:w="593" w:type="dxa"/>
            <w:tcBorders>
              <w:top w:val="single" w:color="auto" w:sz="4" w:space="0"/>
              <w:left w:val="single" w:color="auto" w:sz="4" w:space="0"/>
              <w:right w:val="single" w:color="auto" w:sz="4" w:space="0"/>
            </w:tcBorders>
            <w:vAlign w:val="center"/>
          </w:tcPr>
          <w:p w14:paraId="57198ADC">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3.29</w:t>
            </w:r>
          </w:p>
        </w:tc>
        <w:tc>
          <w:tcPr>
            <w:tcW w:w="593" w:type="dxa"/>
            <w:tcBorders>
              <w:top w:val="single" w:color="auto" w:sz="4" w:space="0"/>
              <w:left w:val="single" w:color="auto" w:sz="4" w:space="0"/>
              <w:right w:val="single" w:color="auto" w:sz="4" w:space="0"/>
            </w:tcBorders>
            <w:vAlign w:val="center"/>
          </w:tcPr>
          <w:p w14:paraId="345D2A31">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3.65</w:t>
            </w:r>
          </w:p>
        </w:tc>
        <w:tc>
          <w:tcPr>
            <w:tcW w:w="593" w:type="dxa"/>
            <w:tcBorders>
              <w:top w:val="single" w:color="auto" w:sz="4" w:space="0"/>
              <w:left w:val="single" w:color="auto" w:sz="4" w:space="0"/>
              <w:right w:val="single" w:color="auto" w:sz="4" w:space="0"/>
            </w:tcBorders>
            <w:vAlign w:val="center"/>
          </w:tcPr>
          <w:p w14:paraId="3B11884C">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3.44</w:t>
            </w:r>
          </w:p>
        </w:tc>
        <w:tc>
          <w:tcPr>
            <w:tcW w:w="593" w:type="dxa"/>
            <w:tcBorders>
              <w:top w:val="single" w:color="auto" w:sz="4" w:space="0"/>
              <w:left w:val="single" w:color="auto" w:sz="4" w:space="0"/>
              <w:right w:val="single" w:color="auto" w:sz="4" w:space="0"/>
            </w:tcBorders>
            <w:vAlign w:val="center"/>
          </w:tcPr>
          <w:p w14:paraId="6B083F4B">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2.6</w:t>
            </w:r>
          </w:p>
        </w:tc>
        <w:tc>
          <w:tcPr>
            <w:tcW w:w="698" w:type="dxa"/>
            <w:tcBorders>
              <w:top w:val="single" w:color="auto" w:sz="4" w:space="0"/>
              <w:left w:val="single" w:color="auto" w:sz="4" w:space="0"/>
              <w:right w:val="single" w:color="auto" w:sz="4" w:space="0"/>
            </w:tcBorders>
            <w:vAlign w:val="center"/>
          </w:tcPr>
          <w:p w14:paraId="14CBD873">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2.66</w:t>
            </w:r>
          </w:p>
        </w:tc>
        <w:tc>
          <w:tcPr>
            <w:tcW w:w="686" w:type="dxa"/>
            <w:tcBorders>
              <w:top w:val="single" w:color="auto" w:sz="4" w:space="0"/>
              <w:left w:val="single" w:color="auto" w:sz="4" w:space="0"/>
              <w:right w:val="single" w:color="auto" w:sz="4" w:space="0"/>
            </w:tcBorders>
            <w:vAlign w:val="center"/>
          </w:tcPr>
          <w:p w14:paraId="1853FF62">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1.93</w:t>
            </w:r>
          </w:p>
        </w:tc>
        <w:tc>
          <w:tcPr>
            <w:tcW w:w="698" w:type="dxa"/>
            <w:tcBorders>
              <w:top w:val="single" w:color="auto" w:sz="4" w:space="0"/>
              <w:left w:val="single" w:color="auto" w:sz="4" w:space="0"/>
            </w:tcBorders>
            <w:vAlign w:val="center"/>
          </w:tcPr>
          <w:p w14:paraId="6EF6DD9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1.22</w:t>
            </w:r>
          </w:p>
        </w:tc>
      </w:tr>
    </w:tbl>
    <w:p w14:paraId="373470F5">
      <w:pPr>
        <w:snapToGrid w:val="0"/>
        <w:ind w:firstLine="0" w:firstLineChars="0"/>
        <w:jc w:val="center"/>
        <w:rPr>
          <w:rFonts w:hint="default" w:ascii="Times New Roman" w:hAnsi="Times New Roman" w:cs="Times New Roman"/>
          <w:b/>
          <w:color w:val="auto"/>
          <w:kern w:val="0"/>
          <w:highlight w:val="none"/>
        </w:rPr>
      </w:pPr>
    </w:p>
    <w:p w14:paraId="7D644261">
      <w:pPr>
        <w:snapToGrid w:val="0"/>
        <w:ind w:firstLine="0" w:firstLineChars="0"/>
        <w:jc w:val="center"/>
        <w:rPr>
          <w:rFonts w:hint="default" w:ascii="Times New Roman" w:hAnsi="Times New Roman" w:cs="Times New Roman"/>
          <w:b/>
          <w:color w:val="auto"/>
          <w:kern w:val="0"/>
          <w:highlight w:val="none"/>
        </w:rPr>
      </w:pPr>
    </w:p>
    <w:p w14:paraId="21BEC9B3">
      <w:pPr>
        <w:snapToGrid w:val="0"/>
        <w:ind w:firstLine="0" w:firstLineChars="0"/>
        <w:jc w:val="center"/>
        <w:rPr>
          <w:rFonts w:hint="default" w:ascii="Times New Roman" w:hAnsi="Times New Roman" w:cs="Times New Roman"/>
          <w:b/>
          <w:color w:val="auto"/>
          <w:kern w:val="0"/>
          <w:highlight w:val="none"/>
        </w:rPr>
      </w:pPr>
    </w:p>
    <w:p w14:paraId="15C11A50">
      <w:pPr>
        <w:snapToGrid w:val="0"/>
        <w:ind w:firstLine="0" w:firstLineChars="0"/>
        <w:jc w:val="center"/>
        <w:rPr>
          <w:rFonts w:hint="default" w:ascii="Times New Roman" w:hAnsi="Times New Roman" w:cs="Times New Roman"/>
          <w:b/>
          <w:color w:val="auto"/>
          <w:kern w:val="0"/>
          <w:highlight w:val="none"/>
        </w:rPr>
      </w:pPr>
      <w:r>
        <w:rPr>
          <w:color w:val="auto"/>
          <w:highlight w:val="none"/>
        </w:rPr>
        <w:drawing>
          <wp:anchor distT="0" distB="0" distL="114300" distR="114300" simplePos="0" relativeHeight="251703296" behindDoc="0" locked="0" layoutInCell="1" allowOverlap="1">
            <wp:simplePos x="0" y="0"/>
            <wp:positionH relativeFrom="column">
              <wp:posOffset>-27305</wp:posOffset>
            </wp:positionH>
            <wp:positionV relativeFrom="paragraph">
              <wp:posOffset>98425</wp:posOffset>
            </wp:positionV>
            <wp:extent cx="5270500" cy="2028825"/>
            <wp:effectExtent l="4445" t="4445" r="20955" b="5080"/>
            <wp:wrapTopAndBottom/>
            <wp:docPr id="20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Pr>
          <w:rFonts w:hint="default" w:ascii="Times New Roman" w:hAnsi="Times New Roman" w:cs="Times New Roman"/>
          <w:b/>
          <w:color w:val="auto"/>
          <w:kern w:val="0"/>
          <w:highlight w:val="none"/>
        </w:rPr>
        <w:t>图5.2-2    202</w:t>
      </w:r>
      <w:r>
        <w:rPr>
          <w:rFonts w:hint="default" w:cs="Times New Roman"/>
          <w:b/>
          <w:color w:val="auto"/>
          <w:kern w:val="0"/>
          <w:highlight w:val="none"/>
          <w:lang w:val="en-US" w:eastAsia="zh-CN"/>
        </w:rPr>
        <w:t>3</w:t>
      </w:r>
      <w:r>
        <w:rPr>
          <w:rFonts w:hint="default" w:ascii="Times New Roman" w:hAnsi="Times New Roman" w:cs="Times New Roman"/>
          <w:b/>
          <w:color w:val="auto"/>
          <w:kern w:val="0"/>
          <w:highlight w:val="none"/>
        </w:rPr>
        <w:t>年平均风速月变化图</w:t>
      </w:r>
    </w:p>
    <w:p w14:paraId="55AD0F31">
      <w:pPr>
        <w:ind w:firstLine="480"/>
        <w:rPr>
          <w:rFonts w:hint="default" w:ascii="Times New Roman" w:hAnsi="Times New Roman" w:cs="Times New Roman"/>
          <w:color w:val="auto"/>
          <w:highlight w:val="none"/>
        </w:rPr>
      </w:pPr>
      <w:r>
        <w:rPr>
          <w:rFonts w:hint="default" w:cs="Times New Roman"/>
          <w:color w:val="auto"/>
          <w:highlight w:val="none"/>
          <w:lang w:val="en-US" w:eastAsia="zh-CN"/>
        </w:rPr>
        <w:t>项目区富蕴</w:t>
      </w:r>
      <w:r>
        <w:rPr>
          <w:rFonts w:hint="default" w:ascii="Times New Roman" w:hAnsi="Times New Roman" w:cs="Times New Roman"/>
          <w:color w:val="auto"/>
          <w:highlight w:val="none"/>
        </w:rPr>
        <w:t>气象观测站202</w:t>
      </w:r>
      <w:r>
        <w:rPr>
          <w:rFonts w:hint="default" w:cs="Times New Roman"/>
          <w:color w:val="auto"/>
          <w:highlight w:val="none"/>
          <w:lang w:val="en-US" w:eastAsia="zh-CN"/>
        </w:rPr>
        <w:t>3</w:t>
      </w:r>
      <w:r>
        <w:rPr>
          <w:rFonts w:hint="default" w:ascii="Times New Roman" w:hAnsi="Times New Roman" w:cs="Times New Roman"/>
          <w:color w:val="auto"/>
          <w:highlight w:val="none"/>
        </w:rPr>
        <w:t>年季小时平均风速的日变化见表5.2-3及图5.2-3，风速玫瑰图见图5.2-4。</w:t>
      </w:r>
    </w:p>
    <w:p w14:paraId="2988DD1D">
      <w:pPr>
        <w:ind w:firstLine="482"/>
        <w:jc w:val="center"/>
        <w:rPr>
          <w:rFonts w:hint="default" w:ascii="Times New Roman" w:hAnsi="Times New Roman" w:cs="Times New Roman"/>
          <w:b/>
          <w:color w:val="auto"/>
          <w:kern w:val="32"/>
          <w:highlight w:val="none"/>
        </w:rPr>
      </w:pPr>
      <w:r>
        <w:rPr>
          <w:rFonts w:hint="default" w:ascii="Times New Roman" w:hAnsi="Times New Roman" w:cs="Times New Roman"/>
          <w:b/>
          <w:color w:val="auto"/>
          <w:kern w:val="32"/>
          <w:highlight w:val="none"/>
        </w:rPr>
        <w:t>表5.2-3   季小时平均风速的日变化</w:t>
      </w:r>
    </w:p>
    <w:tbl>
      <w:tblPr>
        <w:tblStyle w:val="33"/>
        <w:tblW w:w="86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623"/>
        <w:gridCol w:w="624"/>
        <w:gridCol w:w="624"/>
        <w:gridCol w:w="624"/>
        <w:gridCol w:w="624"/>
        <w:gridCol w:w="624"/>
        <w:gridCol w:w="624"/>
        <w:gridCol w:w="624"/>
        <w:gridCol w:w="624"/>
        <w:gridCol w:w="624"/>
        <w:gridCol w:w="624"/>
        <w:gridCol w:w="623"/>
      </w:tblGrid>
      <w:tr w14:paraId="621C5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tcBorders>
              <w:tl2br w:val="single" w:color="000000" w:sz="4" w:space="0"/>
            </w:tcBorders>
            <w:shd w:val="clear" w:color="auto" w:fill="FFFFFF"/>
            <w:vAlign w:val="center"/>
          </w:tcPr>
          <w:p w14:paraId="191D5FE0">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风速(m/s)  小时(h)</w:t>
            </w:r>
          </w:p>
        </w:tc>
        <w:tc>
          <w:tcPr>
            <w:tcW w:w="623" w:type="dxa"/>
            <w:shd w:val="clear" w:color="auto" w:fill="FFFFFF"/>
            <w:vAlign w:val="center"/>
          </w:tcPr>
          <w:p w14:paraId="17E7D0A7">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1</w:t>
            </w:r>
          </w:p>
        </w:tc>
        <w:tc>
          <w:tcPr>
            <w:tcW w:w="624" w:type="dxa"/>
            <w:shd w:val="clear" w:color="auto" w:fill="FFFFFF"/>
            <w:vAlign w:val="center"/>
          </w:tcPr>
          <w:p w14:paraId="4D66378D">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2</w:t>
            </w:r>
          </w:p>
        </w:tc>
        <w:tc>
          <w:tcPr>
            <w:tcW w:w="624" w:type="dxa"/>
            <w:shd w:val="clear" w:color="auto" w:fill="FFFFFF"/>
            <w:vAlign w:val="center"/>
          </w:tcPr>
          <w:p w14:paraId="37EED6EA">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3</w:t>
            </w:r>
          </w:p>
        </w:tc>
        <w:tc>
          <w:tcPr>
            <w:tcW w:w="624" w:type="dxa"/>
            <w:shd w:val="clear" w:color="auto" w:fill="FFFFFF"/>
            <w:vAlign w:val="center"/>
          </w:tcPr>
          <w:p w14:paraId="6222471C">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4</w:t>
            </w:r>
          </w:p>
        </w:tc>
        <w:tc>
          <w:tcPr>
            <w:tcW w:w="624" w:type="dxa"/>
            <w:shd w:val="clear" w:color="auto" w:fill="FFFFFF"/>
            <w:vAlign w:val="center"/>
          </w:tcPr>
          <w:p w14:paraId="0B0B68D1">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5</w:t>
            </w:r>
          </w:p>
        </w:tc>
        <w:tc>
          <w:tcPr>
            <w:tcW w:w="624" w:type="dxa"/>
            <w:shd w:val="clear" w:color="auto" w:fill="FFFFFF"/>
            <w:vAlign w:val="center"/>
          </w:tcPr>
          <w:p w14:paraId="705C7916">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6</w:t>
            </w:r>
          </w:p>
        </w:tc>
        <w:tc>
          <w:tcPr>
            <w:tcW w:w="624" w:type="dxa"/>
            <w:shd w:val="clear" w:color="auto" w:fill="FFFFFF"/>
            <w:vAlign w:val="center"/>
          </w:tcPr>
          <w:p w14:paraId="58553694">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7</w:t>
            </w:r>
          </w:p>
        </w:tc>
        <w:tc>
          <w:tcPr>
            <w:tcW w:w="624" w:type="dxa"/>
            <w:shd w:val="clear" w:color="auto" w:fill="FFFFFF"/>
            <w:vAlign w:val="center"/>
          </w:tcPr>
          <w:p w14:paraId="1975A874">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8</w:t>
            </w:r>
          </w:p>
        </w:tc>
        <w:tc>
          <w:tcPr>
            <w:tcW w:w="624" w:type="dxa"/>
            <w:shd w:val="clear" w:color="auto" w:fill="FFFFFF"/>
            <w:vAlign w:val="center"/>
          </w:tcPr>
          <w:p w14:paraId="33CE0FFC">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9</w:t>
            </w:r>
          </w:p>
        </w:tc>
        <w:tc>
          <w:tcPr>
            <w:tcW w:w="624" w:type="dxa"/>
            <w:shd w:val="clear" w:color="auto" w:fill="FFFFFF"/>
            <w:vAlign w:val="center"/>
          </w:tcPr>
          <w:p w14:paraId="0A7A381C">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10</w:t>
            </w:r>
          </w:p>
        </w:tc>
        <w:tc>
          <w:tcPr>
            <w:tcW w:w="624" w:type="dxa"/>
            <w:shd w:val="clear" w:color="auto" w:fill="FFFFFF"/>
            <w:vAlign w:val="center"/>
          </w:tcPr>
          <w:p w14:paraId="77F7FA7F">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11</w:t>
            </w:r>
          </w:p>
        </w:tc>
        <w:tc>
          <w:tcPr>
            <w:tcW w:w="623" w:type="dxa"/>
            <w:shd w:val="clear" w:color="auto" w:fill="FFFFFF"/>
            <w:vAlign w:val="center"/>
          </w:tcPr>
          <w:p w14:paraId="25E2CDFE">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12</w:t>
            </w:r>
          </w:p>
        </w:tc>
      </w:tr>
      <w:tr w14:paraId="3EFB4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7B2A36BA">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春季</w:t>
            </w:r>
          </w:p>
        </w:tc>
        <w:tc>
          <w:tcPr>
            <w:tcW w:w="623" w:type="dxa"/>
            <w:shd w:val="clear" w:color="auto" w:fill="FFFFFF"/>
            <w:vAlign w:val="bottom"/>
          </w:tcPr>
          <w:p w14:paraId="63689249">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2.63 </w:t>
            </w:r>
          </w:p>
        </w:tc>
        <w:tc>
          <w:tcPr>
            <w:tcW w:w="624" w:type="dxa"/>
            <w:shd w:val="clear" w:color="auto" w:fill="FFFFFF"/>
            <w:vAlign w:val="bottom"/>
          </w:tcPr>
          <w:p w14:paraId="4643BCB5">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2.63 </w:t>
            </w:r>
          </w:p>
        </w:tc>
        <w:tc>
          <w:tcPr>
            <w:tcW w:w="624" w:type="dxa"/>
            <w:shd w:val="clear" w:color="auto" w:fill="FFFFFF"/>
            <w:vAlign w:val="bottom"/>
          </w:tcPr>
          <w:p w14:paraId="7AF97F00">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2.52 </w:t>
            </w:r>
          </w:p>
        </w:tc>
        <w:tc>
          <w:tcPr>
            <w:tcW w:w="624" w:type="dxa"/>
            <w:shd w:val="clear" w:color="auto" w:fill="FFFFFF"/>
            <w:vAlign w:val="bottom"/>
          </w:tcPr>
          <w:p w14:paraId="7209C3A5">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2.43 </w:t>
            </w:r>
          </w:p>
        </w:tc>
        <w:tc>
          <w:tcPr>
            <w:tcW w:w="624" w:type="dxa"/>
            <w:shd w:val="clear" w:color="auto" w:fill="FFFFFF"/>
            <w:vAlign w:val="bottom"/>
          </w:tcPr>
          <w:p w14:paraId="4EDB562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2.55 </w:t>
            </w:r>
          </w:p>
        </w:tc>
        <w:tc>
          <w:tcPr>
            <w:tcW w:w="624" w:type="dxa"/>
            <w:shd w:val="clear" w:color="auto" w:fill="FFFFFF"/>
            <w:vAlign w:val="bottom"/>
          </w:tcPr>
          <w:p w14:paraId="7B51E82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2.62 </w:t>
            </w:r>
          </w:p>
        </w:tc>
        <w:tc>
          <w:tcPr>
            <w:tcW w:w="624" w:type="dxa"/>
            <w:shd w:val="clear" w:color="auto" w:fill="FFFFFF"/>
            <w:vAlign w:val="bottom"/>
          </w:tcPr>
          <w:p w14:paraId="6A2B1597">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2.72 </w:t>
            </w:r>
          </w:p>
        </w:tc>
        <w:tc>
          <w:tcPr>
            <w:tcW w:w="624" w:type="dxa"/>
            <w:shd w:val="clear" w:color="auto" w:fill="FFFFFF"/>
            <w:vAlign w:val="bottom"/>
          </w:tcPr>
          <w:p w14:paraId="4B07837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2.67 </w:t>
            </w:r>
          </w:p>
        </w:tc>
        <w:tc>
          <w:tcPr>
            <w:tcW w:w="624" w:type="dxa"/>
            <w:shd w:val="clear" w:color="auto" w:fill="FFFFFF"/>
            <w:vAlign w:val="bottom"/>
          </w:tcPr>
          <w:p w14:paraId="37791265">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2.87 </w:t>
            </w:r>
          </w:p>
        </w:tc>
        <w:tc>
          <w:tcPr>
            <w:tcW w:w="624" w:type="dxa"/>
            <w:shd w:val="clear" w:color="auto" w:fill="FFFFFF"/>
            <w:vAlign w:val="bottom"/>
          </w:tcPr>
          <w:p w14:paraId="0A3C129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2.96 </w:t>
            </w:r>
          </w:p>
        </w:tc>
        <w:tc>
          <w:tcPr>
            <w:tcW w:w="624" w:type="dxa"/>
            <w:shd w:val="clear" w:color="auto" w:fill="FFFFFF"/>
            <w:vAlign w:val="bottom"/>
          </w:tcPr>
          <w:p w14:paraId="3B0BEA23">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2.68 </w:t>
            </w:r>
          </w:p>
        </w:tc>
        <w:tc>
          <w:tcPr>
            <w:tcW w:w="623" w:type="dxa"/>
            <w:shd w:val="clear" w:color="auto" w:fill="FFFFFF"/>
            <w:vAlign w:val="bottom"/>
          </w:tcPr>
          <w:p w14:paraId="4B1878F0">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2.72 </w:t>
            </w:r>
          </w:p>
        </w:tc>
      </w:tr>
      <w:tr w14:paraId="463F8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4F601655">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夏季</w:t>
            </w:r>
          </w:p>
        </w:tc>
        <w:tc>
          <w:tcPr>
            <w:tcW w:w="623" w:type="dxa"/>
            <w:shd w:val="clear" w:color="auto" w:fill="FFFFFF"/>
            <w:vAlign w:val="bottom"/>
          </w:tcPr>
          <w:p w14:paraId="743DD046">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2.22 </w:t>
            </w:r>
          </w:p>
        </w:tc>
        <w:tc>
          <w:tcPr>
            <w:tcW w:w="624" w:type="dxa"/>
            <w:shd w:val="clear" w:color="auto" w:fill="FFFFFF"/>
            <w:vAlign w:val="bottom"/>
          </w:tcPr>
          <w:p w14:paraId="5BCB1FBC">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1.93 </w:t>
            </w:r>
          </w:p>
        </w:tc>
        <w:tc>
          <w:tcPr>
            <w:tcW w:w="624" w:type="dxa"/>
            <w:shd w:val="clear" w:color="auto" w:fill="FFFFFF"/>
            <w:vAlign w:val="bottom"/>
          </w:tcPr>
          <w:p w14:paraId="7A6A2964">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1.78 </w:t>
            </w:r>
          </w:p>
        </w:tc>
        <w:tc>
          <w:tcPr>
            <w:tcW w:w="624" w:type="dxa"/>
            <w:shd w:val="clear" w:color="auto" w:fill="FFFFFF"/>
            <w:vAlign w:val="bottom"/>
          </w:tcPr>
          <w:p w14:paraId="1363D4E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1.59 </w:t>
            </w:r>
          </w:p>
        </w:tc>
        <w:tc>
          <w:tcPr>
            <w:tcW w:w="624" w:type="dxa"/>
            <w:shd w:val="clear" w:color="auto" w:fill="FFFFFF"/>
            <w:vAlign w:val="bottom"/>
          </w:tcPr>
          <w:p w14:paraId="036FE6EB">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1.63 </w:t>
            </w:r>
          </w:p>
        </w:tc>
        <w:tc>
          <w:tcPr>
            <w:tcW w:w="624" w:type="dxa"/>
            <w:shd w:val="clear" w:color="auto" w:fill="FFFFFF"/>
            <w:vAlign w:val="bottom"/>
          </w:tcPr>
          <w:p w14:paraId="2A045214">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1.65 </w:t>
            </w:r>
          </w:p>
        </w:tc>
        <w:tc>
          <w:tcPr>
            <w:tcW w:w="624" w:type="dxa"/>
            <w:shd w:val="clear" w:color="auto" w:fill="FFFFFF"/>
            <w:vAlign w:val="bottom"/>
          </w:tcPr>
          <w:p w14:paraId="1EEBBF12">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1.54 </w:t>
            </w:r>
          </w:p>
        </w:tc>
        <w:tc>
          <w:tcPr>
            <w:tcW w:w="624" w:type="dxa"/>
            <w:shd w:val="clear" w:color="auto" w:fill="FFFFFF"/>
            <w:vAlign w:val="bottom"/>
          </w:tcPr>
          <w:p w14:paraId="0064E57A">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1.32 </w:t>
            </w:r>
          </w:p>
        </w:tc>
        <w:tc>
          <w:tcPr>
            <w:tcW w:w="624" w:type="dxa"/>
            <w:shd w:val="clear" w:color="auto" w:fill="FFFFFF"/>
            <w:vAlign w:val="bottom"/>
          </w:tcPr>
          <w:p w14:paraId="2260F9E5">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1.71 </w:t>
            </w:r>
          </w:p>
        </w:tc>
        <w:tc>
          <w:tcPr>
            <w:tcW w:w="624" w:type="dxa"/>
            <w:shd w:val="clear" w:color="auto" w:fill="FFFFFF"/>
            <w:vAlign w:val="bottom"/>
          </w:tcPr>
          <w:p w14:paraId="44793BC4">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2.00 </w:t>
            </w:r>
          </w:p>
        </w:tc>
        <w:tc>
          <w:tcPr>
            <w:tcW w:w="624" w:type="dxa"/>
            <w:shd w:val="clear" w:color="auto" w:fill="FFFFFF"/>
            <w:vAlign w:val="bottom"/>
          </w:tcPr>
          <w:p w14:paraId="508766C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2.36 </w:t>
            </w:r>
          </w:p>
        </w:tc>
        <w:tc>
          <w:tcPr>
            <w:tcW w:w="623" w:type="dxa"/>
            <w:shd w:val="clear" w:color="auto" w:fill="FFFFFF"/>
            <w:vAlign w:val="bottom"/>
          </w:tcPr>
          <w:p w14:paraId="23F15382">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2.97 </w:t>
            </w:r>
          </w:p>
        </w:tc>
      </w:tr>
      <w:tr w14:paraId="4E842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72D27656">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秋季</w:t>
            </w:r>
          </w:p>
        </w:tc>
        <w:tc>
          <w:tcPr>
            <w:tcW w:w="623" w:type="dxa"/>
            <w:shd w:val="clear" w:color="auto" w:fill="FFFFFF"/>
            <w:vAlign w:val="bottom"/>
          </w:tcPr>
          <w:p w14:paraId="18E4440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1.70 </w:t>
            </w:r>
          </w:p>
        </w:tc>
        <w:tc>
          <w:tcPr>
            <w:tcW w:w="624" w:type="dxa"/>
            <w:shd w:val="clear" w:color="auto" w:fill="FFFFFF"/>
            <w:vAlign w:val="bottom"/>
          </w:tcPr>
          <w:p w14:paraId="0573CFE3">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1.76 </w:t>
            </w:r>
          </w:p>
        </w:tc>
        <w:tc>
          <w:tcPr>
            <w:tcW w:w="624" w:type="dxa"/>
            <w:shd w:val="clear" w:color="auto" w:fill="FFFFFF"/>
            <w:vAlign w:val="bottom"/>
          </w:tcPr>
          <w:p w14:paraId="5D0563D0">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1.81 </w:t>
            </w:r>
          </w:p>
        </w:tc>
        <w:tc>
          <w:tcPr>
            <w:tcW w:w="624" w:type="dxa"/>
            <w:shd w:val="clear" w:color="auto" w:fill="FFFFFF"/>
            <w:vAlign w:val="bottom"/>
          </w:tcPr>
          <w:p w14:paraId="7C2DBCE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1.97 </w:t>
            </w:r>
          </w:p>
        </w:tc>
        <w:tc>
          <w:tcPr>
            <w:tcW w:w="624" w:type="dxa"/>
            <w:shd w:val="clear" w:color="auto" w:fill="FFFFFF"/>
            <w:vAlign w:val="bottom"/>
          </w:tcPr>
          <w:p w14:paraId="0B3B7E79">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1.95 </w:t>
            </w:r>
          </w:p>
        </w:tc>
        <w:tc>
          <w:tcPr>
            <w:tcW w:w="624" w:type="dxa"/>
            <w:shd w:val="clear" w:color="auto" w:fill="FFFFFF"/>
            <w:vAlign w:val="bottom"/>
          </w:tcPr>
          <w:p w14:paraId="05A3A1BB">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1.83 </w:t>
            </w:r>
          </w:p>
        </w:tc>
        <w:tc>
          <w:tcPr>
            <w:tcW w:w="624" w:type="dxa"/>
            <w:shd w:val="clear" w:color="auto" w:fill="FFFFFF"/>
            <w:vAlign w:val="bottom"/>
          </w:tcPr>
          <w:p w14:paraId="07415494">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2.02 </w:t>
            </w:r>
          </w:p>
        </w:tc>
        <w:tc>
          <w:tcPr>
            <w:tcW w:w="624" w:type="dxa"/>
            <w:shd w:val="clear" w:color="auto" w:fill="FFFFFF"/>
            <w:vAlign w:val="bottom"/>
          </w:tcPr>
          <w:p w14:paraId="07A2F1B2">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2.02 </w:t>
            </w:r>
          </w:p>
        </w:tc>
        <w:tc>
          <w:tcPr>
            <w:tcW w:w="624" w:type="dxa"/>
            <w:shd w:val="clear" w:color="auto" w:fill="FFFFFF"/>
            <w:vAlign w:val="bottom"/>
          </w:tcPr>
          <w:p w14:paraId="5CB4A4EC">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2.28 </w:t>
            </w:r>
          </w:p>
        </w:tc>
        <w:tc>
          <w:tcPr>
            <w:tcW w:w="624" w:type="dxa"/>
            <w:shd w:val="clear" w:color="auto" w:fill="FFFFFF"/>
            <w:vAlign w:val="bottom"/>
          </w:tcPr>
          <w:p w14:paraId="4F7C0672">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2.27 </w:t>
            </w:r>
          </w:p>
        </w:tc>
        <w:tc>
          <w:tcPr>
            <w:tcW w:w="624" w:type="dxa"/>
            <w:shd w:val="clear" w:color="auto" w:fill="FFFFFF"/>
            <w:vAlign w:val="bottom"/>
          </w:tcPr>
          <w:p w14:paraId="554E6380">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2.47 </w:t>
            </w:r>
          </w:p>
        </w:tc>
        <w:tc>
          <w:tcPr>
            <w:tcW w:w="623" w:type="dxa"/>
            <w:shd w:val="clear" w:color="auto" w:fill="FFFFFF"/>
            <w:vAlign w:val="bottom"/>
          </w:tcPr>
          <w:p w14:paraId="1F45BECA">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2.55 </w:t>
            </w:r>
          </w:p>
        </w:tc>
      </w:tr>
      <w:tr w14:paraId="24B27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280402F1">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冬季</w:t>
            </w:r>
          </w:p>
        </w:tc>
        <w:tc>
          <w:tcPr>
            <w:tcW w:w="623" w:type="dxa"/>
            <w:shd w:val="clear" w:color="auto" w:fill="FFFFFF"/>
            <w:vAlign w:val="bottom"/>
          </w:tcPr>
          <w:p w14:paraId="660B03C4">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1.22 </w:t>
            </w:r>
          </w:p>
        </w:tc>
        <w:tc>
          <w:tcPr>
            <w:tcW w:w="624" w:type="dxa"/>
            <w:shd w:val="clear" w:color="auto" w:fill="FFFFFF"/>
            <w:vAlign w:val="bottom"/>
          </w:tcPr>
          <w:p w14:paraId="133F07F9">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1.14 </w:t>
            </w:r>
          </w:p>
        </w:tc>
        <w:tc>
          <w:tcPr>
            <w:tcW w:w="624" w:type="dxa"/>
            <w:shd w:val="clear" w:color="auto" w:fill="FFFFFF"/>
            <w:vAlign w:val="bottom"/>
          </w:tcPr>
          <w:p w14:paraId="200EAA6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1.23 </w:t>
            </w:r>
          </w:p>
        </w:tc>
        <w:tc>
          <w:tcPr>
            <w:tcW w:w="624" w:type="dxa"/>
            <w:shd w:val="clear" w:color="auto" w:fill="FFFFFF"/>
            <w:vAlign w:val="bottom"/>
          </w:tcPr>
          <w:p w14:paraId="70015D9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1.13 </w:t>
            </w:r>
          </w:p>
        </w:tc>
        <w:tc>
          <w:tcPr>
            <w:tcW w:w="624" w:type="dxa"/>
            <w:shd w:val="clear" w:color="auto" w:fill="FFFFFF"/>
            <w:vAlign w:val="bottom"/>
          </w:tcPr>
          <w:p w14:paraId="75AD6A97">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1.18 </w:t>
            </w:r>
          </w:p>
        </w:tc>
        <w:tc>
          <w:tcPr>
            <w:tcW w:w="624" w:type="dxa"/>
            <w:shd w:val="clear" w:color="auto" w:fill="FFFFFF"/>
            <w:vAlign w:val="bottom"/>
          </w:tcPr>
          <w:p w14:paraId="1A1034B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1.08 </w:t>
            </w:r>
          </w:p>
        </w:tc>
        <w:tc>
          <w:tcPr>
            <w:tcW w:w="624" w:type="dxa"/>
            <w:shd w:val="clear" w:color="auto" w:fill="FFFFFF"/>
            <w:vAlign w:val="bottom"/>
          </w:tcPr>
          <w:p w14:paraId="44874D4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1.32 </w:t>
            </w:r>
          </w:p>
        </w:tc>
        <w:tc>
          <w:tcPr>
            <w:tcW w:w="624" w:type="dxa"/>
            <w:shd w:val="clear" w:color="auto" w:fill="FFFFFF"/>
            <w:vAlign w:val="bottom"/>
          </w:tcPr>
          <w:p w14:paraId="327E9DF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1.34 </w:t>
            </w:r>
          </w:p>
        </w:tc>
        <w:tc>
          <w:tcPr>
            <w:tcW w:w="624" w:type="dxa"/>
            <w:shd w:val="clear" w:color="auto" w:fill="FFFFFF"/>
            <w:vAlign w:val="bottom"/>
          </w:tcPr>
          <w:p w14:paraId="4C453C52">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1.29 </w:t>
            </w:r>
          </w:p>
        </w:tc>
        <w:tc>
          <w:tcPr>
            <w:tcW w:w="624" w:type="dxa"/>
            <w:shd w:val="clear" w:color="auto" w:fill="FFFFFF"/>
            <w:vAlign w:val="bottom"/>
          </w:tcPr>
          <w:p w14:paraId="74BB2C4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1.12 </w:t>
            </w:r>
          </w:p>
        </w:tc>
        <w:tc>
          <w:tcPr>
            <w:tcW w:w="624" w:type="dxa"/>
            <w:shd w:val="clear" w:color="auto" w:fill="FFFFFF"/>
            <w:vAlign w:val="bottom"/>
          </w:tcPr>
          <w:p w14:paraId="47BF7B22">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1.15 </w:t>
            </w:r>
          </w:p>
        </w:tc>
        <w:tc>
          <w:tcPr>
            <w:tcW w:w="623" w:type="dxa"/>
            <w:shd w:val="clear" w:color="auto" w:fill="FFFFFF"/>
            <w:vAlign w:val="bottom"/>
          </w:tcPr>
          <w:p w14:paraId="48E02A4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1.17 </w:t>
            </w:r>
          </w:p>
        </w:tc>
      </w:tr>
      <w:tr w14:paraId="1F373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tcBorders>
              <w:tl2br w:val="single" w:color="000000" w:sz="4" w:space="0"/>
            </w:tcBorders>
            <w:shd w:val="clear" w:color="auto" w:fill="FFFFFF"/>
            <w:vAlign w:val="center"/>
          </w:tcPr>
          <w:p w14:paraId="0893C0EE">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风速(m/s)  小时(h)</w:t>
            </w:r>
          </w:p>
        </w:tc>
        <w:tc>
          <w:tcPr>
            <w:tcW w:w="623" w:type="dxa"/>
            <w:shd w:val="clear" w:color="auto" w:fill="FFFFFF"/>
            <w:vAlign w:val="center"/>
          </w:tcPr>
          <w:p w14:paraId="5FB52068">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13</w:t>
            </w:r>
          </w:p>
        </w:tc>
        <w:tc>
          <w:tcPr>
            <w:tcW w:w="624" w:type="dxa"/>
            <w:shd w:val="clear" w:color="auto" w:fill="FFFFFF"/>
            <w:vAlign w:val="center"/>
          </w:tcPr>
          <w:p w14:paraId="5E75115F">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14</w:t>
            </w:r>
          </w:p>
        </w:tc>
        <w:tc>
          <w:tcPr>
            <w:tcW w:w="624" w:type="dxa"/>
            <w:shd w:val="clear" w:color="auto" w:fill="FFFFFF"/>
            <w:vAlign w:val="center"/>
          </w:tcPr>
          <w:p w14:paraId="58987613">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15</w:t>
            </w:r>
          </w:p>
        </w:tc>
        <w:tc>
          <w:tcPr>
            <w:tcW w:w="624" w:type="dxa"/>
            <w:shd w:val="clear" w:color="auto" w:fill="FFFFFF"/>
            <w:vAlign w:val="center"/>
          </w:tcPr>
          <w:p w14:paraId="5924F62D">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16</w:t>
            </w:r>
          </w:p>
        </w:tc>
        <w:tc>
          <w:tcPr>
            <w:tcW w:w="624" w:type="dxa"/>
            <w:shd w:val="clear" w:color="auto" w:fill="FFFFFF"/>
            <w:vAlign w:val="center"/>
          </w:tcPr>
          <w:p w14:paraId="475A4DDF">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17</w:t>
            </w:r>
          </w:p>
        </w:tc>
        <w:tc>
          <w:tcPr>
            <w:tcW w:w="624" w:type="dxa"/>
            <w:shd w:val="clear" w:color="auto" w:fill="FFFFFF"/>
            <w:vAlign w:val="center"/>
          </w:tcPr>
          <w:p w14:paraId="184BD247">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18</w:t>
            </w:r>
          </w:p>
        </w:tc>
        <w:tc>
          <w:tcPr>
            <w:tcW w:w="624" w:type="dxa"/>
            <w:shd w:val="clear" w:color="auto" w:fill="FFFFFF"/>
            <w:vAlign w:val="center"/>
          </w:tcPr>
          <w:p w14:paraId="710F44DB">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19</w:t>
            </w:r>
          </w:p>
        </w:tc>
        <w:tc>
          <w:tcPr>
            <w:tcW w:w="624" w:type="dxa"/>
            <w:shd w:val="clear" w:color="auto" w:fill="FFFFFF"/>
            <w:vAlign w:val="center"/>
          </w:tcPr>
          <w:p w14:paraId="0062E544">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20</w:t>
            </w:r>
          </w:p>
        </w:tc>
        <w:tc>
          <w:tcPr>
            <w:tcW w:w="624" w:type="dxa"/>
            <w:shd w:val="clear" w:color="auto" w:fill="FFFFFF"/>
            <w:vAlign w:val="center"/>
          </w:tcPr>
          <w:p w14:paraId="56D811DD">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21</w:t>
            </w:r>
          </w:p>
        </w:tc>
        <w:tc>
          <w:tcPr>
            <w:tcW w:w="624" w:type="dxa"/>
            <w:shd w:val="clear" w:color="auto" w:fill="FFFFFF"/>
            <w:vAlign w:val="center"/>
          </w:tcPr>
          <w:p w14:paraId="35A25FE2">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22</w:t>
            </w:r>
          </w:p>
        </w:tc>
        <w:tc>
          <w:tcPr>
            <w:tcW w:w="624" w:type="dxa"/>
            <w:shd w:val="clear" w:color="auto" w:fill="FFFFFF"/>
            <w:vAlign w:val="center"/>
          </w:tcPr>
          <w:p w14:paraId="143D5A1D">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23</w:t>
            </w:r>
          </w:p>
        </w:tc>
        <w:tc>
          <w:tcPr>
            <w:tcW w:w="623" w:type="dxa"/>
            <w:shd w:val="clear" w:color="auto" w:fill="FFFFFF"/>
            <w:vAlign w:val="center"/>
          </w:tcPr>
          <w:p w14:paraId="13DF38EF">
            <w:pPr>
              <w:widowControl/>
              <w:spacing w:line="360" w:lineRule="exact"/>
              <w:ind w:firstLine="0" w:firstLineChars="0"/>
              <w:jc w:val="center"/>
              <w:textAlignment w:val="bottom"/>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val="en-US" w:eastAsia="zh-CN" w:bidi="ar"/>
              </w:rPr>
              <w:t>24</w:t>
            </w:r>
          </w:p>
        </w:tc>
      </w:tr>
      <w:tr w14:paraId="3E5C6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3BE5F213">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春季</w:t>
            </w:r>
          </w:p>
        </w:tc>
        <w:tc>
          <w:tcPr>
            <w:tcW w:w="623" w:type="dxa"/>
            <w:shd w:val="clear" w:color="auto" w:fill="FFFFFF"/>
            <w:vAlign w:val="bottom"/>
          </w:tcPr>
          <w:p w14:paraId="179D0296">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2.96 </w:t>
            </w:r>
          </w:p>
        </w:tc>
        <w:tc>
          <w:tcPr>
            <w:tcW w:w="624" w:type="dxa"/>
            <w:shd w:val="clear" w:color="auto" w:fill="FFFFFF"/>
            <w:vAlign w:val="bottom"/>
          </w:tcPr>
          <w:p w14:paraId="3A27927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3.07 </w:t>
            </w:r>
          </w:p>
        </w:tc>
        <w:tc>
          <w:tcPr>
            <w:tcW w:w="624" w:type="dxa"/>
            <w:shd w:val="clear" w:color="auto" w:fill="FFFFFF"/>
            <w:vAlign w:val="bottom"/>
          </w:tcPr>
          <w:p w14:paraId="0A4652EA">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3.59 </w:t>
            </w:r>
          </w:p>
        </w:tc>
        <w:tc>
          <w:tcPr>
            <w:tcW w:w="624" w:type="dxa"/>
            <w:shd w:val="clear" w:color="auto" w:fill="FFFFFF"/>
            <w:vAlign w:val="bottom"/>
          </w:tcPr>
          <w:p w14:paraId="6C0E253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3.79 </w:t>
            </w:r>
          </w:p>
        </w:tc>
        <w:tc>
          <w:tcPr>
            <w:tcW w:w="624" w:type="dxa"/>
            <w:shd w:val="clear" w:color="auto" w:fill="FFFFFF"/>
            <w:vAlign w:val="bottom"/>
          </w:tcPr>
          <w:p w14:paraId="54325F21">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3.85 </w:t>
            </w:r>
          </w:p>
        </w:tc>
        <w:tc>
          <w:tcPr>
            <w:tcW w:w="624" w:type="dxa"/>
            <w:shd w:val="clear" w:color="auto" w:fill="FFFFFF"/>
            <w:vAlign w:val="bottom"/>
          </w:tcPr>
          <w:p w14:paraId="2F84ED4C">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4.18 </w:t>
            </w:r>
          </w:p>
        </w:tc>
        <w:tc>
          <w:tcPr>
            <w:tcW w:w="624" w:type="dxa"/>
            <w:shd w:val="clear" w:color="auto" w:fill="FFFFFF"/>
            <w:vAlign w:val="bottom"/>
          </w:tcPr>
          <w:p w14:paraId="677E376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4.11 </w:t>
            </w:r>
          </w:p>
        </w:tc>
        <w:tc>
          <w:tcPr>
            <w:tcW w:w="624" w:type="dxa"/>
            <w:shd w:val="clear" w:color="auto" w:fill="FFFFFF"/>
            <w:vAlign w:val="bottom"/>
          </w:tcPr>
          <w:p w14:paraId="735CC936">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4.21 </w:t>
            </w:r>
          </w:p>
        </w:tc>
        <w:tc>
          <w:tcPr>
            <w:tcW w:w="624" w:type="dxa"/>
            <w:shd w:val="clear" w:color="auto" w:fill="FFFFFF"/>
            <w:vAlign w:val="bottom"/>
          </w:tcPr>
          <w:p w14:paraId="50E430FA">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3.87 </w:t>
            </w:r>
          </w:p>
        </w:tc>
        <w:tc>
          <w:tcPr>
            <w:tcW w:w="624" w:type="dxa"/>
            <w:shd w:val="clear" w:color="auto" w:fill="FFFFFF"/>
            <w:vAlign w:val="bottom"/>
          </w:tcPr>
          <w:p w14:paraId="32A12DCB">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3.52 </w:t>
            </w:r>
          </w:p>
        </w:tc>
        <w:tc>
          <w:tcPr>
            <w:tcW w:w="624" w:type="dxa"/>
            <w:shd w:val="clear" w:color="auto" w:fill="FFFFFF"/>
            <w:vAlign w:val="bottom"/>
          </w:tcPr>
          <w:p w14:paraId="20E5ACD7">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3.14 </w:t>
            </w:r>
          </w:p>
        </w:tc>
        <w:tc>
          <w:tcPr>
            <w:tcW w:w="623" w:type="dxa"/>
            <w:shd w:val="clear" w:color="auto" w:fill="FFFFFF"/>
            <w:vAlign w:val="bottom"/>
          </w:tcPr>
          <w:p w14:paraId="3FE9F6CA">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2.99 </w:t>
            </w:r>
          </w:p>
        </w:tc>
      </w:tr>
      <w:tr w14:paraId="67EA8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1918C41E">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夏季</w:t>
            </w:r>
          </w:p>
        </w:tc>
        <w:tc>
          <w:tcPr>
            <w:tcW w:w="623" w:type="dxa"/>
            <w:shd w:val="clear" w:color="auto" w:fill="FFFFFF"/>
            <w:vAlign w:val="bottom"/>
          </w:tcPr>
          <w:p w14:paraId="3B0A635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3.82 </w:t>
            </w:r>
          </w:p>
        </w:tc>
        <w:tc>
          <w:tcPr>
            <w:tcW w:w="624" w:type="dxa"/>
            <w:shd w:val="clear" w:color="auto" w:fill="FFFFFF"/>
            <w:vAlign w:val="bottom"/>
          </w:tcPr>
          <w:p w14:paraId="7D642FE7">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4.82 </w:t>
            </w:r>
          </w:p>
        </w:tc>
        <w:tc>
          <w:tcPr>
            <w:tcW w:w="624" w:type="dxa"/>
            <w:shd w:val="clear" w:color="auto" w:fill="FFFFFF"/>
            <w:vAlign w:val="bottom"/>
          </w:tcPr>
          <w:p w14:paraId="53A363E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5.37 </w:t>
            </w:r>
          </w:p>
        </w:tc>
        <w:tc>
          <w:tcPr>
            <w:tcW w:w="624" w:type="dxa"/>
            <w:shd w:val="clear" w:color="auto" w:fill="FFFFFF"/>
            <w:vAlign w:val="bottom"/>
          </w:tcPr>
          <w:p w14:paraId="185BCF49">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5.86 </w:t>
            </w:r>
          </w:p>
        </w:tc>
        <w:tc>
          <w:tcPr>
            <w:tcW w:w="624" w:type="dxa"/>
            <w:shd w:val="clear" w:color="auto" w:fill="FFFFFF"/>
            <w:vAlign w:val="bottom"/>
          </w:tcPr>
          <w:p w14:paraId="5A867B6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5.89 </w:t>
            </w:r>
          </w:p>
        </w:tc>
        <w:tc>
          <w:tcPr>
            <w:tcW w:w="624" w:type="dxa"/>
            <w:shd w:val="clear" w:color="auto" w:fill="FFFFFF"/>
            <w:vAlign w:val="bottom"/>
          </w:tcPr>
          <w:p w14:paraId="35DBCFA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5.96 </w:t>
            </w:r>
          </w:p>
        </w:tc>
        <w:tc>
          <w:tcPr>
            <w:tcW w:w="624" w:type="dxa"/>
            <w:shd w:val="clear" w:color="auto" w:fill="FFFFFF"/>
            <w:vAlign w:val="bottom"/>
          </w:tcPr>
          <w:p w14:paraId="5C4ECB70">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6.34 </w:t>
            </w:r>
          </w:p>
        </w:tc>
        <w:tc>
          <w:tcPr>
            <w:tcW w:w="624" w:type="dxa"/>
            <w:shd w:val="clear" w:color="auto" w:fill="FFFFFF"/>
            <w:vAlign w:val="bottom"/>
          </w:tcPr>
          <w:p w14:paraId="7793E4E1">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6.31 </w:t>
            </w:r>
          </w:p>
        </w:tc>
        <w:tc>
          <w:tcPr>
            <w:tcW w:w="624" w:type="dxa"/>
            <w:shd w:val="clear" w:color="auto" w:fill="FFFFFF"/>
            <w:vAlign w:val="bottom"/>
          </w:tcPr>
          <w:p w14:paraId="5D700D6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5.48 </w:t>
            </w:r>
          </w:p>
        </w:tc>
        <w:tc>
          <w:tcPr>
            <w:tcW w:w="624" w:type="dxa"/>
            <w:shd w:val="clear" w:color="auto" w:fill="FFFFFF"/>
            <w:vAlign w:val="bottom"/>
          </w:tcPr>
          <w:p w14:paraId="3949BE21">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4.15 </w:t>
            </w:r>
          </w:p>
        </w:tc>
        <w:tc>
          <w:tcPr>
            <w:tcW w:w="624" w:type="dxa"/>
            <w:shd w:val="clear" w:color="auto" w:fill="FFFFFF"/>
            <w:vAlign w:val="bottom"/>
          </w:tcPr>
          <w:p w14:paraId="453E19DD">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3.48 </w:t>
            </w:r>
          </w:p>
        </w:tc>
        <w:tc>
          <w:tcPr>
            <w:tcW w:w="623" w:type="dxa"/>
            <w:shd w:val="clear" w:color="auto" w:fill="FFFFFF"/>
            <w:vAlign w:val="bottom"/>
          </w:tcPr>
          <w:p w14:paraId="0B25E739">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2.95 </w:t>
            </w:r>
          </w:p>
        </w:tc>
      </w:tr>
      <w:tr w14:paraId="61F97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05B07B60">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秋季</w:t>
            </w:r>
          </w:p>
        </w:tc>
        <w:tc>
          <w:tcPr>
            <w:tcW w:w="623" w:type="dxa"/>
            <w:shd w:val="clear" w:color="auto" w:fill="FFFFFF"/>
            <w:vAlign w:val="bottom"/>
          </w:tcPr>
          <w:p w14:paraId="0554FC65">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2.56 </w:t>
            </w:r>
          </w:p>
        </w:tc>
        <w:tc>
          <w:tcPr>
            <w:tcW w:w="624" w:type="dxa"/>
            <w:shd w:val="clear" w:color="auto" w:fill="FFFFFF"/>
            <w:vAlign w:val="bottom"/>
          </w:tcPr>
          <w:p w14:paraId="496B72E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2.78 </w:t>
            </w:r>
          </w:p>
        </w:tc>
        <w:tc>
          <w:tcPr>
            <w:tcW w:w="624" w:type="dxa"/>
            <w:shd w:val="clear" w:color="auto" w:fill="FFFFFF"/>
            <w:vAlign w:val="bottom"/>
          </w:tcPr>
          <w:p w14:paraId="5569530A">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3.14 </w:t>
            </w:r>
          </w:p>
        </w:tc>
        <w:tc>
          <w:tcPr>
            <w:tcW w:w="624" w:type="dxa"/>
            <w:shd w:val="clear" w:color="auto" w:fill="FFFFFF"/>
            <w:vAlign w:val="bottom"/>
          </w:tcPr>
          <w:p w14:paraId="22BFE589">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3.44 </w:t>
            </w:r>
          </w:p>
        </w:tc>
        <w:tc>
          <w:tcPr>
            <w:tcW w:w="624" w:type="dxa"/>
            <w:shd w:val="clear" w:color="auto" w:fill="FFFFFF"/>
            <w:vAlign w:val="bottom"/>
          </w:tcPr>
          <w:p w14:paraId="2B89324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3.58 </w:t>
            </w:r>
          </w:p>
        </w:tc>
        <w:tc>
          <w:tcPr>
            <w:tcW w:w="624" w:type="dxa"/>
            <w:shd w:val="clear" w:color="auto" w:fill="FFFFFF"/>
            <w:vAlign w:val="bottom"/>
          </w:tcPr>
          <w:p w14:paraId="52C25E1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3.52 </w:t>
            </w:r>
          </w:p>
        </w:tc>
        <w:tc>
          <w:tcPr>
            <w:tcW w:w="624" w:type="dxa"/>
            <w:shd w:val="clear" w:color="auto" w:fill="FFFFFF"/>
            <w:vAlign w:val="bottom"/>
          </w:tcPr>
          <w:p w14:paraId="7A471091">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3.05 </w:t>
            </w:r>
          </w:p>
        </w:tc>
        <w:tc>
          <w:tcPr>
            <w:tcW w:w="624" w:type="dxa"/>
            <w:shd w:val="clear" w:color="auto" w:fill="FFFFFF"/>
            <w:vAlign w:val="bottom"/>
          </w:tcPr>
          <w:p w14:paraId="30FDABC3">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2.86 </w:t>
            </w:r>
          </w:p>
        </w:tc>
        <w:tc>
          <w:tcPr>
            <w:tcW w:w="624" w:type="dxa"/>
            <w:shd w:val="clear" w:color="auto" w:fill="FFFFFF"/>
            <w:vAlign w:val="bottom"/>
          </w:tcPr>
          <w:p w14:paraId="6943DCCC">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2.50 </w:t>
            </w:r>
          </w:p>
        </w:tc>
        <w:tc>
          <w:tcPr>
            <w:tcW w:w="624" w:type="dxa"/>
            <w:shd w:val="clear" w:color="auto" w:fill="FFFFFF"/>
            <w:vAlign w:val="bottom"/>
          </w:tcPr>
          <w:p w14:paraId="7C0F846E">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2.29 </w:t>
            </w:r>
          </w:p>
        </w:tc>
        <w:tc>
          <w:tcPr>
            <w:tcW w:w="624" w:type="dxa"/>
            <w:shd w:val="clear" w:color="auto" w:fill="FFFFFF"/>
            <w:vAlign w:val="bottom"/>
          </w:tcPr>
          <w:p w14:paraId="5EB01D8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1.65 </w:t>
            </w:r>
          </w:p>
        </w:tc>
        <w:tc>
          <w:tcPr>
            <w:tcW w:w="623" w:type="dxa"/>
            <w:shd w:val="clear" w:color="auto" w:fill="FFFFFF"/>
            <w:vAlign w:val="bottom"/>
          </w:tcPr>
          <w:p w14:paraId="56EF23D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1.61 </w:t>
            </w:r>
          </w:p>
        </w:tc>
      </w:tr>
      <w:tr w14:paraId="2AF10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60" w:type="dxa"/>
            <w:shd w:val="clear" w:color="auto" w:fill="FFFFFF"/>
            <w:vAlign w:val="center"/>
          </w:tcPr>
          <w:p w14:paraId="0524735B">
            <w:pPr>
              <w:widowControl/>
              <w:spacing w:line="360" w:lineRule="exact"/>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冬季</w:t>
            </w:r>
          </w:p>
        </w:tc>
        <w:tc>
          <w:tcPr>
            <w:tcW w:w="623" w:type="dxa"/>
            <w:shd w:val="clear" w:color="auto" w:fill="FFFFFF"/>
            <w:vAlign w:val="bottom"/>
          </w:tcPr>
          <w:p w14:paraId="157204BC">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1.02 </w:t>
            </w:r>
          </w:p>
        </w:tc>
        <w:tc>
          <w:tcPr>
            <w:tcW w:w="624" w:type="dxa"/>
            <w:shd w:val="clear" w:color="auto" w:fill="FFFFFF"/>
            <w:vAlign w:val="bottom"/>
          </w:tcPr>
          <w:p w14:paraId="2F5E9327">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0.99 </w:t>
            </w:r>
          </w:p>
        </w:tc>
        <w:tc>
          <w:tcPr>
            <w:tcW w:w="624" w:type="dxa"/>
            <w:shd w:val="clear" w:color="auto" w:fill="FFFFFF"/>
            <w:vAlign w:val="bottom"/>
          </w:tcPr>
          <w:p w14:paraId="7B2EC94B">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1.04 </w:t>
            </w:r>
          </w:p>
        </w:tc>
        <w:tc>
          <w:tcPr>
            <w:tcW w:w="624" w:type="dxa"/>
            <w:shd w:val="clear" w:color="auto" w:fill="FFFFFF"/>
            <w:vAlign w:val="bottom"/>
          </w:tcPr>
          <w:p w14:paraId="5E2BBE50">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0.97 </w:t>
            </w:r>
          </w:p>
        </w:tc>
        <w:tc>
          <w:tcPr>
            <w:tcW w:w="624" w:type="dxa"/>
            <w:shd w:val="clear" w:color="auto" w:fill="FFFFFF"/>
            <w:vAlign w:val="bottom"/>
          </w:tcPr>
          <w:p w14:paraId="5669EE2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1.04 </w:t>
            </w:r>
          </w:p>
        </w:tc>
        <w:tc>
          <w:tcPr>
            <w:tcW w:w="624" w:type="dxa"/>
            <w:shd w:val="clear" w:color="auto" w:fill="FFFFFF"/>
            <w:vAlign w:val="bottom"/>
          </w:tcPr>
          <w:p w14:paraId="59E98F58">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1.07 </w:t>
            </w:r>
          </w:p>
        </w:tc>
        <w:tc>
          <w:tcPr>
            <w:tcW w:w="624" w:type="dxa"/>
            <w:shd w:val="clear" w:color="auto" w:fill="FFFFFF"/>
            <w:vAlign w:val="bottom"/>
          </w:tcPr>
          <w:p w14:paraId="24BD8BFF">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1.16 </w:t>
            </w:r>
          </w:p>
        </w:tc>
        <w:tc>
          <w:tcPr>
            <w:tcW w:w="624" w:type="dxa"/>
            <w:shd w:val="clear" w:color="auto" w:fill="FFFFFF"/>
            <w:vAlign w:val="bottom"/>
          </w:tcPr>
          <w:p w14:paraId="1DD50136">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1.29 </w:t>
            </w:r>
          </w:p>
        </w:tc>
        <w:tc>
          <w:tcPr>
            <w:tcW w:w="624" w:type="dxa"/>
            <w:shd w:val="clear" w:color="auto" w:fill="FFFFFF"/>
            <w:vAlign w:val="bottom"/>
          </w:tcPr>
          <w:p w14:paraId="4CD7DE8C">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1.17 </w:t>
            </w:r>
          </w:p>
        </w:tc>
        <w:tc>
          <w:tcPr>
            <w:tcW w:w="624" w:type="dxa"/>
            <w:shd w:val="clear" w:color="auto" w:fill="FFFFFF"/>
            <w:vAlign w:val="bottom"/>
          </w:tcPr>
          <w:p w14:paraId="1A7AA4D5">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1.28 </w:t>
            </w:r>
          </w:p>
        </w:tc>
        <w:tc>
          <w:tcPr>
            <w:tcW w:w="624" w:type="dxa"/>
            <w:shd w:val="clear" w:color="auto" w:fill="FFFFFF"/>
            <w:vAlign w:val="bottom"/>
          </w:tcPr>
          <w:p w14:paraId="2EE0BBF3">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1.28 </w:t>
            </w:r>
          </w:p>
        </w:tc>
        <w:tc>
          <w:tcPr>
            <w:tcW w:w="623" w:type="dxa"/>
            <w:shd w:val="clear" w:color="auto" w:fill="FFFFFF"/>
            <w:vAlign w:val="bottom"/>
          </w:tcPr>
          <w:p w14:paraId="0D001FAB">
            <w:pPr>
              <w:widowControl/>
              <w:spacing w:line="360" w:lineRule="exact"/>
              <w:ind w:firstLine="0" w:firstLineChars="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 xml:space="preserve">1.25 </w:t>
            </w:r>
          </w:p>
        </w:tc>
      </w:tr>
    </w:tbl>
    <w:p w14:paraId="2638E1EA">
      <w:pPr>
        <w:ind w:firstLine="0" w:firstLineChars="0"/>
        <w:jc w:val="center"/>
        <w:rPr>
          <w:rFonts w:hint="default" w:ascii="Times New Roman" w:hAnsi="Times New Roman" w:cs="Times New Roman"/>
          <w:b/>
          <w:color w:val="auto"/>
          <w:kern w:val="0"/>
          <w:highlight w:val="none"/>
        </w:rPr>
      </w:pPr>
      <w:r>
        <w:rPr>
          <w:color w:val="auto"/>
          <w:highlight w:val="none"/>
        </w:rPr>
        <w:drawing>
          <wp:anchor distT="0" distB="0" distL="114300" distR="114300" simplePos="0" relativeHeight="251704320" behindDoc="0" locked="0" layoutInCell="1" allowOverlap="1">
            <wp:simplePos x="0" y="0"/>
            <wp:positionH relativeFrom="column">
              <wp:posOffset>26035</wp:posOffset>
            </wp:positionH>
            <wp:positionV relativeFrom="paragraph">
              <wp:posOffset>120015</wp:posOffset>
            </wp:positionV>
            <wp:extent cx="5271135" cy="2199005"/>
            <wp:effectExtent l="4445" t="4445" r="20320" b="6350"/>
            <wp:wrapTopAndBottom/>
            <wp:docPr id="20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rFonts w:hint="default" w:ascii="Times New Roman" w:hAnsi="Times New Roman" w:cs="Times New Roman"/>
          <w:b/>
          <w:color w:val="auto"/>
          <w:kern w:val="0"/>
          <w:highlight w:val="none"/>
        </w:rPr>
        <w:t>图5.2-3    2020年季小时平均风速日变化图</w:t>
      </w:r>
    </w:p>
    <w:p w14:paraId="3C95A904">
      <w:pPr>
        <w:tabs>
          <w:tab w:val="left" w:pos="2442"/>
        </w:tabs>
        <w:spacing w:line="240" w:lineRule="auto"/>
        <w:ind w:firstLine="0" w:firstLineChars="0"/>
        <w:jc w:val="center"/>
        <w:rPr>
          <w:rFonts w:hint="default" w:ascii="Times New Roman" w:hAnsi="Times New Roman" w:cs="Times New Roman"/>
          <w:color w:val="auto"/>
          <w:highlight w:val="none"/>
        </w:rPr>
      </w:pPr>
      <w:r>
        <w:rPr>
          <w:color w:val="auto"/>
          <w:highlight w:val="none"/>
        </w:rPr>
        <w:drawing>
          <wp:inline distT="0" distB="0" distL="114300" distR="114300">
            <wp:extent cx="5229225" cy="7400925"/>
            <wp:effectExtent l="0" t="0" r="9525" b="9525"/>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pic:cNvPicPr>
                  </pic:nvPicPr>
                  <pic:blipFill>
                    <a:blip r:embed="rId55"/>
                    <a:stretch>
                      <a:fillRect/>
                    </a:stretch>
                  </pic:blipFill>
                  <pic:spPr>
                    <a:xfrm>
                      <a:off x="0" y="0"/>
                      <a:ext cx="5229225" cy="7400925"/>
                    </a:xfrm>
                    <a:prstGeom prst="rect">
                      <a:avLst/>
                    </a:prstGeom>
                    <a:noFill/>
                    <a:ln>
                      <a:noFill/>
                    </a:ln>
                  </pic:spPr>
                </pic:pic>
              </a:graphicData>
            </a:graphic>
          </wp:inline>
        </w:drawing>
      </w:r>
    </w:p>
    <w:p w14:paraId="49027BE2">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32"/>
          <w:highlight w:val="none"/>
        </w:rPr>
        <w:t>图5.2-4   风频玫瑰图</w:t>
      </w:r>
    </w:p>
    <w:p w14:paraId="0A67013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③风频</w:t>
      </w:r>
    </w:p>
    <w:p w14:paraId="763C857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w:t>
      </w:r>
      <w:r>
        <w:rPr>
          <w:rFonts w:hint="default" w:cs="Times New Roman"/>
          <w:color w:val="auto"/>
          <w:highlight w:val="none"/>
          <w:lang w:val="en-US" w:eastAsia="zh-CN"/>
        </w:rPr>
        <w:t>富蕴</w:t>
      </w:r>
      <w:r>
        <w:rPr>
          <w:rFonts w:hint="default" w:ascii="Times New Roman" w:hAnsi="Times New Roman" w:cs="Times New Roman"/>
          <w:color w:val="auto"/>
          <w:highlight w:val="none"/>
        </w:rPr>
        <w:t>气象观测站202</w:t>
      </w:r>
      <w:r>
        <w:rPr>
          <w:rFonts w:hint="default" w:cs="Times New Roman"/>
          <w:color w:val="auto"/>
          <w:highlight w:val="none"/>
          <w:lang w:val="en-US" w:eastAsia="zh-CN"/>
        </w:rPr>
        <w:t>3</w:t>
      </w:r>
      <w:r>
        <w:rPr>
          <w:rFonts w:hint="default" w:ascii="Times New Roman" w:hAnsi="Times New Roman" w:cs="Times New Roman"/>
          <w:color w:val="auto"/>
          <w:highlight w:val="none"/>
        </w:rPr>
        <w:t>年年均风频的月变化统计见表5.2-4。由统计结果表明，区域近年主导风向为</w:t>
      </w:r>
      <w:r>
        <w:rPr>
          <w:rFonts w:hint="default" w:cs="Times New Roman"/>
          <w:color w:val="auto"/>
          <w:highlight w:val="none"/>
          <w:lang w:val="en-US" w:eastAsia="zh-CN"/>
        </w:rPr>
        <w:t>西</w:t>
      </w:r>
      <w:r>
        <w:rPr>
          <w:rFonts w:hint="default" w:ascii="Times New Roman" w:hAnsi="Times New Roman" w:cs="Times New Roman"/>
          <w:color w:val="auto"/>
          <w:highlight w:val="none"/>
        </w:rPr>
        <w:t>风（</w:t>
      </w:r>
      <w:r>
        <w:rPr>
          <w:rFonts w:hint="default" w:cs="Times New Roman"/>
          <w:color w:val="auto"/>
          <w:highlight w:val="none"/>
          <w:lang w:val="en-US" w:eastAsia="zh-CN"/>
        </w:rPr>
        <w:t>W</w:t>
      </w:r>
      <w:r>
        <w:rPr>
          <w:rFonts w:hint="default" w:ascii="Times New Roman" w:hAnsi="Times New Roman" w:cs="Times New Roman"/>
          <w:color w:val="auto"/>
          <w:highlight w:val="none"/>
        </w:rPr>
        <w:t>），频率为</w:t>
      </w:r>
      <w:r>
        <w:rPr>
          <w:rFonts w:hint="default" w:cs="Times New Roman"/>
          <w:color w:val="auto"/>
          <w:highlight w:val="none"/>
          <w:lang w:val="en-US" w:eastAsia="zh-CN"/>
        </w:rPr>
        <w:t>26.19</w:t>
      </w:r>
      <w:r>
        <w:rPr>
          <w:rFonts w:hint="default" w:ascii="Times New Roman" w:hAnsi="Times New Roman" w:cs="Times New Roman"/>
          <w:color w:val="auto"/>
          <w:highlight w:val="none"/>
        </w:rPr>
        <w:t>%；次多风向东北</w:t>
      </w:r>
      <w:r>
        <w:rPr>
          <w:rFonts w:hint="default" w:cs="Times New Roman"/>
          <w:color w:val="auto"/>
          <w:highlight w:val="none"/>
          <w:lang w:val="en-US" w:eastAsia="zh-CN"/>
        </w:rPr>
        <w:t>东</w:t>
      </w:r>
      <w:r>
        <w:rPr>
          <w:rFonts w:hint="default" w:ascii="Times New Roman" w:hAnsi="Times New Roman" w:cs="Times New Roman"/>
          <w:color w:val="auto"/>
          <w:highlight w:val="none"/>
        </w:rPr>
        <w:t>风（</w:t>
      </w:r>
      <w:r>
        <w:rPr>
          <w:rFonts w:hint="default" w:cs="Times New Roman"/>
          <w:color w:val="auto"/>
          <w:highlight w:val="none"/>
          <w:lang w:val="en-US" w:eastAsia="zh-CN"/>
        </w:rPr>
        <w:t>E</w:t>
      </w:r>
      <w:r>
        <w:rPr>
          <w:rFonts w:hint="default" w:ascii="Times New Roman" w:hAnsi="Times New Roman" w:cs="Times New Roman"/>
          <w:color w:val="auto"/>
          <w:highlight w:val="none"/>
        </w:rPr>
        <w:t>），频率为</w:t>
      </w:r>
      <w:r>
        <w:rPr>
          <w:rFonts w:hint="default" w:cs="Times New Roman"/>
          <w:color w:val="auto"/>
          <w:highlight w:val="none"/>
          <w:lang w:val="en-US" w:eastAsia="zh-CN"/>
        </w:rPr>
        <w:t>17.89</w:t>
      </w:r>
      <w:r>
        <w:rPr>
          <w:rFonts w:hint="default" w:ascii="Times New Roman" w:hAnsi="Times New Roman" w:cs="Times New Roman"/>
          <w:color w:val="auto"/>
          <w:highlight w:val="none"/>
        </w:rPr>
        <w:t>%。全年的静风频率为</w:t>
      </w:r>
      <w:r>
        <w:rPr>
          <w:rFonts w:hint="default" w:cs="Times New Roman"/>
          <w:color w:val="auto"/>
          <w:highlight w:val="none"/>
          <w:lang w:val="en-US" w:eastAsia="zh-CN"/>
        </w:rPr>
        <w:t>0.32</w:t>
      </w:r>
      <w:r>
        <w:rPr>
          <w:rFonts w:hint="default" w:ascii="Times New Roman" w:hAnsi="Times New Roman" w:cs="Times New Roman"/>
          <w:color w:val="auto"/>
          <w:highlight w:val="none"/>
        </w:rPr>
        <w:t>%。</w:t>
      </w:r>
    </w:p>
    <w:p w14:paraId="6A3D3E6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w:t>
      </w:r>
      <w:r>
        <w:rPr>
          <w:rFonts w:hint="default" w:cs="Times New Roman"/>
          <w:color w:val="auto"/>
          <w:highlight w:val="none"/>
          <w:lang w:val="en-US" w:eastAsia="zh-CN"/>
        </w:rPr>
        <w:t>富蕴</w:t>
      </w:r>
      <w:r>
        <w:rPr>
          <w:rFonts w:hint="default" w:ascii="Times New Roman" w:hAnsi="Times New Roman" w:cs="Times New Roman"/>
          <w:color w:val="auto"/>
          <w:highlight w:val="none"/>
        </w:rPr>
        <w:t>气象观测站202</w:t>
      </w:r>
      <w:r>
        <w:rPr>
          <w:rFonts w:hint="default" w:cs="Times New Roman"/>
          <w:color w:val="auto"/>
          <w:highlight w:val="none"/>
          <w:lang w:val="en-US" w:eastAsia="zh-CN"/>
        </w:rPr>
        <w:t>3</w:t>
      </w:r>
      <w:r>
        <w:rPr>
          <w:rFonts w:hint="default" w:ascii="Times New Roman" w:hAnsi="Times New Roman" w:cs="Times New Roman"/>
          <w:color w:val="auto"/>
          <w:highlight w:val="none"/>
        </w:rPr>
        <w:t>年年均风频的季变化及年均风频统计见表5.2-</w:t>
      </w:r>
      <w:r>
        <w:rPr>
          <w:rFonts w:hint="default" w:cs="Times New Roman"/>
          <w:color w:val="auto"/>
          <w:highlight w:val="none"/>
          <w:lang w:val="en-US" w:eastAsia="zh-CN"/>
        </w:rPr>
        <w:t>5</w:t>
      </w:r>
      <w:r>
        <w:rPr>
          <w:rFonts w:hint="default" w:ascii="Times New Roman" w:hAnsi="Times New Roman" w:cs="Times New Roman"/>
          <w:color w:val="auto"/>
          <w:highlight w:val="none"/>
        </w:rPr>
        <w:t>。风频玫瑰图见图5.2-5。</w:t>
      </w:r>
    </w:p>
    <w:p w14:paraId="5E5B4A98">
      <w:pPr>
        <w:tabs>
          <w:tab w:val="left" w:pos="0"/>
          <w:tab w:val="left" w:pos="7380"/>
        </w:tabs>
        <w:autoSpaceDE w:val="0"/>
        <w:autoSpaceDN w:val="0"/>
        <w:snapToGrid w:val="0"/>
        <w:ind w:firstLine="0" w:firstLineChars="0"/>
        <w:jc w:val="center"/>
        <w:rPr>
          <w:rFonts w:hint="default" w:ascii="Times New Roman" w:hAnsi="Times New Roman" w:cs="Times New Roman"/>
          <w:b/>
          <w:color w:val="auto"/>
          <w:kern w:val="32"/>
          <w:highlight w:val="none"/>
        </w:rPr>
      </w:pPr>
      <w:r>
        <w:rPr>
          <w:rFonts w:hint="default" w:ascii="Times New Roman" w:hAnsi="Times New Roman" w:cs="Times New Roman"/>
          <w:b/>
          <w:color w:val="auto"/>
          <w:kern w:val="32"/>
          <w:highlight w:val="none"/>
        </w:rPr>
        <w:t>表5.2-4   年均风频的月变化</w:t>
      </w:r>
    </w:p>
    <w:tbl>
      <w:tblPr>
        <w:tblStyle w:val="33"/>
        <w:tblW w:w="8604"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7"/>
        <w:gridCol w:w="453"/>
        <w:gridCol w:w="454"/>
        <w:gridCol w:w="454"/>
        <w:gridCol w:w="454"/>
        <w:gridCol w:w="454"/>
        <w:gridCol w:w="454"/>
        <w:gridCol w:w="454"/>
        <w:gridCol w:w="454"/>
        <w:gridCol w:w="454"/>
        <w:gridCol w:w="454"/>
        <w:gridCol w:w="454"/>
        <w:gridCol w:w="454"/>
        <w:gridCol w:w="454"/>
        <w:gridCol w:w="454"/>
        <w:gridCol w:w="454"/>
        <w:gridCol w:w="454"/>
        <w:gridCol w:w="454"/>
      </w:tblGrid>
      <w:tr w14:paraId="6726D1A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887" w:type="dxa"/>
            <w:tcBorders>
              <w:bottom w:val="single" w:color="000000" w:sz="4" w:space="0"/>
              <w:right w:val="single" w:color="000000" w:sz="4" w:space="0"/>
              <w:tl2br w:val="single" w:color="000000" w:sz="4" w:space="0"/>
            </w:tcBorders>
            <w:shd w:val="clear" w:color="auto" w:fill="auto"/>
            <w:vAlign w:val="center"/>
          </w:tcPr>
          <w:p w14:paraId="48B2D1A5">
            <w:pPr>
              <w:widowControl/>
              <w:spacing w:line="360" w:lineRule="exact"/>
              <w:ind w:left="-120" w:leftChars="-50" w:right="-120" w:rightChars="-5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风频(%)     风向</w:t>
            </w:r>
          </w:p>
        </w:tc>
        <w:tc>
          <w:tcPr>
            <w:tcW w:w="453" w:type="dxa"/>
            <w:tcBorders>
              <w:left w:val="single" w:color="000000" w:sz="4" w:space="0"/>
              <w:bottom w:val="single" w:color="000000" w:sz="4" w:space="0"/>
              <w:right w:val="single" w:color="000000" w:sz="4" w:space="0"/>
            </w:tcBorders>
            <w:shd w:val="clear" w:color="auto" w:fill="auto"/>
            <w:vAlign w:val="center"/>
          </w:tcPr>
          <w:p w14:paraId="7732F93B">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w:t>
            </w:r>
          </w:p>
        </w:tc>
        <w:tc>
          <w:tcPr>
            <w:tcW w:w="454" w:type="dxa"/>
            <w:tcBorders>
              <w:left w:val="single" w:color="000000" w:sz="4" w:space="0"/>
              <w:bottom w:val="single" w:color="000000" w:sz="4" w:space="0"/>
              <w:right w:val="single" w:color="000000" w:sz="4" w:space="0"/>
            </w:tcBorders>
            <w:shd w:val="clear" w:color="auto" w:fill="auto"/>
            <w:vAlign w:val="center"/>
          </w:tcPr>
          <w:p w14:paraId="03766EAE">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NNE</w:t>
            </w:r>
          </w:p>
        </w:tc>
        <w:tc>
          <w:tcPr>
            <w:tcW w:w="454" w:type="dxa"/>
            <w:tcBorders>
              <w:left w:val="single" w:color="000000" w:sz="4" w:space="0"/>
              <w:bottom w:val="single" w:color="000000" w:sz="4" w:space="0"/>
              <w:right w:val="single" w:color="000000" w:sz="4" w:space="0"/>
            </w:tcBorders>
            <w:shd w:val="clear" w:color="auto" w:fill="auto"/>
            <w:vAlign w:val="center"/>
          </w:tcPr>
          <w:p w14:paraId="56FED891">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NE</w:t>
            </w:r>
          </w:p>
        </w:tc>
        <w:tc>
          <w:tcPr>
            <w:tcW w:w="454" w:type="dxa"/>
            <w:tcBorders>
              <w:left w:val="single" w:color="000000" w:sz="4" w:space="0"/>
              <w:bottom w:val="single" w:color="000000" w:sz="4" w:space="0"/>
              <w:right w:val="single" w:color="000000" w:sz="4" w:space="0"/>
            </w:tcBorders>
            <w:shd w:val="clear" w:color="auto" w:fill="auto"/>
            <w:vAlign w:val="center"/>
          </w:tcPr>
          <w:p w14:paraId="1D740E9B">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ENE</w:t>
            </w:r>
          </w:p>
        </w:tc>
        <w:tc>
          <w:tcPr>
            <w:tcW w:w="454" w:type="dxa"/>
            <w:tcBorders>
              <w:left w:val="single" w:color="000000" w:sz="4" w:space="0"/>
              <w:bottom w:val="single" w:color="000000" w:sz="4" w:space="0"/>
              <w:right w:val="single" w:color="000000" w:sz="4" w:space="0"/>
            </w:tcBorders>
            <w:shd w:val="clear" w:color="auto" w:fill="auto"/>
            <w:vAlign w:val="center"/>
          </w:tcPr>
          <w:p w14:paraId="082C5E9D">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E</w:t>
            </w:r>
          </w:p>
        </w:tc>
        <w:tc>
          <w:tcPr>
            <w:tcW w:w="454" w:type="dxa"/>
            <w:tcBorders>
              <w:left w:val="single" w:color="000000" w:sz="4" w:space="0"/>
              <w:bottom w:val="single" w:color="000000" w:sz="4" w:space="0"/>
              <w:right w:val="single" w:color="000000" w:sz="4" w:space="0"/>
            </w:tcBorders>
            <w:shd w:val="clear" w:color="auto" w:fill="auto"/>
            <w:vAlign w:val="center"/>
          </w:tcPr>
          <w:p w14:paraId="02017A8F">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ESE</w:t>
            </w:r>
          </w:p>
        </w:tc>
        <w:tc>
          <w:tcPr>
            <w:tcW w:w="454" w:type="dxa"/>
            <w:tcBorders>
              <w:left w:val="single" w:color="000000" w:sz="4" w:space="0"/>
              <w:bottom w:val="single" w:color="000000" w:sz="4" w:space="0"/>
              <w:right w:val="single" w:color="000000" w:sz="4" w:space="0"/>
            </w:tcBorders>
            <w:shd w:val="clear" w:color="auto" w:fill="auto"/>
            <w:vAlign w:val="center"/>
          </w:tcPr>
          <w:p w14:paraId="42099822">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SE</w:t>
            </w:r>
          </w:p>
        </w:tc>
        <w:tc>
          <w:tcPr>
            <w:tcW w:w="454" w:type="dxa"/>
            <w:tcBorders>
              <w:left w:val="single" w:color="000000" w:sz="4" w:space="0"/>
              <w:bottom w:val="single" w:color="000000" w:sz="4" w:space="0"/>
              <w:right w:val="single" w:color="000000" w:sz="4" w:space="0"/>
            </w:tcBorders>
            <w:shd w:val="clear" w:color="auto" w:fill="auto"/>
            <w:vAlign w:val="center"/>
          </w:tcPr>
          <w:p w14:paraId="64CC0953">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SSE</w:t>
            </w:r>
          </w:p>
        </w:tc>
        <w:tc>
          <w:tcPr>
            <w:tcW w:w="454" w:type="dxa"/>
            <w:tcBorders>
              <w:left w:val="single" w:color="000000" w:sz="4" w:space="0"/>
              <w:bottom w:val="single" w:color="000000" w:sz="4" w:space="0"/>
              <w:right w:val="single" w:color="000000" w:sz="4" w:space="0"/>
            </w:tcBorders>
            <w:shd w:val="clear" w:color="auto" w:fill="auto"/>
            <w:vAlign w:val="center"/>
          </w:tcPr>
          <w:p w14:paraId="0F265891">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w:t>
            </w:r>
          </w:p>
        </w:tc>
        <w:tc>
          <w:tcPr>
            <w:tcW w:w="454" w:type="dxa"/>
            <w:tcBorders>
              <w:left w:val="single" w:color="000000" w:sz="4" w:space="0"/>
              <w:bottom w:val="single" w:color="000000" w:sz="4" w:space="0"/>
              <w:right w:val="single" w:color="000000" w:sz="4" w:space="0"/>
            </w:tcBorders>
            <w:shd w:val="clear" w:color="auto" w:fill="auto"/>
            <w:vAlign w:val="center"/>
          </w:tcPr>
          <w:p w14:paraId="0DD25A6C">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SSW</w:t>
            </w:r>
          </w:p>
        </w:tc>
        <w:tc>
          <w:tcPr>
            <w:tcW w:w="454" w:type="dxa"/>
            <w:tcBorders>
              <w:left w:val="single" w:color="000000" w:sz="4" w:space="0"/>
              <w:bottom w:val="single" w:color="000000" w:sz="4" w:space="0"/>
              <w:right w:val="single" w:color="000000" w:sz="4" w:space="0"/>
            </w:tcBorders>
            <w:shd w:val="clear" w:color="auto" w:fill="auto"/>
            <w:vAlign w:val="center"/>
          </w:tcPr>
          <w:p w14:paraId="3080F942">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SW</w:t>
            </w:r>
          </w:p>
        </w:tc>
        <w:tc>
          <w:tcPr>
            <w:tcW w:w="454" w:type="dxa"/>
            <w:tcBorders>
              <w:left w:val="single" w:color="000000" w:sz="4" w:space="0"/>
              <w:bottom w:val="single" w:color="000000" w:sz="4" w:space="0"/>
              <w:right w:val="single" w:color="000000" w:sz="4" w:space="0"/>
            </w:tcBorders>
            <w:shd w:val="clear" w:color="auto" w:fill="auto"/>
            <w:vAlign w:val="center"/>
          </w:tcPr>
          <w:p w14:paraId="182BBDED">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WSW</w:t>
            </w:r>
          </w:p>
        </w:tc>
        <w:tc>
          <w:tcPr>
            <w:tcW w:w="454" w:type="dxa"/>
            <w:tcBorders>
              <w:left w:val="single" w:color="000000" w:sz="4" w:space="0"/>
              <w:bottom w:val="single" w:color="000000" w:sz="4" w:space="0"/>
              <w:right w:val="single" w:color="000000" w:sz="4" w:space="0"/>
            </w:tcBorders>
            <w:shd w:val="clear" w:color="auto" w:fill="auto"/>
            <w:vAlign w:val="center"/>
          </w:tcPr>
          <w:p w14:paraId="00ABE0F1">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W</w:t>
            </w:r>
          </w:p>
        </w:tc>
        <w:tc>
          <w:tcPr>
            <w:tcW w:w="454" w:type="dxa"/>
            <w:tcBorders>
              <w:left w:val="single" w:color="000000" w:sz="4" w:space="0"/>
              <w:bottom w:val="single" w:color="000000" w:sz="4" w:space="0"/>
              <w:right w:val="single" w:color="000000" w:sz="4" w:space="0"/>
            </w:tcBorders>
            <w:shd w:val="clear" w:color="auto" w:fill="auto"/>
            <w:vAlign w:val="center"/>
          </w:tcPr>
          <w:p w14:paraId="270D0C7B">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pacing w:val="-10"/>
                <w:sz w:val="18"/>
                <w:szCs w:val="18"/>
                <w:highlight w:val="none"/>
              </w:rPr>
            </w:pPr>
            <w:r>
              <w:rPr>
                <w:rFonts w:hint="default" w:ascii="Times New Roman" w:hAnsi="Times New Roman" w:cs="Times New Roman"/>
                <w:b/>
                <w:bCs/>
                <w:color w:val="auto"/>
                <w:spacing w:val="-10"/>
                <w:kern w:val="0"/>
                <w:sz w:val="18"/>
                <w:szCs w:val="18"/>
                <w:highlight w:val="none"/>
                <w:lang w:bidi="ar"/>
              </w:rPr>
              <w:t>WNW</w:t>
            </w:r>
          </w:p>
        </w:tc>
        <w:tc>
          <w:tcPr>
            <w:tcW w:w="454" w:type="dxa"/>
            <w:tcBorders>
              <w:left w:val="single" w:color="000000" w:sz="4" w:space="0"/>
              <w:bottom w:val="single" w:color="000000" w:sz="4" w:space="0"/>
              <w:right w:val="single" w:color="000000" w:sz="4" w:space="0"/>
            </w:tcBorders>
            <w:shd w:val="clear" w:color="auto" w:fill="auto"/>
            <w:vAlign w:val="center"/>
          </w:tcPr>
          <w:p w14:paraId="5A6F052E">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NW</w:t>
            </w:r>
          </w:p>
        </w:tc>
        <w:tc>
          <w:tcPr>
            <w:tcW w:w="454" w:type="dxa"/>
            <w:tcBorders>
              <w:left w:val="single" w:color="000000" w:sz="4" w:space="0"/>
              <w:bottom w:val="single" w:color="000000" w:sz="4" w:space="0"/>
              <w:right w:val="single" w:color="000000" w:sz="4" w:space="0"/>
            </w:tcBorders>
            <w:shd w:val="clear" w:color="auto" w:fill="auto"/>
            <w:vAlign w:val="center"/>
          </w:tcPr>
          <w:p w14:paraId="5999FAF5">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NNW</w:t>
            </w:r>
          </w:p>
        </w:tc>
        <w:tc>
          <w:tcPr>
            <w:tcW w:w="454" w:type="dxa"/>
            <w:tcBorders>
              <w:left w:val="single" w:color="000000" w:sz="4" w:space="0"/>
              <w:bottom w:val="single" w:color="000000" w:sz="4" w:space="0"/>
            </w:tcBorders>
            <w:shd w:val="clear" w:color="auto" w:fill="auto"/>
            <w:vAlign w:val="center"/>
          </w:tcPr>
          <w:p w14:paraId="54C67C75">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C</w:t>
            </w:r>
          </w:p>
        </w:tc>
      </w:tr>
      <w:tr w14:paraId="1921203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098AA1C4">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一月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E28C9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6.05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B583D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2.28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AB9DD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EC6C5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6.59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1EF3A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34.41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38EF5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15.99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70B7F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5.11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C145A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3.09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2AECE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4.44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7E620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2.02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C0AEA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3.09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B8CDC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3.09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D3AC6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4.03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504C4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3.23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5AF03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1.75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CC8EC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2.02 </w:t>
            </w:r>
          </w:p>
        </w:tc>
        <w:tc>
          <w:tcPr>
            <w:tcW w:w="454" w:type="dxa"/>
            <w:tcBorders>
              <w:top w:val="single" w:color="000000" w:sz="4" w:space="0"/>
              <w:left w:val="single" w:color="000000" w:sz="4" w:space="0"/>
              <w:bottom w:val="single" w:color="000000" w:sz="4" w:space="0"/>
            </w:tcBorders>
            <w:shd w:val="clear" w:color="auto" w:fill="auto"/>
            <w:vAlign w:val="bottom"/>
          </w:tcPr>
          <w:p w14:paraId="22F9815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0.27 </w:t>
            </w:r>
          </w:p>
        </w:tc>
      </w:tr>
      <w:tr w14:paraId="2744C69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6DE1C6B9">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二月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059F2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4.61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061C6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785A8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3.42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E2336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6.70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2A18F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27.98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C84A0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11.16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008F3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F21B8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85C0F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3.13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21C06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3.42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71112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5.06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F3AEE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5.65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C6B15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9.38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E3072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4.76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640DF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DB16E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1.64 </w:t>
            </w:r>
          </w:p>
        </w:tc>
        <w:tc>
          <w:tcPr>
            <w:tcW w:w="454" w:type="dxa"/>
            <w:tcBorders>
              <w:top w:val="single" w:color="000000" w:sz="4" w:space="0"/>
              <w:left w:val="single" w:color="000000" w:sz="4" w:space="0"/>
              <w:bottom w:val="single" w:color="000000" w:sz="4" w:space="0"/>
            </w:tcBorders>
            <w:shd w:val="clear" w:color="auto" w:fill="auto"/>
            <w:vAlign w:val="bottom"/>
          </w:tcPr>
          <w:p w14:paraId="106CBF7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0.30 </w:t>
            </w:r>
          </w:p>
        </w:tc>
      </w:tr>
      <w:tr w14:paraId="66345EF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7BE3E915">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三月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7F91D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4F1F1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4.44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29F3C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6.99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41B47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5.65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CC464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15.05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DD0D9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7.39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AEC27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2.82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1A5EE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2.69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67684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48E6A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4.30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8A6EE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5.91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952CE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7.26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350A3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17.61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A84DC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6.59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56A85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3.23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0B67A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3.36 </w:t>
            </w:r>
          </w:p>
        </w:tc>
        <w:tc>
          <w:tcPr>
            <w:tcW w:w="454" w:type="dxa"/>
            <w:tcBorders>
              <w:top w:val="single" w:color="000000" w:sz="4" w:space="0"/>
              <w:left w:val="single" w:color="000000" w:sz="4" w:space="0"/>
              <w:bottom w:val="single" w:color="000000" w:sz="4" w:space="0"/>
            </w:tcBorders>
            <w:shd w:val="clear" w:color="auto" w:fill="auto"/>
            <w:vAlign w:val="bottom"/>
          </w:tcPr>
          <w:p w14:paraId="66D3305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0.00 </w:t>
            </w:r>
          </w:p>
        </w:tc>
      </w:tr>
      <w:tr w14:paraId="757B673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18EEA2B6">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四月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2600A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2.64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01374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9.86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3F73E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8.89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25562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4.44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F2D42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9.58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9DC91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5.42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1ABF4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4.03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AAE78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2.36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3CB03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3.19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91345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3.06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17060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5.14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EB2A3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6.25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E7DAB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21.11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6674D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6.39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761AE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4.03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C5211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3.47 </w:t>
            </w:r>
          </w:p>
        </w:tc>
        <w:tc>
          <w:tcPr>
            <w:tcW w:w="454" w:type="dxa"/>
            <w:tcBorders>
              <w:top w:val="single" w:color="000000" w:sz="4" w:space="0"/>
              <w:left w:val="single" w:color="000000" w:sz="4" w:space="0"/>
              <w:bottom w:val="single" w:color="000000" w:sz="4" w:space="0"/>
            </w:tcBorders>
            <w:shd w:val="clear" w:color="auto" w:fill="auto"/>
            <w:vAlign w:val="bottom"/>
          </w:tcPr>
          <w:p w14:paraId="238CBC1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0.14 </w:t>
            </w:r>
          </w:p>
        </w:tc>
      </w:tr>
      <w:tr w14:paraId="12D9C58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3A5981B6">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五月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15E74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2.69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33E20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4.57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3D251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4.84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E0B6B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8C928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9.01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681E2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5.65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95722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2.42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53763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4.17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882BB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DA6F4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4.30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8A474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3.90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7A819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6.99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50356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28.09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0305D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7.66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B74F1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4.44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B7837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2.69 </w:t>
            </w:r>
          </w:p>
        </w:tc>
        <w:tc>
          <w:tcPr>
            <w:tcW w:w="454" w:type="dxa"/>
            <w:tcBorders>
              <w:top w:val="single" w:color="000000" w:sz="4" w:space="0"/>
              <w:left w:val="single" w:color="000000" w:sz="4" w:space="0"/>
              <w:bottom w:val="single" w:color="000000" w:sz="4" w:space="0"/>
            </w:tcBorders>
            <w:shd w:val="clear" w:color="auto" w:fill="auto"/>
            <w:vAlign w:val="bottom"/>
          </w:tcPr>
          <w:p w14:paraId="1C14DF3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0.00 </w:t>
            </w:r>
          </w:p>
        </w:tc>
      </w:tr>
      <w:tr w14:paraId="226E6B3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06DBD44D">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六月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FEAF5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3.19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7653C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1.67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7BADF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053D8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1CF6C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7.08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525B7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4.31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380B1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4.17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4B915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2.78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3A6FB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3.47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EB3F4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4.86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28EBD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5.00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1502A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8.19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B2BAF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31.53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EA8A1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9.86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2178B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5.83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954DE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3.06 </w:t>
            </w:r>
          </w:p>
        </w:tc>
        <w:tc>
          <w:tcPr>
            <w:tcW w:w="454" w:type="dxa"/>
            <w:tcBorders>
              <w:top w:val="single" w:color="000000" w:sz="4" w:space="0"/>
              <w:left w:val="single" w:color="000000" w:sz="4" w:space="0"/>
              <w:bottom w:val="single" w:color="000000" w:sz="4" w:space="0"/>
            </w:tcBorders>
            <w:shd w:val="clear" w:color="auto" w:fill="auto"/>
            <w:vAlign w:val="bottom"/>
          </w:tcPr>
          <w:p w14:paraId="393C137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0.00 </w:t>
            </w:r>
          </w:p>
        </w:tc>
      </w:tr>
      <w:tr w14:paraId="0199071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48D7C0D7">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七月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E90FF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4.03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EE720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2.02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E22E9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2.15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765A8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1.61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1AB2A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6.18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399B1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3.49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9CBEB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1.88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96498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2.02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8DFB2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3.90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84EF6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2.15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529AA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D3285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6.99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426D5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37.63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3E772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11.69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5FBAA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5.51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38636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6.18 </w:t>
            </w:r>
          </w:p>
        </w:tc>
        <w:tc>
          <w:tcPr>
            <w:tcW w:w="454" w:type="dxa"/>
            <w:tcBorders>
              <w:top w:val="single" w:color="000000" w:sz="4" w:space="0"/>
              <w:left w:val="single" w:color="000000" w:sz="4" w:space="0"/>
              <w:bottom w:val="single" w:color="000000" w:sz="4" w:space="0"/>
            </w:tcBorders>
            <w:shd w:val="clear" w:color="auto" w:fill="auto"/>
            <w:vAlign w:val="bottom"/>
          </w:tcPr>
          <w:p w14:paraId="107342A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0.00 </w:t>
            </w:r>
          </w:p>
        </w:tc>
      </w:tr>
      <w:tr w14:paraId="1829A1B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5DEBA767">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八月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DDA0A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2.02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4074F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1.61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B1336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1.88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86BAB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2.69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10124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7.53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BCB68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4.57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11A48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2.82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4EC2D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2.02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BD953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20287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3.63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DE316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4.03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8E18F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6.59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53989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38.84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441F8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11.02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A7D34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4.84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0E3A0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3.23 </w:t>
            </w:r>
          </w:p>
        </w:tc>
        <w:tc>
          <w:tcPr>
            <w:tcW w:w="454" w:type="dxa"/>
            <w:tcBorders>
              <w:top w:val="single" w:color="000000" w:sz="4" w:space="0"/>
              <w:left w:val="single" w:color="000000" w:sz="4" w:space="0"/>
              <w:bottom w:val="single" w:color="000000" w:sz="4" w:space="0"/>
            </w:tcBorders>
            <w:shd w:val="clear" w:color="auto" w:fill="auto"/>
            <w:vAlign w:val="bottom"/>
          </w:tcPr>
          <w:p w14:paraId="0460FA7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0.13 </w:t>
            </w:r>
          </w:p>
        </w:tc>
      </w:tr>
      <w:tr w14:paraId="3EC143C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0B6B5124">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九月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E3E71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4.17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802D2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FA439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671F7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3.19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E29B4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13.06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206D4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8.47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7EF55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CAA98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1C6A7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6.81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61E75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4.44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93297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3.06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367A2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25D4A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23.06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F82F1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7.36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F326B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3.75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62776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2.92 </w:t>
            </w:r>
          </w:p>
        </w:tc>
        <w:tc>
          <w:tcPr>
            <w:tcW w:w="454" w:type="dxa"/>
            <w:tcBorders>
              <w:top w:val="single" w:color="000000" w:sz="4" w:space="0"/>
              <w:left w:val="single" w:color="000000" w:sz="4" w:space="0"/>
              <w:bottom w:val="single" w:color="000000" w:sz="4" w:space="0"/>
            </w:tcBorders>
            <w:shd w:val="clear" w:color="auto" w:fill="auto"/>
            <w:vAlign w:val="bottom"/>
          </w:tcPr>
          <w:p w14:paraId="79F4C4F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0.00 </w:t>
            </w:r>
          </w:p>
        </w:tc>
      </w:tr>
      <w:tr w14:paraId="6075A0D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1FB186BA">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十月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7DF1C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3.63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63F32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3.76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876BF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7.80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4A75E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4.03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A65C2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13.98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8BE87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6.18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871F9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F3A3E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B537C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6.85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2BA6E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3.23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CC00A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4.30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3F432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4.70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3E101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21.91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AFFCD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5.51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25343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3.23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A60FE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2.28 </w:t>
            </w:r>
          </w:p>
        </w:tc>
        <w:tc>
          <w:tcPr>
            <w:tcW w:w="454" w:type="dxa"/>
            <w:tcBorders>
              <w:top w:val="single" w:color="000000" w:sz="4" w:space="0"/>
              <w:left w:val="single" w:color="000000" w:sz="4" w:space="0"/>
              <w:bottom w:val="single" w:color="000000" w:sz="4" w:space="0"/>
            </w:tcBorders>
            <w:shd w:val="clear" w:color="auto" w:fill="auto"/>
            <w:vAlign w:val="bottom"/>
          </w:tcPr>
          <w:p w14:paraId="54751F3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0.00 </w:t>
            </w:r>
          </w:p>
        </w:tc>
      </w:tr>
      <w:tr w14:paraId="2DA7194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bottom w:val="single" w:color="000000" w:sz="4" w:space="0"/>
              <w:right w:val="single" w:color="000000" w:sz="4" w:space="0"/>
            </w:tcBorders>
            <w:shd w:val="clear" w:color="auto" w:fill="auto"/>
            <w:vAlign w:val="center"/>
          </w:tcPr>
          <w:p w14:paraId="79390699">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十一月</w:t>
            </w: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5409B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4.86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445B9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4.17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648CC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3.61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EC5A0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6.94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29856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22.78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AFDA4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11.67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E6BB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EE45E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59669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4.17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182F4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3.33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B4E31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4.17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D0763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C7AFB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12.78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FA65A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3.89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14DF3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2.08 </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E3A00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1.53 </w:t>
            </w:r>
          </w:p>
        </w:tc>
        <w:tc>
          <w:tcPr>
            <w:tcW w:w="454" w:type="dxa"/>
            <w:tcBorders>
              <w:top w:val="single" w:color="000000" w:sz="4" w:space="0"/>
              <w:left w:val="single" w:color="000000" w:sz="4" w:space="0"/>
              <w:bottom w:val="single" w:color="000000" w:sz="4" w:space="0"/>
            </w:tcBorders>
            <w:shd w:val="clear" w:color="auto" w:fill="auto"/>
            <w:vAlign w:val="bottom"/>
          </w:tcPr>
          <w:p w14:paraId="7F8A429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0.14 </w:t>
            </w:r>
          </w:p>
        </w:tc>
      </w:tr>
      <w:tr w14:paraId="548D58A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7" w:type="dxa"/>
            <w:tcBorders>
              <w:top w:val="single" w:color="000000" w:sz="4" w:space="0"/>
              <w:right w:val="single" w:color="000000" w:sz="4" w:space="0"/>
            </w:tcBorders>
            <w:shd w:val="clear" w:color="auto" w:fill="auto"/>
            <w:vAlign w:val="center"/>
          </w:tcPr>
          <w:p w14:paraId="5B501181">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十二月</w:t>
            </w:r>
          </w:p>
        </w:tc>
        <w:tc>
          <w:tcPr>
            <w:tcW w:w="453" w:type="dxa"/>
            <w:tcBorders>
              <w:top w:val="single" w:color="000000" w:sz="4" w:space="0"/>
              <w:left w:val="single" w:color="000000" w:sz="4" w:space="0"/>
              <w:right w:val="single" w:color="000000" w:sz="4" w:space="0"/>
            </w:tcBorders>
            <w:shd w:val="clear" w:color="auto" w:fill="auto"/>
            <w:vAlign w:val="bottom"/>
          </w:tcPr>
          <w:p w14:paraId="1119F88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5.65 </w:t>
            </w:r>
          </w:p>
        </w:tc>
        <w:tc>
          <w:tcPr>
            <w:tcW w:w="454" w:type="dxa"/>
            <w:tcBorders>
              <w:top w:val="single" w:color="000000" w:sz="4" w:space="0"/>
              <w:left w:val="single" w:color="000000" w:sz="4" w:space="0"/>
              <w:right w:val="single" w:color="000000" w:sz="4" w:space="0"/>
            </w:tcBorders>
            <w:shd w:val="clear" w:color="auto" w:fill="auto"/>
            <w:vAlign w:val="bottom"/>
          </w:tcPr>
          <w:p w14:paraId="5DDBEE6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1.88 </w:t>
            </w:r>
          </w:p>
        </w:tc>
        <w:tc>
          <w:tcPr>
            <w:tcW w:w="454" w:type="dxa"/>
            <w:tcBorders>
              <w:top w:val="single" w:color="000000" w:sz="4" w:space="0"/>
              <w:left w:val="single" w:color="000000" w:sz="4" w:space="0"/>
              <w:right w:val="single" w:color="000000" w:sz="4" w:space="0"/>
            </w:tcBorders>
            <w:shd w:val="clear" w:color="auto" w:fill="auto"/>
            <w:vAlign w:val="bottom"/>
          </w:tcPr>
          <w:p w14:paraId="0611F0D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3.76 </w:t>
            </w:r>
          </w:p>
        </w:tc>
        <w:tc>
          <w:tcPr>
            <w:tcW w:w="454" w:type="dxa"/>
            <w:tcBorders>
              <w:top w:val="single" w:color="000000" w:sz="4" w:space="0"/>
              <w:left w:val="single" w:color="000000" w:sz="4" w:space="0"/>
              <w:right w:val="single" w:color="000000" w:sz="4" w:space="0"/>
            </w:tcBorders>
            <w:shd w:val="clear" w:color="auto" w:fill="auto"/>
            <w:vAlign w:val="bottom"/>
          </w:tcPr>
          <w:p w14:paraId="3EB0F65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9.54 </w:t>
            </w:r>
          </w:p>
        </w:tc>
        <w:tc>
          <w:tcPr>
            <w:tcW w:w="454" w:type="dxa"/>
            <w:tcBorders>
              <w:top w:val="single" w:color="000000" w:sz="4" w:space="0"/>
              <w:left w:val="single" w:color="000000" w:sz="4" w:space="0"/>
              <w:right w:val="single" w:color="000000" w:sz="4" w:space="0"/>
            </w:tcBorders>
            <w:shd w:val="clear" w:color="auto" w:fill="auto"/>
            <w:vAlign w:val="bottom"/>
          </w:tcPr>
          <w:p w14:paraId="11882A5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35.35 </w:t>
            </w:r>
          </w:p>
        </w:tc>
        <w:tc>
          <w:tcPr>
            <w:tcW w:w="454" w:type="dxa"/>
            <w:tcBorders>
              <w:top w:val="single" w:color="000000" w:sz="4" w:space="0"/>
              <w:left w:val="single" w:color="000000" w:sz="4" w:space="0"/>
              <w:right w:val="single" w:color="000000" w:sz="4" w:space="0"/>
            </w:tcBorders>
            <w:shd w:val="clear" w:color="auto" w:fill="auto"/>
            <w:vAlign w:val="bottom"/>
          </w:tcPr>
          <w:p w14:paraId="20E99C1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15.32 </w:t>
            </w:r>
          </w:p>
        </w:tc>
        <w:tc>
          <w:tcPr>
            <w:tcW w:w="454" w:type="dxa"/>
            <w:tcBorders>
              <w:top w:val="single" w:color="000000" w:sz="4" w:space="0"/>
              <w:left w:val="single" w:color="000000" w:sz="4" w:space="0"/>
              <w:right w:val="single" w:color="000000" w:sz="4" w:space="0"/>
            </w:tcBorders>
            <w:shd w:val="clear" w:color="auto" w:fill="auto"/>
            <w:vAlign w:val="bottom"/>
          </w:tcPr>
          <w:p w14:paraId="24DEECC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5.51 </w:t>
            </w:r>
          </w:p>
        </w:tc>
        <w:tc>
          <w:tcPr>
            <w:tcW w:w="454" w:type="dxa"/>
            <w:tcBorders>
              <w:top w:val="single" w:color="000000" w:sz="4" w:space="0"/>
              <w:left w:val="single" w:color="000000" w:sz="4" w:space="0"/>
              <w:right w:val="single" w:color="000000" w:sz="4" w:space="0"/>
            </w:tcBorders>
            <w:shd w:val="clear" w:color="auto" w:fill="auto"/>
            <w:vAlign w:val="bottom"/>
          </w:tcPr>
          <w:p w14:paraId="5DE041B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2.82 </w:t>
            </w:r>
          </w:p>
        </w:tc>
        <w:tc>
          <w:tcPr>
            <w:tcW w:w="454" w:type="dxa"/>
            <w:tcBorders>
              <w:top w:val="single" w:color="000000" w:sz="4" w:space="0"/>
              <w:left w:val="single" w:color="000000" w:sz="4" w:space="0"/>
              <w:right w:val="single" w:color="000000" w:sz="4" w:space="0"/>
            </w:tcBorders>
            <w:shd w:val="clear" w:color="auto" w:fill="auto"/>
            <w:vAlign w:val="bottom"/>
          </w:tcPr>
          <w:p w14:paraId="0806848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3.49 </w:t>
            </w:r>
          </w:p>
        </w:tc>
        <w:tc>
          <w:tcPr>
            <w:tcW w:w="454" w:type="dxa"/>
            <w:tcBorders>
              <w:top w:val="single" w:color="000000" w:sz="4" w:space="0"/>
              <w:left w:val="single" w:color="000000" w:sz="4" w:space="0"/>
              <w:right w:val="single" w:color="000000" w:sz="4" w:space="0"/>
            </w:tcBorders>
            <w:shd w:val="clear" w:color="auto" w:fill="auto"/>
            <w:vAlign w:val="bottom"/>
          </w:tcPr>
          <w:p w14:paraId="3604940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1.21 </w:t>
            </w:r>
          </w:p>
        </w:tc>
        <w:tc>
          <w:tcPr>
            <w:tcW w:w="454" w:type="dxa"/>
            <w:tcBorders>
              <w:top w:val="single" w:color="000000" w:sz="4" w:space="0"/>
              <w:left w:val="single" w:color="000000" w:sz="4" w:space="0"/>
              <w:right w:val="single" w:color="000000" w:sz="4" w:space="0"/>
            </w:tcBorders>
            <w:shd w:val="clear" w:color="auto" w:fill="auto"/>
            <w:vAlign w:val="bottom"/>
          </w:tcPr>
          <w:p w14:paraId="1366DAA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1.21 </w:t>
            </w:r>
          </w:p>
        </w:tc>
        <w:tc>
          <w:tcPr>
            <w:tcW w:w="454" w:type="dxa"/>
            <w:tcBorders>
              <w:top w:val="single" w:color="000000" w:sz="4" w:space="0"/>
              <w:left w:val="single" w:color="000000" w:sz="4" w:space="0"/>
              <w:right w:val="single" w:color="000000" w:sz="4" w:space="0"/>
            </w:tcBorders>
            <w:shd w:val="clear" w:color="auto" w:fill="auto"/>
            <w:vAlign w:val="bottom"/>
          </w:tcPr>
          <w:p w14:paraId="1A01324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1.88 </w:t>
            </w:r>
          </w:p>
        </w:tc>
        <w:tc>
          <w:tcPr>
            <w:tcW w:w="454" w:type="dxa"/>
            <w:tcBorders>
              <w:top w:val="single" w:color="000000" w:sz="4" w:space="0"/>
              <w:left w:val="single" w:color="000000" w:sz="4" w:space="0"/>
              <w:right w:val="single" w:color="000000" w:sz="4" w:space="0"/>
            </w:tcBorders>
            <w:shd w:val="clear" w:color="auto" w:fill="auto"/>
            <w:vAlign w:val="bottom"/>
          </w:tcPr>
          <w:p w14:paraId="40D9C8B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5.24 </w:t>
            </w:r>
          </w:p>
        </w:tc>
        <w:tc>
          <w:tcPr>
            <w:tcW w:w="454" w:type="dxa"/>
            <w:tcBorders>
              <w:top w:val="single" w:color="000000" w:sz="4" w:space="0"/>
              <w:left w:val="single" w:color="000000" w:sz="4" w:space="0"/>
              <w:right w:val="single" w:color="000000" w:sz="4" w:space="0"/>
            </w:tcBorders>
            <w:shd w:val="clear" w:color="auto" w:fill="auto"/>
            <w:vAlign w:val="bottom"/>
          </w:tcPr>
          <w:p w14:paraId="341CE8B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2.55 </w:t>
            </w:r>
          </w:p>
        </w:tc>
        <w:tc>
          <w:tcPr>
            <w:tcW w:w="454" w:type="dxa"/>
            <w:tcBorders>
              <w:top w:val="single" w:color="000000" w:sz="4" w:space="0"/>
              <w:left w:val="single" w:color="000000" w:sz="4" w:space="0"/>
              <w:right w:val="single" w:color="000000" w:sz="4" w:space="0"/>
            </w:tcBorders>
            <w:shd w:val="clear" w:color="auto" w:fill="auto"/>
            <w:vAlign w:val="bottom"/>
          </w:tcPr>
          <w:p w14:paraId="2170300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2.55 </w:t>
            </w:r>
          </w:p>
        </w:tc>
        <w:tc>
          <w:tcPr>
            <w:tcW w:w="454" w:type="dxa"/>
            <w:tcBorders>
              <w:top w:val="single" w:color="000000" w:sz="4" w:space="0"/>
              <w:left w:val="single" w:color="000000" w:sz="4" w:space="0"/>
              <w:right w:val="single" w:color="000000" w:sz="4" w:space="0"/>
            </w:tcBorders>
            <w:shd w:val="clear" w:color="auto" w:fill="auto"/>
            <w:vAlign w:val="bottom"/>
          </w:tcPr>
          <w:p w14:paraId="714703C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1.61 </w:t>
            </w:r>
          </w:p>
        </w:tc>
        <w:tc>
          <w:tcPr>
            <w:tcW w:w="454" w:type="dxa"/>
            <w:tcBorders>
              <w:top w:val="single" w:color="000000" w:sz="4" w:space="0"/>
              <w:left w:val="single" w:color="000000" w:sz="4" w:space="0"/>
            </w:tcBorders>
            <w:shd w:val="clear" w:color="auto" w:fill="auto"/>
            <w:vAlign w:val="bottom"/>
          </w:tcPr>
          <w:p w14:paraId="0AB1B5F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val="en-US" w:eastAsia="zh-CN" w:bidi="ar"/>
              </w:rPr>
              <w:t xml:space="preserve">0.40 </w:t>
            </w:r>
          </w:p>
        </w:tc>
      </w:tr>
    </w:tbl>
    <w:p w14:paraId="1C4B551C">
      <w:pPr>
        <w:tabs>
          <w:tab w:val="left" w:pos="0"/>
          <w:tab w:val="left" w:pos="7380"/>
        </w:tabs>
        <w:autoSpaceDE w:val="0"/>
        <w:autoSpaceDN w:val="0"/>
        <w:snapToGrid w:val="0"/>
        <w:ind w:firstLine="0" w:firstLineChars="0"/>
        <w:jc w:val="center"/>
        <w:rPr>
          <w:rFonts w:hint="default" w:ascii="Times New Roman" w:hAnsi="Times New Roman" w:cs="Times New Roman"/>
          <w:b/>
          <w:color w:val="auto"/>
          <w:kern w:val="32"/>
          <w:highlight w:val="none"/>
        </w:rPr>
      </w:pPr>
      <w:r>
        <w:rPr>
          <w:rFonts w:hint="default" w:ascii="Times New Roman" w:hAnsi="Times New Roman" w:cs="Times New Roman"/>
          <w:b/>
          <w:color w:val="auto"/>
          <w:kern w:val="32"/>
          <w:highlight w:val="none"/>
        </w:rPr>
        <w:t>表5.2-5    年均风频的季变化及年均风频</w:t>
      </w:r>
    </w:p>
    <w:tbl>
      <w:tblPr>
        <w:tblStyle w:val="33"/>
        <w:tblW w:w="861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0"/>
        <w:gridCol w:w="474"/>
        <w:gridCol w:w="420"/>
        <w:gridCol w:w="424"/>
        <w:gridCol w:w="474"/>
        <w:gridCol w:w="474"/>
        <w:gridCol w:w="424"/>
        <w:gridCol w:w="424"/>
        <w:gridCol w:w="424"/>
        <w:gridCol w:w="424"/>
        <w:gridCol w:w="424"/>
        <w:gridCol w:w="474"/>
        <w:gridCol w:w="431"/>
        <w:gridCol w:w="424"/>
        <w:gridCol w:w="446"/>
        <w:gridCol w:w="474"/>
        <w:gridCol w:w="425"/>
        <w:gridCol w:w="512"/>
      </w:tblGrid>
      <w:tr w14:paraId="743307C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1040" w:type="dxa"/>
            <w:tcBorders>
              <w:bottom w:val="single" w:color="000000" w:sz="4" w:space="0"/>
              <w:right w:val="single" w:color="000000" w:sz="4" w:space="0"/>
              <w:tl2br w:val="single" w:color="000000" w:sz="4" w:space="0"/>
            </w:tcBorders>
            <w:shd w:val="clear" w:color="auto" w:fill="auto"/>
            <w:vAlign w:val="center"/>
          </w:tcPr>
          <w:p w14:paraId="602EE869">
            <w:pPr>
              <w:widowControl/>
              <w:spacing w:line="360" w:lineRule="exact"/>
              <w:ind w:left="-120" w:leftChars="-50" w:right="-120" w:rightChars="-5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风频(%)     风向</w:t>
            </w:r>
          </w:p>
        </w:tc>
        <w:tc>
          <w:tcPr>
            <w:tcW w:w="474" w:type="dxa"/>
            <w:tcBorders>
              <w:left w:val="single" w:color="000000" w:sz="4" w:space="0"/>
              <w:bottom w:val="single" w:color="000000" w:sz="4" w:space="0"/>
              <w:right w:val="single" w:color="000000" w:sz="4" w:space="0"/>
            </w:tcBorders>
            <w:shd w:val="clear" w:color="auto" w:fill="auto"/>
            <w:vAlign w:val="center"/>
          </w:tcPr>
          <w:p w14:paraId="2B55EF87">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w:t>
            </w:r>
          </w:p>
        </w:tc>
        <w:tc>
          <w:tcPr>
            <w:tcW w:w="420" w:type="dxa"/>
            <w:tcBorders>
              <w:left w:val="single" w:color="000000" w:sz="4" w:space="0"/>
              <w:bottom w:val="single" w:color="000000" w:sz="4" w:space="0"/>
              <w:right w:val="single" w:color="000000" w:sz="4" w:space="0"/>
            </w:tcBorders>
            <w:shd w:val="clear" w:color="auto" w:fill="auto"/>
            <w:vAlign w:val="center"/>
          </w:tcPr>
          <w:p w14:paraId="7CB62D4A">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NNE</w:t>
            </w:r>
          </w:p>
        </w:tc>
        <w:tc>
          <w:tcPr>
            <w:tcW w:w="424" w:type="dxa"/>
            <w:tcBorders>
              <w:left w:val="single" w:color="000000" w:sz="4" w:space="0"/>
              <w:bottom w:val="single" w:color="000000" w:sz="4" w:space="0"/>
              <w:right w:val="single" w:color="000000" w:sz="4" w:space="0"/>
            </w:tcBorders>
            <w:shd w:val="clear" w:color="auto" w:fill="auto"/>
            <w:vAlign w:val="center"/>
          </w:tcPr>
          <w:p w14:paraId="57CF6B22">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NE</w:t>
            </w:r>
          </w:p>
        </w:tc>
        <w:tc>
          <w:tcPr>
            <w:tcW w:w="474" w:type="dxa"/>
            <w:tcBorders>
              <w:left w:val="single" w:color="000000" w:sz="4" w:space="0"/>
              <w:bottom w:val="single" w:color="000000" w:sz="4" w:space="0"/>
              <w:right w:val="single" w:color="000000" w:sz="4" w:space="0"/>
            </w:tcBorders>
            <w:shd w:val="clear" w:color="auto" w:fill="auto"/>
            <w:vAlign w:val="center"/>
          </w:tcPr>
          <w:p w14:paraId="15E3DDB1">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ENE</w:t>
            </w:r>
          </w:p>
        </w:tc>
        <w:tc>
          <w:tcPr>
            <w:tcW w:w="474" w:type="dxa"/>
            <w:tcBorders>
              <w:left w:val="single" w:color="000000" w:sz="4" w:space="0"/>
              <w:bottom w:val="single" w:color="000000" w:sz="4" w:space="0"/>
              <w:right w:val="single" w:color="000000" w:sz="4" w:space="0"/>
            </w:tcBorders>
            <w:shd w:val="clear" w:color="auto" w:fill="auto"/>
            <w:vAlign w:val="center"/>
          </w:tcPr>
          <w:p w14:paraId="04EBD147">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E</w:t>
            </w:r>
          </w:p>
        </w:tc>
        <w:tc>
          <w:tcPr>
            <w:tcW w:w="424" w:type="dxa"/>
            <w:tcBorders>
              <w:left w:val="single" w:color="000000" w:sz="4" w:space="0"/>
              <w:bottom w:val="single" w:color="000000" w:sz="4" w:space="0"/>
              <w:right w:val="single" w:color="000000" w:sz="4" w:space="0"/>
            </w:tcBorders>
            <w:shd w:val="clear" w:color="auto" w:fill="auto"/>
            <w:vAlign w:val="center"/>
          </w:tcPr>
          <w:p w14:paraId="39199401">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ESE</w:t>
            </w:r>
          </w:p>
        </w:tc>
        <w:tc>
          <w:tcPr>
            <w:tcW w:w="424" w:type="dxa"/>
            <w:tcBorders>
              <w:left w:val="single" w:color="000000" w:sz="4" w:space="0"/>
              <w:bottom w:val="single" w:color="000000" w:sz="4" w:space="0"/>
              <w:right w:val="single" w:color="000000" w:sz="4" w:space="0"/>
            </w:tcBorders>
            <w:shd w:val="clear" w:color="auto" w:fill="auto"/>
            <w:vAlign w:val="center"/>
          </w:tcPr>
          <w:p w14:paraId="1F9F77FA">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SE</w:t>
            </w:r>
          </w:p>
        </w:tc>
        <w:tc>
          <w:tcPr>
            <w:tcW w:w="424" w:type="dxa"/>
            <w:tcBorders>
              <w:left w:val="single" w:color="000000" w:sz="4" w:space="0"/>
              <w:bottom w:val="single" w:color="000000" w:sz="4" w:space="0"/>
              <w:right w:val="single" w:color="000000" w:sz="4" w:space="0"/>
            </w:tcBorders>
            <w:shd w:val="clear" w:color="auto" w:fill="auto"/>
            <w:vAlign w:val="center"/>
          </w:tcPr>
          <w:p w14:paraId="352481E4">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SSE</w:t>
            </w:r>
          </w:p>
        </w:tc>
        <w:tc>
          <w:tcPr>
            <w:tcW w:w="424" w:type="dxa"/>
            <w:tcBorders>
              <w:left w:val="single" w:color="000000" w:sz="4" w:space="0"/>
              <w:bottom w:val="single" w:color="000000" w:sz="4" w:space="0"/>
              <w:right w:val="single" w:color="000000" w:sz="4" w:space="0"/>
            </w:tcBorders>
            <w:shd w:val="clear" w:color="auto" w:fill="auto"/>
            <w:vAlign w:val="center"/>
          </w:tcPr>
          <w:p w14:paraId="30888C7E">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w:t>
            </w:r>
          </w:p>
        </w:tc>
        <w:tc>
          <w:tcPr>
            <w:tcW w:w="424" w:type="dxa"/>
            <w:tcBorders>
              <w:left w:val="single" w:color="000000" w:sz="4" w:space="0"/>
              <w:bottom w:val="single" w:color="000000" w:sz="4" w:space="0"/>
              <w:right w:val="single" w:color="000000" w:sz="4" w:space="0"/>
            </w:tcBorders>
            <w:shd w:val="clear" w:color="auto" w:fill="auto"/>
            <w:vAlign w:val="center"/>
          </w:tcPr>
          <w:p w14:paraId="5BCBB18B">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SSW</w:t>
            </w:r>
          </w:p>
        </w:tc>
        <w:tc>
          <w:tcPr>
            <w:tcW w:w="474" w:type="dxa"/>
            <w:tcBorders>
              <w:left w:val="single" w:color="000000" w:sz="4" w:space="0"/>
              <w:bottom w:val="single" w:color="000000" w:sz="4" w:space="0"/>
              <w:right w:val="single" w:color="000000" w:sz="4" w:space="0"/>
            </w:tcBorders>
            <w:shd w:val="clear" w:color="auto" w:fill="auto"/>
            <w:vAlign w:val="center"/>
          </w:tcPr>
          <w:p w14:paraId="2AE5D9A8">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SW</w:t>
            </w:r>
          </w:p>
        </w:tc>
        <w:tc>
          <w:tcPr>
            <w:tcW w:w="431" w:type="dxa"/>
            <w:tcBorders>
              <w:left w:val="single" w:color="000000" w:sz="4" w:space="0"/>
              <w:bottom w:val="single" w:color="000000" w:sz="4" w:space="0"/>
              <w:right w:val="single" w:color="000000" w:sz="4" w:space="0"/>
            </w:tcBorders>
            <w:shd w:val="clear" w:color="auto" w:fill="auto"/>
            <w:vAlign w:val="center"/>
          </w:tcPr>
          <w:p w14:paraId="2E3109BE">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WSW</w:t>
            </w:r>
          </w:p>
        </w:tc>
        <w:tc>
          <w:tcPr>
            <w:tcW w:w="424" w:type="dxa"/>
            <w:tcBorders>
              <w:left w:val="single" w:color="000000" w:sz="4" w:space="0"/>
              <w:bottom w:val="single" w:color="000000" w:sz="4" w:space="0"/>
              <w:right w:val="single" w:color="000000" w:sz="4" w:space="0"/>
            </w:tcBorders>
            <w:shd w:val="clear" w:color="auto" w:fill="auto"/>
            <w:vAlign w:val="center"/>
          </w:tcPr>
          <w:p w14:paraId="7C5962DC">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W</w:t>
            </w:r>
          </w:p>
        </w:tc>
        <w:tc>
          <w:tcPr>
            <w:tcW w:w="446" w:type="dxa"/>
            <w:tcBorders>
              <w:left w:val="single" w:color="000000" w:sz="4" w:space="0"/>
              <w:bottom w:val="single" w:color="000000" w:sz="4" w:space="0"/>
              <w:right w:val="single" w:color="000000" w:sz="4" w:space="0"/>
            </w:tcBorders>
            <w:shd w:val="clear" w:color="auto" w:fill="auto"/>
            <w:vAlign w:val="center"/>
          </w:tcPr>
          <w:p w14:paraId="35F0AA5F">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WNW</w:t>
            </w:r>
          </w:p>
        </w:tc>
        <w:tc>
          <w:tcPr>
            <w:tcW w:w="474" w:type="dxa"/>
            <w:tcBorders>
              <w:left w:val="single" w:color="000000" w:sz="4" w:space="0"/>
              <w:bottom w:val="single" w:color="000000" w:sz="4" w:space="0"/>
              <w:right w:val="single" w:color="000000" w:sz="4" w:space="0"/>
            </w:tcBorders>
            <w:shd w:val="clear" w:color="auto" w:fill="auto"/>
            <w:vAlign w:val="center"/>
          </w:tcPr>
          <w:p w14:paraId="345951A4">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NW</w:t>
            </w:r>
          </w:p>
        </w:tc>
        <w:tc>
          <w:tcPr>
            <w:tcW w:w="425" w:type="dxa"/>
            <w:tcBorders>
              <w:left w:val="single" w:color="000000" w:sz="4" w:space="0"/>
              <w:bottom w:val="single" w:color="000000" w:sz="4" w:space="0"/>
              <w:right w:val="single" w:color="000000" w:sz="4" w:space="0"/>
            </w:tcBorders>
            <w:shd w:val="clear" w:color="auto" w:fill="auto"/>
            <w:vAlign w:val="center"/>
          </w:tcPr>
          <w:p w14:paraId="2D957484">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NNW</w:t>
            </w:r>
          </w:p>
        </w:tc>
        <w:tc>
          <w:tcPr>
            <w:tcW w:w="512" w:type="dxa"/>
            <w:tcBorders>
              <w:left w:val="single" w:color="000000" w:sz="4" w:space="0"/>
              <w:bottom w:val="single" w:color="000000" w:sz="4" w:space="0"/>
            </w:tcBorders>
            <w:shd w:val="clear" w:color="auto" w:fill="auto"/>
            <w:vAlign w:val="center"/>
          </w:tcPr>
          <w:p w14:paraId="48E01B53">
            <w:pPr>
              <w:widowControl/>
              <w:spacing w:line="360" w:lineRule="exact"/>
              <w:ind w:left="-120" w:leftChars="-50" w:right="-120" w:rightChars="-50" w:firstLine="0" w:firstLineChars="0"/>
              <w:jc w:val="center"/>
              <w:textAlignment w:val="bottom"/>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C</w:t>
            </w:r>
          </w:p>
        </w:tc>
      </w:tr>
      <w:tr w14:paraId="348B394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40" w:type="dxa"/>
            <w:tcBorders>
              <w:top w:val="single" w:color="000000" w:sz="4" w:space="0"/>
              <w:bottom w:val="single" w:color="000000" w:sz="4" w:space="0"/>
              <w:right w:val="single" w:color="000000" w:sz="4" w:space="0"/>
            </w:tcBorders>
            <w:shd w:val="clear" w:color="auto" w:fill="auto"/>
            <w:vAlign w:val="center"/>
          </w:tcPr>
          <w:p w14:paraId="3A95EC93">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春季</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7CC2C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2.90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2F1BE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6.25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FE0E9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6.88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A4154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4.48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F2DE1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11.23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A9B99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6.16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0E0AA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3.08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E5D01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3.08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4DC0D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3.94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B2F8B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3.89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513E0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4.98 </w:t>
            </w:r>
          </w:p>
        </w:tc>
        <w:tc>
          <w:tcPr>
            <w:tcW w:w="43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4305B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6.84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59944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22.28 </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BF475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6.88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24DCF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3.89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B2A91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3.17 </w:t>
            </w:r>
          </w:p>
        </w:tc>
        <w:tc>
          <w:tcPr>
            <w:tcW w:w="512" w:type="dxa"/>
            <w:tcBorders>
              <w:top w:val="single" w:color="000000" w:sz="4" w:space="0"/>
              <w:left w:val="single" w:color="000000" w:sz="4" w:space="0"/>
              <w:bottom w:val="single" w:color="000000" w:sz="4" w:space="0"/>
            </w:tcBorders>
            <w:shd w:val="clear" w:color="auto" w:fill="auto"/>
            <w:vAlign w:val="bottom"/>
          </w:tcPr>
          <w:p w14:paraId="0197138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0.05 </w:t>
            </w:r>
          </w:p>
        </w:tc>
      </w:tr>
      <w:tr w14:paraId="38DF963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40" w:type="dxa"/>
            <w:tcBorders>
              <w:top w:val="single" w:color="000000" w:sz="4" w:space="0"/>
              <w:bottom w:val="single" w:color="000000" w:sz="4" w:space="0"/>
              <w:right w:val="single" w:color="000000" w:sz="4" w:space="0"/>
            </w:tcBorders>
            <w:shd w:val="clear" w:color="auto" w:fill="auto"/>
            <w:vAlign w:val="center"/>
          </w:tcPr>
          <w:p w14:paraId="0F1454EC">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夏季</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6200D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3.08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293BF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1.77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FCD63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2.17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7A01B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2.26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029C2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6.93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99806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4.12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53FEF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2.94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61A06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2.26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9E1E7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3.31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F2089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3.53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8480F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3.85 </w:t>
            </w:r>
          </w:p>
        </w:tc>
        <w:tc>
          <w:tcPr>
            <w:tcW w:w="43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D572D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7.25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4DA1F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36.05 </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EED6A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10.87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80DE8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5.39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96D00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4.17 </w:t>
            </w:r>
          </w:p>
        </w:tc>
        <w:tc>
          <w:tcPr>
            <w:tcW w:w="512" w:type="dxa"/>
            <w:tcBorders>
              <w:top w:val="single" w:color="000000" w:sz="4" w:space="0"/>
              <w:left w:val="single" w:color="000000" w:sz="4" w:space="0"/>
              <w:bottom w:val="single" w:color="000000" w:sz="4" w:space="0"/>
            </w:tcBorders>
            <w:shd w:val="clear" w:color="auto" w:fill="auto"/>
            <w:vAlign w:val="bottom"/>
          </w:tcPr>
          <w:p w14:paraId="60E49EC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0.05 </w:t>
            </w:r>
          </w:p>
        </w:tc>
      </w:tr>
      <w:tr w14:paraId="4CA8344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40" w:type="dxa"/>
            <w:tcBorders>
              <w:top w:val="single" w:color="000000" w:sz="4" w:space="0"/>
              <w:bottom w:val="single" w:color="000000" w:sz="4" w:space="0"/>
              <w:right w:val="single" w:color="000000" w:sz="4" w:space="0"/>
            </w:tcBorders>
            <w:shd w:val="clear" w:color="auto" w:fill="auto"/>
            <w:vAlign w:val="center"/>
          </w:tcPr>
          <w:p w14:paraId="52BF977A">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秋季</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519DD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4.21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12D50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3.48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87E4D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4.95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9960B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4.72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3FB15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16.58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F5D0D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8.75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7956B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5.27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27C76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3.34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411A2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5.95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7A924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3.66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CCD5C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3.85 </w:t>
            </w:r>
          </w:p>
        </w:tc>
        <w:tc>
          <w:tcPr>
            <w:tcW w:w="43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1B9A6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5.08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A3A5C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19.28 </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402F8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5.59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C0C40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3.02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A311C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2.24 </w:t>
            </w:r>
          </w:p>
        </w:tc>
        <w:tc>
          <w:tcPr>
            <w:tcW w:w="512" w:type="dxa"/>
            <w:tcBorders>
              <w:top w:val="single" w:color="000000" w:sz="4" w:space="0"/>
              <w:left w:val="single" w:color="000000" w:sz="4" w:space="0"/>
              <w:bottom w:val="single" w:color="000000" w:sz="4" w:space="0"/>
            </w:tcBorders>
            <w:shd w:val="clear" w:color="auto" w:fill="auto"/>
            <w:vAlign w:val="bottom"/>
          </w:tcPr>
          <w:p w14:paraId="6D93A10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0.05 </w:t>
            </w:r>
          </w:p>
        </w:tc>
      </w:tr>
      <w:tr w14:paraId="598136A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40" w:type="dxa"/>
            <w:tcBorders>
              <w:top w:val="single" w:color="000000" w:sz="4" w:space="0"/>
              <w:bottom w:val="single" w:color="000000" w:sz="4" w:space="0"/>
              <w:right w:val="single" w:color="000000" w:sz="4" w:space="0"/>
            </w:tcBorders>
            <w:shd w:val="clear" w:color="auto" w:fill="auto"/>
            <w:vAlign w:val="center"/>
          </w:tcPr>
          <w:p w14:paraId="784DAB60">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冬季</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7A82C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5.46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C31B23">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2.22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EB1D4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3.24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1F7D5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7.64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F97042">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32.73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54545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14.26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B9C29B">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5.28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C72FF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2.82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1322F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3.70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AA2F5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2.18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ABC77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3.06 </w:t>
            </w:r>
          </w:p>
        </w:tc>
        <w:tc>
          <w:tcPr>
            <w:tcW w:w="43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14183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3.47 </w:t>
            </w:r>
          </w:p>
        </w:tc>
        <w:tc>
          <w:tcPr>
            <w:tcW w:w="4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3A8CF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6.11 </w:t>
            </w:r>
          </w:p>
        </w:tc>
        <w:tc>
          <w:tcPr>
            <w:tcW w:w="4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AAC65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3.47 </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58CF2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2.27 </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581E7D">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1.76 </w:t>
            </w:r>
          </w:p>
        </w:tc>
        <w:tc>
          <w:tcPr>
            <w:tcW w:w="512" w:type="dxa"/>
            <w:tcBorders>
              <w:top w:val="single" w:color="000000" w:sz="4" w:space="0"/>
              <w:left w:val="single" w:color="000000" w:sz="4" w:space="0"/>
              <w:bottom w:val="single" w:color="000000" w:sz="4" w:space="0"/>
            </w:tcBorders>
            <w:shd w:val="clear" w:color="auto" w:fill="auto"/>
            <w:vAlign w:val="bottom"/>
          </w:tcPr>
          <w:p w14:paraId="49D74B3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0.32 </w:t>
            </w:r>
          </w:p>
        </w:tc>
      </w:tr>
      <w:tr w14:paraId="6518DE3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40" w:type="dxa"/>
            <w:tcBorders>
              <w:top w:val="single" w:color="000000" w:sz="4" w:space="0"/>
              <w:right w:val="single" w:color="000000" w:sz="4" w:space="0"/>
            </w:tcBorders>
            <w:shd w:val="clear" w:color="auto" w:fill="auto"/>
            <w:vAlign w:val="center"/>
          </w:tcPr>
          <w:p w14:paraId="097970F3">
            <w:pPr>
              <w:widowControl/>
              <w:spacing w:line="360" w:lineRule="exact"/>
              <w:ind w:left="-120" w:leftChars="-50" w:right="-120" w:rightChars="-50" w:firstLine="0" w:firstLineChars="0"/>
              <w:jc w:val="center"/>
              <w:textAlignment w:val="bottom"/>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全年</w:t>
            </w:r>
          </w:p>
        </w:tc>
        <w:tc>
          <w:tcPr>
            <w:tcW w:w="474" w:type="dxa"/>
            <w:tcBorders>
              <w:top w:val="single" w:color="000000" w:sz="4" w:space="0"/>
              <w:left w:val="single" w:color="000000" w:sz="4" w:space="0"/>
              <w:right w:val="single" w:color="000000" w:sz="4" w:space="0"/>
            </w:tcBorders>
            <w:shd w:val="clear" w:color="auto" w:fill="auto"/>
            <w:vAlign w:val="bottom"/>
          </w:tcPr>
          <w:p w14:paraId="64C79B9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3.90 </w:t>
            </w:r>
          </w:p>
        </w:tc>
        <w:tc>
          <w:tcPr>
            <w:tcW w:w="420" w:type="dxa"/>
            <w:tcBorders>
              <w:top w:val="single" w:color="000000" w:sz="4" w:space="0"/>
              <w:left w:val="single" w:color="000000" w:sz="4" w:space="0"/>
              <w:right w:val="single" w:color="000000" w:sz="4" w:space="0"/>
            </w:tcBorders>
            <w:shd w:val="clear" w:color="auto" w:fill="auto"/>
            <w:vAlign w:val="bottom"/>
          </w:tcPr>
          <w:p w14:paraId="51EAEF3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3.44 </w:t>
            </w:r>
          </w:p>
        </w:tc>
        <w:tc>
          <w:tcPr>
            <w:tcW w:w="424" w:type="dxa"/>
            <w:tcBorders>
              <w:top w:val="single" w:color="000000" w:sz="4" w:space="0"/>
              <w:left w:val="single" w:color="000000" w:sz="4" w:space="0"/>
              <w:right w:val="single" w:color="000000" w:sz="4" w:space="0"/>
            </w:tcBorders>
            <w:shd w:val="clear" w:color="auto" w:fill="auto"/>
            <w:vAlign w:val="bottom"/>
          </w:tcPr>
          <w:p w14:paraId="3838B73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4.32 </w:t>
            </w:r>
          </w:p>
        </w:tc>
        <w:tc>
          <w:tcPr>
            <w:tcW w:w="474" w:type="dxa"/>
            <w:tcBorders>
              <w:top w:val="single" w:color="000000" w:sz="4" w:space="0"/>
              <w:left w:val="single" w:color="000000" w:sz="4" w:space="0"/>
              <w:right w:val="single" w:color="000000" w:sz="4" w:space="0"/>
            </w:tcBorders>
            <w:shd w:val="clear" w:color="auto" w:fill="auto"/>
            <w:vAlign w:val="bottom"/>
          </w:tcPr>
          <w:p w14:paraId="39949E64">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4.76 </w:t>
            </w:r>
          </w:p>
        </w:tc>
        <w:tc>
          <w:tcPr>
            <w:tcW w:w="474" w:type="dxa"/>
            <w:tcBorders>
              <w:top w:val="single" w:color="000000" w:sz="4" w:space="0"/>
              <w:left w:val="single" w:color="000000" w:sz="4" w:space="0"/>
              <w:right w:val="single" w:color="000000" w:sz="4" w:space="0"/>
            </w:tcBorders>
            <w:shd w:val="clear" w:color="auto" w:fill="auto"/>
            <w:vAlign w:val="bottom"/>
          </w:tcPr>
          <w:p w14:paraId="218A4038">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16.78 </w:t>
            </w:r>
          </w:p>
        </w:tc>
        <w:tc>
          <w:tcPr>
            <w:tcW w:w="424" w:type="dxa"/>
            <w:tcBorders>
              <w:top w:val="single" w:color="000000" w:sz="4" w:space="0"/>
              <w:left w:val="single" w:color="000000" w:sz="4" w:space="0"/>
              <w:right w:val="single" w:color="000000" w:sz="4" w:space="0"/>
            </w:tcBorders>
            <w:shd w:val="clear" w:color="auto" w:fill="auto"/>
            <w:vAlign w:val="bottom"/>
          </w:tcPr>
          <w:p w14:paraId="775639D6">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8.29 </w:t>
            </w:r>
          </w:p>
        </w:tc>
        <w:tc>
          <w:tcPr>
            <w:tcW w:w="424" w:type="dxa"/>
            <w:tcBorders>
              <w:top w:val="single" w:color="000000" w:sz="4" w:space="0"/>
              <w:left w:val="single" w:color="000000" w:sz="4" w:space="0"/>
              <w:right w:val="single" w:color="000000" w:sz="4" w:space="0"/>
            </w:tcBorders>
            <w:shd w:val="clear" w:color="auto" w:fill="auto"/>
            <w:vAlign w:val="bottom"/>
          </w:tcPr>
          <w:p w14:paraId="535D664C">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4.13 </w:t>
            </w:r>
          </w:p>
        </w:tc>
        <w:tc>
          <w:tcPr>
            <w:tcW w:w="424" w:type="dxa"/>
            <w:tcBorders>
              <w:top w:val="single" w:color="000000" w:sz="4" w:space="0"/>
              <w:left w:val="single" w:color="000000" w:sz="4" w:space="0"/>
              <w:right w:val="single" w:color="000000" w:sz="4" w:space="0"/>
            </w:tcBorders>
            <w:shd w:val="clear" w:color="auto" w:fill="auto"/>
            <w:vAlign w:val="bottom"/>
          </w:tcPr>
          <w:p w14:paraId="12A4A699">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2.88 </w:t>
            </w:r>
          </w:p>
        </w:tc>
        <w:tc>
          <w:tcPr>
            <w:tcW w:w="424" w:type="dxa"/>
            <w:tcBorders>
              <w:top w:val="single" w:color="000000" w:sz="4" w:space="0"/>
              <w:left w:val="single" w:color="000000" w:sz="4" w:space="0"/>
              <w:right w:val="single" w:color="000000" w:sz="4" w:space="0"/>
            </w:tcBorders>
            <w:shd w:val="clear" w:color="auto" w:fill="auto"/>
            <w:vAlign w:val="bottom"/>
          </w:tcPr>
          <w:p w14:paraId="7E14729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4.22 </w:t>
            </w:r>
          </w:p>
        </w:tc>
        <w:tc>
          <w:tcPr>
            <w:tcW w:w="424" w:type="dxa"/>
            <w:tcBorders>
              <w:top w:val="single" w:color="000000" w:sz="4" w:space="0"/>
              <w:left w:val="single" w:color="000000" w:sz="4" w:space="0"/>
              <w:right w:val="single" w:color="000000" w:sz="4" w:space="0"/>
            </w:tcBorders>
            <w:shd w:val="clear" w:color="auto" w:fill="auto"/>
            <w:vAlign w:val="bottom"/>
          </w:tcPr>
          <w:p w14:paraId="3D39865F">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3.32 </w:t>
            </w:r>
          </w:p>
        </w:tc>
        <w:tc>
          <w:tcPr>
            <w:tcW w:w="474" w:type="dxa"/>
            <w:tcBorders>
              <w:top w:val="single" w:color="000000" w:sz="4" w:space="0"/>
              <w:left w:val="single" w:color="000000" w:sz="4" w:space="0"/>
              <w:right w:val="single" w:color="000000" w:sz="4" w:space="0"/>
            </w:tcBorders>
            <w:shd w:val="clear" w:color="auto" w:fill="auto"/>
            <w:vAlign w:val="bottom"/>
          </w:tcPr>
          <w:p w14:paraId="368D7977">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3.94 </w:t>
            </w:r>
          </w:p>
        </w:tc>
        <w:tc>
          <w:tcPr>
            <w:tcW w:w="431" w:type="dxa"/>
            <w:tcBorders>
              <w:top w:val="single" w:color="000000" w:sz="4" w:space="0"/>
              <w:left w:val="single" w:color="000000" w:sz="4" w:space="0"/>
              <w:right w:val="single" w:color="000000" w:sz="4" w:space="0"/>
            </w:tcBorders>
            <w:shd w:val="clear" w:color="auto" w:fill="auto"/>
            <w:vAlign w:val="bottom"/>
          </w:tcPr>
          <w:p w14:paraId="5626ACD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5.67 </w:t>
            </w:r>
          </w:p>
        </w:tc>
        <w:tc>
          <w:tcPr>
            <w:tcW w:w="424" w:type="dxa"/>
            <w:tcBorders>
              <w:top w:val="single" w:color="000000" w:sz="4" w:space="0"/>
              <w:left w:val="single" w:color="000000" w:sz="4" w:space="0"/>
              <w:right w:val="single" w:color="000000" w:sz="4" w:space="0"/>
            </w:tcBorders>
            <w:shd w:val="clear" w:color="auto" w:fill="auto"/>
            <w:vAlign w:val="bottom"/>
          </w:tcPr>
          <w:p w14:paraId="1751331E">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21.02 </w:t>
            </w:r>
          </w:p>
        </w:tc>
        <w:tc>
          <w:tcPr>
            <w:tcW w:w="446" w:type="dxa"/>
            <w:tcBorders>
              <w:top w:val="single" w:color="000000" w:sz="4" w:space="0"/>
              <w:left w:val="single" w:color="000000" w:sz="4" w:space="0"/>
              <w:right w:val="single" w:color="000000" w:sz="4" w:space="0"/>
            </w:tcBorders>
            <w:shd w:val="clear" w:color="auto" w:fill="auto"/>
            <w:vAlign w:val="bottom"/>
          </w:tcPr>
          <w:p w14:paraId="6813970A">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6.72 </w:t>
            </w:r>
          </w:p>
        </w:tc>
        <w:tc>
          <w:tcPr>
            <w:tcW w:w="474" w:type="dxa"/>
            <w:tcBorders>
              <w:top w:val="single" w:color="000000" w:sz="4" w:space="0"/>
              <w:left w:val="single" w:color="000000" w:sz="4" w:space="0"/>
              <w:right w:val="single" w:color="000000" w:sz="4" w:space="0"/>
            </w:tcBorders>
            <w:shd w:val="clear" w:color="auto" w:fill="auto"/>
            <w:vAlign w:val="bottom"/>
          </w:tcPr>
          <w:p w14:paraId="2B5D7B05">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3.65 </w:t>
            </w:r>
          </w:p>
        </w:tc>
        <w:tc>
          <w:tcPr>
            <w:tcW w:w="425" w:type="dxa"/>
            <w:tcBorders>
              <w:top w:val="single" w:color="000000" w:sz="4" w:space="0"/>
              <w:left w:val="single" w:color="000000" w:sz="4" w:space="0"/>
              <w:right w:val="single" w:color="000000" w:sz="4" w:space="0"/>
            </w:tcBorders>
            <w:shd w:val="clear" w:color="auto" w:fill="auto"/>
            <w:vAlign w:val="bottom"/>
          </w:tcPr>
          <w:p w14:paraId="2FF1D2C1">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2.84 </w:t>
            </w:r>
          </w:p>
        </w:tc>
        <w:tc>
          <w:tcPr>
            <w:tcW w:w="512" w:type="dxa"/>
            <w:tcBorders>
              <w:top w:val="single" w:color="000000" w:sz="4" w:space="0"/>
              <w:left w:val="single" w:color="000000" w:sz="4" w:space="0"/>
            </w:tcBorders>
            <w:shd w:val="clear" w:color="auto" w:fill="auto"/>
            <w:vAlign w:val="bottom"/>
          </w:tcPr>
          <w:p w14:paraId="333EA830">
            <w:pPr>
              <w:widowControl/>
              <w:spacing w:line="360" w:lineRule="exact"/>
              <w:ind w:left="-120" w:leftChars="-50" w:right="-120" w:rightChars="-50" w:firstLine="0" w:firstLineChars="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0.11 </w:t>
            </w:r>
          </w:p>
        </w:tc>
      </w:tr>
    </w:tbl>
    <w:p w14:paraId="004B67CD">
      <w:pPr>
        <w:snapToGrid w:val="0"/>
        <w:ind w:firstLine="560"/>
        <w:rPr>
          <w:rFonts w:hint="default" w:ascii="Times New Roman" w:hAnsi="Times New Roman" w:cs="Times New Roman"/>
          <w:color w:val="auto"/>
          <w:sz w:val="28"/>
          <w:szCs w:val="28"/>
          <w:highlight w:val="none"/>
        </w:rPr>
      </w:pPr>
    </w:p>
    <w:p w14:paraId="318EE71E">
      <w:pPr>
        <w:pStyle w:val="32"/>
        <w:rPr>
          <w:rFonts w:hint="default" w:ascii="Times New Roman" w:hAnsi="Times New Roman" w:cs="Times New Roman"/>
          <w:color w:val="auto"/>
          <w:sz w:val="28"/>
          <w:szCs w:val="28"/>
          <w:highlight w:val="none"/>
        </w:rPr>
      </w:pPr>
    </w:p>
    <w:p w14:paraId="6D354D36">
      <w:pPr>
        <w:pStyle w:val="23"/>
        <w:rPr>
          <w:rFonts w:hint="default" w:ascii="Times New Roman" w:hAnsi="Times New Roman" w:cs="Times New Roman"/>
          <w:b/>
          <w:color w:val="auto"/>
          <w:kern w:val="32"/>
          <w:highlight w:val="none"/>
        </w:rPr>
      </w:pPr>
      <w:r>
        <w:rPr>
          <w:rFonts w:ascii="Times New Roman"/>
          <w:color w:val="auto"/>
          <w:highlight w:val="none"/>
        </w:rPr>
        <w:drawing>
          <wp:anchor distT="0" distB="0" distL="114300" distR="114300" simplePos="0" relativeHeight="251705344" behindDoc="0" locked="0" layoutInCell="1" allowOverlap="1">
            <wp:simplePos x="0" y="0"/>
            <wp:positionH relativeFrom="column">
              <wp:posOffset>20955</wp:posOffset>
            </wp:positionH>
            <wp:positionV relativeFrom="paragraph">
              <wp:posOffset>69215</wp:posOffset>
            </wp:positionV>
            <wp:extent cx="5269230" cy="7458710"/>
            <wp:effectExtent l="0" t="0" r="7620" b="8890"/>
            <wp:wrapTopAndBottom/>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56"/>
                    <a:stretch>
                      <a:fillRect/>
                    </a:stretch>
                  </pic:blipFill>
                  <pic:spPr>
                    <a:xfrm>
                      <a:off x="0" y="0"/>
                      <a:ext cx="5269230" cy="7458710"/>
                    </a:xfrm>
                    <a:prstGeom prst="rect">
                      <a:avLst/>
                    </a:prstGeom>
                    <a:noFill/>
                    <a:ln>
                      <a:noFill/>
                    </a:ln>
                  </pic:spPr>
                </pic:pic>
              </a:graphicData>
            </a:graphic>
          </wp:anchor>
        </w:drawing>
      </w:r>
      <w:r>
        <w:rPr>
          <w:rFonts w:hint="default" w:ascii="Times New Roman" w:hAnsi="Times New Roman" w:cs="Times New Roman"/>
          <w:b/>
          <w:color w:val="auto"/>
          <w:kern w:val="32"/>
          <w:highlight w:val="none"/>
        </w:rPr>
        <w:t>图5.2-5   风频玫瑰图</w:t>
      </w:r>
    </w:p>
    <w:p w14:paraId="5C1323C8">
      <w:pPr>
        <w:pStyle w:val="12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5.2.1.2大气污染源调查与分析</w:t>
      </w:r>
    </w:p>
    <w:p w14:paraId="6DC34482">
      <w:pPr>
        <w:ind w:firstLine="480"/>
        <w:rPr>
          <w:rFonts w:hint="default" w:ascii="Times New Roman" w:hAnsi="Times New Roman" w:cs="Times New Roman"/>
          <w:color w:val="auto"/>
          <w:kern w:val="0"/>
          <w:highlight w:val="none"/>
        </w:rPr>
        <w:sectPr>
          <w:footerReference r:id="rId27" w:type="default"/>
          <w:footerReference r:id="rId28" w:type="even"/>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kern w:val="0"/>
          <w:highlight w:val="none"/>
        </w:rPr>
        <w:t>本次大气环境评价工作等级为一级，大气污染源调查范围为本次新建及评价范围内在建及拟建的有组织及无组织排放源，包括正常排放和非正常排放。</w:t>
      </w:r>
    </w:p>
    <w:p w14:paraId="12F43583">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（1）本项目新建排放源正常工况排放参数</w:t>
      </w:r>
    </w:p>
    <w:p w14:paraId="39CA3EFE">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表5.2-6    本项目排放源正常工况排放参数表</w:t>
      </w:r>
    </w:p>
    <w:tbl>
      <w:tblPr>
        <w:tblStyle w:val="3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945"/>
        <w:gridCol w:w="618"/>
        <w:gridCol w:w="831"/>
        <w:gridCol w:w="1134"/>
        <w:gridCol w:w="1035"/>
        <w:gridCol w:w="1097"/>
        <w:gridCol w:w="1199"/>
        <w:gridCol w:w="1094"/>
        <w:gridCol w:w="1048"/>
        <w:gridCol w:w="1233"/>
        <w:gridCol w:w="2467"/>
      </w:tblGrid>
      <w:tr w14:paraId="2CD5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4" w:type="dxa"/>
            <w:gridSpan w:val="12"/>
            <w:tcBorders>
              <w:top w:val="single" w:color="auto" w:sz="12" w:space="0"/>
              <w:left w:val="single" w:color="auto" w:sz="12" w:space="0"/>
              <w:right w:val="single" w:color="auto" w:sz="12" w:space="0"/>
            </w:tcBorders>
          </w:tcPr>
          <w:p w14:paraId="33D9CD6A">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点源</w:t>
            </w:r>
          </w:p>
        </w:tc>
      </w:tr>
      <w:tr w14:paraId="1A3B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vMerge w:val="restart"/>
            <w:tcBorders>
              <w:left w:val="single" w:color="auto" w:sz="12" w:space="0"/>
            </w:tcBorders>
            <w:vAlign w:val="center"/>
          </w:tcPr>
          <w:p w14:paraId="46571C06">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编号</w:t>
            </w:r>
          </w:p>
        </w:tc>
        <w:tc>
          <w:tcPr>
            <w:tcW w:w="1945" w:type="dxa"/>
            <w:vMerge w:val="restart"/>
            <w:vAlign w:val="center"/>
          </w:tcPr>
          <w:p w14:paraId="2A8A3051">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名称</w:t>
            </w:r>
          </w:p>
        </w:tc>
        <w:tc>
          <w:tcPr>
            <w:tcW w:w="1449" w:type="dxa"/>
            <w:gridSpan w:val="2"/>
            <w:vAlign w:val="center"/>
          </w:tcPr>
          <w:p w14:paraId="03942EC0">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排气筒底部中心坐标</w:t>
            </w:r>
          </w:p>
        </w:tc>
        <w:tc>
          <w:tcPr>
            <w:tcW w:w="1134" w:type="dxa"/>
            <w:vMerge w:val="restart"/>
            <w:vAlign w:val="center"/>
          </w:tcPr>
          <w:p w14:paraId="451ADCCD">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排气筒底部海拔高度/m</w:t>
            </w:r>
          </w:p>
        </w:tc>
        <w:tc>
          <w:tcPr>
            <w:tcW w:w="1035" w:type="dxa"/>
            <w:vMerge w:val="restart"/>
            <w:vAlign w:val="center"/>
          </w:tcPr>
          <w:p w14:paraId="352EA46F">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排气筒高度/m</w:t>
            </w:r>
          </w:p>
        </w:tc>
        <w:tc>
          <w:tcPr>
            <w:tcW w:w="1097" w:type="dxa"/>
            <w:vMerge w:val="restart"/>
            <w:vAlign w:val="center"/>
          </w:tcPr>
          <w:p w14:paraId="27DC29D9">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排气筒出口内径/m</w:t>
            </w:r>
          </w:p>
        </w:tc>
        <w:tc>
          <w:tcPr>
            <w:tcW w:w="1199" w:type="dxa"/>
            <w:vMerge w:val="restart"/>
            <w:vAlign w:val="center"/>
          </w:tcPr>
          <w:p w14:paraId="3C771E56">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烟气流量/（m</w:t>
            </w:r>
            <w:r>
              <w:rPr>
                <w:rFonts w:hint="default" w:ascii="Times New Roman" w:hAnsi="Times New Roman" w:eastAsia="宋体" w:cs="Times New Roman"/>
                <w:b/>
                <w:bCs/>
                <w:color w:val="auto"/>
                <w:spacing w:val="0"/>
                <w:sz w:val="21"/>
                <w:szCs w:val="21"/>
                <w:highlight w:val="none"/>
                <w:vertAlign w:val="superscript"/>
              </w:rPr>
              <w:t>3</w:t>
            </w:r>
            <w:r>
              <w:rPr>
                <w:rFonts w:hint="default" w:ascii="Times New Roman" w:hAnsi="Times New Roman" w:eastAsia="宋体" w:cs="Times New Roman"/>
                <w:b/>
                <w:bCs/>
                <w:color w:val="auto"/>
                <w:spacing w:val="0"/>
                <w:sz w:val="21"/>
                <w:szCs w:val="21"/>
                <w:highlight w:val="none"/>
              </w:rPr>
              <w:t>/</w:t>
            </w:r>
            <w:r>
              <w:rPr>
                <w:rFonts w:hint="default" w:ascii="Times New Roman" w:hAnsi="Times New Roman" w:eastAsia="宋体" w:cs="Times New Roman"/>
                <w:b/>
                <w:bCs/>
                <w:color w:val="auto"/>
                <w:spacing w:val="0"/>
                <w:sz w:val="21"/>
                <w:szCs w:val="21"/>
                <w:highlight w:val="none"/>
                <w:lang w:val="en-US" w:eastAsia="zh-CN"/>
              </w:rPr>
              <w:t>s</w:t>
            </w:r>
            <w:r>
              <w:rPr>
                <w:rFonts w:hint="default" w:ascii="Times New Roman" w:hAnsi="Times New Roman" w:eastAsia="宋体" w:cs="Times New Roman"/>
                <w:b/>
                <w:bCs/>
                <w:color w:val="auto"/>
                <w:spacing w:val="0"/>
                <w:sz w:val="21"/>
                <w:szCs w:val="21"/>
                <w:highlight w:val="none"/>
              </w:rPr>
              <w:t>）</w:t>
            </w:r>
          </w:p>
        </w:tc>
        <w:tc>
          <w:tcPr>
            <w:tcW w:w="1094" w:type="dxa"/>
            <w:vMerge w:val="restart"/>
            <w:vAlign w:val="center"/>
          </w:tcPr>
          <w:p w14:paraId="00FBF8D2">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烟气温度/℃</w:t>
            </w:r>
          </w:p>
        </w:tc>
        <w:tc>
          <w:tcPr>
            <w:tcW w:w="1048" w:type="dxa"/>
            <w:vMerge w:val="restart"/>
            <w:vAlign w:val="center"/>
          </w:tcPr>
          <w:p w14:paraId="24F810DE">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年排放小时数/h</w:t>
            </w:r>
          </w:p>
        </w:tc>
        <w:tc>
          <w:tcPr>
            <w:tcW w:w="1233" w:type="dxa"/>
            <w:vMerge w:val="restart"/>
            <w:vAlign w:val="center"/>
          </w:tcPr>
          <w:p w14:paraId="023DBCE8">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排放工况</w:t>
            </w:r>
          </w:p>
        </w:tc>
        <w:tc>
          <w:tcPr>
            <w:tcW w:w="2467" w:type="dxa"/>
            <w:tcBorders>
              <w:right w:val="single" w:color="auto" w:sz="12" w:space="0"/>
            </w:tcBorders>
            <w:vAlign w:val="center"/>
          </w:tcPr>
          <w:p w14:paraId="2600CB77">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污染物排放速率/（kg/h）</w:t>
            </w:r>
          </w:p>
        </w:tc>
      </w:tr>
      <w:tr w14:paraId="4AF6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vMerge w:val="continue"/>
            <w:tcBorders>
              <w:left w:val="single" w:color="auto" w:sz="12" w:space="0"/>
            </w:tcBorders>
            <w:vAlign w:val="center"/>
          </w:tcPr>
          <w:p w14:paraId="4E746A3A">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945" w:type="dxa"/>
            <w:vMerge w:val="continue"/>
            <w:vAlign w:val="center"/>
          </w:tcPr>
          <w:p w14:paraId="5E7AC7AD">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618" w:type="dxa"/>
            <w:vAlign w:val="center"/>
          </w:tcPr>
          <w:p w14:paraId="016157BC">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X</w:t>
            </w:r>
          </w:p>
        </w:tc>
        <w:tc>
          <w:tcPr>
            <w:tcW w:w="831" w:type="dxa"/>
            <w:vAlign w:val="center"/>
          </w:tcPr>
          <w:p w14:paraId="18195101">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Y</w:t>
            </w:r>
          </w:p>
        </w:tc>
        <w:tc>
          <w:tcPr>
            <w:tcW w:w="1134" w:type="dxa"/>
            <w:vMerge w:val="continue"/>
            <w:vAlign w:val="center"/>
          </w:tcPr>
          <w:p w14:paraId="42C65809">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35" w:type="dxa"/>
            <w:vMerge w:val="continue"/>
            <w:vAlign w:val="center"/>
          </w:tcPr>
          <w:p w14:paraId="50AD1546">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97" w:type="dxa"/>
            <w:vMerge w:val="continue"/>
            <w:vAlign w:val="center"/>
          </w:tcPr>
          <w:p w14:paraId="7E477BBA">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199" w:type="dxa"/>
            <w:vMerge w:val="continue"/>
            <w:vAlign w:val="center"/>
          </w:tcPr>
          <w:p w14:paraId="5699CC05">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94" w:type="dxa"/>
            <w:vMerge w:val="continue"/>
            <w:vAlign w:val="center"/>
          </w:tcPr>
          <w:p w14:paraId="763FADDF">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48" w:type="dxa"/>
            <w:vMerge w:val="continue"/>
            <w:vAlign w:val="center"/>
          </w:tcPr>
          <w:p w14:paraId="573FDB3C">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233" w:type="dxa"/>
            <w:vMerge w:val="continue"/>
            <w:vAlign w:val="center"/>
          </w:tcPr>
          <w:p w14:paraId="175B3868">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2467" w:type="dxa"/>
            <w:tcBorders>
              <w:right w:val="single" w:color="auto" w:sz="12" w:space="0"/>
            </w:tcBorders>
            <w:vAlign w:val="center"/>
          </w:tcPr>
          <w:p w14:paraId="3A9E18BA">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PM</w:t>
            </w:r>
            <w:r>
              <w:rPr>
                <w:rFonts w:hint="default" w:ascii="Times New Roman" w:hAnsi="Times New Roman" w:eastAsia="宋体" w:cs="Times New Roman"/>
                <w:b/>
                <w:bCs/>
                <w:color w:val="auto"/>
                <w:spacing w:val="0"/>
                <w:sz w:val="21"/>
                <w:szCs w:val="21"/>
                <w:highlight w:val="none"/>
                <w:vertAlign w:val="subscript"/>
              </w:rPr>
              <w:t>10</w:t>
            </w:r>
          </w:p>
        </w:tc>
      </w:tr>
      <w:tr w14:paraId="5800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vAlign w:val="center"/>
          </w:tcPr>
          <w:p w14:paraId="78437C9B">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P1</w:t>
            </w:r>
          </w:p>
        </w:tc>
        <w:tc>
          <w:tcPr>
            <w:tcW w:w="1945" w:type="dxa"/>
            <w:vAlign w:val="center"/>
          </w:tcPr>
          <w:p w14:paraId="42756CE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zh-CN"/>
              </w:rPr>
            </w:pPr>
            <w:r>
              <w:rPr>
                <w:rFonts w:hint="default" w:ascii="Times New Roman" w:hAnsi="Times New Roman" w:eastAsia="宋体" w:cs="Times New Roman"/>
                <w:color w:val="auto"/>
                <w:spacing w:val="-2"/>
                <w:sz w:val="21"/>
                <w:szCs w:val="21"/>
                <w:highlight w:val="none"/>
                <w:lang w:val="en-US" w:eastAsia="zh-CN"/>
              </w:rPr>
              <w:t>粗碎厂房排气筒</w:t>
            </w:r>
          </w:p>
        </w:tc>
        <w:tc>
          <w:tcPr>
            <w:tcW w:w="618" w:type="dxa"/>
            <w:vAlign w:val="center"/>
          </w:tcPr>
          <w:p w14:paraId="4FBA27E3">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152</w:t>
            </w:r>
          </w:p>
        </w:tc>
        <w:tc>
          <w:tcPr>
            <w:tcW w:w="831" w:type="dxa"/>
            <w:vAlign w:val="center"/>
          </w:tcPr>
          <w:p w14:paraId="319FB173">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237</w:t>
            </w:r>
          </w:p>
        </w:tc>
        <w:tc>
          <w:tcPr>
            <w:tcW w:w="1134" w:type="dxa"/>
            <w:vAlign w:val="center"/>
          </w:tcPr>
          <w:p w14:paraId="3A20CBAC">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1105</w:t>
            </w:r>
          </w:p>
        </w:tc>
        <w:tc>
          <w:tcPr>
            <w:tcW w:w="1035" w:type="dxa"/>
            <w:vAlign w:val="center"/>
          </w:tcPr>
          <w:p w14:paraId="3B7B7F7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15</w:t>
            </w:r>
          </w:p>
        </w:tc>
        <w:tc>
          <w:tcPr>
            <w:tcW w:w="1097" w:type="dxa"/>
            <w:vAlign w:val="center"/>
          </w:tcPr>
          <w:p w14:paraId="2A66CEE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0.5</w:t>
            </w:r>
          </w:p>
        </w:tc>
        <w:tc>
          <w:tcPr>
            <w:tcW w:w="1199" w:type="dxa"/>
            <w:vAlign w:val="center"/>
          </w:tcPr>
          <w:p w14:paraId="6D7E6C77">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2.76 </w:t>
            </w:r>
          </w:p>
        </w:tc>
        <w:tc>
          <w:tcPr>
            <w:tcW w:w="1094" w:type="dxa"/>
            <w:vAlign w:val="center"/>
          </w:tcPr>
          <w:p w14:paraId="0FD3B4D9">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rPr>
              <w:t>常温</w:t>
            </w:r>
          </w:p>
        </w:tc>
        <w:tc>
          <w:tcPr>
            <w:tcW w:w="1048" w:type="dxa"/>
            <w:vAlign w:val="center"/>
          </w:tcPr>
          <w:p w14:paraId="22BAEC69">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5760</w:t>
            </w:r>
          </w:p>
        </w:tc>
        <w:tc>
          <w:tcPr>
            <w:tcW w:w="1233" w:type="dxa"/>
            <w:vAlign w:val="center"/>
          </w:tcPr>
          <w:p w14:paraId="43373EA3">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0C22673D">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bidi="ar"/>
              </w:rPr>
            </w:pPr>
            <w:r>
              <w:rPr>
                <w:rFonts w:hint="default" w:ascii="Times New Roman" w:hAnsi="Times New Roman" w:eastAsia="宋体" w:cs="Times New Roman"/>
                <w:color w:val="auto"/>
                <w:spacing w:val="0"/>
                <w:kern w:val="0"/>
                <w:sz w:val="21"/>
                <w:szCs w:val="21"/>
                <w:highlight w:val="none"/>
                <w:u w:val="none"/>
                <w:lang w:val="en-US" w:eastAsia="zh-CN" w:bidi="ar"/>
              </w:rPr>
              <w:t>0.104</w:t>
            </w:r>
          </w:p>
        </w:tc>
      </w:tr>
      <w:tr w14:paraId="5724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vAlign w:val="center"/>
          </w:tcPr>
          <w:p w14:paraId="419819A5">
            <w:pPr>
              <w:adjustRightInd w:val="0"/>
              <w:snapToGrid w:val="0"/>
              <w:spacing w:line="360" w:lineRule="exact"/>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P2</w:t>
            </w:r>
          </w:p>
        </w:tc>
        <w:tc>
          <w:tcPr>
            <w:tcW w:w="1945" w:type="dxa"/>
            <w:vAlign w:val="center"/>
          </w:tcPr>
          <w:p w14:paraId="522C023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zh-CN"/>
              </w:rPr>
            </w:pPr>
            <w:r>
              <w:rPr>
                <w:rFonts w:hint="default" w:ascii="Times New Roman" w:hAnsi="Times New Roman" w:eastAsia="宋体" w:cs="Times New Roman"/>
                <w:color w:val="auto"/>
                <w:spacing w:val="-2"/>
                <w:sz w:val="21"/>
                <w:szCs w:val="21"/>
                <w:highlight w:val="none"/>
                <w:lang w:val="en-US" w:eastAsia="zh-CN"/>
              </w:rPr>
              <w:t>中细碎厂房排气筒</w:t>
            </w:r>
          </w:p>
        </w:tc>
        <w:tc>
          <w:tcPr>
            <w:tcW w:w="618" w:type="dxa"/>
            <w:vAlign w:val="center"/>
          </w:tcPr>
          <w:p w14:paraId="3FBDCE91">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107</w:t>
            </w:r>
          </w:p>
        </w:tc>
        <w:tc>
          <w:tcPr>
            <w:tcW w:w="831" w:type="dxa"/>
            <w:vAlign w:val="center"/>
          </w:tcPr>
          <w:p w14:paraId="1396423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237</w:t>
            </w:r>
          </w:p>
        </w:tc>
        <w:tc>
          <w:tcPr>
            <w:tcW w:w="1134" w:type="dxa"/>
            <w:vAlign w:val="center"/>
          </w:tcPr>
          <w:p w14:paraId="6B5A161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1104</w:t>
            </w:r>
          </w:p>
        </w:tc>
        <w:tc>
          <w:tcPr>
            <w:tcW w:w="1035" w:type="dxa"/>
            <w:vAlign w:val="center"/>
          </w:tcPr>
          <w:p w14:paraId="0FA7213F">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15</w:t>
            </w:r>
          </w:p>
        </w:tc>
        <w:tc>
          <w:tcPr>
            <w:tcW w:w="1097" w:type="dxa"/>
            <w:vAlign w:val="center"/>
          </w:tcPr>
          <w:p w14:paraId="0DDD8D9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0.5</w:t>
            </w:r>
          </w:p>
        </w:tc>
        <w:tc>
          <w:tcPr>
            <w:tcW w:w="1199" w:type="dxa"/>
            <w:vAlign w:val="center"/>
          </w:tcPr>
          <w:p w14:paraId="6DCE5B29">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6.19 </w:t>
            </w:r>
          </w:p>
        </w:tc>
        <w:tc>
          <w:tcPr>
            <w:tcW w:w="1094" w:type="dxa"/>
            <w:vAlign w:val="center"/>
          </w:tcPr>
          <w:p w14:paraId="18EAEEBC">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rPr>
              <w:t>常温</w:t>
            </w:r>
          </w:p>
        </w:tc>
        <w:tc>
          <w:tcPr>
            <w:tcW w:w="1048" w:type="dxa"/>
            <w:vAlign w:val="center"/>
          </w:tcPr>
          <w:p w14:paraId="77722D64">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5760</w:t>
            </w:r>
          </w:p>
        </w:tc>
        <w:tc>
          <w:tcPr>
            <w:tcW w:w="1233" w:type="dxa"/>
            <w:vAlign w:val="center"/>
          </w:tcPr>
          <w:p w14:paraId="2EAEF7EC">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5EFF8A76">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bidi="ar"/>
              </w:rPr>
            </w:pPr>
            <w:r>
              <w:rPr>
                <w:rFonts w:hint="default" w:ascii="Times New Roman" w:hAnsi="Times New Roman" w:eastAsia="宋体" w:cs="Times New Roman"/>
                <w:color w:val="auto"/>
                <w:spacing w:val="0"/>
                <w:kern w:val="0"/>
                <w:sz w:val="21"/>
                <w:szCs w:val="21"/>
                <w:highlight w:val="none"/>
                <w:u w:val="none"/>
                <w:lang w:val="en-US" w:eastAsia="zh-CN" w:bidi="ar"/>
              </w:rPr>
              <w:t>0.228</w:t>
            </w:r>
          </w:p>
        </w:tc>
      </w:tr>
      <w:tr w14:paraId="7205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vAlign w:val="center"/>
          </w:tcPr>
          <w:p w14:paraId="61705994">
            <w:pPr>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P3</w:t>
            </w:r>
          </w:p>
        </w:tc>
        <w:tc>
          <w:tcPr>
            <w:tcW w:w="1945" w:type="dxa"/>
            <w:vAlign w:val="center"/>
          </w:tcPr>
          <w:p w14:paraId="2663C0EF">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筛分厂房排气筒</w:t>
            </w:r>
          </w:p>
        </w:tc>
        <w:tc>
          <w:tcPr>
            <w:tcW w:w="618" w:type="dxa"/>
            <w:vAlign w:val="center"/>
          </w:tcPr>
          <w:p w14:paraId="6FE450B6">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29</w:t>
            </w:r>
          </w:p>
        </w:tc>
        <w:tc>
          <w:tcPr>
            <w:tcW w:w="831" w:type="dxa"/>
            <w:vAlign w:val="center"/>
          </w:tcPr>
          <w:p w14:paraId="5EE789AD">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240</w:t>
            </w:r>
          </w:p>
        </w:tc>
        <w:tc>
          <w:tcPr>
            <w:tcW w:w="1134" w:type="dxa"/>
            <w:vAlign w:val="center"/>
          </w:tcPr>
          <w:p w14:paraId="546BC79A">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1101</w:t>
            </w:r>
          </w:p>
        </w:tc>
        <w:tc>
          <w:tcPr>
            <w:tcW w:w="1035" w:type="dxa"/>
            <w:vAlign w:val="center"/>
          </w:tcPr>
          <w:p w14:paraId="1A7D7F8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15</w:t>
            </w:r>
          </w:p>
        </w:tc>
        <w:tc>
          <w:tcPr>
            <w:tcW w:w="1097" w:type="dxa"/>
            <w:vAlign w:val="center"/>
          </w:tcPr>
          <w:p w14:paraId="336F4AD3">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0.5</w:t>
            </w:r>
          </w:p>
        </w:tc>
        <w:tc>
          <w:tcPr>
            <w:tcW w:w="1199" w:type="dxa"/>
            <w:vAlign w:val="center"/>
          </w:tcPr>
          <w:p w14:paraId="491F7EBD">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7.42 </w:t>
            </w:r>
          </w:p>
        </w:tc>
        <w:tc>
          <w:tcPr>
            <w:tcW w:w="1094" w:type="dxa"/>
            <w:vAlign w:val="center"/>
          </w:tcPr>
          <w:p w14:paraId="25762F80">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rPr>
              <w:t>常温</w:t>
            </w:r>
          </w:p>
        </w:tc>
        <w:tc>
          <w:tcPr>
            <w:tcW w:w="1048" w:type="dxa"/>
            <w:vAlign w:val="center"/>
          </w:tcPr>
          <w:p w14:paraId="3C7B9220">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5760</w:t>
            </w:r>
          </w:p>
        </w:tc>
        <w:tc>
          <w:tcPr>
            <w:tcW w:w="1233" w:type="dxa"/>
            <w:vAlign w:val="center"/>
          </w:tcPr>
          <w:p w14:paraId="7BAA2646">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3C12C125">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bidi="ar"/>
              </w:rPr>
            </w:pPr>
            <w:r>
              <w:rPr>
                <w:rFonts w:hint="default" w:ascii="Times New Roman" w:hAnsi="Times New Roman" w:eastAsia="宋体" w:cs="Times New Roman"/>
                <w:color w:val="auto"/>
                <w:spacing w:val="0"/>
                <w:kern w:val="0"/>
                <w:sz w:val="21"/>
                <w:szCs w:val="21"/>
                <w:highlight w:val="none"/>
                <w:u w:val="none"/>
                <w:lang w:val="en-US" w:eastAsia="zh-CN" w:bidi="ar"/>
              </w:rPr>
              <w:t>0.273</w:t>
            </w:r>
          </w:p>
        </w:tc>
      </w:tr>
      <w:tr w14:paraId="4368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vAlign w:val="center"/>
          </w:tcPr>
          <w:p w14:paraId="18FE327F">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P4</w:t>
            </w:r>
          </w:p>
        </w:tc>
        <w:tc>
          <w:tcPr>
            <w:tcW w:w="1945" w:type="dxa"/>
            <w:vAlign w:val="center"/>
          </w:tcPr>
          <w:p w14:paraId="56418B7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粉矿仓排气筒</w:t>
            </w:r>
          </w:p>
        </w:tc>
        <w:tc>
          <w:tcPr>
            <w:tcW w:w="618" w:type="dxa"/>
            <w:vAlign w:val="center"/>
          </w:tcPr>
          <w:p w14:paraId="0D132AE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29</w:t>
            </w:r>
          </w:p>
        </w:tc>
        <w:tc>
          <w:tcPr>
            <w:tcW w:w="831" w:type="dxa"/>
            <w:vAlign w:val="center"/>
          </w:tcPr>
          <w:p w14:paraId="5DB80C1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188</w:t>
            </w:r>
          </w:p>
        </w:tc>
        <w:tc>
          <w:tcPr>
            <w:tcW w:w="1134" w:type="dxa"/>
            <w:vAlign w:val="center"/>
          </w:tcPr>
          <w:p w14:paraId="22226CC1">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1102</w:t>
            </w:r>
          </w:p>
        </w:tc>
        <w:tc>
          <w:tcPr>
            <w:tcW w:w="1035" w:type="dxa"/>
            <w:vAlign w:val="center"/>
          </w:tcPr>
          <w:p w14:paraId="37C7727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15</w:t>
            </w:r>
          </w:p>
        </w:tc>
        <w:tc>
          <w:tcPr>
            <w:tcW w:w="1097" w:type="dxa"/>
            <w:vAlign w:val="center"/>
          </w:tcPr>
          <w:p w14:paraId="61E721C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0.3</w:t>
            </w:r>
          </w:p>
        </w:tc>
        <w:tc>
          <w:tcPr>
            <w:tcW w:w="1199" w:type="dxa"/>
            <w:vAlign w:val="center"/>
          </w:tcPr>
          <w:p w14:paraId="26D8B97D">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1.19 </w:t>
            </w:r>
          </w:p>
        </w:tc>
        <w:tc>
          <w:tcPr>
            <w:tcW w:w="1094" w:type="dxa"/>
            <w:shd w:val="clear" w:color="auto" w:fill="auto"/>
            <w:vAlign w:val="center"/>
          </w:tcPr>
          <w:p w14:paraId="06C5F327">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1048" w:type="dxa"/>
            <w:shd w:val="clear" w:color="auto" w:fill="auto"/>
            <w:vAlign w:val="center"/>
          </w:tcPr>
          <w:p w14:paraId="5E9ACD7E">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1233" w:type="dxa"/>
            <w:vAlign w:val="center"/>
          </w:tcPr>
          <w:p w14:paraId="5F8E83A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7BE19399">
            <w:pPr>
              <w:widowControl/>
              <w:adjustRightInd w:val="0"/>
              <w:snapToGrid w:val="0"/>
              <w:spacing w:line="360" w:lineRule="exact"/>
              <w:ind w:firstLine="0" w:firstLineChars="0"/>
              <w:jc w:val="center"/>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kern w:val="0"/>
                <w:sz w:val="21"/>
                <w:szCs w:val="21"/>
                <w:highlight w:val="none"/>
                <w:u w:val="none"/>
                <w:lang w:val="en-US" w:eastAsia="zh-CN" w:bidi="ar"/>
              </w:rPr>
              <w:t>0.046</w:t>
            </w:r>
          </w:p>
        </w:tc>
      </w:tr>
      <w:tr w14:paraId="7840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4" w:type="dxa"/>
            <w:gridSpan w:val="12"/>
            <w:tcBorders>
              <w:left w:val="single" w:color="auto" w:sz="12" w:space="0"/>
              <w:right w:val="single" w:color="auto" w:sz="12" w:space="0"/>
            </w:tcBorders>
            <w:vAlign w:val="center"/>
          </w:tcPr>
          <w:p w14:paraId="2D97486D">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w:t>
            </w:r>
          </w:p>
        </w:tc>
      </w:tr>
      <w:tr w14:paraId="03B4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vMerge w:val="restart"/>
            <w:tcBorders>
              <w:left w:val="single" w:color="auto" w:sz="12" w:space="0"/>
            </w:tcBorders>
            <w:vAlign w:val="center"/>
          </w:tcPr>
          <w:p w14:paraId="68C4443C">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编号</w:t>
            </w:r>
          </w:p>
        </w:tc>
        <w:tc>
          <w:tcPr>
            <w:tcW w:w="1945" w:type="dxa"/>
            <w:vMerge w:val="restart"/>
            <w:vAlign w:val="center"/>
          </w:tcPr>
          <w:p w14:paraId="6F839BC7">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名称</w:t>
            </w:r>
          </w:p>
        </w:tc>
        <w:tc>
          <w:tcPr>
            <w:tcW w:w="1449" w:type="dxa"/>
            <w:gridSpan w:val="2"/>
            <w:vAlign w:val="center"/>
          </w:tcPr>
          <w:p w14:paraId="0B4CFB10">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面源中心点坐标</w:t>
            </w:r>
          </w:p>
        </w:tc>
        <w:tc>
          <w:tcPr>
            <w:tcW w:w="1134" w:type="dxa"/>
            <w:vMerge w:val="restart"/>
            <w:vAlign w:val="center"/>
          </w:tcPr>
          <w:p w14:paraId="57B1B6CC">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lang w:val="zh-CN"/>
              </w:rPr>
            </w:pPr>
            <w:r>
              <w:rPr>
                <w:rFonts w:hint="default" w:ascii="Times New Roman" w:hAnsi="Times New Roman" w:eastAsia="宋体" w:cs="Times New Roman"/>
                <w:b/>
                <w:bCs/>
                <w:color w:val="auto"/>
                <w:spacing w:val="0"/>
                <w:sz w:val="21"/>
                <w:szCs w:val="21"/>
                <w:highlight w:val="none"/>
              </w:rPr>
              <w:t>面源海拔高度/m</w:t>
            </w:r>
          </w:p>
        </w:tc>
        <w:tc>
          <w:tcPr>
            <w:tcW w:w="1035" w:type="dxa"/>
            <w:vMerge w:val="restart"/>
            <w:vAlign w:val="center"/>
          </w:tcPr>
          <w:p w14:paraId="611CBE6F">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面源长度/m</w:t>
            </w:r>
          </w:p>
        </w:tc>
        <w:tc>
          <w:tcPr>
            <w:tcW w:w="1097" w:type="dxa"/>
            <w:vMerge w:val="restart"/>
            <w:vAlign w:val="center"/>
          </w:tcPr>
          <w:p w14:paraId="59283D23">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面源宽度/m</w:t>
            </w:r>
          </w:p>
        </w:tc>
        <w:tc>
          <w:tcPr>
            <w:tcW w:w="1199" w:type="dxa"/>
            <w:vMerge w:val="restart"/>
            <w:vAlign w:val="center"/>
          </w:tcPr>
          <w:p w14:paraId="08126488">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与正北向夹角/°</w:t>
            </w:r>
          </w:p>
        </w:tc>
        <w:tc>
          <w:tcPr>
            <w:tcW w:w="1094" w:type="dxa"/>
            <w:vMerge w:val="restart"/>
            <w:vAlign w:val="center"/>
          </w:tcPr>
          <w:p w14:paraId="596A0924">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面源有效排放高度/m</w:t>
            </w:r>
          </w:p>
        </w:tc>
        <w:tc>
          <w:tcPr>
            <w:tcW w:w="1048" w:type="dxa"/>
            <w:vMerge w:val="restart"/>
            <w:vAlign w:val="center"/>
          </w:tcPr>
          <w:p w14:paraId="7FE9C3AA">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lang w:val="zh-CN"/>
              </w:rPr>
            </w:pPr>
            <w:r>
              <w:rPr>
                <w:rFonts w:hint="default" w:ascii="Times New Roman" w:hAnsi="Times New Roman" w:eastAsia="宋体" w:cs="Times New Roman"/>
                <w:b/>
                <w:bCs/>
                <w:color w:val="auto"/>
                <w:spacing w:val="0"/>
                <w:sz w:val="21"/>
                <w:szCs w:val="21"/>
                <w:highlight w:val="none"/>
              </w:rPr>
              <w:t>年排放小时数/h</w:t>
            </w:r>
          </w:p>
        </w:tc>
        <w:tc>
          <w:tcPr>
            <w:tcW w:w="1233" w:type="dxa"/>
            <w:vMerge w:val="restart"/>
            <w:vAlign w:val="center"/>
          </w:tcPr>
          <w:p w14:paraId="2176D1E6">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lang w:val="zh-CN"/>
              </w:rPr>
            </w:pPr>
            <w:r>
              <w:rPr>
                <w:rFonts w:hint="default" w:ascii="Times New Roman" w:hAnsi="Times New Roman" w:eastAsia="宋体" w:cs="Times New Roman"/>
                <w:b/>
                <w:bCs/>
                <w:color w:val="auto"/>
                <w:spacing w:val="0"/>
                <w:sz w:val="21"/>
                <w:szCs w:val="21"/>
                <w:highlight w:val="none"/>
              </w:rPr>
              <w:t>排放工况</w:t>
            </w:r>
          </w:p>
        </w:tc>
        <w:tc>
          <w:tcPr>
            <w:tcW w:w="2467" w:type="dxa"/>
            <w:tcBorders>
              <w:right w:val="single" w:color="auto" w:sz="12" w:space="0"/>
            </w:tcBorders>
            <w:vAlign w:val="center"/>
          </w:tcPr>
          <w:p w14:paraId="3E36ABBF">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污染物排放速率/（kg/h）</w:t>
            </w:r>
          </w:p>
        </w:tc>
      </w:tr>
      <w:tr w14:paraId="5BD7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vMerge w:val="continue"/>
            <w:tcBorders>
              <w:left w:val="single" w:color="auto" w:sz="12" w:space="0"/>
            </w:tcBorders>
            <w:vAlign w:val="center"/>
          </w:tcPr>
          <w:p w14:paraId="1E1717DB">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945" w:type="dxa"/>
            <w:vMerge w:val="continue"/>
            <w:vAlign w:val="center"/>
          </w:tcPr>
          <w:p w14:paraId="5420D4A3">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618" w:type="dxa"/>
            <w:vAlign w:val="center"/>
          </w:tcPr>
          <w:p w14:paraId="1AEB38D1">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X</w:t>
            </w:r>
          </w:p>
        </w:tc>
        <w:tc>
          <w:tcPr>
            <w:tcW w:w="831" w:type="dxa"/>
            <w:vAlign w:val="center"/>
          </w:tcPr>
          <w:p w14:paraId="7A827448">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Y</w:t>
            </w:r>
          </w:p>
        </w:tc>
        <w:tc>
          <w:tcPr>
            <w:tcW w:w="1134" w:type="dxa"/>
            <w:vMerge w:val="continue"/>
            <w:vAlign w:val="center"/>
          </w:tcPr>
          <w:p w14:paraId="507D8997">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35" w:type="dxa"/>
            <w:vMerge w:val="continue"/>
            <w:vAlign w:val="center"/>
          </w:tcPr>
          <w:p w14:paraId="47908449">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97" w:type="dxa"/>
            <w:vMerge w:val="continue"/>
            <w:vAlign w:val="center"/>
          </w:tcPr>
          <w:p w14:paraId="6C4A5C22">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199" w:type="dxa"/>
            <w:vMerge w:val="continue"/>
            <w:vAlign w:val="center"/>
          </w:tcPr>
          <w:p w14:paraId="3850C0B2">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94" w:type="dxa"/>
            <w:vMerge w:val="continue"/>
            <w:vAlign w:val="center"/>
          </w:tcPr>
          <w:p w14:paraId="6D57D975">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048" w:type="dxa"/>
            <w:vMerge w:val="continue"/>
            <w:vAlign w:val="center"/>
          </w:tcPr>
          <w:p w14:paraId="0FA75ED2">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1233" w:type="dxa"/>
            <w:vMerge w:val="continue"/>
            <w:vAlign w:val="center"/>
          </w:tcPr>
          <w:p w14:paraId="6B86AFBF">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p>
        </w:tc>
        <w:tc>
          <w:tcPr>
            <w:tcW w:w="2467" w:type="dxa"/>
            <w:tcBorders>
              <w:right w:val="single" w:color="auto" w:sz="12" w:space="0"/>
            </w:tcBorders>
            <w:vAlign w:val="center"/>
          </w:tcPr>
          <w:p w14:paraId="6C23AD73">
            <w:pPr>
              <w:pStyle w:val="14"/>
              <w:spacing w:line="360" w:lineRule="exact"/>
              <w:ind w:left="0" w:leftChars="0" w:right="0" w:firstLine="0" w:firstLineChars="0"/>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TSP</w:t>
            </w:r>
          </w:p>
        </w:tc>
      </w:tr>
      <w:tr w14:paraId="7F9A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vAlign w:val="center"/>
          </w:tcPr>
          <w:p w14:paraId="6CB7739A">
            <w:pPr>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G1</w:t>
            </w:r>
          </w:p>
        </w:tc>
        <w:tc>
          <w:tcPr>
            <w:tcW w:w="1945" w:type="dxa"/>
            <w:vAlign w:val="center"/>
          </w:tcPr>
          <w:p w14:paraId="41EDBF1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lang w:val="zh-CN"/>
              </w:rPr>
            </w:pPr>
            <w:r>
              <w:rPr>
                <w:rFonts w:hint="default" w:ascii="Times New Roman" w:hAnsi="Times New Roman" w:eastAsia="宋体" w:cs="Times New Roman"/>
                <w:color w:val="auto"/>
                <w:spacing w:val="-2"/>
                <w:sz w:val="21"/>
                <w:szCs w:val="21"/>
                <w:highlight w:val="none"/>
                <w:lang w:val="en-US" w:eastAsia="zh-CN"/>
              </w:rPr>
              <w:t>粗碎厂房</w:t>
            </w:r>
          </w:p>
        </w:tc>
        <w:tc>
          <w:tcPr>
            <w:tcW w:w="618" w:type="dxa"/>
            <w:vAlign w:val="center"/>
          </w:tcPr>
          <w:p w14:paraId="78FC43B3">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152</w:t>
            </w:r>
          </w:p>
        </w:tc>
        <w:tc>
          <w:tcPr>
            <w:tcW w:w="831" w:type="dxa"/>
            <w:vAlign w:val="center"/>
          </w:tcPr>
          <w:p w14:paraId="575C99A6">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237</w:t>
            </w:r>
          </w:p>
        </w:tc>
        <w:tc>
          <w:tcPr>
            <w:tcW w:w="1134" w:type="dxa"/>
            <w:vAlign w:val="center"/>
          </w:tcPr>
          <w:p w14:paraId="413A7115">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1105</w:t>
            </w:r>
          </w:p>
        </w:tc>
        <w:tc>
          <w:tcPr>
            <w:tcW w:w="1035" w:type="dxa"/>
            <w:vAlign w:val="center"/>
          </w:tcPr>
          <w:p w14:paraId="49A4316F">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12</w:t>
            </w:r>
          </w:p>
        </w:tc>
        <w:tc>
          <w:tcPr>
            <w:tcW w:w="1097" w:type="dxa"/>
            <w:vAlign w:val="center"/>
          </w:tcPr>
          <w:p w14:paraId="3C4B596C">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9</w:t>
            </w:r>
          </w:p>
        </w:tc>
        <w:tc>
          <w:tcPr>
            <w:tcW w:w="1199" w:type="dxa"/>
            <w:vAlign w:val="center"/>
          </w:tcPr>
          <w:p w14:paraId="5A949818">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w:t>
            </w:r>
          </w:p>
        </w:tc>
        <w:tc>
          <w:tcPr>
            <w:tcW w:w="1094" w:type="dxa"/>
            <w:vAlign w:val="center"/>
          </w:tcPr>
          <w:p w14:paraId="4B25C32C">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9</w:t>
            </w:r>
          </w:p>
        </w:tc>
        <w:tc>
          <w:tcPr>
            <w:tcW w:w="1048" w:type="dxa"/>
            <w:vAlign w:val="center"/>
          </w:tcPr>
          <w:p w14:paraId="31AF2A2E">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5760</w:t>
            </w:r>
          </w:p>
        </w:tc>
        <w:tc>
          <w:tcPr>
            <w:tcW w:w="1233" w:type="dxa"/>
            <w:vAlign w:val="center"/>
          </w:tcPr>
          <w:p w14:paraId="7D9FD26D">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7CFA40B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0.01</w:t>
            </w:r>
          </w:p>
        </w:tc>
      </w:tr>
      <w:tr w14:paraId="7BE3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vAlign w:val="center"/>
          </w:tcPr>
          <w:p w14:paraId="0F55FB9A">
            <w:pPr>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G2</w:t>
            </w:r>
          </w:p>
        </w:tc>
        <w:tc>
          <w:tcPr>
            <w:tcW w:w="1945" w:type="dxa"/>
            <w:vAlign w:val="center"/>
          </w:tcPr>
          <w:p w14:paraId="5E666092">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中细碎厂房</w:t>
            </w:r>
          </w:p>
        </w:tc>
        <w:tc>
          <w:tcPr>
            <w:tcW w:w="618" w:type="dxa"/>
            <w:vAlign w:val="center"/>
          </w:tcPr>
          <w:p w14:paraId="65BFA453">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107</w:t>
            </w:r>
          </w:p>
        </w:tc>
        <w:tc>
          <w:tcPr>
            <w:tcW w:w="831" w:type="dxa"/>
            <w:vAlign w:val="center"/>
          </w:tcPr>
          <w:p w14:paraId="0644226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237</w:t>
            </w:r>
          </w:p>
        </w:tc>
        <w:tc>
          <w:tcPr>
            <w:tcW w:w="1134" w:type="dxa"/>
            <w:vAlign w:val="center"/>
          </w:tcPr>
          <w:p w14:paraId="6043C9E4">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1104</w:t>
            </w:r>
          </w:p>
        </w:tc>
        <w:tc>
          <w:tcPr>
            <w:tcW w:w="1035" w:type="dxa"/>
            <w:vAlign w:val="center"/>
          </w:tcPr>
          <w:p w14:paraId="76607700">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18</w:t>
            </w:r>
          </w:p>
        </w:tc>
        <w:tc>
          <w:tcPr>
            <w:tcW w:w="1097" w:type="dxa"/>
            <w:vAlign w:val="center"/>
          </w:tcPr>
          <w:p w14:paraId="5BF015B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15</w:t>
            </w:r>
          </w:p>
        </w:tc>
        <w:tc>
          <w:tcPr>
            <w:tcW w:w="1199" w:type="dxa"/>
            <w:vAlign w:val="center"/>
          </w:tcPr>
          <w:p w14:paraId="180EAB99">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w:t>
            </w:r>
          </w:p>
        </w:tc>
        <w:tc>
          <w:tcPr>
            <w:tcW w:w="1094" w:type="dxa"/>
            <w:vAlign w:val="center"/>
          </w:tcPr>
          <w:p w14:paraId="0E085686">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lang w:val="en-US"/>
              </w:rPr>
            </w:pPr>
            <w:r>
              <w:rPr>
                <w:rFonts w:hint="default" w:cs="Times New Roman"/>
                <w:color w:val="auto"/>
                <w:kern w:val="0"/>
                <w:sz w:val="21"/>
                <w:szCs w:val="21"/>
                <w:highlight w:val="none"/>
                <w:lang w:val="en-US" w:eastAsia="zh-CN"/>
              </w:rPr>
              <w:t>15</w:t>
            </w:r>
          </w:p>
        </w:tc>
        <w:tc>
          <w:tcPr>
            <w:tcW w:w="1048" w:type="dxa"/>
            <w:vAlign w:val="center"/>
          </w:tcPr>
          <w:p w14:paraId="6DEA8734">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5760</w:t>
            </w:r>
          </w:p>
        </w:tc>
        <w:tc>
          <w:tcPr>
            <w:tcW w:w="1233" w:type="dxa"/>
            <w:vAlign w:val="center"/>
          </w:tcPr>
          <w:p w14:paraId="07343E23">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2FAD8B4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0.023</w:t>
            </w:r>
          </w:p>
        </w:tc>
      </w:tr>
      <w:tr w14:paraId="48AB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vAlign w:val="center"/>
          </w:tcPr>
          <w:p w14:paraId="240C7F8A">
            <w:pPr>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G3</w:t>
            </w:r>
          </w:p>
        </w:tc>
        <w:tc>
          <w:tcPr>
            <w:tcW w:w="1945" w:type="dxa"/>
            <w:vAlign w:val="center"/>
          </w:tcPr>
          <w:p w14:paraId="2FF9071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筛分厂房</w:t>
            </w:r>
          </w:p>
        </w:tc>
        <w:tc>
          <w:tcPr>
            <w:tcW w:w="618" w:type="dxa"/>
            <w:vAlign w:val="center"/>
          </w:tcPr>
          <w:p w14:paraId="178E57C2">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29</w:t>
            </w:r>
          </w:p>
        </w:tc>
        <w:tc>
          <w:tcPr>
            <w:tcW w:w="831" w:type="dxa"/>
            <w:vAlign w:val="center"/>
          </w:tcPr>
          <w:p w14:paraId="13E5267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240</w:t>
            </w:r>
          </w:p>
        </w:tc>
        <w:tc>
          <w:tcPr>
            <w:tcW w:w="1134" w:type="dxa"/>
            <w:vAlign w:val="center"/>
          </w:tcPr>
          <w:p w14:paraId="0BE56C9D">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1101</w:t>
            </w:r>
          </w:p>
        </w:tc>
        <w:tc>
          <w:tcPr>
            <w:tcW w:w="1035" w:type="dxa"/>
            <w:vAlign w:val="center"/>
          </w:tcPr>
          <w:p w14:paraId="671F0D50">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18</w:t>
            </w:r>
          </w:p>
        </w:tc>
        <w:tc>
          <w:tcPr>
            <w:tcW w:w="1097" w:type="dxa"/>
            <w:vAlign w:val="center"/>
          </w:tcPr>
          <w:p w14:paraId="7B2A6825">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12</w:t>
            </w:r>
          </w:p>
        </w:tc>
        <w:tc>
          <w:tcPr>
            <w:tcW w:w="1199" w:type="dxa"/>
            <w:vAlign w:val="center"/>
          </w:tcPr>
          <w:p w14:paraId="02094418">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w:t>
            </w:r>
          </w:p>
        </w:tc>
        <w:tc>
          <w:tcPr>
            <w:tcW w:w="1094" w:type="dxa"/>
            <w:vAlign w:val="center"/>
          </w:tcPr>
          <w:p w14:paraId="2A1E4FB3">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w:t>
            </w:r>
          </w:p>
        </w:tc>
        <w:tc>
          <w:tcPr>
            <w:tcW w:w="1048" w:type="dxa"/>
            <w:vAlign w:val="center"/>
          </w:tcPr>
          <w:p w14:paraId="424005AF">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5760</w:t>
            </w:r>
          </w:p>
        </w:tc>
        <w:tc>
          <w:tcPr>
            <w:tcW w:w="1233" w:type="dxa"/>
            <w:vAlign w:val="center"/>
          </w:tcPr>
          <w:p w14:paraId="1A96DB41">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224D1C7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0.027</w:t>
            </w:r>
          </w:p>
        </w:tc>
      </w:tr>
      <w:tr w14:paraId="0061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shd w:val="clear" w:color="auto" w:fill="auto"/>
            <w:vAlign w:val="center"/>
          </w:tcPr>
          <w:p w14:paraId="2A436A50">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G4</w:t>
            </w:r>
          </w:p>
        </w:tc>
        <w:tc>
          <w:tcPr>
            <w:tcW w:w="1945" w:type="dxa"/>
            <w:vAlign w:val="center"/>
          </w:tcPr>
          <w:p w14:paraId="2BFAB319">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w:t>
            </w:r>
          </w:p>
        </w:tc>
        <w:tc>
          <w:tcPr>
            <w:tcW w:w="618" w:type="dxa"/>
            <w:shd w:val="clear" w:color="auto" w:fill="auto"/>
            <w:vAlign w:val="center"/>
          </w:tcPr>
          <w:p w14:paraId="151C9E0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29</w:t>
            </w:r>
          </w:p>
        </w:tc>
        <w:tc>
          <w:tcPr>
            <w:tcW w:w="831" w:type="dxa"/>
            <w:shd w:val="clear" w:color="auto" w:fill="auto"/>
            <w:vAlign w:val="center"/>
          </w:tcPr>
          <w:p w14:paraId="6B8BC5B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188</w:t>
            </w:r>
          </w:p>
        </w:tc>
        <w:tc>
          <w:tcPr>
            <w:tcW w:w="1134" w:type="dxa"/>
            <w:shd w:val="clear" w:color="auto" w:fill="auto"/>
            <w:vAlign w:val="center"/>
          </w:tcPr>
          <w:p w14:paraId="3D41C4A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kern w:val="0"/>
                <w:sz w:val="21"/>
                <w:szCs w:val="21"/>
                <w:highlight w:val="none"/>
                <w:lang w:val="en-US" w:eastAsia="zh-CN"/>
              </w:rPr>
              <w:t>1102</w:t>
            </w:r>
          </w:p>
        </w:tc>
        <w:tc>
          <w:tcPr>
            <w:tcW w:w="1035" w:type="dxa"/>
            <w:vAlign w:val="center"/>
          </w:tcPr>
          <w:p w14:paraId="422CC73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10</w:t>
            </w:r>
          </w:p>
        </w:tc>
        <w:tc>
          <w:tcPr>
            <w:tcW w:w="1097" w:type="dxa"/>
            <w:vAlign w:val="center"/>
          </w:tcPr>
          <w:p w14:paraId="000AA65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10</w:t>
            </w:r>
          </w:p>
        </w:tc>
        <w:tc>
          <w:tcPr>
            <w:tcW w:w="1199" w:type="dxa"/>
            <w:vAlign w:val="center"/>
          </w:tcPr>
          <w:p w14:paraId="226FD7C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0</w:t>
            </w:r>
          </w:p>
        </w:tc>
        <w:tc>
          <w:tcPr>
            <w:tcW w:w="1094" w:type="dxa"/>
            <w:vAlign w:val="center"/>
          </w:tcPr>
          <w:p w14:paraId="07AB42C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15</w:t>
            </w:r>
          </w:p>
        </w:tc>
        <w:tc>
          <w:tcPr>
            <w:tcW w:w="1048" w:type="dxa"/>
            <w:shd w:val="clear" w:color="auto" w:fill="auto"/>
            <w:vAlign w:val="center"/>
          </w:tcPr>
          <w:p w14:paraId="71D571E1">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5760</w:t>
            </w:r>
          </w:p>
        </w:tc>
        <w:tc>
          <w:tcPr>
            <w:tcW w:w="1233" w:type="dxa"/>
            <w:shd w:val="clear" w:color="auto" w:fill="auto"/>
            <w:vAlign w:val="center"/>
          </w:tcPr>
          <w:p w14:paraId="66F81B89">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289E1929">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0.005</w:t>
            </w:r>
          </w:p>
        </w:tc>
      </w:tr>
      <w:tr w14:paraId="0D9F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tcBorders>
            <w:shd w:val="clear" w:color="auto" w:fill="auto"/>
            <w:vAlign w:val="center"/>
          </w:tcPr>
          <w:p w14:paraId="51E7E417">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G5</w:t>
            </w:r>
          </w:p>
        </w:tc>
        <w:tc>
          <w:tcPr>
            <w:tcW w:w="1945" w:type="dxa"/>
            <w:vAlign w:val="center"/>
          </w:tcPr>
          <w:p w14:paraId="0B4FCEDB">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原矿堆场</w:t>
            </w:r>
          </w:p>
        </w:tc>
        <w:tc>
          <w:tcPr>
            <w:tcW w:w="618" w:type="dxa"/>
            <w:vAlign w:val="center"/>
          </w:tcPr>
          <w:p w14:paraId="7C04D210">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182</w:t>
            </w:r>
          </w:p>
        </w:tc>
        <w:tc>
          <w:tcPr>
            <w:tcW w:w="831" w:type="dxa"/>
            <w:vAlign w:val="center"/>
          </w:tcPr>
          <w:p w14:paraId="4C9193AD">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227</w:t>
            </w:r>
          </w:p>
        </w:tc>
        <w:tc>
          <w:tcPr>
            <w:tcW w:w="1134" w:type="dxa"/>
            <w:vAlign w:val="center"/>
          </w:tcPr>
          <w:p w14:paraId="2E99C94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1105</w:t>
            </w:r>
          </w:p>
        </w:tc>
        <w:tc>
          <w:tcPr>
            <w:tcW w:w="1035" w:type="dxa"/>
            <w:vAlign w:val="center"/>
          </w:tcPr>
          <w:p w14:paraId="2413AFD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120</w:t>
            </w:r>
          </w:p>
        </w:tc>
        <w:tc>
          <w:tcPr>
            <w:tcW w:w="1097" w:type="dxa"/>
            <w:vAlign w:val="center"/>
          </w:tcPr>
          <w:p w14:paraId="23C1EA19">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60</w:t>
            </w:r>
          </w:p>
        </w:tc>
        <w:tc>
          <w:tcPr>
            <w:tcW w:w="1199" w:type="dxa"/>
            <w:vAlign w:val="center"/>
          </w:tcPr>
          <w:p w14:paraId="4BA62862">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w:t>
            </w:r>
          </w:p>
        </w:tc>
        <w:tc>
          <w:tcPr>
            <w:tcW w:w="1094" w:type="dxa"/>
            <w:vAlign w:val="center"/>
          </w:tcPr>
          <w:p w14:paraId="2F7B8CFC">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10</w:t>
            </w:r>
          </w:p>
        </w:tc>
        <w:tc>
          <w:tcPr>
            <w:tcW w:w="1048" w:type="dxa"/>
            <w:vAlign w:val="center"/>
          </w:tcPr>
          <w:p w14:paraId="4C4D16AB">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8760</w:t>
            </w:r>
          </w:p>
        </w:tc>
        <w:tc>
          <w:tcPr>
            <w:tcW w:w="1233" w:type="dxa"/>
            <w:vAlign w:val="center"/>
          </w:tcPr>
          <w:p w14:paraId="5AFB9E33">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right w:val="single" w:color="auto" w:sz="12" w:space="0"/>
            </w:tcBorders>
            <w:vAlign w:val="center"/>
          </w:tcPr>
          <w:p w14:paraId="628ADE42">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0.3059</w:t>
            </w:r>
          </w:p>
        </w:tc>
      </w:tr>
      <w:tr w14:paraId="1E3F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dxa"/>
            <w:tcBorders>
              <w:left w:val="single" w:color="auto" w:sz="12" w:space="0"/>
              <w:bottom w:val="single" w:color="auto" w:sz="12" w:space="0"/>
            </w:tcBorders>
            <w:vAlign w:val="center"/>
          </w:tcPr>
          <w:p w14:paraId="5D834D19">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kern w:val="0"/>
                <w:sz w:val="21"/>
                <w:szCs w:val="21"/>
                <w:highlight w:val="none"/>
                <w:lang w:val="en-US" w:eastAsia="zh-CN"/>
              </w:rPr>
              <w:t>G6</w:t>
            </w:r>
          </w:p>
        </w:tc>
        <w:tc>
          <w:tcPr>
            <w:tcW w:w="1945" w:type="dxa"/>
            <w:tcBorders>
              <w:bottom w:val="single" w:color="auto" w:sz="12" w:space="0"/>
            </w:tcBorders>
            <w:vAlign w:val="center"/>
          </w:tcPr>
          <w:p w14:paraId="1239FEEE">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尾矿库</w:t>
            </w:r>
          </w:p>
        </w:tc>
        <w:tc>
          <w:tcPr>
            <w:tcW w:w="618" w:type="dxa"/>
            <w:tcBorders>
              <w:bottom w:val="single" w:color="auto" w:sz="12" w:space="0"/>
            </w:tcBorders>
            <w:vAlign w:val="center"/>
          </w:tcPr>
          <w:p w14:paraId="77DAB7DE">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-555</w:t>
            </w:r>
          </w:p>
        </w:tc>
        <w:tc>
          <w:tcPr>
            <w:tcW w:w="831" w:type="dxa"/>
            <w:tcBorders>
              <w:bottom w:val="single" w:color="auto" w:sz="12" w:space="0"/>
            </w:tcBorders>
            <w:vAlign w:val="center"/>
          </w:tcPr>
          <w:p w14:paraId="2296BB00">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1263</w:t>
            </w:r>
          </w:p>
        </w:tc>
        <w:tc>
          <w:tcPr>
            <w:tcW w:w="1134" w:type="dxa"/>
            <w:tcBorders>
              <w:bottom w:val="single" w:color="auto" w:sz="12" w:space="0"/>
            </w:tcBorders>
            <w:vAlign w:val="center"/>
          </w:tcPr>
          <w:p w14:paraId="217AF7C2">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1091</w:t>
            </w:r>
          </w:p>
        </w:tc>
        <w:tc>
          <w:tcPr>
            <w:tcW w:w="1035" w:type="dxa"/>
            <w:tcBorders>
              <w:bottom w:val="single" w:color="auto" w:sz="12" w:space="0"/>
            </w:tcBorders>
            <w:vAlign w:val="center"/>
          </w:tcPr>
          <w:p w14:paraId="68DE76BA">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200</w:t>
            </w:r>
          </w:p>
        </w:tc>
        <w:tc>
          <w:tcPr>
            <w:tcW w:w="1097" w:type="dxa"/>
            <w:tcBorders>
              <w:bottom w:val="single" w:color="auto" w:sz="12" w:space="0"/>
            </w:tcBorders>
            <w:vAlign w:val="center"/>
          </w:tcPr>
          <w:p w14:paraId="3B895472">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115</w:t>
            </w:r>
          </w:p>
        </w:tc>
        <w:tc>
          <w:tcPr>
            <w:tcW w:w="1199" w:type="dxa"/>
            <w:tcBorders>
              <w:bottom w:val="single" w:color="auto" w:sz="12" w:space="0"/>
            </w:tcBorders>
            <w:vAlign w:val="center"/>
          </w:tcPr>
          <w:p w14:paraId="35C0F4B5">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0</w:t>
            </w:r>
          </w:p>
        </w:tc>
        <w:tc>
          <w:tcPr>
            <w:tcW w:w="1094" w:type="dxa"/>
            <w:tcBorders>
              <w:bottom w:val="single" w:color="auto" w:sz="12" w:space="0"/>
            </w:tcBorders>
            <w:vAlign w:val="center"/>
          </w:tcPr>
          <w:p w14:paraId="1AFB539F">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15</w:t>
            </w:r>
          </w:p>
        </w:tc>
        <w:tc>
          <w:tcPr>
            <w:tcW w:w="1048" w:type="dxa"/>
            <w:tcBorders>
              <w:bottom w:val="single" w:color="auto" w:sz="12" w:space="0"/>
            </w:tcBorders>
            <w:vAlign w:val="center"/>
          </w:tcPr>
          <w:p w14:paraId="3B11DC4A">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kern w:val="0"/>
                <w:sz w:val="21"/>
                <w:szCs w:val="21"/>
                <w:highlight w:val="none"/>
                <w:lang w:val="en-US" w:eastAsia="zh-CN"/>
              </w:rPr>
              <w:t>8760</w:t>
            </w:r>
          </w:p>
        </w:tc>
        <w:tc>
          <w:tcPr>
            <w:tcW w:w="1233" w:type="dxa"/>
            <w:tcBorders>
              <w:bottom w:val="single" w:color="auto" w:sz="12" w:space="0"/>
            </w:tcBorders>
            <w:vAlign w:val="center"/>
          </w:tcPr>
          <w:p w14:paraId="59FB78A1">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正常工况</w:t>
            </w:r>
          </w:p>
        </w:tc>
        <w:tc>
          <w:tcPr>
            <w:tcW w:w="2467" w:type="dxa"/>
            <w:tcBorders>
              <w:bottom w:val="single" w:color="auto" w:sz="12" w:space="0"/>
              <w:right w:val="single" w:color="auto" w:sz="12" w:space="0"/>
            </w:tcBorders>
            <w:vAlign w:val="center"/>
          </w:tcPr>
          <w:p w14:paraId="3056CC66">
            <w:pPr>
              <w:adjustRightInd w:val="0"/>
              <w:snapToGrid w:val="0"/>
              <w:spacing w:line="360" w:lineRule="exact"/>
              <w:ind w:firstLine="0" w:firstLineChars="0"/>
              <w:jc w:val="center"/>
              <w:rPr>
                <w:rFonts w:hint="default" w:ascii="Times New Roman" w:hAnsi="Times New Roman" w:eastAsia="宋体" w:cs="Times New Roman"/>
                <w:color w:val="auto"/>
                <w:spacing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0.0</w:t>
            </w:r>
            <w:r>
              <w:rPr>
                <w:rFonts w:hint="default" w:cs="Times New Roman"/>
                <w:color w:val="auto"/>
                <w:kern w:val="0"/>
                <w:sz w:val="21"/>
                <w:szCs w:val="21"/>
                <w:highlight w:val="none"/>
                <w:lang w:val="en-US" w:eastAsia="zh-CN"/>
              </w:rPr>
              <w:t>38</w:t>
            </w:r>
          </w:p>
        </w:tc>
      </w:tr>
    </w:tbl>
    <w:p w14:paraId="3DE3CBD3">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（2）非正常工况排放参数</w:t>
      </w:r>
    </w:p>
    <w:p w14:paraId="109AB2BD">
      <w:pPr>
        <w:ind w:firstLine="480"/>
        <w:rPr>
          <w:rFonts w:hint="default" w:ascii="Times New Roman" w:hAnsi="Times New Roman" w:cs="Times New Roman"/>
          <w:color w:val="auto"/>
          <w:kern w:val="0"/>
          <w:highlight w:val="none"/>
        </w:rPr>
      </w:pPr>
    </w:p>
    <w:p w14:paraId="53E05FEC">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表5.2-7    本项目非正常工况排放参数表</w:t>
      </w:r>
    </w:p>
    <w:tbl>
      <w:tblPr>
        <w:tblStyle w:val="33"/>
        <w:tblW w:w="1409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5"/>
        <w:gridCol w:w="2148"/>
        <w:gridCol w:w="3261"/>
        <w:gridCol w:w="1133"/>
        <w:gridCol w:w="1133"/>
        <w:gridCol w:w="1373"/>
        <w:gridCol w:w="1037"/>
        <w:gridCol w:w="3394"/>
      </w:tblGrid>
      <w:tr w14:paraId="42CCFC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5" w:type="dxa"/>
            <w:vMerge w:val="restart"/>
            <w:tcBorders>
              <w:tl2br w:val="nil"/>
              <w:tr2bl w:val="nil"/>
            </w:tcBorders>
            <w:vAlign w:val="center"/>
          </w:tcPr>
          <w:p w14:paraId="71B97B2F">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编号</w:t>
            </w:r>
          </w:p>
        </w:tc>
        <w:tc>
          <w:tcPr>
            <w:tcW w:w="2148" w:type="dxa"/>
            <w:vMerge w:val="restart"/>
            <w:tcBorders>
              <w:tl2br w:val="nil"/>
              <w:tr2bl w:val="nil"/>
            </w:tcBorders>
            <w:vAlign w:val="center"/>
          </w:tcPr>
          <w:p w14:paraId="730F63B5">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点源名称</w:t>
            </w:r>
          </w:p>
        </w:tc>
        <w:tc>
          <w:tcPr>
            <w:tcW w:w="3261" w:type="dxa"/>
            <w:vMerge w:val="restart"/>
            <w:tcBorders>
              <w:tl2br w:val="nil"/>
              <w:tr2bl w:val="nil"/>
            </w:tcBorders>
            <w:vAlign w:val="center"/>
          </w:tcPr>
          <w:p w14:paraId="23142651">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非正常工况原因</w:t>
            </w:r>
          </w:p>
        </w:tc>
        <w:tc>
          <w:tcPr>
            <w:tcW w:w="1133" w:type="dxa"/>
            <w:vMerge w:val="restart"/>
            <w:tcBorders>
              <w:tl2br w:val="nil"/>
              <w:tr2bl w:val="nil"/>
            </w:tcBorders>
            <w:vAlign w:val="center"/>
          </w:tcPr>
          <w:p w14:paraId="6466CEAA">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排气筒高度</w:t>
            </w:r>
          </w:p>
        </w:tc>
        <w:tc>
          <w:tcPr>
            <w:tcW w:w="1133" w:type="dxa"/>
            <w:vMerge w:val="restart"/>
            <w:tcBorders>
              <w:tl2br w:val="nil"/>
              <w:tr2bl w:val="nil"/>
            </w:tcBorders>
            <w:vAlign w:val="center"/>
          </w:tcPr>
          <w:p w14:paraId="1D493425">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排气筒内径</w:t>
            </w:r>
          </w:p>
        </w:tc>
        <w:tc>
          <w:tcPr>
            <w:tcW w:w="1373" w:type="dxa"/>
            <w:vMerge w:val="restart"/>
            <w:tcBorders>
              <w:tl2br w:val="nil"/>
              <w:tr2bl w:val="nil"/>
            </w:tcBorders>
            <w:vAlign w:val="center"/>
          </w:tcPr>
          <w:p w14:paraId="48F9EBEB">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烟气出口温度</w:t>
            </w:r>
          </w:p>
        </w:tc>
        <w:tc>
          <w:tcPr>
            <w:tcW w:w="1037" w:type="dxa"/>
            <w:vMerge w:val="restart"/>
            <w:tcBorders>
              <w:tl2br w:val="nil"/>
              <w:tr2bl w:val="nil"/>
            </w:tcBorders>
            <w:vAlign w:val="center"/>
          </w:tcPr>
          <w:p w14:paraId="5CE8508A">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烟气流量</w:t>
            </w:r>
          </w:p>
        </w:tc>
        <w:tc>
          <w:tcPr>
            <w:tcW w:w="3394" w:type="dxa"/>
            <w:tcBorders>
              <w:tl2br w:val="nil"/>
              <w:tr2bl w:val="nil"/>
            </w:tcBorders>
            <w:vAlign w:val="center"/>
          </w:tcPr>
          <w:p w14:paraId="21BC7B0F">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评价因子源强（kg/hr）</w:t>
            </w:r>
          </w:p>
        </w:tc>
      </w:tr>
      <w:tr w14:paraId="0B96D7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5" w:type="dxa"/>
            <w:vMerge w:val="continue"/>
            <w:tcBorders>
              <w:tl2br w:val="nil"/>
              <w:tr2bl w:val="nil"/>
            </w:tcBorders>
            <w:vAlign w:val="center"/>
          </w:tcPr>
          <w:p w14:paraId="134C0239">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2148" w:type="dxa"/>
            <w:vMerge w:val="continue"/>
            <w:tcBorders>
              <w:tl2br w:val="nil"/>
              <w:tr2bl w:val="nil"/>
            </w:tcBorders>
            <w:vAlign w:val="center"/>
          </w:tcPr>
          <w:p w14:paraId="3325B01A">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3261" w:type="dxa"/>
            <w:vMerge w:val="continue"/>
            <w:tcBorders>
              <w:tl2br w:val="nil"/>
              <w:tr2bl w:val="nil"/>
            </w:tcBorders>
            <w:vAlign w:val="center"/>
          </w:tcPr>
          <w:p w14:paraId="53F43455">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1133" w:type="dxa"/>
            <w:vMerge w:val="continue"/>
            <w:tcBorders>
              <w:tl2br w:val="nil"/>
              <w:tr2bl w:val="nil"/>
            </w:tcBorders>
            <w:vAlign w:val="center"/>
          </w:tcPr>
          <w:p w14:paraId="3CEB74DC">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1133" w:type="dxa"/>
            <w:vMerge w:val="continue"/>
            <w:tcBorders>
              <w:tl2br w:val="nil"/>
              <w:tr2bl w:val="nil"/>
            </w:tcBorders>
            <w:vAlign w:val="center"/>
          </w:tcPr>
          <w:p w14:paraId="69717BA8">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1373" w:type="dxa"/>
            <w:vMerge w:val="continue"/>
            <w:tcBorders>
              <w:tl2br w:val="nil"/>
              <w:tr2bl w:val="nil"/>
            </w:tcBorders>
            <w:vAlign w:val="center"/>
          </w:tcPr>
          <w:p w14:paraId="5446C864">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1037" w:type="dxa"/>
            <w:vMerge w:val="continue"/>
            <w:tcBorders>
              <w:tl2br w:val="nil"/>
              <w:tr2bl w:val="nil"/>
            </w:tcBorders>
            <w:vAlign w:val="center"/>
          </w:tcPr>
          <w:p w14:paraId="420DABF8">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3394" w:type="dxa"/>
            <w:tcBorders>
              <w:tl2br w:val="nil"/>
              <w:tr2bl w:val="nil"/>
            </w:tcBorders>
            <w:vAlign w:val="center"/>
          </w:tcPr>
          <w:p w14:paraId="713082CB">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PM</w:t>
            </w:r>
            <w:r>
              <w:rPr>
                <w:rFonts w:hint="default" w:ascii="Times New Roman" w:hAnsi="Times New Roman" w:cs="Times New Roman"/>
                <w:b/>
                <w:bCs/>
                <w:color w:val="auto"/>
                <w:sz w:val="21"/>
                <w:szCs w:val="21"/>
                <w:highlight w:val="none"/>
                <w:vertAlign w:val="subscript"/>
              </w:rPr>
              <w:t>10</w:t>
            </w:r>
          </w:p>
        </w:tc>
      </w:tr>
      <w:tr w14:paraId="5233B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5" w:type="dxa"/>
            <w:vMerge w:val="continue"/>
            <w:tcBorders>
              <w:tl2br w:val="nil"/>
              <w:tr2bl w:val="nil"/>
            </w:tcBorders>
            <w:vAlign w:val="center"/>
          </w:tcPr>
          <w:p w14:paraId="132C18C6">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2148" w:type="dxa"/>
            <w:vMerge w:val="continue"/>
            <w:tcBorders>
              <w:tl2br w:val="nil"/>
              <w:tr2bl w:val="nil"/>
            </w:tcBorders>
            <w:vAlign w:val="center"/>
          </w:tcPr>
          <w:p w14:paraId="2636DBF9">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3261" w:type="dxa"/>
            <w:vMerge w:val="continue"/>
            <w:tcBorders>
              <w:tl2br w:val="nil"/>
              <w:tr2bl w:val="nil"/>
            </w:tcBorders>
            <w:vAlign w:val="center"/>
          </w:tcPr>
          <w:p w14:paraId="6C78AD42">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p>
        </w:tc>
        <w:tc>
          <w:tcPr>
            <w:tcW w:w="1133" w:type="dxa"/>
            <w:tcBorders>
              <w:tl2br w:val="nil"/>
              <w:tr2bl w:val="nil"/>
            </w:tcBorders>
            <w:vAlign w:val="center"/>
          </w:tcPr>
          <w:p w14:paraId="236CE351">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H(m)</w:t>
            </w:r>
          </w:p>
        </w:tc>
        <w:tc>
          <w:tcPr>
            <w:tcW w:w="1133" w:type="dxa"/>
            <w:tcBorders>
              <w:tl2br w:val="nil"/>
              <w:tr2bl w:val="nil"/>
            </w:tcBorders>
            <w:vAlign w:val="center"/>
          </w:tcPr>
          <w:p w14:paraId="125F8524">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D(m)</w:t>
            </w:r>
          </w:p>
        </w:tc>
        <w:tc>
          <w:tcPr>
            <w:tcW w:w="1373" w:type="dxa"/>
            <w:tcBorders>
              <w:tl2br w:val="nil"/>
              <w:tr2bl w:val="nil"/>
            </w:tcBorders>
            <w:vAlign w:val="center"/>
          </w:tcPr>
          <w:p w14:paraId="2A58387E">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T（℃）</w:t>
            </w:r>
          </w:p>
        </w:tc>
        <w:tc>
          <w:tcPr>
            <w:tcW w:w="1037" w:type="dxa"/>
            <w:tcBorders>
              <w:tl2br w:val="nil"/>
              <w:tr2bl w:val="nil"/>
            </w:tcBorders>
            <w:vAlign w:val="center"/>
          </w:tcPr>
          <w:p w14:paraId="35EFDF79">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V(m</w:t>
            </w:r>
            <w:r>
              <w:rPr>
                <w:rFonts w:hint="default" w:ascii="Times New Roman" w:hAnsi="Times New Roman" w:cs="Times New Roman"/>
                <w:b/>
                <w:bCs/>
                <w:color w:val="auto"/>
                <w:spacing w:val="-1"/>
                <w:sz w:val="21"/>
                <w:szCs w:val="21"/>
                <w:highlight w:val="none"/>
                <w:vertAlign w:val="superscript"/>
              </w:rPr>
              <w:t>3</w:t>
            </w:r>
            <w:r>
              <w:rPr>
                <w:rFonts w:hint="default" w:ascii="Times New Roman" w:hAnsi="Times New Roman" w:cs="Times New Roman"/>
                <w:b/>
                <w:bCs/>
                <w:color w:val="auto"/>
                <w:spacing w:val="-1"/>
                <w:sz w:val="21"/>
                <w:szCs w:val="21"/>
                <w:highlight w:val="none"/>
              </w:rPr>
              <w:t>/h)</w:t>
            </w:r>
          </w:p>
        </w:tc>
        <w:tc>
          <w:tcPr>
            <w:tcW w:w="3394" w:type="dxa"/>
            <w:tcBorders>
              <w:tl2br w:val="nil"/>
              <w:tr2bl w:val="nil"/>
            </w:tcBorders>
            <w:vAlign w:val="center"/>
          </w:tcPr>
          <w:p w14:paraId="6F025F48">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QPM</w:t>
            </w:r>
            <w:r>
              <w:rPr>
                <w:rFonts w:hint="default" w:ascii="Times New Roman" w:hAnsi="Times New Roman" w:cs="Times New Roman"/>
                <w:b/>
                <w:bCs/>
                <w:color w:val="auto"/>
                <w:spacing w:val="-1"/>
                <w:sz w:val="21"/>
                <w:szCs w:val="21"/>
                <w:highlight w:val="none"/>
                <w:vertAlign w:val="subscript"/>
              </w:rPr>
              <w:t>10</w:t>
            </w:r>
          </w:p>
        </w:tc>
      </w:tr>
      <w:tr w14:paraId="510473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vAlign w:val="center"/>
          </w:tcPr>
          <w:p w14:paraId="053B9106">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P1</w:t>
            </w:r>
          </w:p>
        </w:tc>
        <w:tc>
          <w:tcPr>
            <w:tcW w:w="2148" w:type="dxa"/>
            <w:tcBorders>
              <w:tl2br w:val="nil"/>
              <w:tr2bl w:val="nil"/>
            </w:tcBorders>
            <w:vAlign w:val="center"/>
          </w:tcPr>
          <w:p w14:paraId="6B74435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袋式除尘器排气筒P1</w:t>
            </w:r>
          </w:p>
        </w:tc>
        <w:tc>
          <w:tcPr>
            <w:tcW w:w="3261" w:type="dxa"/>
            <w:tcBorders>
              <w:tl2br w:val="nil"/>
              <w:tr2bl w:val="nil"/>
            </w:tcBorders>
            <w:vAlign w:val="center"/>
          </w:tcPr>
          <w:p w14:paraId="46B77B68">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eastAsia="华文中宋" w:cs="Times New Roman"/>
                <w:color w:val="auto"/>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除尘器故障，效率降至50%</w:t>
            </w:r>
          </w:p>
        </w:tc>
        <w:tc>
          <w:tcPr>
            <w:tcW w:w="1133" w:type="dxa"/>
            <w:tcBorders>
              <w:tl2br w:val="nil"/>
              <w:tr2bl w:val="nil"/>
            </w:tcBorders>
            <w:shd w:val="clear" w:color="auto" w:fill="auto"/>
            <w:vAlign w:val="center"/>
          </w:tcPr>
          <w:p w14:paraId="261DD516">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lang w:val="en-US" w:eastAsia="zh-CN"/>
              </w:rPr>
              <w:t>15</w:t>
            </w:r>
          </w:p>
        </w:tc>
        <w:tc>
          <w:tcPr>
            <w:tcW w:w="1133" w:type="dxa"/>
            <w:tcBorders>
              <w:tl2br w:val="nil"/>
              <w:tr2bl w:val="nil"/>
            </w:tcBorders>
            <w:shd w:val="clear" w:color="auto" w:fill="auto"/>
            <w:vAlign w:val="center"/>
          </w:tcPr>
          <w:p w14:paraId="6BFF7430">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w:t>
            </w:r>
          </w:p>
        </w:tc>
        <w:tc>
          <w:tcPr>
            <w:tcW w:w="1373" w:type="dxa"/>
            <w:tcBorders>
              <w:tl2br w:val="nil"/>
              <w:tr2bl w:val="nil"/>
            </w:tcBorders>
            <w:shd w:val="clear" w:color="auto" w:fill="auto"/>
            <w:vAlign w:val="center"/>
          </w:tcPr>
          <w:p w14:paraId="40C70B3C">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1037" w:type="dxa"/>
            <w:tcBorders>
              <w:tl2br w:val="nil"/>
              <w:tr2bl w:val="nil"/>
            </w:tcBorders>
            <w:shd w:val="clear" w:color="auto" w:fill="auto"/>
            <w:vAlign w:val="center"/>
          </w:tcPr>
          <w:p w14:paraId="6B866079">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2.76 </w:t>
            </w:r>
          </w:p>
        </w:tc>
        <w:tc>
          <w:tcPr>
            <w:tcW w:w="3394" w:type="dxa"/>
            <w:tcBorders>
              <w:tl2br w:val="nil"/>
              <w:tr2bl w:val="nil"/>
            </w:tcBorders>
            <w:shd w:val="clear" w:color="auto" w:fill="auto"/>
            <w:vAlign w:val="center"/>
          </w:tcPr>
          <w:p w14:paraId="4C974B06">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r>
      <w:tr w14:paraId="33512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vAlign w:val="center"/>
          </w:tcPr>
          <w:p w14:paraId="387A4356">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P2</w:t>
            </w:r>
          </w:p>
        </w:tc>
        <w:tc>
          <w:tcPr>
            <w:tcW w:w="2148" w:type="dxa"/>
            <w:tcBorders>
              <w:tl2br w:val="nil"/>
              <w:tr2bl w:val="nil"/>
            </w:tcBorders>
            <w:vAlign w:val="center"/>
          </w:tcPr>
          <w:p w14:paraId="54C3DF4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袋式除尘器排气筒P2</w:t>
            </w:r>
          </w:p>
        </w:tc>
        <w:tc>
          <w:tcPr>
            <w:tcW w:w="3261" w:type="dxa"/>
            <w:tcBorders>
              <w:tl2br w:val="nil"/>
              <w:tr2bl w:val="nil"/>
            </w:tcBorders>
            <w:vAlign w:val="center"/>
          </w:tcPr>
          <w:p w14:paraId="6477E309">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华文中宋" w:cs="Times New Roman"/>
                <w:color w:val="auto"/>
                <w:sz w:val="21"/>
                <w:szCs w:val="21"/>
                <w:highlight w:val="none"/>
                <w:lang w:val="en-US" w:eastAsia="zh-CN"/>
              </w:rPr>
              <w:t>除尘器故障，效率降至50%</w:t>
            </w:r>
          </w:p>
        </w:tc>
        <w:tc>
          <w:tcPr>
            <w:tcW w:w="1133" w:type="dxa"/>
            <w:tcBorders>
              <w:tl2br w:val="nil"/>
              <w:tr2bl w:val="nil"/>
            </w:tcBorders>
            <w:shd w:val="clear" w:color="auto" w:fill="auto"/>
            <w:vAlign w:val="center"/>
          </w:tcPr>
          <w:p w14:paraId="75D7A56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lang w:val="en-US" w:eastAsia="zh-CN"/>
              </w:rPr>
              <w:t>15</w:t>
            </w:r>
          </w:p>
        </w:tc>
        <w:tc>
          <w:tcPr>
            <w:tcW w:w="1133" w:type="dxa"/>
            <w:tcBorders>
              <w:tl2br w:val="nil"/>
              <w:tr2bl w:val="nil"/>
            </w:tcBorders>
            <w:shd w:val="clear" w:color="auto" w:fill="auto"/>
            <w:vAlign w:val="center"/>
          </w:tcPr>
          <w:p w14:paraId="2E175736">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w:t>
            </w:r>
          </w:p>
        </w:tc>
        <w:tc>
          <w:tcPr>
            <w:tcW w:w="1373" w:type="dxa"/>
            <w:tcBorders>
              <w:tl2br w:val="nil"/>
              <w:tr2bl w:val="nil"/>
            </w:tcBorders>
            <w:shd w:val="clear" w:color="auto" w:fill="auto"/>
            <w:vAlign w:val="center"/>
          </w:tcPr>
          <w:p w14:paraId="667AAE18">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1037" w:type="dxa"/>
            <w:tcBorders>
              <w:tl2br w:val="nil"/>
              <w:tr2bl w:val="nil"/>
            </w:tcBorders>
            <w:shd w:val="clear" w:color="auto" w:fill="auto"/>
            <w:vAlign w:val="center"/>
          </w:tcPr>
          <w:p w14:paraId="07C5AD96">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6.19 </w:t>
            </w:r>
          </w:p>
        </w:tc>
        <w:tc>
          <w:tcPr>
            <w:tcW w:w="3394" w:type="dxa"/>
            <w:tcBorders>
              <w:tl2br w:val="nil"/>
              <w:tr2bl w:val="nil"/>
            </w:tcBorders>
            <w:shd w:val="clear" w:color="auto" w:fill="auto"/>
            <w:vAlign w:val="center"/>
          </w:tcPr>
          <w:p w14:paraId="0C42114F">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r>
      <w:tr w14:paraId="393C16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vAlign w:val="center"/>
          </w:tcPr>
          <w:p w14:paraId="00384A56">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P3</w:t>
            </w:r>
          </w:p>
        </w:tc>
        <w:tc>
          <w:tcPr>
            <w:tcW w:w="2148" w:type="dxa"/>
            <w:tcBorders>
              <w:tl2br w:val="nil"/>
              <w:tr2bl w:val="nil"/>
            </w:tcBorders>
            <w:vAlign w:val="center"/>
          </w:tcPr>
          <w:p w14:paraId="04C9B9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袋式除尘器排气筒P3</w:t>
            </w:r>
          </w:p>
        </w:tc>
        <w:tc>
          <w:tcPr>
            <w:tcW w:w="3261" w:type="dxa"/>
            <w:tcBorders>
              <w:tl2br w:val="nil"/>
              <w:tr2bl w:val="nil"/>
            </w:tcBorders>
            <w:vAlign w:val="center"/>
          </w:tcPr>
          <w:p w14:paraId="0C80D0DD">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华文中宋" w:cs="Times New Roman"/>
                <w:color w:val="auto"/>
                <w:sz w:val="21"/>
                <w:szCs w:val="21"/>
                <w:highlight w:val="none"/>
                <w:lang w:val="en-US" w:eastAsia="zh-CN"/>
              </w:rPr>
              <w:t>除尘器故障，效率降至50%</w:t>
            </w:r>
          </w:p>
        </w:tc>
        <w:tc>
          <w:tcPr>
            <w:tcW w:w="1133" w:type="dxa"/>
            <w:tcBorders>
              <w:tl2br w:val="nil"/>
              <w:tr2bl w:val="nil"/>
            </w:tcBorders>
            <w:shd w:val="clear" w:color="auto" w:fill="auto"/>
            <w:vAlign w:val="center"/>
          </w:tcPr>
          <w:p w14:paraId="72FEE3F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lang w:val="en-US" w:eastAsia="zh-CN"/>
              </w:rPr>
              <w:t>15</w:t>
            </w:r>
          </w:p>
        </w:tc>
        <w:tc>
          <w:tcPr>
            <w:tcW w:w="1133" w:type="dxa"/>
            <w:tcBorders>
              <w:tl2br w:val="nil"/>
              <w:tr2bl w:val="nil"/>
            </w:tcBorders>
            <w:shd w:val="clear" w:color="auto" w:fill="auto"/>
            <w:vAlign w:val="center"/>
          </w:tcPr>
          <w:p w14:paraId="68B35591">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w:t>
            </w:r>
          </w:p>
        </w:tc>
        <w:tc>
          <w:tcPr>
            <w:tcW w:w="1373" w:type="dxa"/>
            <w:tcBorders>
              <w:tl2br w:val="nil"/>
              <w:tr2bl w:val="nil"/>
            </w:tcBorders>
            <w:shd w:val="clear" w:color="auto" w:fill="auto"/>
            <w:vAlign w:val="center"/>
          </w:tcPr>
          <w:p w14:paraId="477E671A">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1037" w:type="dxa"/>
            <w:tcBorders>
              <w:tl2br w:val="nil"/>
              <w:tr2bl w:val="nil"/>
            </w:tcBorders>
            <w:shd w:val="clear" w:color="auto" w:fill="auto"/>
            <w:vAlign w:val="center"/>
          </w:tcPr>
          <w:p w14:paraId="51877193">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7.42 </w:t>
            </w:r>
          </w:p>
        </w:tc>
        <w:tc>
          <w:tcPr>
            <w:tcW w:w="3394" w:type="dxa"/>
            <w:tcBorders>
              <w:tl2br w:val="nil"/>
              <w:tr2bl w:val="nil"/>
            </w:tcBorders>
            <w:shd w:val="clear" w:color="auto" w:fill="auto"/>
            <w:vAlign w:val="center"/>
          </w:tcPr>
          <w:p w14:paraId="5A0A7EEC">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1.365</w:t>
            </w:r>
          </w:p>
        </w:tc>
      </w:tr>
      <w:tr w14:paraId="3DBF62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5" w:type="dxa"/>
            <w:tcBorders>
              <w:tl2br w:val="nil"/>
              <w:tr2bl w:val="nil"/>
            </w:tcBorders>
            <w:vAlign w:val="center"/>
          </w:tcPr>
          <w:p w14:paraId="72D60AF6">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P4</w:t>
            </w:r>
          </w:p>
        </w:tc>
        <w:tc>
          <w:tcPr>
            <w:tcW w:w="2148" w:type="dxa"/>
            <w:tcBorders>
              <w:tl2br w:val="nil"/>
              <w:tr2bl w:val="nil"/>
            </w:tcBorders>
            <w:vAlign w:val="center"/>
          </w:tcPr>
          <w:p w14:paraId="21B2D093">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袋式除尘器排气筒P</w:t>
            </w:r>
            <w:r>
              <w:rPr>
                <w:rFonts w:hint="default" w:cs="Times New Roman"/>
                <w:color w:val="auto"/>
                <w:sz w:val="21"/>
                <w:szCs w:val="21"/>
                <w:highlight w:val="none"/>
                <w:lang w:val="en-US" w:eastAsia="zh-CN"/>
              </w:rPr>
              <w:t>4</w:t>
            </w:r>
          </w:p>
        </w:tc>
        <w:tc>
          <w:tcPr>
            <w:tcW w:w="3261" w:type="dxa"/>
            <w:tcBorders>
              <w:tl2br w:val="nil"/>
              <w:tr2bl w:val="nil"/>
            </w:tcBorders>
            <w:vAlign w:val="center"/>
          </w:tcPr>
          <w:p w14:paraId="2EBA1EB2">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eastAsia="华文中宋" w:cs="Times New Roman"/>
                <w:color w:val="auto"/>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除尘器故障，效率降至50%</w:t>
            </w:r>
          </w:p>
        </w:tc>
        <w:tc>
          <w:tcPr>
            <w:tcW w:w="1133" w:type="dxa"/>
            <w:tcBorders>
              <w:tl2br w:val="nil"/>
              <w:tr2bl w:val="nil"/>
            </w:tcBorders>
            <w:shd w:val="clear" w:color="auto" w:fill="auto"/>
            <w:vAlign w:val="center"/>
          </w:tcPr>
          <w:p w14:paraId="1FD7666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15</w:t>
            </w:r>
          </w:p>
        </w:tc>
        <w:tc>
          <w:tcPr>
            <w:tcW w:w="1133" w:type="dxa"/>
            <w:tcBorders>
              <w:tl2br w:val="nil"/>
              <w:tr2bl w:val="nil"/>
            </w:tcBorders>
            <w:shd w:val="clear" w:color="auto" w:fill="auto"/>
            <w:vAlign w:val="center"/>
          </w:tcPr>
          <w:p w14:paraId="57AEEA7E">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default" w:cs="Times New Roman"/>
                <w:color w:val="auto"/>
                <w:kern w:val="0"/>
                <w:sz w:val="21"/>
                <w:szCs w:val="21"/>
                <w:highlight w:val="none"/>
                <w:lang w:val="en-US" w:eastAsia="zh-CN"/>
              </w:rPr>
              <w:t>3</w:t>
            </w:r>
          </w:p>
        </w:tc>
        <w:tc>
          <w:tcPr>
            <w:tcW w:w="1373" w:type="dxa"/>
            <w:tcBorders>
              <w:tl2br w:val="nil"/>
              <w:tr2bl w:val="nil"/>
            </w:tcBorders>
            <w:shd w:val="clear" w:color="auto" w:fill="auto"/>
            <w:vAlign w:val="center"/>
          </w:tcPr>
          <w:p w14:paraId="66917A00">
            <w:pPr>
              <w:adjustRightInd w:val="0"/>
              <w:snapToGrid w:val="0"/>
              <w:spacing w:line="360" w:lineRule="exact"/>
              <w:ind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常温</w:t>
            </w:r>
          </w:p>
        </w:tc>
        <w:tc>
          <w:tcPr>
            <w:tcW w:w="1037" w:type="dxa"/>
            <w:tcBorders>
              <w:tl2br w:val="nil"/>
              <w:tr2bl w:val="nil"/>
            </w:tcBorders>
            <w:shd w:val="clear" w:color="auto" w:fill="auto"/>
            <w:vAlign w:val="center"/>
          </w:tcPr>
          <w:p w14:paraId="7F05DF94">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1.19 </w:t>
            </w:r>
          </w:p>
        </w:tc>
        <w:tc>
          <w:tcPr>
            <w:tcW w:w="3394" w:type="dxa"/>
            <w:tcBorders>
              <w:tl2br w:val="nil"/>
              <w:tr2bl w:val="nil"/>
            </w:tcBorders>
            <w:shd w:val="clear" w:color="auto" w:fill="auto"/>
            <w:vAlign w:val="center"/>
          </w:tcPr>
          <w:p w14:paraId="344D23FC">
            <w:pPr>
              <w:keepNext w:val="0"/>
              <w:keepLines w:val="0"/>
              <w:widowControl/>
              <w:suppressLineNumbers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0.23</w:t>
            </w:r>
          </w:p>
        </w:tc>
      </w:tr>
    </w:tbl>
    <w:p w14:paraId="0E5F7CD9">
      <w:pPr>
        <w:ind w:firstLine="480"/>
        <w:rPr>
          <w:rFonts w:hint="default" w:ascii="Times New Roman" w:hAnsi="Times New Roman" w:cs="Times New Roman"/>
          <w:color w:val="auto"/>
          <w:highlight w:val="none"/>
          <w:lang w:bidi="ar"/>
        </w:rPr>
      </w:pPr>
    </w:p>
    <w:p w14:paraId="4BF75C19">
      <w:pPr>
        <w:ind w:firstLine="480"/>
        <w:rPr>
          <w:rFonts w:hint="default" w:ascii="Times New Roman" w:hAnsi="Times New Roman" w:cs="Times New Roman"/>
          <w:color w:val="auto"/>
          <w:kern w:val="0"/>
          <w:highlight w:val="none"/>
        </w:rPr>
      </w:pPr>
    </w:p>
    <w:p w14:paraId="7D3D2F57">
      <w:pPr>
        <w:ind w:firstLine="480"/>
        <w:rPr>
          <w:rFonts w:hint="default" w:ascii="Times New Roman" w:hAnsi="Times New Roman" w:cs="Times New Roman"/>
          <w:color w:val="auto"/>
          <w:kern w:val="0"/>
          <w:highlight w:val="none"/>
        </w:rPr>
        <w:sectPr>
          <w:footerReference r:id="rId29" w:type="default"/>
          <w:footerReference r:id="rId30" w:type="even"/>
          <w:pgSz w:w="16838" w:h="11906" w:orient="landscape"/>
          <w:pgMar w:top="1800" w:right="1440" w:bottom="1800" w:left="1440" w:header="851" w:footer="992" w:gutter="0"/>
          <w:cols w:space="425" w:num="1"/>
          <w:docGrid w:type="lines" w:linePitch="326" w:charSpace="0"/>
        </w:sectPr>
      </w:pPr>
    </w:p>
    <w:p w14:paraId="037D36F5">
      <w:pPr>
        <w:pStyle w:val="120"/>
        <w:ind w:left="-120" w:firstLine="4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5.2.1.3大气污染源调查与分析</w:t>
      </w:r>
    </w:p>
    <w:p w14:paraId="1729A786">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据调查，项目所在区域评价范围内无拟建、在建排放与本项目同类污染物的污染源项目。</w:t>
      </w:r>
    </w:p>
    <w:p w14:paraId="72164CF3">
      <w:pPr>
        <w:pStyle w:val="120"/>
        <w:ind w:left="-120" w:firstLine="456"/>
        <w:rPr>
          <w:rFonts w:hint="default" w:ascii="Times New Roman" w:hAnsi="Times New Roman" w:eastAsia="宋体" w:cs="Times New Roman"/>
          <w:bCs/>
          <w:color w:val="auto"/>
          <w:kern w:val="2"/>
          <w:szCs w:val="24"/>
          <w:highlight w:val="none"/>
          <w:lang w:bidi="ar"/>
        </w:rPr>
      </w:pPr>
      <w:r>
        <w:rPr>
          <w:rFonts w:hint="default" w:ascii="Times New Roman" w:hAnsi="Times New Roman" w:eastAsia="宋体" w:cs="Times New Roman"/>
          <w:color w:val="auto"/>
          <w:highlight w:val="none"/>
        </w:rPr>
        <w:t>5.2.1.4</w:t>
      </w:r>
      <w:r>
        <w:rPr>
          <w:rFonts w:hint="default" w:ascii="Times New Roman" w:hAnsi="Times New Roman" w:eastAsia="宋体" w:cs="Times New Roman"/>
          <w:bCs/>
          <w:color w:val="auto"/>
          <w:kern w:val="2"/>
          <w:szCs w:val="24"/>
          <w:highlight w:val="none"/>
          <w:lang w:bidi="ar"/>
        </w:rPr>
        <w:t>大气污染源排放量核算</w:t>
      </w:r>
    </w:p>
    <w:p w14:paraId="4444F7A7">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（1）有组织排放量核算</w:t>
      </w:r>
    </w:p>
    <w:p w14:paraId="1CD0A922">
      <w:pPr>
        <w:ind w:firstLine="480" w:firstLineChars="200"/>
        <w:jc w:val="both"/>
        <w:rPr>
          <w:color w:val="auto"/>
          <w:highlight w:val="none"/>
        </w:rPr>
      </w:pPr>
      <w:r>
        <w:rPr>
          <w:rFonts w:hint="default" w:ascii="Times New Roman" w:hAnsi="Times New Roman" w:cs="Times New Roman"/>
          <w:color w:val="auto"/>
          <w:highlight w:val="none"/>
          <w:lang w:bidi="ar"/>
        </w:rPr>
        <w:t>本项目有组织大气污染物排放量核算情况如下：</w:t>
      </w:r>
    </w:p>
    <w:p w14:paraId="625498ED">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表5.2-8    本项目大气污染物有组织排放量核算一览表</w:t>
      </w:r>
    </w:p>
    <w:tbl>
      <w:tblPr>
        <w:tblStyle w:val="33"/>
        <w:tblW w:w="83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0"/>
        <w:gridCol w:w="2296"/>
        <w:gridCol w:w="1389"/>
        <w:gridCol w:w="1418"/>
        <w:gridCol w:w="1417"/>
        <w:gridCol w:w="1373"/>
      </w:tblGrid>
      <w:tr w14:paraId="6AE08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40" w:type="dxa"/>
            <w:vAlign w:val="center"/>
          </w:tcPr>
          <w:p w14:paraId="50BBD81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296" w:type="dxa"/>
            <w:vAlign w:val="center"/>
          </w:tcPr>
          <w:p w14:paraId="5125A1D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排放源</w:t>
            </w:r>
          </w:p>
        </w:tc>
        <w:tc>
          <w:tcPr>
            <w:tcW w:w="1389" w:type="dxa"/>
            <w:vAlign w:val="center"/>
          </w:tcPr>
          <w:p w14:paraId="4DE125E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418" w:type="dxa"/>
            <w:vAlign w:val="center"/>
          </w:tcPr>
          <w:p w14:paraId="790D4E2F">
            <w:pPr>
              <w:kinsoku w:val="0"/>
              <w:overflowPunct w:val="0"/>
              <w:autoSpaceDE w:val="0"/>
              <w:autoSpaceDN w:val="0"/>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核算排放浓度</w:t>
            </w:r>
          </w:p>
          <w:p w14:paraId="45D9FBBD">
            <w:pPr>
              <w:kinsoku w:val="0"/>
              <w:overflowPunct w:val="0"/>
              <w:autoSpaceDE w:val="0"/>
              <w:autoSpaceDN w:val="0"/>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（mg/m</w:t>
            </w:r>
            <w:r>
              <w:rPr>
                <w:rFonts w:hint="default" w:ascii="Times New Roman" w:hAnsi="Times New Roman" w:cs="Times New Roman"/>
                <w:b/>
                <w:bCs/>
                <w:color w:val="auto"/>
                <w:sz w:val="21"/>
                <w:szCs w:val="21"/>
                <w:highlight w:val="none"/>
                <w:vertAlign w:val="superscript"/>
                <w:lang w:bidi="ar"/>
              </w:rPr>
              <w:t>3</w:t>
            </w:r>
            <w:r>
              <w:rPr>
                <w:rFonts w:hint="default" w:ascii="Times New Roman" w:hAnsi="Times New Roman" w:cs="Times New Roman"/>
                <w:b/>
                <w:bCs/>
                <w:color w:val="auto"/>
                <w:sz w:val="21"/>
                <w:szCs w:val="21"/>
                <w:highlight w:val="none"/>
                <w:lang w:bidi="ar"/>
              </w:rPr>
              <w:t>）</w:t>
            </w:r>
          </w:p>
        </w:tc>
        <w:tc>
          <w:tcPr>
            <w:tcW w:w="1417" w:type="dxa"/>
            <w:vAlign w:val="center"/>
          </w:tcPr>
          <w:p w14:paraId="5978E9B3">
            <w:pPr>
              <w:kinsoku w:val="0"/>
              <w:overflowPunct w:val="0"/>
              <w:autoSpaceDE w:val="0"/>
              <w:autoSpaceDN w:val="0"/>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核算排放速率（kg/h）</w:t>
            </w:r>
          </w:p>
        </w:tc>
        <w:tc>
          <w:tcPr>
            <w:tcW w:w="1373" w:type="dxa"/>
            <w:vAlign w:val="center"/>
          </w:tcPr>
          <w:p w14:paraId="55960491">
            <w:pPr>
              <w:kinsoku w:val="0"/>
              <w:overflowPunct w:val="0"/>
              <w:autoSpaceDE w:val="0"/>
              <w:autoSpaceDN w:val="0"/>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核算年排放量</w:t>
            </w:r>
          </w:p>
          <w:p w14:paraId="5A85D58D">
            <w:pPr>
              <w:kinsoku w:val="0"/>
              <w:overflowPunct w:val="0"/>
              <w:autoSpaceDE w:val="0"/>
              <w:autoSpaceDN w:val="0"/>
              <w:adjustRightInd w:val="0"/>
              <w:snapToGri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（t/a）</w:t>
            </w:r>
          </w:p>
        </w:tc>
      </w:tr>
      <w:tr w14:paraId="209D57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8333" w:type="dxa"/>
            <w:gridSpan w:val="6"/>
            <w:vAlign w:val="center"/>
          </w:tcPr>
          <w:p w14:paraId="4B05323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主要排放口</w:t>
            </w:r>
          </w:p>
        </w:tc>
      </w:tr>
      <w:tr w14:paraId="3369F0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0" w:type="dxa"/>
            <w:vAlign w:val="center"/>
          </w:tcPr>
          <w:p w14:paraId="3F3B331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P1</w:t>
            </w:r>
          </w:p>
        </w:tc>
        <w:tc>
          <w:tcPr>
            <w:tcW w:w="2296" w:type="dxa"/>
            <w:vAlign w:val="center"/>
          </w:tcPr>
          <w:p w14:paraId="72C83BEF">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粗碎厂房排气筒</w:t>
            </w:r>
          </w:p>
        </w:tc>
        <w:tc>
          <w:tcPr>
            <w:tcW w:w="1389" w:type="dxa"/>
            <w:vAlign w:val="center"/>
          </w:tcPr>
          <w:p w14:paraId="22E21D12">
            <w:pPr>
              <w:spacing w:line="360" w:lineRule="exact"/>
              <w:ind w:firstLine="0" w:firstLineChars="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1"/>
                <w:highlight w:val="none"/>
              </w:rPr>
              <w:t>颗粒物</w:t>
            </w:r>
          </w:p>
        </w:tc>
        <w:tc>
          <w:tcPr>
            <w:tcW w:w="1418" w:type="dxa"/>
            <w:vAlign w:val="center"/>
          </w:tcPr>
          <w:p w14:paraId="79001BF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2"/>
                <w:highlight w:val="none"/>
              </w:rPr>
            </w:pPr>
            <w:r>
              <w:rPr>
                <w:rFonts w:hint="default" w:ascii="Times New Roman" w:hAnsi="Times New Roman" w:eastAsia="宋体" w:cs="Times New Roman"/>
                <w:color w:val="auto"/>
                <w:spacing w:val="-2"/>
                <w:sz w:val="21"/>
                <w:szCs w:val="21"/>
                <w:highlight w:val="none"/>
                <w:lang w:val="en-US" w:eastAsia="zh-CN"/>
              </w:rPr>
              <w:t xml:space="preserve">10.48 </w:t>
            </w:r>
          </w:p>
        </w:tc>
        <w:tc>
          <w:tcPr>
            <w:tcW w:w="1417" w:type="dxa"/>
            <w:vAlign w:val="center"/>
          </w:tcPr>
          <w:p w14:paraId="4CFB427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2"/>
                <w:highlight w:val="none"/>
              </w:rPr>
            </w:pPr>
            <w:r>
              <w:rPr>
                <w:rFonts w:hint="default" w:ascii="Times New Roman" w:hAnsi="Times New Roman" w:eastAsia="宋体" w:cs="Times New Roman"/>
                <w:color w:val="auto"/>
                <w:spacing w:val="-2"/>
                <w:sz w:val="21"/>
                <w:szCs w:val="21"/>
                <w:highlight w:val="none"/>
                <w:lang w:val="en-US" w:eastAsia="zh-CN"/>
              </w:rPr>
              <w:t>0.104</w:t>
            </w:r>
          </w:p>
        </w:tc>
        <w:tc>
          <w:tcPr>
            <w:tcW w:w="1373" w:type="dxa"/>
            <w:vAlign w:val="center"/>
          </w:tcPr>
          <w:p w14:paraId="18EA111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0.6</w:t>
            </w:r>
          </w:p>
        </w:tc>
      </w:tr>
      <w:tr w14:paraId="21D7F2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0" w:type="dxa"/>
            <w:vAlign w:val="center"/>
          </w:tcPr>
          <w:p w14:paraId="1C0D6ED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P2</w:t>
            </w:r>
          </w:p>
        </w:tc>
        <w:tc>
          <w:tcPr>
            <w:tcW w:w="2296" w:type="dxa"/>
            <w:vAlign w:val="center"/>
          </w:tcPr>
          <w:p w14:paraId="45EE1F6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中细碎厂房排气筒</w:t>
            </w:r>
          </w:p>
        </w:tc>
        <w:tc>
          <w:tcPr>
            <w:tcW w:w="1389" w:type="dxa"/>
            <w:vAlign w:val="center"/>
          </w:tcPr>
          <w:p w14:paraId="57D74BE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418" w:type="dxa"/>
            <w:vAlign w:val="center"/>
          </w:tcPr>
          <w:p w14:paraId="21456D9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2"/>
                <w:highlight w:val="none"/>
              </w:rPr>
            </w:pPr>
            <w:r>
              <w:rPr>
                <w:rFonts w:hint="default" w:ascii="Times New Roman" w:hAnsi="Times New Roman" w:eastAsia="宋体" w:cs="Times New Roman"/>
                <w:color w:val="auto"/>
                <w:spacing w:val="-2"/>
                <w:sz w:val="21"/>
                <w:szCs w:val="21"/>
                <w:highlight w:val="none"/>
                <w:lang w:val="en-US" w:eastAsia="zh-CN"/>
              </w:rPr>
              <w:t xml:space="preserve">10.22 </w:t>
            </w:r>
          </w:p>
        </w:tc>
        <w:tc>
          <w:tcPr>
            <w:tcW w:w="1417" w:type="dxa"/>
            <w:vAlign w:val="center"/>
          </w:tcPr>
          <w:p w14:paraId="4CBFA7C9">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2"/>
                <w:highlight w:val="none"/>
              </w:rPr>
            </w:pPr>
            <w:r>
              <w:rPr>
                <w:rFonts w:hint="default" w:ascii="Times New Roman" w:hAnsi="Times New Roman" w:eastAsia="宋体" w:cs="Times New Roman"/>
                <w:color w:val="auto"/>
                <w:spacing w:val="-2"/>
                <w:sz w:val="21"/>
                <w:szCs w:val="21"/>
                <w:highlight w:val="none"/>
                <w:lang w:val="en-US" w:eastAsia="zh-CN"/>
              </w:rPr>
              <w:t>0.228</w:t>
            </w:r>
          </w:p>
        </w:tc>
        <w:tc>
          <w:tcPr>
            <w:tcW w:w="1373" w:type="dxa"/>
            <w:vAlign w:val="center"/>
          </w:tcPr>
          <w:p w14:paraId="4205450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eastAsia="宋体" w:cs="Times New Roman"/>
                <w:color w:val="auto"/>
                <w:spacing w:val="-2"/>
                <w:sz w:val="21"/>
                <w:szCs w:val="21"/>
                <w:highlight w:val="none"/>
                <w:lang w:val="en-US" w:eastAsia="zh-CN"/>
              </w:rPr>
              <w:t>1.313</w:t>
            </w:r>
          </w:p>
        </w:tc>
      </w:tr>
      <w:tr w14:paraId="46161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0" w:type="dxa"/>
            <w:vAlign w:val="center"/>
          </w:tcPr>
          <w:p w14:paraId="59804A7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P3</w:t>
            </w:r>
          </w:p>
        </w:tc>
        <w:tc>
          <w:tcPr>
            <w:tcW w:w="2296" w:type="dxa"/>
            <w:vAlign w:val="center"/>
          </w:tcPr>
          <w:p w14:paraId="1BA35E7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eastAsia="宋体" w:cs="Times New Roman"/>
                <w:color w:val="auto"/>
                <w:spacing w:val="-2"/>
                <w:sz w:val="21"/>
                <w:szCs w:val="21"/>
                <w:highlight w:val="none"/>
                <w:lang w:val="en-US" w:eastAsia="zh-CN"/>
              </w:rPr>
              <w:t>筛分厂房排气筒</w:t>
            </w:r>
          </w:p>
        </w:tc>
        <w:tc>
          <w:tcPr>
            <w:tcW w:w="1389" w:type="dxa"/>
            <w:vAlign w:val="center"/>
          </w:tcPr>
          <w:p w14:paraId="56FFE7C9">
            <w:pPr>
              <w:spacing w:line="360" w:lineRule="exact"/>
              <w:ind w:firstLine="0" w:firstLineChars="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highlight w:val="none"/>
              </w:rPr>
              <w:t>颗粒物</w:t>
            </w:r>
          </w:p>
        </w:tc>
        <w:tc>
          <w:tcPr>
            <w:tcW w:w="1418" w:type="dxa"/>
            <w:vAlign w:val="center"/>
          </w:tcPr>
          <w:p w14:paraId="2A5DAD9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eastAsia="宋体" w:cs="Times New Roman"/>
                <w:color w:val="auto"/>
                <w:spacing w:val="-2"/>
                <w:sz w:val="21"/>
                <w:szCs w:val="21"/>
                <w:highlight w:val="none"/>
                <w:lang w:val="en-US" w:eastAsia="zh-CN"/>
              </w:rPr>
              <w:t xml:space="preserve">10.22 </w:t>
            </w:r>
          </w:p>
        </w:tc>
        <w:tc>
          <w:tcPr>
            <w:tcW w:w="1417" w:type="dxa"/>
            <w:vAlign w:val="center"/>
          </w:tcPr>
          <w:p w14:paraId="55A19B1E">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0.273</w:t>
            </w:r>
          </w:p>
        </w:tc>
        <w:tc>
          <w:tcPr>
            <w:tcW w:w="1373" w:type="dxa"/>
            <w:vAlign w:val="center"/>
          </w:tcPr>
          <w:p w14:paraId="6476407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eastAsia="宋体" w:cs="Times New Roman"/>
                <w:color w:val="auto"/>
                <w:spacing w:val="-2"/>
                <w:sz w:val="21"/>
                <w:szCs w:val="21"/>
                <w:highlight w:val="none"/>
                <w:lang w:val="en-US" w:eastAsia="zh-CN"/>
              </w:rPr>
              <w:t>1.575</w:t>
            </w:r>
          </w:p>
        </w:tc>
      </w:tr>
      <w:tr w14:paraId="19BA21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0" w:type="dxa"/>
            <w:vAlign w:val="center"/>
          </w:tcPr>
          <w:p w14:paraId="0737234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P4</w:t>
            </w:r>
          </w:p>
        </w:tc>
        <w:tc>
          <w:tcPr>
            <w:tcW w:w="2296" w:type="dxa"/>
            <w:vAlign w:val="center"/>
          </w:tcPr>
          <w:p w14:paraId="40301AC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粉矿仓排气筒</w:t>
            </w:r>
          </w:p>
        </w:tc>
        <w:tc>
          <w:tcPr>
            <w:tcW w:w="1389" w:type="dxa"/>
            <w:vAlign w:val="center"/>
          </w:tcPr>
          <w:p w14:paraId="18485EB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颗粒物</w:t>
            </w:r>
          </w:p>
        </w:tc>
        <w:tc>
          <w:tcPr>
            <w:tcW w:w="1418" w:type="dxa"/>
            <w:shd w:val="clear" w:color="auto" w:fill="auto"/>
            <w:vAlign w:val="center"/>
          </w:tcPr>
          <w:p w14:paraId="5DBFC718">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 xml:space="preserve">10.70 </w:t>
            </w:r>
          </w:p>
        </w:tc>
        <w:tc>
          <w:tcPr>
            <w:tcW w:w="1417" w:type="dxa"/>
            <w:shd w:val="clear" w:color="auto" w:fill="auto"/>
            <w:vAlign w:val="center"/>
          </w:tcPr>
          <w:p w14:paraId="73C81D1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0.046</w:t>
            </w:r>
          </w:p>
        </w:tc>
        <w:tc>
          <w:tcPr>
            <w:tcW w:w="1373" w:type="dxa"/>
            <w:shd w:val="clear" w:color="auto" w:fill="auto"/>
            <w:vAlign w:val="center"/>
          </w:tcPr>
          <w:p w14:paraId="239DF2E1">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0.2625</w:t>
            </w:r>
          </w:p>
        </w:tc>
      </w:tr>
      <w:tr w14:paraId="3DAFEE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2736" w:type="dxa"/>
            <w:gridSpan w:val="2"/>
            <w:vAlign w:val="center"/>
          </w:tcPr>
          <w:p w14:paraId="5D158EA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有组织排放总计</w:t>
            </w:r>
          </w:p>
        </w:tc>
        <w:tc>
          <w:tcPr>
            <w:tcW w:w="4224" w:type="dxa"/>
            <w:gridSpan w:val="3"/>
            <w:vAlign w:val="center"/>
          </w:tcPr>
          <w:p w14:paraId="14139CA3">
            <w:pPr>
              <w:spacing w:line="360" w:lineRule="exact"/>
              <w:ind w:firstLine="0" w:firstLineChars="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highlight w:val="none"/>
              </w:rPr>
              <w:t>颗粒物</w:t>
            </w:r>
          </w:p>
        </w:tc>
        <w:tc>
          <w:tcPr>
            <w:tcW w:w="1373" w:type="dxa"/>
            <w:vAlign w:val="center"/>
          </w:tcPr>
          <w:p w14:paraId="49365BBA">
            <w:pPr>
              <w:spacing w:line="360" w:lineRule="exact"/>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3.75</w:t>
            </w:r>
          </w:p>
        </w:tc>
      </w:tr>
    </w:tbl>
    <w:p w14:paraId="3F786C2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（2）无组织排放量核算</w:t>
      </w:r>
    </w:p>
    <w:p w14:paraId="4DD50D1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本项目有组织大气污染物排放量核算情况如下：</w:t>
      </w:r>
    </w:p>
    <w:p w14:paraId="301ED933">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表5.2-9    本项目大气污染物无组织排放量核算一览表</w:t>
      </w:r>
    </w:p>
    <w:tbl>
      <w:tblPr>
        <w:tblStyle w:val="33"/>
        <w:tblW w:w="84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479"/>
        <w:gridCol w:w="900"/>
        <w:gridCol w:w="2257"/>
        <w:gridCol w:w="955"/>
        <w:gridCol w:w="1826"/>
        <w:gridCol w:w="1012"/>
      </w:tblGrid>
      <w:tr w14:paraId="559BF96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tblHeader/>
          <w:jc w:val="center"/>
        </w:trPr>
        <w:tc>
          <w:tcPr>
            <w:tcW w:w="1479" w:type="dxa"/>
            <w:vMerge w:val="restart"/>
            <w:tcMar>
              <w:left w:w="0" w:type="dxa"/>
              <w:right w:w="0" w:type="dxa"/>
            </w:tcMar>
            <w:vAlign w:val="center"/>
          </w:tcPr>
          <w:p w14:paraId="6DC1018F">
            <w:pPr>
              <w:pStyle w:val="29"/>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产污环节</w:t>
            </w:r>
          </w:p>
        </w:tc>
        <w:tc>
          <w:tcPr>
            <w:tcW w:w="900" w:type="dxa"/>
            <w:vMerge w:val="restart"/>
            <w:vAlign w:val="center"/>
          </w:tcPr>
          <w:p w14:paraId="2FDE192F">
            <w:pPr>
              <w:pStyle w:val="29"/>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污染物</w:t>
            </w:r>
          </w:p>
        </w:tc>
        <w:tc>
          <w:tcPr>
            <w:tcW w:w="2257" w:type="dxa"/>
            <w:vMerge w:val="restart"/>
            <w:vAlign w:val="center"/>
          </w:tcPr>
          <w:p w14:paraId="6D0F7460">
            <w:pPr>
              <w:pStyle w:val="29"/>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主要防治措施</w:t>
            </w:r>
          </w:p>
        </w:tc>
        <w:tc>
          <w:tcPr>
            <w:tcW w:w="2781" w:type="dxa"/>
            <w:gridSpan w:val="2"/>
            <w:vAlign w:val="center"/>
          </w:tcPr>
          <w:p w14:paraId="117B5300">
            <w:pPr>
              <w:pStyle w:val="29"/>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国家或地方污染物排放标准</w:t>
            </w:r>
          </w:p>
        </w:tc>
        <w:tc>
          <w:tcPr>
            <w:tcW w:w="1012" w:type="dxa"/>
            <w:vMerge w:val="restart"/>
            <w:vAlign w:val="center"/>
          </w:tcPr>
          <w:p w14:paraId="68B32219">
            <w:pPr>
              <w:pStyle w:val="29"/>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年排放量（t/a）</w:t>
            </w:r>
          </w:p>
        </w:tc>
      </w:tr>
      <w:tr w14:paraId="70CCECD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tblHeader/>
          <w:jc w:val="center"/>
        </w:trPr>
        <w:tc>
          <w:tcPr>
            <w:tcW w:w="1479" w:type="dxa"/>
            <w:vMerge w:val="continue"/>
            <w:tcMar>
              <w:left w:w="0" w:type="dxa"/>
              <w:right w:w="0" w:type="dxa"/>
            </w:tcMar>
            <w:vAlign w:val="center"/>
          </w:tcPr>
          <w:p w14:paraId="24B354D0">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z w:val="21"/>
                <w:szCs w:val="21"/>
                <w:highlight w:val="none"/>
              </w:rPr>
            </w:pPr>
          </w:p>
        </w:tc>
        <w:tc>
          <w:tcPr>
            <w:tcW w:w="900" w:type="dxa"/>
            <w:vMerge w:val="continue"/>
            <w:vAlign w:val="center"/>
          </w:tcPr>
          <w:p w14:paraId="6BD3DA0E">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z w:val="21"/>
                <w:szCs w:val="21"/>
                <w:highlight w:val="none"/>
              </w:rPr>
            </w:pPr>
          </w:p>
        </w:tc>
        <w:tc>
          <w:tcPr>
            <w:tcW w:w="2257" w:type="dxa"/>
            <w:vMerge w:val="continue"/>
            <w:vAlign w:val="center"/>
          </w:tcPr>
          <w:p w14:paraId="2123546A">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bCs/>
                <w:color w:val="auto"/>
                <w:sz w:val="21"/>
                <w:szCs w:val="21"/>
                <w:highlight w:val="none"/>
              </w:rPr>
            </w:pPr>
          </w:p>
        </w:tc>
        <w:tc>
          <w:tcPr>
            <w:tcW w:w="955" w:type="dxa"/>
            <w:vAlign w:val="center"/>
          </w:tcPr>
          <w:p w14:paraId="2DEC3AAD">
            <w:pPr>
              <w:pStyle w:val="29"/>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标准名称</w:t>
            </w:r>
          </w:p>
        </w:tc>
        <w:tc>
          <w:tcPr>
            <w:tcW w:w="1826" w:type="dxa"/>
            <w:vAlign w:val="center"/>
          </w:tcPr>
          <w:p w14:paraId="4746AA12">
            <w:pPr>
              <w:pStyle w:val="29"/>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浓度限值（mg/m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1012" w:type="dxa"/>
            <w:vMerge w:val="continue"/>
            <w:vAlign w:val="center"/>
          </w:tcPr>
          <w:p w14:paraId="6F201DD5">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z w:val="21"/>
                <w:szCs w:val="21"/>
                <w:highlight w:val="none"/>
              </w:rPr>
            </w:pPr>
          </w:p>
        </w:tc>
      </w:tr>
      <w:tr w14:paraId="314E047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479" w:type="dxa"/>
            <w:shd w:val="clear" w:color="auto" w:fill="auto"/>
            <w:tcMar>
              <w:left w:w="0" w:type="dxa"/>
              <w:right w:w="0" w:type="dxa"/>
            </w:tcMar>
            <w:vAlign w:val="center"/>
          </w:tcPr>
          <w:p w14:paraId="1F361959">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粗碎厂房</w:t>
            </w:r>
          </w:p>
        </w:tc>
        <w:tc>
          <w:tcPr>
            <w:tcW w:w="900" w:type="dxa"/>
            <w:vAlign w:val="center"/>
          </w:tcPr>
          <w:p w14:paraId="03606DE5">
            <w:pPr>
              <w:pStyle w:val="121"/>
              <w:spacing w:line="360" w:lineRule="exact"/>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TSP</w:t>
            </w:r>
          </w:p>
        </w:tc>
        <w:tc>
          <w:tcPr>
            <w:tcW w:w="2257" w:type="dxa"/>
            <w:vAlign w:val="center"/>
          </w:tcPr>
          <w:p w14:paraId="43E7E35D">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955" w:type="dxa"/>
            <w:vMerge w:val="restart"/>
            <w:vAlign w:val="center"/>
          </w:tcPr>
          <w:p w14:paraId="0A5E1CBB">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zh-CN" w:eastAsia="zh-CN"/>
              </w:rPr>
              <w:t>《</w:t>
            </w:r>
            <w:r>
              <w:rPr>
                <w:rFonts w:hint="default" w:ascii="Times New Roman" w:hAnsi="Times New Roman" w:eastAsia="宋体" w:cs="Times New Roman"/>
                <w:color w:val="auto"/>
                <w:spacing w:val="-2"/>
                <w:sz w:val="21"/>
                <w:szCs w:val="21"/>
                <w:highlight w:val="none"/>
                <w:lang w:val="en-US" w:eastAsia="zh-CN"/>
              </w:rPr>
              <w:t>大气污染物综合</w:t>
            </w:r>
            <w:r>
              <w:rPr>
                <w:rFonts w:hint="default" w:ascii="Times New Roman" w:hAnsi="Times New Roman" w:eastAsia="宋体" w:cs="Times New Roman"/>
                <w:color w:val="auto"/>
                <w:spacing w:val="-2"/>
                <w:sz w:val="21"/>
                <w:szCs w:val="21"/>
                <w:highlight w:val="none"/>
                <w:lang w:val="zh-CN" w:eastAsia="zh-CN"/>
              </w:rPr>
              <w:t>排放标准》（GB</w:t>
            </w:r>
            <w:r>
              <w:rPr>
                <w:rFonts w:hint="default" w:ascii="Times New Roman" w:hAnsi="Times New Roman" w:eastAsia="宋体" w:cs="Times New Roman"/>
                <w:color w:val="auto"/>
                <w:spacing w:val="-2"/>
                <w:sz w:val="21"/>
                <w:szCs w:val="21"/>
                <w:highlight w:val="none"/>
                <w:lang w:val="en-US" w:eastAsia="zh-CN"/>
              </w:rPr>
              <w:t>16297-1996</w:t>
            </w:r>
            <w:r>
              <w:rPr>
                <w:rFonts w:hint="default" w:ascii="Times New Roman" w:hAnsi="Times New Roman" w:eastAsia="宋体" w:cs="Times New Roman"/>
                <w:color w:val="auto"/>
                <w:spacing w:val="-2"/>
                <w:sz w:val="21"/>
                <w:szCs w:val="21"/>
                <w:highlight w:val="none"/>
                <w:lang w:val="zh-CN" w:eastAsia="zh-CN"/>
              </w:rPr>
              <w:t>）</w:t>
            </w:r>
          </w:p>
        </w:tc>
        <w:tc>
          <w:tcPr>
            <w:tcW w:w="1826" w:type="dxa"/>
            <w:vMerge w:val="restart"/>
            <w:vAlign w:val="center"/>
          </w:tcPr>
          <w:p w14:paraId="4B78CC3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012" w:type="dxa"/>
            <w:vAlign w:val="center"/>
          </w:tcPr>
          <w:p w14:paraId="3ECA6DE0">
            <w:pPr>
              <w:pStyle w:val="121"/>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0.006</w:t>
            </w:r>
          </w:p>
        </w:tc>
      </w:tr>
      <w:tr w14:paraId="501DFB6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479" w:type="dxa"/>
            <w:shd w:val="clear" w:color="auto" w:fill="auto"/>
            <w:tcMar>
              <w:left w:w="0" w:type="dxa"/>
              <w:right w:w="0" w:type="dxa"/>
            </w:tcMar>
            <w:vAlign w:val="center"/>
          </w:tcPr>
          <w:p w14:paraId="6D0C3213">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中细碎厂房</w:t>
            </w:r>
          </w:p>
        </w:tc>
        <w:tc>
          <w:tcPr>
            <w:tcW w:w="900" w:type="dxa"/>
            <w:vAlign w:val="center"/>
          </w:tcPr>
          <w:p w14:paraId="4E3BB5B9">
            <w:pPr>
              <w:pStyle w:val="121"/>
              <w:spacing w:line="360" w:lineRule="exact"/>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TSP</w:t>
            </w:r>
          </w:p>
        </w:tc>
        <w:tc>
          <w:tcPr>
            <w:tcW w:w="2257" w:type="dxa"/>
            <w:vAlign w:val="center"/>
          </w:tcPr>
          <w:p w14:paraId="67F2D77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955" w:type="dxa"/>
            <w:vMerge w:val="continue"/>
            <w:vAlign w:val="center"/>
          </w:tcPr>
          <w:p w14:paraId="5FBCF42F">
            <w:pPr>
              <w:spacing w:line="360" w:lineRule="exact"/>
              <w:ind w:firstLine="0" w:firstLineChars="0"/>
              <w:jc w:val="center"/>
              <w:rPr>
                <w:rFonts w:hint="default" w:ascii="Times New Roman" w:hAnsi="Times New Roman" w:cs="Times New Roman"/>
                <w:color w:val="auto"/>
                <w:sz w:val="21"/>
                <w:szCs w:val="21"/>
                <w:highlight w:val="none"/>
              </w:rPr>
            </w:pPr>
          </w:p>
        </w:tc>
        <w:tc>
          <w:tcPr>
            <w:tcW w:w="1826" w:type="dxa"/>
            <w:vMerge w:val="continue"/>
            <w:vAlign w:val="center"/>
          </w:tcPr>
          <w:p w14:paraId="7663C8C2">
            <w:pPr>
              <w:spacing w:line="360" w:lineRule="exact"/>
              <w:ind w:firstLine="0" w:firstLineChars="0"/>
              <w:jc w:val="center"/>
              <w:rPr>
                <w:rFonts w:hint="default" w:ascii="Times New Roman" w:hAnsi="Times New Roman" w:cs="Times New Roman"/>
                <w:color w:val="auto"/>
                <w:sz w:val="21"/>
                <w:szCs w:val="21"/>
                <w:highlight w:val="none"/>
              </w:rPr>
            </w:pPr>
          </w:p>
        </w:tc>
        <w:tc>
          <w:tcPr>
            <w:tcW w:w="1012" w:type="dxa"/>
            <w:vAlign w:val="center"/>
          </w:tcPr>
          <w:p w14:paraId="3A3C8386">
            <w:pPr>
              <w:pStyle w:val="121"/>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0.013</w:t>
            </w:r>
          </w:p>
        </w:tc>
      </w:tr>
      <w:tr w14:paraId="3FCDF3E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479" w:type="dxa"/>
            <w:shd w:val="clear" w:color="auto" w:fill="auto"/>
            <w:tcMar>
              <w:left w:w="0" w:type="dxa"/>
              <w:right w:w="0" w:type="dxa"/>
            </w:tcMar>
            <w:vAlign w:val="center"/>
          </w:tcPr>
          <w:p w14:paraId="558BE38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w:t>
            </w:r>
          </w:p>
        </w:tc>
        <w:tc>
          <w:tcPr>
            <w:tcW w:w="900" w:type="dxa"/>
            <w:vAlign w:val="center"/>
          </w:tcPr>
          <w:p w14:paraId="7866B71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2257" w:type="dxa"/>
            <w:vAlign w:val="center"/>
          </w:tcPr>
          <w:p w14:paraId="7189C337">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955" w:type="dxa"/>
            <w:vMerge w:val="continue"/>
            <w:vAlign w:val="center"/>
          </w:tcPr>
          <w:p w14:paraId="6CE2BF35">
            <w:pPr>
              <w:spacing w:line="360" w:lineRule="exact"/>
              <w:ind w:firstLine="0" w:firstLineChars="0"/>
              <w:jc w:val="center"/>
              <w:rPr>
                <w:rFonts w:hint="default" w:ascii="Times New Roman" w:hAnsi="Times New Roman" w:cs="Times New Roman"/>
                <w:color w:val="auto"/>
                <w:sz w:val="21"/>
                <w:szCs w:val="21"/>
                <w:highlight w:val="none"/>
              </w:rPr>
            </w:pPr>
          </w:p>
        </w:tc>
        <w:tc>
          <w:tcPr>
            <w:tcW w:w="1826" w:type="dxa"/>
            <w:vMerge w:val="continue"/>
            <w:vAlign w:val="center"/>
          </w:tcPr>
          <w:p w14:paraId="5BA6E8A6">
            <w:pPr>
              <w:spacing w:line="360" w:lineRule="exact"/>
              <w:ind w:firstLine="0" w:firstLineChars="0"/>
              <w:jc w:val="center"/>
              <w:rPr>
                <w:rFonts w:hint="default" w:ascii="Times New Roman" w:hAnsi="Times New Roman" w:cs="Times New Roman"/>
                <w:color w:val="auto"/>
                <w:sz w:val="21"/>
                <w:szCs w:val="21"/>
                <w:highlight w:val="none"/>
              </w:rPr>
            </w:pPr>
          </w:p>
        </w:tc>
        <w:tc>
          <w:tcPr>
            <w:tcW w:w="1012" w:type="dxa"/>
            <w:vAlign w:val="center"/>
          </w:tcPr>
          <w:p w14:paraId="387FC09F">
            <w:pPr>
              <w:pStyle w:val="121"/>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0.016</w:t>
            </w:r>
          </w:p>
        </w:tc>
      </w:tr>
      <w:tr w14:paraId="501DB91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479" w:type="dxa"/>
            <w:shd w:val="clear" w:color="auto" w:fill="auto"/>
            <w:tcMar>
              <w:left w:w="0" w:type="dxa"/>
              <w:right w:w="0" w:type="dxa"/>
            </w:tcMar>
            <w:vAlign w:val="center"/>
          </w:tcPr>
          <w:p w14:paraId="76C607A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w:t>
            </w:r>
          </w:p>
        </w:tc>
        <w:tc>
          <w:tcPr>
            <w:tcW w:w="900" w:type="dxa"/>
            <w:vAlign w:val="center"/>
          </w:tcPr>
          <w:p w14:paraId="67526F1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TSP</w:t>
            </w:r>
          </w:p>
        </w:tc>
        <w:tc>
          <w:tcPr>
            <w:tcW w:w="2257" w:type="dxa"/>
            <w:vAlign w:val="center"/>
          </w:tcPr>
          <w:p w14:paraId="756B894F">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cs="Times New Roman"/>
                <w:color w:val="auto"/>
                <w:spacing w:val="-2"/>
                <w:sz w:val="21"/>
                <w:szCs w:val="21"/>
                <w:highlight w:val="none"/>
                <w:lang w:val="en-US" w:eastAsia="zh-CN"/>
              </w:rPr>
              <w:t>粉矿仓</w:t>
            </w:r>
            <w:r>
              <w:rPr>
                <w:rFonts w:hint="default" w:ascii="Times New Roman" w:hAnsi="Times New Roman" w:cs="Times New Roman"/>
                <w:color w:val="auto"/>
                <w:spacing w:val="-2"/>
                <w:sz w:val="21"/>
                <w:szCs w:val="21"/>
                <w:highlight w:val="none"/>
                <w:lang w:val="en-US" w:eastAsia="zh-CN"/>
              </w:rPr>
              <w:t>封闭，设置喷淋降尘设施</w:t>
            </w:r>
          </w:p>
        </w:tc>
        <w:tc>
          <w:tcPr>
            <w:tcW w:w="955" w:type="dxa"/>
            <w:vMerge w:val="continue"/>
            <w:vAlign w:val="center"/>
          </w:tcPr>
          <w:p w14:paraId="7105582D">
            <w:pPr>
              <w:spacing w:line="360" w:lineRule="exact"/>
              <w:ind w:firstLine="0" w:firstLineChars="0"/>
              <w:jc w:val="center"/>
              <w:rPr>
                <w:rFonts w:hint="default" w:ascii="Times New Roman" w:hAnsi="Times New Roman" w:cs="Times New Roman"/>
                <w:color w:val="auto"/>
                <w:sz w:val="21"/>
                <w:szCs w:val="21"/>
                <w:highlight w:val="none"/>
              </w:rPr>
            </w:pPr>
          </w:p>
        </w:tc>
        <w:tc>
          <w:tcPr>
            <w:tcW w:w="1826" w:type="dxa"/>
            <w:vMerge w:val="continue"/>
            <w:vAlign w:val="center"/>
          </w:tcPr>
          <w:p w14:paraId="0641D70E">
            <w:pPr>
              <w:spacing w:line="360" w:lineRule="exact"/>
              <w:ind w:firstLine="0" w:firstLineChars="0"/>
              <w:jc w:val="center"/>
              <w:rPr>
                <w:rFonts w:hint="default" w:ascii="Times New Roman" w:hAnsi="Times New Roman" w:cs="Times New Roman"/>
                <w:color w:val="auto"/>
                <w:sz w:val="21"/>
                <w:szCs w:val="21"/>
                <w:highlight w:val="none"/>
              </w:rPr>
            </w:pPr>
          </w:p>
        </w:tc>
        <w:tc>
          <w:tcPr>
            <w:tcW w:w="1012" w:type="dxa"/>
            <w:vAlign w:val="center"/>
          </w:tcPr>
          <w:p w14:paraId="14655652">
            <w:pPr>
              <w:pStyle w:val="121"/>
              <w:spacing w:line="360" w:lineRule="exact"/>
              <w:ind w:firstLine="0" w:firstLineChar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2"/>
                <w:sz w:val="21"/>
                <w:szCs w:val="21"/>
                <w:highlight w:val="none"/>
                <w:u w:val="none"/>
                <w:lang w:val="en-US" w:eastAsia="zh-CN" w:bidi="ar"/>
              </w:rPr>
              <w:t>0.003</w:t>
            </w:r>
          </w:p>
        </w:tc>
      </w:tr>
      <w:tr w14:paraId="1A74321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479" w:type="dxa"/>
            <w:shd w:val="clear" w:color="auto" w:fill="auto"/>
            <w:tcMar>
              <w:left w:w="0" w:type="dxa"/>
              <w:right w:w="0" w:type="dxa"/>
            </w:tcMar>
            <w:vAlign w:val="center"/>
          </w:tcPr>
          <w:p w14:paraId="4CBDF9E5">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原料</w:t>
            </w:r>
            <w:r>
              <w:rPr>
                <w:rFonts w:hint="default" w:ascii="Times New Roman" w:hAnsi="Times New Roman" w:eastAsia="宋体" w:cs="Times New Roman"/>
                <w:color w:val="auto"/>
                <w:spacing w:val="0"/>
                <w:sz w:val="21"/>
                <w:szCs w:val="21"/>
                <w:highlight w:val="none"/>
                <w:lang w:val="en-US" w:eastAsia="zh-CN"/>
              </w:rPr>
              <w:t>堆场</w:t>
            </w:r>
            <w:r>
              <w:rPr>
                <w:rFonts w:hint="default" w:ascii="Times New Roman" w:hAnsi="Times New Roman" w:cs="Times New Roman"/>
                <w:color w:val="auto"/>
                <w:spacing w:val="0"/>
                <w:sz w:val="21"/>
                <w:szCs w:val="21"/>
                <w:highlight w:val="none"/>
                <w:lang w:val="en-US" w:eastAsia="zh-CN"/>
              </w:rPr>
              <w:t>扬尘</w:t>
            </w:r>
          </w:p>
        </w:tc>
        <w:tc>
          <w:tcPr>
            <w:tcW w:w="900" w:type="dxa"/>
            <w:vAlign w:val="center"/>
          </w:tcPr>
          <w:p w14:paraId="6804D1A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2257" w:type="dxa"/>
            <w:vAlign w:val="center"/>
          </w:tcPr>
          <w:p w14:paraId="45D2B7B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抑尘网覆盖、洒水降尘</w:t>
            </w:r>
          </w:p>
        </w:tc>
        <w:tc>
          <w:tcPr>
            <w:tcW w:w="955" w:type="dxa"/>
            <w:vMerge w:val="continue"/>
            <w:vAlign w:val="center"/>
          </w:tcPr>
          <w:p w14:paraId="621A4E41">
            <w:pPr>
              <w:spacing w:line="360" w:lineRule="exact"/>
              <w:ind w:firstLine="0" w:firstLineChars="0"/>
              <w:jc w:val="center"/>
              <w:rPr>
                <w:rFonts w:hint="default" w:ascii="Times New Roman" w:hAnsi="Times New Roman" w:cs="Times New Roman"/>
                <w:color w:val="auto"/>
                <w:sz w:val="21"/>
                <w:szCs w:val="21"/>
                <w:highlight w:val="none"/>
              </w:rPr>
            </w:pPr>
          </w:p>
        </w:tc>
        <w:tc>
          <w:tcPr>
            <w:tcW w:w="1826" w:type="dxa"/>
            <w:vMerge w:val="continue"/>
            <w:vAlign w:val="center"/>
          </w:tcPr>
          <w:p w14:paraId="2CB9D389">
            <w:pPr>
              <w:spacing w:line="360" w:lineRule="exact"/>
              <w:ind w:firstLine="0" w:firstLineChars="0"/>
              <w:jc w:val="center"/>
              <w:rPr>
                <w:rFonts w:hint="default" w:ascii="Times New Roman" w:hAnsi="Times New Roman" w:cs="Times New Roman"/>
                <w:color w:val="auto"/>
                <w:sz w:val="21"/>
                <w:szCs w:val="21"/>
                <w:highlight w:val="none"/>
              </w:rPr>
            </w:pPr>
          </w:p>
        </w:tc>
        <w:tc>
          <w:tcPr>
            <w:tcW w:w="1012" w:type="dxa"/>
            <w:vAlign w:val="center"/>
          </w:tcPr>
          <w:p w14:paraId="620AC19A">
            <w:pPr>
              <w:pStyle w:val="121"/>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2.68</w:t>
            </w:r>
          </w:p>
        </w:tc>
      </w:tr>
      <w:tr w14:paraId="2DCF7ED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479" w:type="dxa"/>
            <w:shd w:val="clear" w:color="auto" w:fill="auto"/>
            <w:tcMar>
              <w:left w:w="0" w:type="dxa"/>
              <w:right w:w="0" w:type="dxa"/>
            </w:tcMar>
            <w:vAlign w:val="center"/>
          </w:tcPr>
          <w:p w14:paraId="6F38700D">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运输扬尘</w:t>
            </w:r>
          </w:p>
        </w:tc>
        <w:tc>
          <w:tcPr>
            <w:tcW w:w="900" w:type="dxa"/>
            <w:vAlign w:val="center"/>
          </w:tcPr>
          <w:p w14:paraId="7484755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2257" w:type="dxa"/>
            <w:vAlign w:val="center"/>
          </w:tcPr>
          <w:p w14:paraId="58518C4E">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道路洒水、道路路面铺碎石、降低车速及加盖篷布</w:t>
            </w:r>
          </w:p>
        </w:tc>
        <w:tc>
          <w:tcPr>
            <w:tcW w:w="955" w:type="dxa"/>
            <w:vMerge w:val="continue"/>
            <w:vAlign w:val="center"/>
          </w:tcPr>
          <w:p w14:paraId="0A9041F6">
            <w:pPr>
              <w:spacing w:line="360" w:lineRule="exact"/>
              <w:ind w:firstLine="0" w:firstLineChars="0"/>
              <w:jc w:val="center"/>
              <w:rPr>
                <w:rFonts w:hint="default" w:ascii="Times New Roman" w:hAnsi="Times New Roman" w:cs="Times New Roman"/>
                <w:color w:val="auto"/>
                <w:sz w:val="21"/>
                <w:szCs w:val="21"/>
                <w:highlight w:val="none"/>
              </w:rPr>
            </w:pPr>
          </w:p>
        </w:tc>
        <w:tc>
          <w:tcPr>
            <w:tcW w:w="1826" w:type="dxa"/>
            <w:vMerge w:val="continue"/>
            <w:vAlign w:val="center"/>
          </w:tcPr>
          <w:p w14:paraId="644D3CEC">
            <w:pPr>
              <w:spacing w:line="360" w:lineRule="exact"/>
              <w:ind w:firstLine="0" w:firstLineChars="0"/>
              <w:jc w:val="center"/>
              <w:rPr>
                <w:rFonts w:hint="default" w:ascii="Times New Roman" w:hAnsi="Times New Roman" w:cs="Times New Roman"/>
                <w:color w:val="auto"/>
                <w:sz w:val="21"/>
                <w:szCs w:val="21"/>
                <w:highlight w:val="none"/>
              </w:rPr>
            </w:pPr>
          </w:p>
        </w:tc>
        <w:tc>
          <w:tcPr>
            <w:tcW w:w="1012" w:type="dxa"/>
            <w:vAlign w:val="center"/>
          </w:tcPr>
          <w:p w14:paraId="0732CF56">
            <w:pPr>
              <w:pStyle w:val="121"/>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0.69</w:t>
            </w:r>
          </w:p>
        </w:tc>
      </w:tr>
      <w:tr w14:paraId="74F03D8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479" w:type="dxa"/>
            <w:shd w:val="clear" w:color="auto" w:fill="auto"/>
            <w:tcMar>
              <w:left w:w="0" w:type="dxa"/>
              <w:right w:w="0" w:type="dxa"/>
            </w:tcMar>
            <w:vAlign w:val="center"/>
          </w:tcPr>
          <w:p w14:paraId="6FBEDBDE">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尾矿库扬尘</w:t>
            </w:r>
          </w:p>
        </w:tc>
        <w:tc>
          <w:tcPr>
            <w:tcW w:w="900" w:type="dxa"/>
            <w:vAlign w:val="center"/>
          </w:tcPr>
          <w:p w14:paraId="76A5574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2257" w:type="dxa"/>
            <w:vAlign w:val="center"/>
          </w:tcPr>
          <w:p w14:paraId="232F77D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lang w:val="en-US" w:eastAsia="zh-CN" w:bidi="ar-SA"/>
              </w:rPr>
              <w:t>洒水降尘</w:t>
            </w:r>
          </w:p>
        </w:tc>
        <w:tc>
          <w:tcPr>
            <w:tcW w:w="955" w:type="dxa"/>
            <w:vMerge w:val="continue"/>
            <w:vAlign w:val="center"/>
          </w:tcPr>
          <w:p w14:paraId="09261E49">
            <w:pPr>
              <w:spacing w:line="360" w:lineRule="exact"/>
              <w:ind w:firstLine="0" w:firstLineChars="0"/>
              <w:jc w:val="center"/>
              <w:rPr>
                <w:rFonts w:hint="default" w:ascii="Times New Roman" w:hAnsi="Times New Roman" w:cs="Times New Roman"/>
                <w:color w:val="auto"/>
                <w:sz w:val="21"/>
                <w:szCs w:val="21"/>
                <w:highlight w:val="none"/>
              </w:rPr>
            </w:pPr>
          </w:p>
        </w:tc>
        <w:tc>
          <w:tcPr>
            <w:tcW w:w="1826" w:type="dxa"/>
            <w:vMerge w:val="continue"/>
            <w:vAlign w:val="center"/>
          </w:tcPr>
          <w:p w14:paraId="7D06739C">
            <w:pPr>
              <w:spacing w:line="360" w:lineRule="exact"/>
              <w:ind w:firstLine="0" w:firstLineChars="0"/>
              <w:jc w:val="center"/>
              <w:rPr>
                <w:rFonts w:hint="default" w:ascii="Times New Roman" w:hAnsi="Times New Roman" w:cs="Times New Roman"/>
                <w:color w:val="auto"/>
                <w:sz w:val="21"/>
                <w:szCs w:val="21"/>
                <w:highlight w:val="none"/>
              </w:rPr>
            </w:pPr>
          </w:p>
        </w:tc>
        <w:tc>
          <w:tcPr>
            <w:tcW w:w="1012" w:type="dxa"/>
            <w:vAlign w:val="center"/>
          </w:tcPr>
          <w:p w14:paraId="65246160">
            <w:pPr>
              <w:pStyle w:val="121"/>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2"/>
                <w:sz w:val="21"/>
                <w:szCs w:val="21"/>
                <w:highlight w:val="none"/>
                <w:u w:val="none"/>
                <w:lang w:val="en-US" w:eastAsia="zh-CN" w:bidi="ar"/>
              </w:rPr>
              <w:t>0.0</w:t>
            </w:r>
            <w:r>
              <w:rPr>
                <w:rFonts w:hint="default" w:ascii="Times New Roman" w:hAnsi="Times New Roman" w:cs="Times New Roman"/>
                <w:i w:val="0"/>
                <w:iCs w:val="0"/>
                <w:color w:val="auto"/>
                <w:kern w:val="2"/>
                <w:sz w:val="21"/>
                <w:szCs w:val="21"/>
                <w:highlight w:val="none"/>
                <w:u w:val="none"/>
                <w:lang w:val="en-US" w:eastAsia="zh-CN" w:bidi="ar"/>
              </w:rPr>
              <w:t>38</w:t>
            </w:r>
          </w:p>
        </w:tc>
      </w:tr>
      <w:tr w14:paraId="2026357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8429" w:type="dxa"/>
            <w:gridSpan w:val="6"/>
            <w:tcMar>
              <w:left w:w="0" w:type="dxa"/>
              <w:right w:w="0" w:type="dxa"/>
            </w:tcMar>
            <w:vAlign w:val="center"/>
          </w:tcPr>
          <w:p w14:paraId="22E3FE9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无组织排放总计</w:t>
            </w:r>
          </w:p>
        </w:tc>
      </w:tr>
      <w:tr w14:paraId="5E4497B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379" w:type="dxa"/>
            <w:gridSpan w:val="2"/>
            <w:tcMar>
              <w:left w:w="0" w:type="dxa"/>
              <w:right w:w="0" w:type="dxa"/>
            </w:tcMar>
            <w:vAlign w:val="center"/>
          </w:tcPr>
          <w:p w14:paraId="20C41A5C">
            <w:pPr>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无组织排放总计</w:t>
            </w:r>
          </w:p>
        </w:tc>
        <w:tc>
          <w:tcPr>
            <w:tcW w:w="2257" w:type="dxa"/>
            <w:vAlign w:val="center"/>
          </w:tcPr>
          <w:p w14:paraId="6988BCC8">
            <w:pPr>
              <w:pStyle w:val="121"/>
              <w:spacing w:line="360" w:lineRule="exact"/>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TSP</w:t>
            </w:r>
          </w:p>
        </w:tc>
        <w:tc>
          <w:tcPr>
            <w:tcW w:w="3793" w:type="dxa"/>
            <w:gridSpan w:val="3"/>
            <w:vAlign w:val="center"/>
          </w:tcPr>
          <w:p w14:paraId="33D18427">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3.446</w:t>
            </w:r>
          </w:p>
        </w:tc>
      </w:tr>
    </w:tbl>
    <w:p w14:paraId="119791B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（3）大气污染物年排放量核算表</w:t>
      </w:r>
    </w:p>
    <w:p w14:paraId="641405EA">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本项目大气污染物年排放量核算情况如下：</w:t>
      </w:r>
    </w:p>
    <w:p w14:paraId="592F7CD8">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表5.2-10    本项目大气污染物排放量核算一览表</w:t>
      </w:r>
    </w:p>
    <w:tbl>
      <w:tblPr>
        <w:tblStyle w:val="33"/>
        <w:tblW w:w="84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580"/>
        <w:gridCol w:w="3285"/>
        <w:gridCol w:w="3556"/>
      </w:tblGrid>
      <w:tr w14:paraId="453FF1A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tblHeader/>
          <w:jc w:val="center"/>
        </w:trPr>
        <w:tc>
          <w:tcPr>
            <w:tcW w:w="1580" w:type="dxa"/>
            <w:tcMar>
              <w:left w:w="0" w:type="dxa"/>
              <w:right w:w="0" w:type="dxa"/>
            </w:tcMar>
            <w:vAlign w:val="center"/>
          </w:tcPr>
          <w:p w14:paraId="47EB0E91">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b/>
                <w:color w:val="auto"/>
                <w:spacing w:val="-1"/>
                <w:sz w:val="21"/>
                <w:szCs w:val="21"/>
                <w:highlight w:val="none"/>
              </w:rPr>
            </w:pPr>
            <w:r>
              <w:rPr>
                <w:rFonts w:hint="default" w:ascii="Times New Roman" w:hAnsi="Times New Roman" w:cs="Times New Roman"/>
                <w:b/>
                <w:bCs/>
                <w:color w:val="auto"/>
                <w:sz w:val="21"/>
                <w:szCs w:val="21"/>
                <w:highlight w:val="none"/>
                <w:lang w:bidi="ar"/>
              </w:rPr>
              <w:t>序号</w:t>
            </w:r>
          </w:p>
        </w:tc>
        <w:tc>
          <w:tcPr>
            <w:tcW w:w="3285" w:type="dxa"/>
            <w:vAlign w:val="center"/>
          </w:tcPr>
          <w:p w14:paraId="6DA81E32">
            <w:pPr>
              <w:pStyle w:val="11"/>
              <w:widowControl w:val="0"/>
              <w:spacing w:after="0" w:line="360" w:lineRule="exact"/>
              <w:ind w:firstLine="0" w:firstLineChars="0"/>
              <w:jc w:val="center"/>
              <w:rPr>
                <w:rFonts w:hint="default" w:ascii="Times New Roman" w:hAnsi="Times New Roman" w:cs="Times New Roman"/>
                <w:b/>
                <w:color w:val="auto"/>
                <w:kern w:val="2"/>
                <w:sz w:val="21"/>
                <w:szCs w:val="21"/>
                <w:highlight w:val="none"/>
                <w:lang w:bidi="zh-CN"/>
              </w:rPr>
            </w:pPr>
            <w:r>
              <w:rPr>
                <w:rFonts w:hint="default" w:ascii="Times New Roman" w:hAnsi="Times New Roman" w:cs="Times New Roman"/>
                <w:b/>
                <w:bCs/>
                <w:color w:val="auto"/>
                <w:sz w:val="21"/>
                <w:szCs w:val="21"/>
                <w:highlight w:val="none"/>
                <w:lang w:bidi="ar"/>
              </w:rPr>
              <w:t>污染物</w:t>
            </w:r>
          </w:p>
        </w:tc>
        <w:tc>
          <w:tcPr>
            <w:tcW w:w="3556" w:type="dxa"/>
            <w:vAlign w:val="center"/>
          </w:tcPr>
          <w:p w14:paraId="0D7071A9">
            <w:pPr>
              <w:spacing w:line="360" w:lineRule="exact"/>
              <w:ind w:firstLine="0" w:firstLineChars="0"/>
              <w:contextualSpacing/>
              <w:jc w:val="center"/>
              <w:rPr>
                <w:rFonts w:hint="default" w:ascii="Times New Roman" w:hAnsi="Times New Roman" w:cs="Times New Roman"/>
                <w:b/>
                <w:color w:val="auto"/>
                <w:sz w:val="21"/>
                <w:szCs w:val="21"/>
                <w:highlight w:val="none"/>
              </w:rPr>
            </w:pPr>
            <w:r>
              <w:rPr>
                <w:rFonts w:hint="default" w:ascii="Times New Roman" w:hAnsi="Times New Roman" w:cs="Times New Roman"/>
                <w:b/>
                <w:bCs/>
                <w:color w:val="auto"/>
                <w:sz w:val="21"/>
                <w:szCs w:val="21"/>
                <w:highlight w:val="none"/>
              </w:rPr>
              <w:t>年排放量（t/a）</w:t>
            </w:r>
          </w:p>
        </w:tc>
      </w:tr>
      <w:tr w14:paraId="1BBCB7E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580" w:type="dxa"/>
            <w:tcMar>
              <w:left w:w="0" w:type="dxa"/>
              <w:right w:w="0" w:type="dxa"/>
            </w:tcMar>
            <w:vAlign w:val="center"/>
          </w:tcPr>
          <w:p w14:paraId="3893FD53">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3285" w:type="dxa"/>
            <w:vAlign w:val="center"/>
          </w:tcPr>
          <w:p w14:paraId="0D28AB1C">
            <w:pPr>
              <w:pStyle w:val="11"/>
              <w:widowControl w:val="0"/>
              <w:spacing w:after="0" w:line="360" w:lineRule="exact"/>
              <w:ind w:firstLine="0" w:firstLineChars="0"/>
              <w:jc w:val="center"/>
              <w:rPr>
                <w:rFonts w:hint="default" w:ascii="Times New Roman" w:hAnsi="Times New Roman" w:cs="Times New Roman"/>
                <w:color w:val="auto"/>
                <w:kern w:val="2"/>
                <w:sz w:val="21"/>
                <w:szCs w:val="21"/>
                <w:highlight w:val="none"/>
                <w:lang w:bidi="zh-CN"/>
              </w:rPr>
            </w:pPr>
            <w:r>
              <w:rPr>
                <w:rFonts w:hint="default" w:ascii="Times New Roman" w:hAnsi="Times New Roman" w:cs="Times New Roman"/>
                <w:color w:val="auto"/>
                <w:kern w:val="2"/>
                <w:sz w:val="21"/>
                <w:szCs w:val="21"/>
                <w:highlight w:val="none"/>
                <w:lang w:bidi="zh-CN"/>
              </w:rPr>
              <w:t>PM</w:t>
            </w:r>
            <w:r>
              <w:rPr>
                <w:rFonts w:hint="default" w:ascii="Times New Roman" w:hAnsi="Times New Roman" w:cs="Times New Roman"/>
                <w:color w:val="auto"/>
                <w:kern w:val="2"/>
                <w:sz w:val="21"/>
                <w:szCs w:val="21"/>
                <w:highlight w:val="none"/>
                <w:vertAlign w:val="subscript"/>
                <w:lang w:bidi="zh-CN"/>
              </w:rPr>
              <w:t>10</w:t>
            </w:r>
          </w:p>
        </w:tc>
        <w:tc>
          <w:tcPr>
            <w:tcW w:w="3556" w:type="dxa"/>
            <w:vAlign w:val="center"/>
          </w:tcPr>
          <w:p w14:paraId="4CD28154">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3.75</w:t>
            </w:r>
          </w:p>
        </w:tc>
      </w:tr>
      <w:tr w14:paraId="78E5016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580" w:type="dxa"/>
            <w:tcMar>
              <w:left w:w="0" w:type="dxa"/>
              <w:right w:w="0" w:type="dxa"/>
            </w:tcMar>
            <w:vAlign w:val="center"/>
          </w:tcPr>
          <w:p w14:paraId="60E94117">
            <w:pPr>
              <w:pStyle w:val="29"/>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w:t>
            </w:r>
          </w:p>
        </w:tc>
        <w:tc>
          <w:tcPr>
            <w:tcW w:w="3285" w:type="dxa"/>
            <w:vAlign w:val="center"/>
          </w:tcPr>
          <w:p w14:paraId="48266157">
            <w:pPr>
              <w:pStyle w:val="11"/>
              <w:widowControl w:val="0"/>
              <w:spacing w:after="0" w:line="360" w:lineRule="exact"/>
              <w:ind w:firstLine="0" w:firstLineChars="0"/>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rPr>
              <w:t>TSP</w:t>
            </w:r>
          </w:p>
        </w:tc>
        <w:tc>
          <w:tcPr>
            <w:tcW w:w="3556" w:type="dxa"/>
            <w:vAlign w:val="center"/>
          </w:tcPr>
          <w:p w14:paraId="5D8DFA77">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3.446</w:t>
            </w:r>
          </w:p>
        </w:tc>
      </w:tr>
    </w:tbl>
    <w:p w14:paraId="74CDD366">
      <w:pPr>
        <w:pStyle w:val="120"/>
        <w:ind w:left="-120" w:firstLine="4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5.2.1.5大气环境影响预测与评价</w:t>
      </w:r>
    </w:p>
    <w:p w14:paraId="08626226">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（1）预测因子及预测模式</w:t>
      </w:r>
    </w:p>
    <w:p w14:paraId="421049B9">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正常工况下的预测因子：PM</w:t>
      </w:r>
      <w:r>
        <w:rPr>
          <w:rFonts w:hint="default" w:ascii="Times New Roman" w:hAnsi="Times New Roman" w:cs="Times New Roman"/>
          <w:color w:val="auto"/>
          <w:kern w:val="2"/>
          <w:highlight w:val="none"/>
          <w:vertAlign w:val="subscript"/>
          <w:lang w:bidi="ar"/>
        </w:rPr>
        <w:t>10</w:t>
      </w:r>
      <w:r>
        <w:rPr>
          <w:rFonts w:hint="default" w:ascii="Times New Roman" w:hAnsi="Times New Roman" w:cs="Times New Roman"/>
          <w:color w:val="auto"/>
          <w:kern w:val="2"/>
          <w:highlight w:val="none"/>
          <w:lang w:val="en-US" w:eastAsia="zh-CN" w:bidi="ar"/>
        </w:rPr>
        <w:t>及</w:t>
      </w:r>
      <w:r>
        <w:rPr>
          <w:rFonts w:hint="default" w:ascii="Times New Roman" w:hAnsi="Times New Roman" w:cs="Times New Roman"/>
          <w:color w:val="auto"/>
          <w:kern w:val="2"/>
          <w:highlight w:val="none"/>
          <w:lang w:bidi="ar"/>
        </w:rPr>
        <w:t>TSP共</w:t>
      </w:r>
      <w:r>
        <w:rPr>
          <w:rFonts w:hint="default" w:ascii="Times New Roman" w:hAnsi="Times New Roman" w:cs="Times New Roman"/>
          <w:color w:val="auto"/>
          <w:kern w:val="2"/>
          <w:highlight w:val="none"/>
          <w:lang w:val="en-US" w:eastAsia="zh-CN" w:bidi="ar"/>
        </w:rPr>
        <w:t>2</w:t>
      </w:r>
      <w:r>
        <w:rPr>
          <w:rFonts w:hint="default" w:ascii="Times New Roman" w:hAnsi="Times New Roman" w:cs="Times New Roman"/>
          <w:color w:val="auto"/>
          <w:kern w:val="2"/>
          <w:highlight w:val="none"/>
          <w:lang w:bidi="ar"/>
        </w:rPr>
        <w:t>个因子。</w:t>
      </w:r>
    </w:p>
    <w:p w14:paraId="503CFB29">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非正常情况下的预测因子为：PM</w:t>
      </w:r>
      <w:r>
        <w:rPr>
          <w:rFonts w:hint="default" w:ascii="Times New Roman" w:hAnsi="Times New Roman" w:cs="Times New Roman"/>
          <w:color w:val="auto"/>
          <w:kern w:val="2"/>
          <w:highlight w:val="none"/>
          <w:vertAlign w:val="subscript"/>
          <w:lang w:bidi="ar"/>
        </w:rPr>
        <w:t>10</w:t>
      </w:r>
      <w:r>
        <w:rPr>
          <w:rFonts w:hint="default" w:ascii="Times New Roman" w:hAnsi="Times New Roman" w:cs="Times New Roman"/>
          <w:color w:val="auto"/>
          <w:kern w:val="2"/>
          <w:highlight w:val="none"/>
          <w:lang w:bidi="ar"/>
        </w:rPr>
        <w:t>共</w:t>
      </w:r>
      <w:r>
        <w:rPr>
          <w:rFonts w:hint="default" w:ascii="Times New Roman" w:hAnsi="Times New Roman" w:cs="Times New Roman"/>
          <w:color w:val="auto"/>
          <w:kern w:val="2"/>
          <w:highlight w:val="none"/>
          <w:lang w:val="en-US" w:eastAsia="zh-CN" w:bidi="ar"/>
        </w:rPr>
        <w:t>1</w:t>
      </w:r>
      <w:r>
        <w:rPr>
          <w:rFonts w:hint="default" w:ascii="Times New Roman" w:hAnsi="Times New Roman" w:cs="Times New Roman"/>
          <w:color w:val="auto"/>
          <w:kern w:val="2"/>
          <w:highlight w:val="none"/>
          <w:lang w:bidi="ar"/>
        </w:rPr>
        <w:t>个因子。</w:t>
      </w:r>
    </w:p>
    <w:p w14:paraId="57C75453">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预测模式：本项目按照《环境影响评价技术导则 大气环境》（HJ2.2-2018）的要求，进行一级预测评价，采用EIAProA2018软件中的AERMOD模式进行预测。</w:t>
      </w:r>
    </w:p>
    <w:p w14:paraId="1201FF66">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（2）预测点设置</w:t>
      </w:r>
    </w:p>
    <w:p w14:paraId="31181C4F">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①预测范围</w:t>
      </w:r>
    </w:p>
    <w:p w14:paraId="2EDC788F">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按照《</w:t>
      </w:r>
      <w:r>
        <w:rPr>
          <w:rFonts w:hint="default" w:ascii="Times New Roman" w:hAnsi="Times New Roman" w:cs="Times New Roman"/>
          <w:color w:val="auto"/>
          <w:kern w:val="2"/>
          <w:highlight w:val="none"/>
          <w:lang w:eastAsia="zh-CN" w:bidi="ar"/>
        </w:rPr>
        <w:t>环境影响评价技术导则 大气环境</w:t>
      </w:r>
      <w:r>
        <w:rPr>
          <w:rFonts w:hint="default" w:ascii="Times New Roman" w:hAnsi="Times New Roman" w:cs="Times New Roman"/>
          <w:color w:val="auto"/>
          <w:kern w:val="2"/>
          <w:highlight w:val="none"/>
          <w:lang w:bidi="ar"/>
        </w:rPr>
        <w:t>》（HJ2.2-2018）的要求，预测范围与评价范围一致，</w:t>
      </w:r>
      <w:r>
        <w:rPr>
          <w:rFonts w:hint="default" w:ascii="Times New Roman" w:hAnsi="Times New Roman" w:cs="Times New Roman"/>
          <w:color w:val="auto"/>
          <w:highlight w:val="none"/>
        </w:rPr>
        <w:t>为以选矿厂、尾矿库污染源分别为中心，自各边界外延</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km的矩形围合成的包络区域</w:t>
      </w:r>
      <w:r>
        <w:rPr>
          <w:rFonts w:hint="default" w:ascii="Times New Roman" w:hAnsi="Times New Roman" w:cs="Times New Roman"/>
          <w:color w:val="auto"/>
          <w:kern w:val="2"/>
          <w:highlight w:val="none"/>
          <w:lang w:bidi="ar"/>
        </w:rPr>
        <w:t>。</w:t>
      </w:r>
    </w:p>
    <w:p w14:paraId="673D5F25">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②预测网格及计算点</w:t>
      </w:r>
    </w:p>
    <w:p w14:paraId="0347FEAA">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根据估算模式推荐最大评价范围为</w:t>
      </w:r>
      <w:r>
        <w:rPr>
          <w:rFonts w:hint="default" w:ascii="Times New Roman" w:hAnsi="Times New Roman" w:cs="Times New Roman"/>
          <w:color w:val="auto"/>
          <w:highlight w:val="none"/>
        </w:rPr>
        <w:t>以项目场址为中心区域，边长为5km的矩形</w:t>
      </w:r>
      <w:r>
        <w:rPr>
          <w:rFonts w:hint="default" w:ascii="Times New Roman" w:hAnsi="Times New Roman" w:cs="Times New Roman"/>
          <w:color w:val="auto"/>
          <w:kern w:val="2"/>
          <w:highlight w:val="none"/>
          <w:lang w:bidi="ar"/>
        </w:rPr>
        <w:t>，本次预测评价计算点步长为</w:t>
      </w:r>
      <w:r>
        <w:rPr>
          <w:rFonts w:hint="default" w:ascii="Times New Roman" w:hAnsi="Times New Roman" w:cs="Times New Roman"/>
          <w:color w:val="auto"/>
          <w:kern w:val="2"/>
          <w:highlight w:val="none"/>
          <w:lang w:val="en-US" w:eastAsia="zh-CN" w:bidi="ar"/>
        </w:rPr>
        <w:t>5</w:t>
      </w:r>
      <w:r>
        <w:rPr>
          <w:rFonts w:hint="default" w:ascii="Times New Roman" w:hAnsi="Times New Roman" w:cs="Times New Roman"/>
          <w:color w:val="auto"/>
          <w:kern w:val="2"/>
          <w:highlight w:val="none"/>
          <w:lang w:bidi="ar"/>
        </w:rPr>
        <w:t>0m。计算点包括区域最大地面浓度点和网格点浓度。</w:t>
      </w:r>
    </w:p>
    <w:p w14:paraId="2A12F9B9">
      <w:pPr>
        <w:pStyle w:val="11"/>
        <w:overflowPunct w:val="0"/>
        <w:topLinePunct/>
        <w:spacing w:after="0"/>
        <w:ind w:firstLine="480"/>
        <w:jc w:val="both"/>
        <w:rPr>
          <w:rFonts w:hint="default" w:ascii="Times New Roman" w:hAnsi="Times New Roman" w:cs="Times New Roman"/>
          <w:color w:val="auto"/>
          <w:kern w:val="2"/>
          <w:highlight w:val="none"/>
          <w:lang w:bidi="ar"/>
        </w:rPr>
      </w:pPr>
      <w:r>
        <w:rPr>
          <w:rFonts w:hint="default" w:ascii="Times New Roman" w:hAnsi="Times New Roman" w:cs="Times New Roman"/>
          <w:color w:val="auto"/>
          <w:kern w:val="2"/>
          <w:highlight w:val="none"/>
          <w:lang w:bidi="ar"/>
        </w:rPr>
        <w:t>③气象数据</w:t>
      </w:r>
    </w:p>
    <w:p w14:paraId="41AC413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本项目位于新疆</w:t>
      </w:r>
      <w:r>
        <w:rPr>
          <w:rFonts w:hint="default" w:cs="Times New Roman"/>
          <w:color w:val="auto"/>
          <w:highlight w:val="none"/>
          <w:lang w:val="en-US" w:eastAsia="zh-CN" w:bidi="ar"/>
        </w:rPr>
        <w:t>阿勒泰地区富蕴县</w:t>
      </w:r>
      <w:r>
        <w:rPr>
          <w:rFonts w:hint="default" w:ascii="Times New Roman" w:hAnsi="Times New Roman" w:cs="Times New Roman"/>
          <w:color w:val="auto"/>
          <w:highlight w:val="none"/>
          <w:lang w:bidi="ar"/>
        </w:rPr>
        <w:t>一带，本次</w:t>
      </w:r>
      <w:r>
        <w:rPr>
          <w:rFonts w:hint="default" w:cs="Times New Roman"/>
          <w:color w:val="auto"/>
          <w:highlight w:val="none"/>
          <w:lang w:eastAsia="zh-CN" w:bidi="ar"/>
        </w:rPr>
        <w:t>评价</w:t>
      </w:r>
      <w:r>
        <w:rPr>
          <w:rFonts w:hint="default" w:ascii="Times New Roman" w:hAnsi="Times New Roman" w:cs="Times New Roman"/>
          <w:color w:val="auto"/>
          <w:highlight w:val="none"/>
          <w:lang w:bidi="ar"/>
        </w:rPr>
        <w:t>采用</w:t>
      </w:r>
      <w:r>
        <w:rPr>
          <w:rFonts w:hint="default" w:cs="Times New Roman"/>
          <w:color w:val="auto"/>
          <w:highlight w:val="none"/>
          <w:lang w:val="en-US" w:eastAsia="zh-CN" w:bidi="ar"/>
        </w:rPr>
        <w:t>富蕴站</w:t>
      </w:r>
      <w:r>
        <w:rPr>
          <w:rFonts w:hint="default" w:ascii="Times New Roman" w:hAnsi="Times New Roman" w:cs="Times New Roman"/>
          <w:color w:val="auto"/>
          <w:highlight w:val="none"/>
          <w:lang w:bidi="ar"/>
        </w:rPr>
        <w:t>观测气象数据，气象数据信息见表5.2-11，预测参数见表5.2-6～5.2-7。</w:t>
      </w:r>
    </w:p>
    <w:p w14:paraId="7F7F71FF">
      <w:pPr>
        <w:ind w:firstLine="0" w:firstLineChars="0"/>
        <w:jc w:val="center"/>
        <w:rPr>
          <w:rFonts w:hint="default" w:ascii="Times New Roman" w:hAnsi="Times New Roman" w:cs="Times New Roman"/>
          <w:b/>
          <w:color w:val="auto"/>
          <w:highlight w:val="none"/>
          <w:lang w:bidi="ar"/>
        </w:rPr>
      </w:pPr>
    </w:p>
    <w:p w14:paraId="06DD4DDA">
      <w:pPr>
        <w:ind w:firstLine="0" w:firstLineChars="0"/>
        <w:jc w:val="center"/>
        <w:rPr>
          <w:rFonts w:hint="default" w:ascii="Times New Roman" w:hAnsi="Times New Roman" w:cs="Times New Roman"/>
          <w:b/>
          <w:color w:val="auto"/>
          <w:highlight w:val="none"/>
          <w:lang w:bidi="ar"/>
        </w:rPr>
      </w:pPr>
    </w:p>
    <w:p w14:paraId="1887A6EC">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表5.2-11    项目观测气象数据信息</w:t>
      </w:r>
    </w:p>
    <w:tbl>
      <w:tblPr>
        <w:tblStyle w:val="33"/>
        <w:tblW w:w="8336" w:type="dxa"/>
        <w:jc w:val="center"/>
        <w:tblLayout w:type="fixed"/>
        <w:tblCellMar>
          <w:top w:w="0" w:type="dxa"/>
          <w:left w:w="0" w:type="dxa"/>
          <w:bottom w:w="0" w:type="dxa"/>
          <w:right w:w="0" w:type="dxa"/>
        </w:tblCellMar>
      </w:tblPr>
      <w:tblGrid>
        <w:gridCol w:w="927"/>
        <w:gridCol w:w="927"/>
        <w:gridCol w:w="992"/>
        <w:gridCol w:w="1564"/>
        <w:gridCol w:w="840"/>
        <w:gridCol w:w="842"/>
        <w:gridCol w:w="840"/>
        <w:gridCol w:w="1404"/>
      </w:tblGrid>
      <w:tr w14:paraId="0AAAE75B">
        <w:tblPrEx>
          <w:tblCellMar>
            <w:top w:w="0" w:type="dxa"/>
            <w:left w:w="0" w:type="dxa"/>
            <w:bottom w:w="0" w:type="dxa"/>
            <w:right w:w="0" w:type="dxa"/>
          </w:tblCellMar>
        </w:tblPrEx>
        <w:trPr>
          <w:cantSplit/>
          <w:trHeight w:val="340" w:hRule="atLeast"/>
          <w:jc w:val="center"/>
        </w:trPr>
        <w:tc>
          <w:tcPr>
            <w:tcW w:w="927" w:type="dxa"/>
            <w:tcBorders>
              <w:top w:val="single" w:color="000000" w:sz="12" w:space="0"/>
              <w:left w:val="single" w:color="000000" w:sz="12" w:space="0"/>
              <w:right w:val="single" w:color="000000" w:sz="4" w:space="0"/>
            </w:tcBorders>
            <w:vAlign w:val="center"/>
          </w:tcPr>
          <w:p w14:paraId="7344D54F">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气象站名称</w:t>
            </w:r>
          </w:p>
        </w:tc>
        <w:tc>
          <w:tcPr>
            <w:tcW w:w="927" w:type="dxa"/>
            <w:tcBorders>
              <w:top w:val="single" w:color="000000" w:sz="12" w:space="0"/>
              <w:left w:val="single" w:color="000000" w:sz="4" w:space="0"/>
              <w:right w:val="single" w:color="000000" w:sz="4" w:space="0"/>
            </w:tcBorders>
            <w:vAlign w:val="center"/>
          </w:tcPr>
          <w:p w14:paraId="6CAF03A8">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气象站编号</w:t>
            </w:r>
          </w:p>
        </w:tc>
        <w:tc>
          <w:tcPr>
            <w:tcW w:w="992" w:type="dxa"/>
            <w:tcBorders>
              <w:top w:val="single" w:color="000000" w:sz="12" w:space="0"/>
              <w:left w:val="single" w:color="000000" w:sz="4" w:space="0"/>
              <w:right w:val="single" w:color="000000" w:sz="4" w:space="0"/>
            </w:tcBorders>
            <w:vAlign w:val="center"/>
          </w:tcPr>
          <w:p w14:paraId="38C76D08">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气象站等级</w:t>
            </w:r>
          </w:p>
        </w:tc>
        <w:tc>
          <w:tcPr>
            <w:tcW w:w="1564" w:type="dxa"/>
            <w:tcBorders>
              <w:top w:val="single" w:color="000000" w:sz="12" w:space="0"/>
              <w:left w:val="single" w:color="000000" w:sz="4" w:space="0"/>
              <w:bottom w:val="single" w:color="000000" w:sz="4" w:space="0"/>
              <w:right w:val="single" w:color="000000" w:sz="4" w:space="0"/>
            </w:tcBorders>
            <w:vAlign w:val="center"/>
          </w:tcPr>
          <w:p w14:paraId="40A4C4A4">
            <w:pPr>
              <w:pStyle w:val="45"/>
              <w:spacing w:before="0" w:beforeAutospacing="0" w:line="360" w:lineRule="exact"/>
              <w:ind w:firstLine="0" w:firstLineChars="0"/>
              <w:jc w:val="center"/>
              <w:rPr>
                <w:rFonts w:hint="default" w:ascii="Times New Roman" w:hAnsi="Times New Roman" w:eastAsia="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w:t>
            </w:r>
            <w:r>
              <w:rPr>
                <w:rFonts w:hint="default" w:ascii="Times New Roman" w:hAnsi="Times New Roman" w:cs="Times New Roman"/>
                <w:b/>
                <w:bCs/>
                <w:color w:val="auto"/>
                <w:spacing w:val="-3"/>
                <w:sz w:val="21"/>
                <w:szCs w:val="21"/>
                <w:highlight w:val="none"/>
              </w:rPr>
              <w:t>站</w:t>
            </w:r>
            <w:r>
              <w:rPr>
                <w:rFonts w:hint="default" w:ascii="Times New Roman" w:hAnsi="Times New Roman" w:cs="Times New Roman"/>
                <w:b/>
                <w:bCs/>
                <w:color w:val="auto"/>
                <w:sz w:val="21"/>
                <w:szCs w:val="21"/>
                <w:highlight w:val="none"/>
              </w:rPr>
              <w:t>坐标</w:t>
            </w:r>
          </w:p>
        </w:tc>
        <w:tc>
          <w:tcPr>
            <w:tcW w:w="840" w:type="dxa"/>
            <w:tcBorders>
              <w:top w:val="single" w:color="000000" w:sz="12" w:space="0"/>
              <w:left w:val="single" w:color="000000" w:sz="4" w:space="0"/>
              <w:right w:val="single" w:color="000000" w:sz="4" w:space="0"/>
            </w:tcBorders>
            <w:vAlign w:val="center"/>
          </w:tcPr>
          <w:p w14:paraId="7861C7A9">
            <w:pPr>
              <w:pStyle w:val="45"/>
              <w:spacing w:before="0" w:beforeAutospacing="0" w:line="360" w:lineRule="exact"/>
              <w:ind w:firstLine="0" w:firstLineChars="0"/>
              <w:jc w:val="center"/>
              <w:rPr>
                <w:rFonts w:hint="default" w:ascii="Times New Roman" w:hAnsi="Times New Roman" w:eastAsia="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w:t>
            </w:r>
            <w:r>
              <w:rPr>
                <w:rFonts w:hint="default" w:ascii="Times New Roman" w:hAnsi="Times New Roman" w:cs="Times New Roman"/>
                <w:b/>
                <w:bCs/>
                <w:color w:val="auto"/>
                <w:spacing w:val="-3"/>
                <w:sz w:val="21"/>
                <w:szCs w:val="21"/>
                <w:highlight w:val="none"/>
              </w:rPr>
              <w:t>距</w:t>
            </w:r>
            <w:r>
              <w:rPr>
                <w:rFonts w:hint="default" w:ascii="Times New Roman" w:hAnsi="Times New Roman" w:cs="Times New Roman"/>
                <w:b/>
                <w:bCs/>
                <w:color w:val="auto"/>
                <w:sz w:val="21"/>
                <w:szCs w:val="21"/>
                <w:highlight w:val="none"/>
              </w:rPr>
              <w:t>离</w:t>
            </w:r>
            <w:r>
              <w:rPr>
                <w:rFonts w:hint="default" w:ascii="Times New Roman" w:hAnsi="Times New Roman" w:cs="Times New Roman"/>
                <w:b/>
                <w:bCs/>
                <w:color w:val="auto"/>
                <w:spacing w:val="-1"/>
                <w:sz w:val="21"/>
                <w:szCs w:val="21"/>
                <w:highlight w:val="none"/>
              </w:rPr>
              <w:t>/</w:t>
            </w:r>
            <w:r>
              <w:rPr>
                <w:rFonts w:hint="default" w:ascii="Times New Roman" w:hAnsi="Times New Roman" w:cs="Times New Roman"/>
                <w:b/>
                <w:bCs/>
                <w:color w:val="auto"/>
                <w:sz w:val="21"/>
                <w:szCs w:val="21"/>
                <w:highlight w:val="none"/>
              </w:rPr>
              <w:t>m</w:t>
            </w:r>
          </w:p>
        </w:tc>
        <w:tc>
          <w:tcPr>
            <w:tcW w:w="842" w:type="dxa"/>
            <w:tcBorders>
              <w:top w:val="single" w:color="000000" w:sz="12" w:space="0"/>
              <w:left w:val="single" w:color="000000" w:sz="4" w:space="0"/>
              <w:right w:val="single" w:color="000000" w:sz="4" w:space="0"/>
            </w:tcBorders>
            <w:vAlign w:val="center"/>
          </w:tcPr>
          <w:p w14:paraId="7D2E0FC7">
            <w:pPr>
              <w:pStyle w:val="45"/>
              <w:spacing w:before="0" w:beforeAutospacing="0" w:line="360" w:lineRule="exact"/>
              <w:ind w:firstLine="0" w:firstLineChars="0"/>
              <w:jc w:val="center"/>
              <w:rPr>
                <w:rFonts w:hint="default" w:ascii="Times New Roman" w:hAnsi="Times New Roman" w:eastAsia="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海拔</w:t>
            </w:r>
            <w:r>
              <w:rPr>
                <w:rFonts w:hint="default" w:ascii="Times New Roman" w:hAnsi="Times New Roman" w:cs="Times New Roman"/>
                <w:b/>
                <w:bCs/>
                <w:color w:val="auto"/>
                <w:spacing w:val="-3"/>
                <w:sz w:val="21"/>
                <w:szCs w:val="21"/>
                <w:highlight w:val="none"/>
              </w:rPr>
              <w:t>高</w:t>
            </w:r>
            <w:r>
              <w:rPr>
                <w:rFonts w:hint="default" w:ascii="Times New Roman" w:hAnsi="Times New Roman" w:cs="Times New Roman"/>
                <w:b/>
                <w:bCs/>
                <w:color w:val="auto"/>
                <w:sz w:val="21"/>
                <w:szCs w:val="21"/>
                <w:highlight w:val="none"/>
              </w:rPr>
              <w:t>度</w:t>
            </w:r>
            <w:r>
              <w:rPr>
                <w:rFonts w:hint="default" w:ascii="Times New Roman" w:hAnsi="Times New Roman" w:cs="Times New Roman"/>
                <w:b/>
                <w:bCs/>
                <w:color w:val="auto"/>
                <w:spacing w:val="-1"/>
                <w:sz w:val="21"/>
                <w:szCs w:val="21"/>
                <w:highlight w:val="none"/>
              </w:rPr>
              <w:t>/</w:t>
            </w:r>
            <w:r>
              <w:rPr>
                <w:rFonts w:hint="default" w:ascii="Times New Roman" w:hAnsi="Times New Roman" w:cs="Times New Roman"/>
                <w:b/>
                <w:bCs/>
                <w:color w:val="auto"/>
                <w:sz w:val="21"/>
                <w:szCs w:val="21"/>
                <w:highlight w:val="none"/>
              </w:rPr>
              <w:t>m</w:t>
            </w:r>
          </w:p>
        </w:tc>
        <w:tc>
          <w:tcPr>
            <w:tcW w:w="840" w:type="dxa"/>
            <w:tcBorders>
              <w:top w:val="single" w:color="000000" w:sz="12" w:space="0"/>
              <w:left w:val="single" w:color="000000" w:sz="4" w:space="0"/>
              <w:right w:val="single" w:color="000000" w:sz="4" w:space="0"/>
            </w:tcBorders>
            <w:vAlign w:val="center"/>
          </w:tcPr>
          <w:p w14:paraId="2AFD1E07">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数据年份</w:t>
            </w:r>
          </w:p>
        </w:tc>
        <w:tc>
          <w:tcPr>
            <w:tcW w:w="1404" w:type="dxa"/>
            <w:tcBorders>
              <w:top w:val="single" w:color="000000" w:sz="12" w:space="0"/>
              <w:left w:val="single" w:color="000000" w:sz="4" w:space="0"/>
              <w:right w:val="single" w:color="000000" w:sz="12" w:space="0"/>
            </w:tcBorders>
            <w:vAlign w:val="center"/>
          </w:tcPr>
          <w:p w14:paraId="4CDB8782">
            <w:pPr>
              <w:pStyle w:val="45"/>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w:t>
            </w:r>
            <w:r>
              <w:rPr>
                <w:rFonts w:hint="default" w:ascii="Times New Roman" w:hAnsi="Times New Roman" w:cs="Times New Roman"/>
                <w:b/>
                <w:bCs/>
                <w:color w:val="auto"/>
                <w:spacing w:val="-3"/>
                <w:sz w:val="21"/>
                <w:szCs w:val="21"/>
                <w:highlight w:val="none"/>
              </w:rPr>
              <w:t>要</w:t>
            </w:r>
            <w:r>
              <w:rPr>
                <w:rFonts w:hint="default" w:ascii="Times New Roman" w:hAnsi="Times New Roman" w:cs="Times New Roman"/>
                <w:b/>
                <w:bCs/>
                <w:color w:val="auto"/>
                <w:sz w:val="21"/>
                <w:szCs w:val="21"/>
                <w:highlight w:val="none"/>
              </w:rPr>
              <w:t>素</w:t>
            </w:r>
          </w:p>
        </w:tc>
      </w:tr>
      <w:tr w14:paraId="3FC46F34">
        <w:tblPrEx>
          <w:tblCellMar>
            <w:top w:w="0" w:type="dxa"/>
            <w:left w:w="0" w:type="dxa"/>
            <w:bottom w:w="0" w:type="dxa"/>
            <w:right w:w="0" w:type="dxa"/>
          </w:tblCellMar>
        </w:tblPrEx>
        <w:trPr>
          <w:cantSplit/>
          <w:trHeight w:val="340" w:hRule="atLeast"/>
          <w:jc w:val="center"/>
        </w:trPr>
        <w:tc>
          <w:tcPr>
            <w:tcW w:w="927" w:type="dxa"/>
            <w:tcBorders>
              <w:top w:val="single" w:color="000000" w:sz="4" w:space="0"/>
              <w:left w:val="single" w:color="000000" w:sz="12" w:space="0"/>
              <w:bottom w:val="single" w:color="000000" w:sz="12" w:space="0"/>
              <w:right w:val="single" w:color="000000" w:sz="4" w:space="0"/>
            </w:tcBorders>
            <w:vAlign w:val="center"/>
          </w:tcPr>
          <w:p w14:paraId="65119220">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val="en-US" w:eastAsia="zh-CN"/>
              </w:rPr>
              <w:t>富蕴站</w:t>
            </w:r>
          </w:p>
        </w:tc>
        <w:tc>
          <w:tcPr>
            <w:tcW w:w="927" w:type="dxa"/>
            <w:tcBorders>
              <w:top w:val="single" w:color="000000" w:sz="4" w:space="0"/>
              <w:left w:val="single" w:color="000000" w:sz="4" w:space="0"/>
              <w:bottom w:val="single" w:color="000000" w:sz="12" w:space="0"/>
              <w:right w:val="single" w:color="000000" w:sz="4" w:space="0"/>
            </w:tcBorders>
            <w:vAlign w:val="center"/>
          </w:tcPr>
          <w:p w14:paraId="534E2C3F">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51</w:t>
            </w:r>
            <w:r>
              <w:rPr>
                <w:rFonts w:hint="default" w:cs="Times New Roman"/>
                <w:color w:val="auto"/>
                <w:sz w:val="21"/>
                <w:szCs w:val="21"/>
                <w:highlight w:val="none"/>
                <w:lang w:val="en-US" w:eastAsia="zh-CN"/>
              </w:rPr>
              <w:t>087</w:t>
            </w:r>
          </w:p>
        </w:tc>
        <w:tc>
          <w:tcPr>
            <w:tcW w:w="992" w:type="dxa"/>
            <w:tcBorders>
              <w:top w:val="single" w:color="000000" w:sz="4" w:space="0"/>
              <w:left w:val="single" w:color="000000" w:sz="4" w:space="0"/>
              <w:bottom w:val="single" w:color="000000" w:sz="12" w:space="0"/>
              <w:right w:val="single" w:color="000000" w:sz="4" w:space="0"/>
            </w:tcBorders>
            <w:vAlign w:val="center"/>
          </w:tcPr>
          <w:p w14:paraId="6BE64543">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一般站</w:t>
            </w:r>
          </w:p>
        </w:tc>
        <w:tc>
          <w:tcPr>
            <w:tcW w:w="1564" w:type="dxa"/>
            <w:tcBorders>
              <w:top w:val="single" w:color="000000" w:sz="4" w:space="0"/>
              <w:left w:val="single" w:color="000000" w:sz="4" w:space="0"/>
              <w:bottom w:val="single" w:color="000000" w:sz="12" w:space="0"/>
              <w:right w:val="single" w:color="000000" w:sz="4" w:space="0"/>
            </w:tcBorders>
            <w:vAlign w:val="center"/>
          </w:tcPr>
          <w:p w14:paraId="609BC41D">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N4</w:t>
            </w:r>
            <w:r>
              <w:rPr>
                <w:rFonts w:hint="default" w:cs="Times New Roman"/>
                <w:color w:val="auto"/>
                <w:sz w:val="21"/>
                <w:szCs w:val="21"/>
                <w:highlight w:val="none"/>
                <w:lang w:val="en-US" w:eastAsia="zh-CN"/>
              </w:rPr>
              <w:t>7.01</w:t>
            </w:r>
            <w:r>
              <w:rPr>
                <w:rFonts w:hint="default" w:ascii="Times New Roman" w:hAnsi="Times New Roman" w:eastAsia="Times New Roman" w:cs="Times New Roman"/>
                <w:color w:val="auto"/>
                <w:sz w:val="21"/>
                <w:szCs w:val="21"/>
                <w:highlight w:val="none"/>
              </w:rPr>
              <w:t>°</w:t>
            </w:r>
            <w:r>
              <w:rPr>
                <w:rFonts w:hint="default" w:ascii="Times New Roman" w:hAnsi="Times New Roman" w:cs="Times New Roman"/>
                <w:color w:val="auto"/>
                <w:sz w:val="21"/>
                <w:szCs w:val="21"/>
                <w:highlight w:val="none"/>
              </w:rPr>
              <w:t>，E8</w:t>
            </w:r>
            <w:r>
              <w:rPr>
                <w:rFonts w:hint="default" w:cs="Times New Roman"/>
                <w:color w:val="auto"/>
                <w:sz w:val="21"/>
                <w:szCs w:val="21"/>
                <w:highlight w:val="none"/>
                <w:lang w:val="en-US" w:eastAsia="zh-CN"/>
              </w:rPr>
              <w:t>9.49</w:t>
            </w:r>
            <w:r>
              <w:rPr>
                <w:rFonts w:hint="default" w:ascii="Times New Roman" w:hAnsi="Times New Roman" w:eastAsia="Times New Roman" w:cs="Times New Roman"/>
                <w:color w:val="auto"/>
                <w:sz w:val="21"/>
                <w:szCs w:val="21"/>
                <w:highlight w:val="none"/>
              </w:rPr>
              <w:t>°</w:t>
            </w:r>
          </w:p>
        </w:tc>
        <w:tc>
          <w:tcPr>
            <w:tcW w:w="840" w:type="dxa"/>
            <w:tcBorders>
              <w:top w:val="single" w:color="000000" w:sz="4" w:space="0"/>
              <w:left w:val="single" w:color="000000" w:sz="4" w:space="0"/>
              <w:bottom w:val="single" w:color="000000" w:sz="12" w:space="0"/>
              <w:right w:val="single" w:color="000000" w:sz="4" w:space="0"/>
            </w:tcBorders>
            <w:vAlign w:val="center"/>
          </w:tcPr>
          <w:p w14:paraId="5520FBD9">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36000</w:t>
            </w:r>
          </w:p>
        </w:tc>
        <w:tc>
          <w:tcPr>
            <w:tcW w:w="842" w:type="dxa"/>
            <w:tcBorders>
              <w:top w:val="single" w:color="000000" w:sz="4" w:space="0"/>
              <w:left w:val="single" w:color="000000" w:sz="4" w:space="0"/>
              <w:bottom w:val="single" w:color="000000" w:sz="12" w:space="0"/>
              <w:right w:val="single" w:color="000000" w:sz="4" w:space="0"/>
            </w:tcBorders>
            <w:vAlign w:val="center"/>
          </w:tcPr>
          <w:p w14:paraId="47CD703B">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843</w:t>
            </w:r>
          </w:p>
        </w:tc>
        <w:tc>
          <w:tcPr>
            <w:tcW w:w="840" w:type="dxa"/>
            <w:tcBorders>
              <w:top w:val="single" w:color="000000" w:sz="4" w:space="0"/>
              <w:left w:val="single" w:color="000000" w:sz="4" w:space="0"/>
              <w:bottom w:val="single" w:color="000000" w:sz="12" w:space="0"/>
              <w:right w:val="single" w:color="000000" w:sz="4" w:space="0"/>
            </w:tcBorders>
            <w:vAlign w:val="center"/>
          </w:tcPr>
          <w:p w14:paraId="24276817">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202</w:t>
            </w:r>
            <w:r>
              <w:rPr>
                <w:rFonts w:hint="default" w:cs="Times New Roman"/>
                <w:color w:val="auto"/>
                <w:sz w:val="21"/>
                <w:szCs w:val="21"/>
                <w:highlight w:val="none"/>
                <w:lang w:val="en-US" w:eastAsia="zh-CN"/>
              </w:rPr>
              <w:t>3</w:t>
            </w:r>
          </w:p>
        </w:tc>
        <w:tc>
          <w:tcPr>
            <w:tcW w:w="1404" w:type="dxa"/>
            <w:tcBorders>
              <w:top w:val="single" w:color="000000" w:sz="4" w:space="0"/>
              <w:left w:val="single" w:color="000000" w:sz="4" w:space="0"/>
              <w:bottom w:val="single" w:color="000000" w:sz="12" w:space="0"/>
              <w:right w:val="single" w:color="000000" w:sz="12" w:space="0"/>
            </w:tcBorders>
            <w:vAlign w:val="center"/>
          </w:tcPr>
          <w:p w14:paraId="4281187E">
            <w:pPr>
              <w:pStyle w:val="45"/>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w:t>
            </w:r>
            <w:r>
              <w:rPr>
                <w:rFonts w:hint="default" w:ascii="Times New Roman" w:hAnsi="Times New Roman" w:cs="Times New Roman"/>
                <w:color w:val="auto"/>
                <w:spacing w:val="-3"/>
                <w:sz w:val="21"/>
                <w:szCs w:val="21"/>
                <w:highlight w:val="none"/>
              </w:rPr>
              <w:t>向</w:t>
            </w:r>
            <w:r>
              <w:rPr>
                <w:rFonts w:hint="default" w:ascii="Times New Roman" w:hAnsi="Times New Roman" w:cs="Times New Roman"/>
                <w:color w:val="auto"/>
                <w:spacing w:val="-29"/>
                <w:sz w:val="21"/>
                <w:szCs w:val="21"/>
                <w:highlight w:val="none"/>
              </w:rPr>
              <w:t>、</w:t>
            </w:r>
            <w:r>
              <w:rPr>
                <w:rFonts w:hint="default" w:ascii="Times New Roman" w:hAnsi="Times New Roman" w:cs="Times New Roman"/>
                <w:color w:val="auto"/>
                <w:spacing w:val="-3"/>
                <w:sz w:val="21"/>
                <w:szCs w:val="21"/>
                <w:highlight w:val="none"/>
              </w:rPr>
              <w:t>风</w:t>
            </w:r>
            <w:r>
              <w:rPr>
                <w:rFonts w:hint="default" w:ascii="Times New Roman" w:hAnsi="Times New Roman" w:cs="Times New Roman"/>
                <w:color w:val="auto"/>
                <w:sz w:val="21"/>
                <w:szCs w:val="21"/>
                <w:highlight w:val="none"/>
              </w:rPr>
              <w:t>速</w:t>
            </w:r>
            <w:r>
              <w:rPr>
                <w:rFonts w:hint="default" w:ascii="Times New Roman" w:hAnsi="Times New Roman" w:cs="Times New Roman"/>
                <w:color w:val="auto"/>
                <w:spacing w:val="-32"/>
                <w:sz w:val="21"/>
                <w:szCs w:val="21"/>
                <w:highlight w:val="none"/>
              </w:rPr>
              <w:t>、</w:t>
            </w:r>
            <w:r>
              <w:rPr>
                <w:rFonts w:hint="default" w:ascii="Times New Roman" w:hAnsi="Times New Roman" w:cs="Times New Roman"/>
                <w:color w:val="auto"/>
                <w:sz w:val="21"/>
                <w:szCs w:val="21"/>
                <w:highlight w:val="none"/>
              </w:rPr>
              <w:t>总 云</w:t>
            </w:r>
            <w:r>
              <w:rPr>
                <w:rFonts w:hint="default" w:ascii="Times New Roman" w:hAnsi="Times New Roman" w:cs="Times New Roman"/>
                <w:color w:val="auto"/>
                <w:spacing w:val="-32"/>
                <w:sz w:val="21"/>
                <w:szCs w:val="21"/>
                <w:highlight w:val="none"/>
              </w:rPr>
              <w:t>、</w:t>
            </w:r>
            <w:r>
              <w:rPr>
                <w:rFonts w:hint="default" w:ascii="Times New Roman" w:hAnsi="Times New Roman" w:cs="Times New Roman"/>
                <w:color w:val="auto"/>
                <w:sz w:val="21"/>
                <w:szCs w:val="21"/>
                <w:highlight w:val="none"/>
              </w:rPr>
              <w:t>低</w:t>
            </w:r>
            <w:r>
              <w:rPr>
                <w:rFonts w:hint="default" w:ascii="Times New Roman" w:hAnsi="Times New Roman" w:cs="Times New Roman"/>
                <w:color w:val="auto"/>
                <w:spacing w:val="-3"/>
                <w:sz w:val="21"/>
                <w:szCs w:val="21"/>
                <w:highlight w:val="none"/>
              </w:rPr>
              <w:t>云</w:t>
            </w:r>
            <w:r>
              <w:rPr>
                <w:rFonts w:hint="default" w:ascii="Times New Roman" w:hAnsi="Times New Roman" w:cs="Times New Roman"/>
                <w:color w:val="auto"/>
                <w:spacing w:val="-29"/>
                <w:sz w:val="21"/>
                <w:szCs w:val="21"/>
                <w:highlight w:val="none"/>
              </w:rPr>
              <w:t>、</w:t>
            </w:r>
            <w:r>
              <w:rPr>
                <w:rFonts w:hint="default" w:ascii="Times New Roman" w:hAnsi="Times New Roman" w:cs="Times New Roman"/>
                <w:color w:val="auto"/>
                <w:spacing w:val="-3"/>
                <w:sz w:val="21"/>
                <w:szCs w:val="21"/>
                <w:highlight w:val="none"/>
              </w:rPr>
              <w:t>干</w:t>
            </w:r>
            <w:r>
              <w:rPr>
                <w:rFonts w:hint="default" w:ascii="Times New Roman" w:hAnsi="Times New Roman" w:cs="Times New Roman"/>
                <w:color w:val="auto"/>
                <w:sz w:val="21"/>
                <w:szCs w:val="21"/>
                <w:highlight w:val="none"/>
              </w:rPr>
              <w:t>球 温度</w:t>
            </w:r>
          </w:p>
        </w:tc>
      </w:tr>
    </w:tbl>
    <w:p w14:paraId="21A41E61">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（3）预测内容</w:t>
      </w:r>
    </w:p>
    <w:p w14:paraId="555DBE9D">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①全年逐时条件下，评价区域网格点主要污染物的短期浓度和长期浓度贡献值，评价其最大浓度占标率。</w:t>
      </w:r>
    </w:p>
    <w:p w14:paraId="0F04F804">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②项目正常排放条件下，预测评价叠加环境空气质量现状浓度后，网格点主要污染物的保证率日平均质量浓度和年平均质量浓度的达标情况；</w:t>
      </w:r>
    </w:p>
    <w:p w14:paraId="7DCA95A6">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③评价仅有短期浓度标准的污染物浓度叠加最大值后的达标情况；</w:t>
      </w:r>
    </w:p>
    <w:p w14:paraId="0B776B7E">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④评价区域环境质量的整体变化情况。</w:t>
      </w:r>
    </w:p>
    <w:p w14:paraId="385D9CDD">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⑤非正常工况下，预测环境空气保护目标和网格点主要污染物的1h最大浓度贡献值，评价其最大浓度占标率。</w:t>
      </w:r>
    </w:p>
    <w:p w14:paraId="5524E3DA">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（4）预测结果</w:t>
      </w:r>
    </w:p>
    <w:p w14:paraId="4C13F6F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①各污染物最大贡献落地浓度汇总</w:t>
      </w:r>
    </w:p>
    <w:p w14:paraId="4A408754">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根据</w:t>
      </w:r>
      <w:r>
        <w:rPr>
          <w:rFonts w:hint="default" w:cs="Times New Roman"/>
          <w:color w:val="auto"/>
          <w:highlight w:val="none"/>
          <w:lang w:val="en-US" w:eastAsia="zh-CN"/>
        </w:rPr>
        <w:t>富蕴</w:t>
      </w:r>
      <w:r>
        <w:rPr>
          <w:rFonts w:hint="default" w:ascii="Times New Roman" w:hAnsi="Times New Roman" w:cs="Times New Roman"/>
          <w:color w:val="auto"/>
          <w:highlight w:val="none"/>
        </w:rPr>
        <w:t>气象站202</w:t>
      </w:r>
      <w:r>
        <w:rPr>
          <w:rFonts w:hint="default" w:cs="Times New Roman"/>
          <w:color w:val="auto"/>
          <w:highlight w:val="none"/>
          <w:lang w:val="en-US" w:eastAsia="zh-CN"/>
        </w:rPr>
        <w:t>3</w:t>
      </w:r>
      <w:r>
        <w:rPr>
          <w:rFonts w:hint="default" w:ascii="Times New Roman" w:hAnsi="Times New Roman" w:cs="Times New Roman"/>
          <w:color w:val="auto"/>
          <w:highlight w:val="none"/>
        </w:rPr>
        <w:t>年每天24小时的气象数据进行逐时计算，对评价区域范围内进行落地浓度预测。各污染物最大落地浓度贡献值、发生的时间及占标率统计见表5.2-12。</w:t>
      </w:r>
    </w:p>
    <w:p w14:paraId="2E847177">
      <w:pPr>
        <w:pStyle w:val="32"/>
        <w:widowControl/>
        <w:autoSpaceDE w:val="0"/>
        <w:autoSpaceDN w:val="0"/>
        <w:adjustRightInd w:val="0"/>
        <w:spacing w:after="0"/>
        <w:ind w:left="0" w:leftChars="0" w:firstLine="0" w:firstLineChars="0"/>
        <w:jc w:val="center"/>
        <w:textAlignment w:val="baseline"/>
        <w:rPr>
          <w:rFonts w:hint="default" w:ascii="Times New Roman" w:hAnsi="Times New Roman" w:cs="Times New Roman"/>
          <w:b/>
          <w:bCs/>
          <w:color w:val="auto"/>
          <w:sz w:val="24"/>
          <w:highlight w:val="none"/>
          <w:shd w:val="clear" w:color="auto" w:fill="FFFFFF"/>
        </w:rPr>
      </w:pPr>
      <w:r>
        <w:rPr>
          <w:rFonts w:hint="default" w:ascii="Times New Roman" w:hAnsi="Times New Roman" w:cs="Times New Roman"/>
          <w:b/>
          <w:bCs/>
          <w:color w:val="auto"/>
          <w:sz w:val="24"/>
          <w:highlight w:val="none"/>
          <w:shd w:val="clear" w:color="auto" w:fill="FFFFFF"/>
        </w:rPr>
        <w:t>表5.2-12    各污染物最大贡献浓度预测结果表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522"/>
        <w:gridCol w:w="635"/>
        <w:gridCol w:w="1195"/>
        <w:gridCol w:w="795"/>
        <w:gridCol w:w="660"/>
        <w:gridCol w:w="1035"/>
        <w:gridCol w:w="1305"/>
        <w:gridCol w:w="945"/>
        <w:gridCol w:w="705"/>
        <w:gridCol w:w="539"/>
      </w:tblGrid>
      <w:tr w14:paraId="7BA76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tblHeader/>
          <w:jc w:val="center"/>
        </w:trPr>
        <w:tc>
          <w:tcPr>
            <w:tcW w:w="313" w:type="pct"/>
            <w:tcBorders>
              <w:tl2br w:val="nil"/>
              <w:tr2bl w:val="nil"/>
            </w:tcBorders>
            <w:vAlign w:val="center"/>
          </w:tcPr>
          <w:p w14:paraId="14CA6103">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污染物</w:t>
            </w:r>
          </w:p>
        </w:tc>
        <w:tc>
          <w:tcPr>
            <w:tcW w:w="380" w:type="pct"/>
            <w:tcBorders>
              <w:tl2br w:val="nil"/>
              <w:tr2bl w:val="nil"/>
            </w:tcBorders>
            <w:vAlign w:val="center"/>
          </w:tcPr>
          <w:p w14:paraId="58F7C573">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点名称</w:t>
            </w:r>
          </w:p>
        </w:tc>
        <w:tc>
          <w:tcPr>
            <w:tcW w:w="716" w:type="pct"/>
            <w:tcBorders>
              <w:tl2br w:val="nil"/>
              <w:tr2bl w:val="nil"/>
            </w:tcBorders>
            <w:vAlign w:val="center"/>
          </w:tcPr>
          <w:p w14:paraId="41923CD7">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点坐标(x,y)</w:t>
            </w:r>
          </w:p>
        </w:tc>
        <w:tc>
          <w:tcPr>
            <w:tcW w:w="476" w:type="pct"/>
            <w:tcBorders>
              <w:tl2br w:val="nil"/>
              <w:tr2bl w:val="nil"/>
            </w:tcBorders>
            <w:vAlign w:val="center"/>
          </w:tcPr>
          <w:p w14:paraId="2BD694D5">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地面高程(m)</w:t>
            </w:r>
          </w:p>
        </w:tc>
        <w:tc>
          <w:tcPr>
            <w:tcW w:w="395" w:type="pct"/>
            <w:tcBorders>
              <w:tl2br w:val="nil"/>
              <w:tr2bl w:val="nil"/>
            </w:tcBorders>
            <w:vAlign w:val="center"/>
          </w:tcPr>
          <w:p w14:paraId="19F4E972">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浓度类型</w:t>
            </w:r>
          </w:p>
        </w:tc>
        <w:tc>
          <w:tcPr>
            <w:tcW w:w="620" w:type="pct"/>
            <w:tcBorders>
              <w:tl2br w:val="nil"/>
              <w:tr2bl w:val="nil"/>
            </w:tcBorders>
            <w:vAlign w:val="center"/>
          </w:tcPr>
          <w:p w14:paraId="70353614">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浓度增量(mg/m</w:t>
            </w:r>
            <w:r>
              <w:rPr>
                <w:rFonts w:hint="default" w:ascii="Times New Roman" w:hAnsi="Times New Roman" w:cs="Times New Roman"/>
                <w:b/>
                <w:bCs/>
                <w:color w:val="auto"/>
                <w:kern w:val="0"/>
                <w:sz w:val="21"/>
                <w:szCs w:val="21"/>
                <w:highlight w:val="none"/>
                <w:vertAlign w:val="superscript"/>
                <w:lang w:bidi="ar"/>
              </w:rPr>
              <w:t>3</w:t>
            </w:r>
            <w:r>
              <w:rPr>
                <w:rFonts w:hint="default" w:ascii="Times New Roman" w:hAnsi="Times New Roman" w:cs="Times New Roman"/>
                <w:b/>
                <w:bCs/>
                <w:color w:val="auto"/>
                <w:kern w:val="0"/>
                <w:sz w:val="21"/>
                <w:szCs w:val="21"/>
                <w:highlight w:val="none"/>
                <w:lang w:bidi="ar"/>
              </w:rPr>
              <w:t>)</w:t>
            </w:r>
          </w:p>
        </w:tc>
        <w:tc>
          <w:tcPr>
            <w:tcW w:w="782" w:type="pct"/>
            <w:tcBorders>
              <w:tl2br w:val="nil"/>
              <w:tr2bl w:val="nil"/>
            </w:tcBorders>
            <w:vAlign w:val="center"/>
          </w:tcPr>
          <w:p w14:paraId="590907C1">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出现时间(YYMMDDHH)</w:t>
            </w:r>
          </w:p>
        </w:tc>
        <w:tc>
          <w:tcPr>
            <w:tcW w:w="566" w:type="pct"/>
            <w:tcBorders>
              <w:tl2br w:val="nil"/>
              <w:tr2bl w:val="nil"/>
            </w:tcBorders>
            <w:vAlign w:val="center"/>
          </w:tcPr>
          <w:p w14:paraId="232EE5D9">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评价标准(mg/m</w:t>
            </w:r>
            <w:r>
              <w:rPr>
                <w:rFonts w:hint="default" w:ascii="Times New Roman" w:hAnsi="Times New Roman" w:cs="Times New Roman"/>
                <w:b/>
                <w:bCs/>
                <w:color w:val="auto"/>
                <w:kern w:val="0"/>
                <w:sz w:val="21"/>
                <w:szCs w:val="21"/>
                <w:highlight w:val="none"/>
                <w:vertAlign w:val="superscript"/>
                <w:lang w:bidi="ar"/>
              </w:rPr>
              <w:t>3</w:t>
            </w:r>
            <w:r>
              <w:rPr>
                <w:rFonts w:hint="default" w:ascii="Times New Roman" w:hAnsi="Times New Roman" w:cs="Times New Roman"/>
                <w:b/>
                <w:bCs/>
                <w:color w:val="auto"/>
                <w:kern w:val="0"/>
                <w:sz w:val="21"/>
                <w:szCs w:val="21"/>
                <w:highlight w:val="none"/>
                <w:lang w:bidi="ar"/>
              </w:rPr>
              <w:t>)</w:t>
            </w:r>
          </w:p>
        </w:tc>
        <w:tc>
          <w:tcPr>
            <w:tcW w:w="422" w:type="pct"/>
            <w:tcBorders>
              <w:tl2br w:val="nil"/>
              <w:tr2bl w:val="nil"/>
            </w:tcBorders>
            <w:vAlign w:val="center"/>
          </w:tcPr>
          <w:p w14:paraId="44132A98">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占标率%</w:t>
            </w:r>
          </w:p>
        </w:tc>
        <w:tc>
          <w:tcPr>
            <w:tcW w:w="323" w:type="pct"/>
            <w:tcBorders>
              <w:tl2br w:val="nil"/>
              <w:tr2bl w:val="nil"/>
            </w:tcBorders>
            <w:vAlign w:val="center"/>
          </w:tcPr>
          <w:p w14:paraId="51521D4C">
            <w:pPr>
              <w:widowControl/>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是否超标</w:t>
            </w:r>
          </w:p>
        </w:tc>
      </w:tr>
      <w:tr w14:paraId="1FBD9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313" w:type="pct"/>
            <w:vMerge w:val="restart"/>
            <w:tcBorders>
              <w:tl2br w:val="nil"/>
              <w:tr2bl w:val="nil"/>
            </w:tcBorders>
            <w:vAlign w:val="center"/>
          </w:tcPr>
          <w:p w14:paraId="655EFF15">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PM</w:t>
            </w:r>
            <w:r>
              <w:rPr>
                <w:rFonts w:hint="default" w:ascii="Times New Roman" w:hAnsi="Times New Roman" w:cs="Times New Roman"/>
                <w:color w:val="auto"/>
                <w:kern w:val="0"/>
                <w:sz w:val="21"/>
                <w:szCs w:val="21"/>
                <w:highlight w:val="none"/>
                <w:vertAlign w:val="subscript"/>
                <w:lang w:bidi="ar"/>
              </w:rPr>
              <w:t>10</w:t>
            </w:r>
          </w:p>
        </w:tc>
        <w:tc>
          <w:tcPr>
            <w:tcW w:w="380" w:type="pct"/>
            <w:vMerge w:val="restart"/>
            <w:tcBorders>
              <w:tl2br w:val="nil"/>
              <w:tr2bl w:val="nil"/>
            </w:tcBorders>
            <w:vAlign w:val="center"/>
          </w:tcPr>
          <w:p w14:paraId="5E7FE886">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网格</w:t>
            </w:r>
          </w:p>
        </w:tc>
        <w:tc>
          <w:tcPr>
            <w:tcW w:w="716" w:type="pct"/>
            <w:tcBorders>
              <w:tl2br w:val="nil"/>
              <w:tr2bl w:val="nil"/>
            </w:tcBorders>
            <w:vAlign w:val="center"/>
          </w:tcPr>
          <w:p w14:paraId="359AD0B5">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550，0</w:t>
            </w:r>
          </w:p>
        </w:tc>
        <w:tc>
          <w:tcPr>
            <w:tcW w:w="476" w:type="pct"/>
            <w:tcBorders>
              <w:tl2br w:val="nil"/>
              <w:tr2bl w:val="nil"/>
            </w:tcBorders>
            <w:vAlign w:val="center"/>
          </w:tcPr>
          <w:p w14:paraId="05C1BBFC">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1117.10</w:t>
            </w:r>
          </w:p>
        </w:tc>
        <w:tc>
          <w:tcPr>
            <w:tcW w:w="395" w:type="pct"/>
            <w:tcBorders>
              <w:tl2br w:val="nil"/>
              <w:tr2bl w:val="nil"/>
            </w:tcBorders>
            <w:vAlign w:val="center"/>
          </w:tcPr>
          <w:p w14:paraId="2E8E5768">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日平均</w:t>
            </w:r>
          </w:p>
        </w:tc>
        <w:tc>
          <w:tcPr>
            <w:tcW w:w="1035" w:type="dxa"/>
            <w:tcBorders>
              <w:tl2br w:val="nil"/>
              <w:tr2bl w:val="nil"/>
            </w:tcBorders>
            <w:vAlign w:val="center"/>
          </w:tcPr>
          <w:p w14:paraId="4DC5761A">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0.026236</w:t>
            </w:r>
          </w:p>
        </w:tc>
        <w:tc>
          <w:tcPr>
            <w:tcW w:w="782" w:type="pct"/>
            <w:tcBorders>
              <w:tl2br w:val="nil"/>
              <w:tr2bl w:val="nil"/>
            </w:tcBorders>
            <w:shd w:val="clear" w:color="auto" w:fill="auto"/>
            <w:vAlign w:val="center"/>
          </w:tcPr>
          <w:p w14:paraId="305398D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230208</w:t>
            </w:r>
          </w:p>
        </w:tc>
        <w:tc>
          <w:tcPr>
            <w:tcW w:w="566" w:type="pct"/>
            <w:tcBorders>
              <w:tl2br w:val="nil"/>
              <w:tr2bl w:val="nil"/>
            </w:tcBorders>
            <w:vAlign w:val="center"/>
          </w:tcPr>
          <w:p w14:paraId="3B5F2025">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0.15</w:t>
            </w:r>
          </w:p>
        </w:tc>
        <w:tc>
          <w:tcPr>
            <w:tcW w:w="422" w:type="pct"/>
            <w:tcBorders>
              <w:tl2br w:val="nil"/>
              <w:tr2bl w:val="nil"/>
            </w:tcBorders>
            <w:vAlign w:val="center"/>
          </w:tcPr>
          <w:p w14:paraId="5B30F5CD">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17.49</w:t>
            </w:r>
          </w:p>
        </w:tc>
        <w:tc>
          <w:tcPr>
            <w:tcW w:w="323" w:type="pct"/>
            <w:tcBorders>
              <w:tl2br w:val="nil"/>
              <w:tr2bl w:val="nil"/>
            </w:tcBorders>
            <w:vAlign w:val="center"/>
          </w:tcPr>
          <w:p w14:paraId="4A04944D">
            <w:pPr>
              <w:widowControl/>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达标</w:t>
            </w:r>
          </w:p>
        </w:tc>
      </w:tr>
      <w:tr w14:paraId="1A1C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313" w:type="pct"/>
            <w:vMerge w:val="continue"/>
            <w:tcBorders>
              <w:tl2br w:val="nil"/>
              <w:tr2bl w:val="nil"/>
            </w:tcBorders>
            <w:vAlign w:val="center"/>
          </w:tcPr>
          <w:p w14:paraId="664CE64F">
            <w:pPr>
              <w:widowControl/>
              <w:spacing w:line="360" w:lineRule="exact"/>
              <w:ind w:firstLine="0" w:firstLineChars="0"/>
              <w:jc w:val="center"/>
              <w:rPr>
                <w:rFonts w:hint="default" w:ascii="Times New Roman" w:hAnsi="Times New Roman" w:cs="Times New Roman"/>
                <w:color w:val="auto"/>
                <w:sz w:val="21"/>
                <w:szCs w:val="21"/>
                <w:highlight w:val="none"/>
              </w:rPr>
            </w:pPr>
          </w:p>
        </w:tc>
        <w:tc>
          <w:tcPr>
            <w:tcW w:w="380" w:type="pct"/>
            <w:vMerge w:val="continue"/>
            <w:tcBorders>
              <w:tl2br w:val="nil"/>
              <w:tr2bl w:val="nil"/>
            </w:tcBorders>
            <w:vAlign w:val="center"/>
          </w:tcPr>
          <w:p w14:paraId="43519FC9">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716" w:type="pct"/>
            <w:tcBorders>
              <w:tl2br w:val="nil"/>
              <w:tr2bl w:val="nil"/>
            </w:tcBorders>
            <w:vAlign w:val="center"/>
          </w:tcPr>
          <w:p w14:paraId="06303D3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550,50</w:t>
            </w:r>
          </w:p>
        </w:tc>
        <w:tc>
          <w:tcPr>
            <w:tcW w:w="476" w:type="pct"/>
            <w:tcBorders>
              <w:tl2br w:val="nil"/>
              <w:tr2bl w:val="nil"/>
            </w:tcBorders>
            <w:vAlign w:val="center"/>
          </w:tcPr>
          <w:p w14:paraId="6B23F829">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1117.00</w:t>
            </w:r>
          </w:p>
        </w:tc>
        <w:tc>
          <w:tcPr>
            <w:tcW w:w="395" w:type="pct"/>
            <w:tcBorders>
              <w:tl2br w:val="nil"/>
              <w:tr2bl w:val="nil"/>
            </w:tcBorders>
            <w:vAlign w:val="center"/>
          </w:tcPr>
          <w:p w14:paraId="5291CD8B">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全时段</w:t>
            </w:r>
          </w:p>
        </w:tc>
        <w:tc>
          <w:tcPr>
            <w:tcW w:w="1035" w:type="dxa"/>
            <w:tcBorders>
              <w:tl2br w:val="nil"/>
              <w:tr2bl w:val="nil"/>
            </w:tcBorders>
            <w:vAlign w:val="center"/>
          </w:tcPr>
          <w:p w14:paraId="5D7D9A46">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0.002576</w:t>
            </w:r>
          </w:p>
        </w:tc>
        <w:tc>
          <w:tcPr>
            <w:tcW w:w="782" w:type="pct"/>
            <w:tcBorders>
              <w:tl2br w:val="nil"/>
              <w:tr2bl w:val="nil"/>
            </w:tcBorders>
            <w:shd w:val="clear" w:color="auto" w:fill="auto"/>
            <w:vAlign w:val="center"/>
          </w:tcPr>
          <w:p w14:paraId="40353188">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平均值</w:t>
            </w:r>
          </w:p>
        </w:tc>
        <w:tc>
          <w:tcPr>
            <w:tcW w:w="566" w:type="pct"/>
            <w:tcBorders>
              <w:tl2br w:val="nil"/>
              <w:tr2bl w:val="nil"/>
            </w:tcBorders>
            <w:vAlign w:val="center"/>
          </w:tcPr>
          <w:p w14:paraId="0617A390">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0.06</w:t>
            </w:r>
          </w:p>
        </w:tc>
        <w:tc>
          <w:tcPr>
            <w:tcW w:w="422" w:type="pct"/>
            <w:tcBorders>
              <w:tl2br w:val="nil"/>
              <w:tr2bl w:val="nil"/>
            </w:tcBorders>
            <w:vAlign w:val="center"/>
          </w:tcPr>
          <w:p w14:paraId="2F148DB4">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4.29</w:t>
            </w:r>
          </w:p>
        </w:tc>
        <w:tc>
          <w:tcPr>
            <w:tcW w:w="323" w:type="pct"/>
            <w:tcBorders>
              <w:tl2br w:val="nil"/>
              <w:tr2bl w:val="nil"/>
            </w:tcBorders>
            <w:vAlign w:val="center"/>
          </w:tcPr>
          <w:p w14:paraId="27361CF5">
            <w:pPr>
              <w:widowControl/>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达标</w:t>
            </w:r>
          </w:p>
        </w:tc>
      </w:tr>
      <w:tr w14:paraId="5EE23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313" w:type="pct"/>
            <w:vMerge w:val="restart"/>
            <w:tcBorders>
              <w:tl2br w:val="nil"/>
              <w:tr2bl w:val="nil"/>
            </w:tcBorders>
            <w:vAlign w:val="center"/>
          </w:tcPr>
          <w:p w14:paraId="00101591">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380" w:type="pct"/>
            <w:vMerge w:val="restart"/>
            <w:tcBorders>
              <w:tl2br w:val="nil"/>
              <w:tr2bl w:val="nil"/>
            </w:tcBorders>
            <w:vAlign w:val="center"/>
          </w:tcPr>
          <w:p w14:paraId="7C547553">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网格</w:t>
            </w:r>
          </w:p>
        </w:tc>
        <w:tc>
          <w:tcPr>
            <w:tcW w:w="716" w:type="pct"/>
            <w:tcBorders>
              <w:tl2br w:val="nil"/>
              <w:tr2bl w:val="nil"/>
            </w:tcBorders>
            <w:vAlign w:val="center"/>
          </w:tcPr>
          <w:p w14:paraId="2BCF685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500,300</w:t>
            </w:r>
          </w:p>
        </w:tc>
        <w:tc>
          <w:tcPr>
            <w:tcW w:w="476" w:type="pct"/>
            <w:tcBorders>
              <w:tl2br w:val="nil"/>
              <w:tr2bl w:val="nil"/>
            </w:tcBorders>
            <w:vAlign w:val="center"/>
          </w:tcPr>
          <w:p w14:paraId="3449D91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1115.00</w:t>
            </w:r>
          </w:p>
        </w:tc>
        <w:tc>
          <w:tcPr>
            <w:tcW w:w="395" w:type="pct"/>
            <w:tcBorders>
              <w:tl2br w:val="nil"/>
              <w:tr2bl w:val="nil"/>
            </w:tcBorders>
            <w:vAlign w:val="center"/>
          </w:tcPr>
          <w:p w14:paraId="488B6BB9">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日平均</w:t>
            </w:r>
          </w:p>
        </w:tc>
        <w:tc>
          <w:tcPr>
            <w:tcW w:w="620" w:type="pct"/>
            <w:tcBorders>
              <w:tl2br w:val="nil"/>
              <w:tr2bl w:val="nil"/>
            </w:tcBorders>
            <w:vAlign w:val="center"/>
          </w:tcPr>
          <w:p w14:paraId="7C057FF2">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0.028261</w:t>
            </w:r>
          </w:p>
        </w:tc>
        <w:tc>
          <w:tcPr>
            <w:tcW w:w="782" w:type="pct"/>
            <w:tcBorders>
              <w:tl2br w:val="nil"/>
              <w:tr2bl w:val="nil"/>
            </w:tcBorders>
            <w:vAlign w:val="center"/>
          </w:tcPr>
          <w:p w14:paraId="51CEC736">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230223</w:t>
            </w:r>
          </w:p>
        </w:tc>
        <w:tc>
          <w:tcPr>
            <w:tcW w:w="566" w:type="pct"/>
            <w:tcBorders>
              <w:tl2br w:val="nil"/>
              <w:tr2bl w:val="nil"/>
            </w:tcBorders>
            <w:vAlign w:val="center"/>
          </w:tcPr>
          <w:p w14:paraId="35B1ED2F">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0.30</w:t>
            </w:r>
          </w:p>
        </w:tc>
        <w:tc>
          <w:tcPr>
            <w:tcW w:w="422" w:type="pct"/>
            <w:tcBorders>
              <w:tl2br w:val="nil"/>
              <w:tr2bl w:val="nil"/>
            </w:tcBorders>
            <w:vAlign w:val="center"/>
          </w:tcPr>
          <w:p w14:paraId="755C529D">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9.42</w:t>
            </w:r>
          </w:p>
        </w:tc>
        <w:tc>
          <w:tcPr>
            <w:tcW w:w="323" w:type="pct"/>
            <w:tcBorders>
              <w:tl2br w:val="nil"/>
              <w:tr2bl w:val="nil"/>
            </w:tcBorders>
            <w:vAlign w:val="center"/>
          </w:tcPr>
          <w:p w14:paraId="3F4B64CD">
            <w:pPr>
              <w:widowControl/>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达标</w:t>
            </w:r>
          </w:p>
        </w:tc>
      </w:tr>
      <w:tr w14:paraId="356E4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313" w:type="pct"/>
            <w:vMerge w:val="continue"/>
            <w:tcBorders>
              <w:tl2br w:val="nil"/>
              <w:tr2bl w:val="nil"/>
            </w:tcBorders>
            <w:vAlign w:val="center"/>
          </w:tcPr>
          <w:p w14:paraId="7FCC3944">
            <w:pPr>
              <w:widowControl/>
              <w:spacing w:line="360" w:lineRule="exact"/>
              <w:ind w:firstLine="0" w:firstLineChars="0"/>
              <w:jc w:val="center"/>
              <w:rPr>
                <w:rFonts w:hint="default" w:ascii="Times New Roman" w:hAnsi="Times New Roman" w:cs="Times New Roman"/>
                <w:color w:val="auto"/>
                <w:sz w:val="21"/>
                <w:szCs w:val="21"/>
                <w:highlight w:val="none"/>
              </w:rPr>
            </w:pPr>
          </w:p>
        </w:tc>
        <w:tc>
          <w:tcPr>
            <w:tcW w:w="380" w:type="pct"/>
            <w:vMerge w:val="continue"/>
            <w:tcBorders>
              <w:tl2br w:val="nil"/>
              <w:tr2bl w:val="nil"/>
            </w:tcBorders>
            <w:vAlign w:val="center"/>
          </w:tcPr>
          <w:p w14:paraId="3B2614F8">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716" w:type="pct"/>
            <w:tcBorders>
              <w:tl2br w:val="nil"/>
              <w:tr2bl w:val="nil"/>
            </w:tcBorders>
            <w:vAlign w:val="center"/>
          </w:tcPr>
          <w:p w14:paraId="236EA0D5">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200,250</w:t>
            </w:r>
          </w:p>
        </w:tc>
        <w:tc>
          <w:tcPr>
            <w:tcW w:w="476" w:type="pct"/>
            <w:tcBorders>
              <w:tl2br w:val="nil"/>
              <w:tr2bl w:val="nil"/>
            </w:tcBorders>
            <w:vAlign w:val="center"/>
          </w:tcPr>
          <w:p w14:paraId="0774439E">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1105.90</w:t>
            </w:r>
          </w:p>
        </w:tc>
        <w:tc>
          <w:tcPr>
            <w:tcW w:w="395" w:type="pct"/>
            <w:tcBorders>
              <w:tl2br w:val="nil"/>
              <w:tr2bl w:val="nil"/>
            </w:tcBorders>
            <w:vAlign w:val="center"/>
          </w:tcPr>
          <w:p w14:paraId="65D395E1">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全时段</w:t>
            </w:r>
          </w:p>
        </w:tc>
        <w:tc>
          <w:tcPr>
            <w:tcW w:w="620" w:type="pct"/>
            <w:tcBorders>
              <w:tl2br w:val="nil"/>
              <w:tr2bl w:val="nil"/>
            </w:tcBorders>
            <w:vAlign w:val="center"/>
          </w:tcPr>
          <w:p w14:paraId="67F1626A">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0.004054</w:t>
            </w:r>
          </w:p>
        </w:tc>
        <w:tc>
          <w:tcPr>
            <w:tcW w:w="782" w:type="pct"/>
            <w:tcBorders>
              <w:tl2br w:val="nil"/>
              <w:tr2bl w:val="nil"/>
            </w:tcBorders>
            <w:vAlign w:val="center"/>
          </w:tcPr>
          <w:p w14:paraId="132A14F3">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平均值</w:t>
            </w:r>
          </w:p>
        </w:tc>
        <w:tc>
          <w:tcPr>
            <w:tcW w:w="566" w:type="pct"/>
            <w:tcBorders>
              <w:tl2br w:val="nil"/>
              <w:tr2bl w:val="nil"/>
            </w:tcBorders>
            <w:vAlign w:val="center"/>
          </w:tcPr>
          <w:p w14:paraId="4685B25B">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0.20</w:t>
            </w:r>
          </w:p>
        </w:tc>
        <w:tc>
          <w:tcPr>
            <w:tcW w:w="422" w:type="pct"/>
            <w:tcBorders>
              <w:tl2br w:val="nil"/>
              <w:tr2bl w:val="nil"/>
            </w:tcBorders>
            <w:vAlign w:val="center"/>
          </w:tcPr>
          <w:p w14:paraId="1782ACF5">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2.03</w:t>
            </w:r>
          </w:p>
        </w:tc>
        <w:tc>
          <w:tcPr>
            <w:tcW w:w="323" w:type="pct"/>
            <w:tcBorders>
              <w:tl2br w:val="nil"/>
              <w:tr2bl w:val="nil"/>
            </w:tcBorders>
            <w:vAlign w:val="center"/>
          </w:tcPr>
          <w:p w14:paraId="31A25C93">
            <w:pPr>
              <w:widowControl/>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达标</w:t>
            </w:r>
          </w:p>
        </w:tc>
      </w:tr>
    </w:tbl>
    <w:p w14:paraId="61BA0B5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从表5.4-12可以看出：所有污染物最大日均浓度占标率均小于</w:t>
      </w:r>
      <w:r>
        <w:rPr>
          <w:rFonts w:hint="default" w:cs="Times New Roman"/>
          <w:color w:val="auto"/>
          <w:highlight w:val="none"/>
          <w:lang w:val="en-US" w:eastAsia="zh-CN"/>
        </w:rPr>
        <w:t>3</w:t>
      </w:r>
      <w:r>
        <w:rPr>
          <w:rFonts w:hint="default" w:ascii="Times New Roman" w:hAnsi="Times New Roman" w:cs="Times New Roman"/>
          <w:color w:val="auto"/>
          <w:highlight w:val="none"/>
        </w:rPr>
        <w:t>0%、年均浓度占标率均＜1</w:t>
      </w:r>
      <w:r>
        <w:rPr>
          <w:rFonts w:hint="default" w:cs="Times New Roman"/>
          <w:color w:val="auto"/>
          <w:highlight w:val="none"/>
          <w:lang w:val="en-US" w:eastAsia="zh-CN"/>
        </w:rPr>
        <w:t>0</w:t>
      </w:r>
      <w:r>
        <w:rPr>
          <w:rFonts w:hint="default" w:ascii="Times New Roman" w:hAnsi="Times New Roman" w:cs="Times New Roman"/>
          <w:color w:val="auto"/>
          <w:highlight w:val="none"/>
        </w:rPr>
        <w:t>%，说明本项目对区域污染物浓度的长期贡献值较小。总体来说，本项目建设对区域大气污染物的污染贡献在可接受范围内。</w:t>
      </w:r>
    </w:p>
    <w:p w14:paraId="0F94DDA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②叠加背景值后日保证率浓度结果分析</w:t>
      </w:r>
    </w:p>
    <w:p w14:paraId="00A4930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评价要求，本次大气环境影响预测与评价考虑最大地面浓度点和现状背景值的逐日叠加后日保证率的达标情况进行分析，叠加后污染物最大落地浓度预测结果见表5.2-13，各污染物最大地面浓度等值线分布见图5.2-6~图5.2-</w:t>
      </w:r>
      <w:r>
        <w:rPr>
          <w:rFonts w:hint="default" w:cs="Times New Roman"/>
          <w:color w:val="auto"/>
          <w:highlight w:val="none"/>
          <w:lang w:val="en-US" w:eastAsia="zh-CN"/>
        </w:rPr>
        <w:t>9</w:t>
      </w:r>
      <w:r>
        <w:rPr>
          <w:rFonts w:hint="default" w:ascii="Times New Roman" w:hAnsi="Times New Roman" w:cs="Times New Roman"/>
          <w:color w:val="auto"/>
          <w:highlight w:val="none"/>
        </w:rPr>
        <w:t>。</w:t>
      </w:r>
    </w:p>
    <w:p w14:paraId="00C1A1D5">
      <w:pPr>
        <w:pStyle w:val="32"/>
        <w:widowControl/>
        <w:autoSpaceDE w:val="0"/>
        <w:autoSpaceDN w:val="0"/>
        <w:adjustRightInd w:val="0"/>
        <w:spacing w:after="0"/>
        <w:ind w:left="0" w:leftChars="0" w:firstLine="0" w:firstLineChars="0"/>
        <w:jc w:val="center"/>
        <w:textAlignment w:val="baseline"/>
        <w:rPr>
          <w:rFonts w:hint="default" w:ascii="Times New Roman" w:hAnsi="Times New Roman" w:cs="Times New Roman"/>
          <w:b/>
          <w:bCs/>
          <w:color w:val="auto"/>
          <w:sz w:val="24"/>
          <w:highlight w:val="none"/>
          <w:shd w:val="clear" w:color="auto" w:fill="FFFFFF"/>
        </w:rPr>
      </w:pPr>
      <w:r>
        <w:rPr>
          <w:rFonts w:hint="default" w:ascii="Times New Roman" w:hAnsi="Times New Roman" w:cs="Times New Roman"/>
          <w:b/>
          <w:bCs/>
          <w:color w:val="auto"/>
          <w:sz w:val="24"/>
          <w:highlight w:val="none"/>
          <w:shd w:val="clear" w:color="auto" w:fill="FFFFFF"/>
        </w:rPr>
        <w:t>表5.2-13    各污染物最大地面浓度叠加背景值预测结果</w:t>
      </w:r>
    </w:p>
    <w:tbl>
      <w:tblPr>
        <w:tblStyle w:val="33"/>
        <w:tblW w:w="89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544"/>
        <w:gridCol w:w="544"/>
        <w:gridCol w:w="1034"/>
        <w:gridCol w:w="780"/>
        <w:gridCol w:w="705"/>
        <w:gridCol w:w="845"/>
        <w:gridCol w:w="851"/>
        <w:gridCol w:w="850"/>
        <w:gridCol w:w="851"/>
        <w:gridCol w:w="758"/>
        <w:gridCol w:w="714"/>
        <w:gridCol w:w="512"/>
      </w:tblGrid>
      <w:tr w14:paraId="7941D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tblHeader/>
          <w:jc w:val="center"/>
        </w:trPr>
        <w:tc>
          <w:tcPr>
            <w:tcW w:w="544" w:type="dxa"/>
            <w:tcBorders>
              <w:tl2br w:val="nil"/>
              <w:tr2bl w:val="nil"/>
            </w:tcBorders>
            <w:vAlign w:val="center"/>
          </w:tcPr>
          <w:p w14:paraId="7EDB0442">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544" w:type="dxa"/>
            <w:tcBorders>
              <w:tl2br w:val="nil"/>
              <w:tr2bl w:val="nil"/>
            </w:tcBorders>
            <w:vAlign w:val="center"/>
          </w:tcPr>
          <w:p w14:paraId="6061A426">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点名称</w:t>
            </w:r>
          </w:p>
        </w:tc>
        <w:tc>
          <w:tcPr>
            <w:tcW w:w="1034" w:type="dxa"/>
            <w:tcBorders>
              <w:tl2br w:val="nil"/>
              <w:tr2bl w:val="nil"/>
            </w:tcBorders>
            <w:vAlign w:val="center"/>
          </w:tcPr>
          <w:p w14:paraId="4649DEC7">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点坐标</w:t>
            </w:r>
          </w:p>
          <w:p w14:paraId="1AC2D376">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(x,y)</w:t>
            </w:r>
          </w:p>
        </w:tc>
        <w:tc>
          <w:tcPr>
            <w:tcW w:w="780" w:type="dxa"/>
            <w:tcBorders>
              <w:tl2br w:val="nil"/>
              <w:tr2bl w:val="nil"/>
            </w:tcBorders>
            <w:vAlign w:val="center"/>
          </w:tcPr>
          <w:p w14:paraId="1CB6D3B3">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地面高程(m)</w:t>
            </w:r>
          </w:p>
        </w:tc>
        <w:tc>
          <w:tcPr>
            <w:tcW w:w="705" w:type="dxa"/>
            <w:tcBorders>
              <w:tl2br w:val="nil"/>
              <w:tr2bl w:val="nil"/>
            </w:tcBorders>
            <w:vAlign w:val="center"/>
          </w:tcPr>
          <w:p w14:paraId="6D25CEDA">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p w14:paraId="43DA1A8A">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类型</w:t>
            </w:r>
          </w:p>
        </w:tc>
        <w:tc>
          <w:tcPr>
            <w:tcW w:w="845" w:type="dxa"/>
            <w:tcBorders>
              <w:tl2br w:val="nil"/>
              <w:tr2bl w:val="nil"/>
            </w:tcBorders>
            <w:vAlign w:val="center"/>
          </w:tcPr>
          <w:p w14:paraId="4E3523E0">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浓度增量(mg/m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851" w:type="dxa"/>
            <w:tcBorders>
              <w:tl2br w:val="nil"/>
              <w:tr2bl w:val="nil"/>
            </w:tcBorders>
            <w:vAlign w:val="center"/>
          </w:tcPr>
          <w:p w14:paraId="5FE85D0E">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出现时间(YYMMDDHH)</w:t>
            </w:r>
          </w:p>
        </w:tc>
        <w:tc>
          <w:tcPr>
            <w:tcW w:w="850" w:type="dxa"/>
            <w:tcBorders>
              <w:tl2br w:val="nil"/>
              <w:tr2bl w:val="nil"/>
            </w:tcBorders>
            <w:vAlign w:val="center"/>
          </w:tcPr>
          <w:p w14:paraId="5EF49D47">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背景浓度(mg/m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851" w:type="dxa"/>
            <w:tcBorders>
              <w:tl2br w:val="nil"/>
              <w:tr2bl w:val="nil"/>
            </w:tcBorders>
            <w:vAlign w:val="center"/>
          </w:tcPr>
          <w:p w14:paraId="10A64DD0">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叠加背景后的浓度(mg/m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758" w:type="dxa"/>
            <w:tcBorders>
              <w:tl2br w:val="nil"/>
              <w:tr2bl w:val="nil"/>
            </w:tcBorders>
            <w:vAlign w:val="center"/>
          </w:tcPr>
          <w:p w14:paraId="4DDE632A">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评价标准(mg/m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714" w:type="dxa"/>
            <w:tcBorders>
              <w:tl2br w:val="nil"/>
              <w:tr2bl w:val="nil"/>
            </w:tcBorders>
            <w:vAlign w:val="center"/>
          </w:tcPr>
          <w:p w14:paraId="737E1B6C">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占标率%(叠加背景以后)</w:t>
            </w:r>
          </w:p>
        </w:tc>
        <w:tc>
          <w:tcPr>
            <w:tcW w:w="512" w:type="dxa"/>
            <w:tcBorders>
              <w:tl2br w:val="nil"/>
              <w:tr2bl w:val="nil"/>
            </w:tcBorders>
            <w:vAlign w:val="center"/>
          </w:tcPr>
          <w:p w14:paraId="1DB75F63">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是否超标</w:t>
            </w:r>
          </w:p>
        </w:tc>
      </w:tr>
      <w:tr w14:paraId="61EB5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544" w:type="dxa"/>
            <w:vMerge w:val="restart"/>
            <w:tcBorders>
              <w:tl2br w:val="nil"/>
              <w:tr2bl w:val="nil"/>
            </w:tcBorders>
            <w:vAlign w:val="center"/>
          </w:tcPr>
          <w:p w14:paraId="777B39EE">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PM</w:t>
            </w:r>
            <w:r>
              <w:rPr>
                <w:rFonts w:hint="default" w:ascii="Times New Roman" w:hAnsi="Times New Roman" w:cs="Times New Roman"/>
                <w:color w:val="auto"/>
                <w:kern w:val="0"/>
                <w:sz w:val="21"/>
                <w:szCs w:val="21"/>
                <w:highlight w:val="none"/>
                <w:vertAlign w:val="subscript"/>
                <w:lang w:bidi="ar"/>
              </w:rPr>
              <w:t>10</w:t>
            </w:r>
          </w:p>
        </w:tc>
        <w:tc>
          <w:tcPr>
            <w:tcW w:w="544" w:type="dxa"/>
            <w:vMerge w:val="restart"/>
            <w:tcBorders>
              <w:tl2br w:val="nil"/>
              <w:tr2bl w:val="nil"/>
            </w:tcBorders>
            <w:vAlign w:val="center"/>
          </w:tcPr>
          <w:p w14:paraId="58F15F8E">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网格</w:t>
            </w:r>
          </w:p>
        </w:tc>
        <w:tc>
          <w:tcPr>
            <w:tcW w:w="1034" w:type="dxa"/>
            <w:tcBorders>
              <w:tl2br w:val="nil"/>
              <w:tr2bl w:val="nil"/>
            </w:tcBorders>
            <w:shd w:val="clear" w:color="auto" w:fill="auto"/>
            <w:vAlign w:val="center"/>
          </w:tcPr>
          <w:p w14:paraId="1EF7450A">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550，0</w:t>
            </w:r>
          </w:p>
        </w:tc>
        <w:tc>
          <w:tcPr>
            <w:tcW w:w="780" w:type="dxa"/>
            <w:tcBorders>
              <w:tl2br w:val="nil"/>
              <w:tr2bl w:val="nil"/>
            </w:tcBorders>
            <w:shd w:val="clear" w:color="auto" w:fill="auto"/>
            <w:vAlign w:val="center"/>
          </w:tcPr>
          <w:p w14:paraId="61E3DEA4">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1117.10</w:t>
            </w:r>
          </w:p>
        </w:tc>
        <w:tc>
          <w:tcPr>
            <w:tcW w:w="705" w:type="dxa"/>
            <w:tcBorders>
              <w:tl2br w:val="nil"/>
              <w:tr2bl w:val="nil"/>
            </w:tcBorders>
            <w:shd w:val="clear" w:color="auto" w:fill="auto"/>
            <w:vAlign w:val="center"/>
          </w:tcPr>
          <w:p w14:paraId="12EACDB4">
            <w:pPr>
              <w:widowControl/>
              <w:spacing w:line="36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日平均</w:t>
            </w:r>
          </w:p>
        </w:tc>
        <w:tc>
          <w:tcPr>
            <w:tcW w:w="845" w:type="dxa"/>
            <w:tcBorders>
              <w:tl2br w:val="nil"/>
              <w:tr2bl w:val="nil"/>
            </w:tcBorders>
            <w:shd w:val="clear" w:color="auto" w:fill="auto"/>
            <w:vAlign w:val="center"/>
          </w:tcPr>
          <w:p w14:paraId="181B10E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0.026236</w:t>
            </w:r>
          </w:p>
        </w:tc>
        <w:tc>
          <w:tcPr>
            <w:tcW w:w="851" w:type="dxa"/>
            <w:tcBorders>
              <w:tl2br w:val="nil"/>
              <w:tr2bl w:val="nil"/>
            </w:tcBorders>
            <w:shd w:val="clear" w:color="auto" w:fill="auto"/>
            <w:vAlign w:val="center"/>
          </w:tcPr>
          <w:p w14:paraId="756F2D57">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230208</w:t>
            </w:r>
          </w:p>
        </w:tc>
        <w:tc>
          <w:tcPr>
            <w:tcW w:w="850" w:type="dxa"/>
            <w:tcBorders>
              <w:tl2br w:val="nil"/>
              <w:tr2bl w:val="nil"/>
            </w:tcBorders>
            <w:vAlign w:val="center"/>
          </w:tcPr>
          <w:p w14:paraId="603CB84F">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0.026</w:t>
            </w:r>
          </w:p>
        </w:tc>
        <w:tc>
          <w:tcPr>
            <w:tcW w:w="851" w:type="dxa"/>
            <w:tcBorders>
              <w:tl2br w:val="nil"/>
              <w:tr2bl w:val="nil"/>
            </w:tcBorders>
            <w:vAlign w:val="center"/>
          </w:tcPr>
          <w:p w14:paraId="5F19CA5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0.052236</w:t>
            </w:r>
          </w:p>
        </w:tc>
        <w:tc>
          <w:tcPr>
            <w:tcW w:w="758" w:type="dxa"/>
            <w:tcBorders>
              <w:tl2br w:val="nil"/>
              <w:tr2bl w:val="nil"/>
            </w:tcBorders>
            <w:shd w:val="clear" w:color="auto" w:fill="auto"/>
            <w:vAlign w:val="center"/>
          </w:tcPr>
          <w:p w14:paraId="39B1B7DC">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0.15</w:t>
            </w:r>
          </w:p>
        </w:tc>
        <w:tc>
          <w:tcPr>
            <w:tcW w:w="714" w:type="dxa"/>
            <w:tcBorders>
              <w:tl2br w:val="nil"/>
              <w:tr2bl w:val="nil"/>
            </w:tcBorders>
            <w:vAlign w:val="center"/>
          </w:tcPr>
          <w:p w14:paraId="07DEA92F">
            <w:pPr>
              <w:widowControl/>
              <w:ind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cs="Times New Roman"/>
                <w:b w:val="0"/>
                <w:bCs w:val="0"/>
                <w:color w:val="auto"/>
                <w:kern w:val="0"/>
                <w:sz w:val="21"/>
                <w:szCs w:val="21"/>
                <w:highlight w:val="none"/>
                <w:lang w:val="en-US" w:eastAsia="zh-CN" w:bidi="ar"/>
              </w:rPr>
              <w:t>34.82</w:t>
            </w:r>
          </w:p>
        </w:tc>
        <w:tc>
          <w:tcPr>
            <w:tcW w:w="512" w:type="dxa"/>
            <w:tcBorders>
              <w:tl2br w:val="nil"/>
              <w:tr2bl w:val="nil"/>
            </w:tcBorders>
            <w:shd w:val="clear" w:color="auto" w:fill="auto"/>
            <w:vAlign w:val="center"/>
          </w:tcPr>
          <w:p w14:paraId="4DB2ACF9">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达标</w:t>
            </w:r>
          </w:p>
        </w:tc>
      </w:tr>
      <w:tr w14:paraId="3F6D4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544" w:type="dxa"/>
            <w:vMerge w:val="continue"/>
            <w:tcBorders>
              <w:tl2br w:val="nil"/>
              <w:tr2bl w:val="nil"/>
            </w:tcBorders>
            <w:vAlign w:val="center"/>
          </w:tcPr>
          <w:p w14:paraId="0F59E92F">
            <w:pPr>
              <w:widowControl/>
              <w:spacing w:line="360" w:lineRule="exact"/>
              <w:ind w:firstLine="0" w:firstLineChars="0"/>
              <w:jc w:val="center"/>
              <w:rPr>
                <w:rFonts w:hint="default" w:ascii="Times New Roman" w:hAnsi="Times New Roman" w:cs="Times New Roman"/>
                <w:color w:val="auto"/>
                <w:sz w:val="21"/>
                <w:szCs w:val="21"/>
                <w:highlight w:val="none"/>
              </w:rPr>
            </w:pPr>
          </w:p>
        </w:tc>
        <w:tc>
          <w:tcPr>
            <w:tcW w:w="544" w:type="dxa"/>
            <w:vMerge w:val="continue"/>
            <w:tcBorders>
              <w:tl2br w:val="nil"/>
              <w:tr2bl w:val="nil"/>
            </w:tcBorders>
            <w:vAlign w:val="center"/>
          </w:tcPr>
          <w:p w14:paraId="503798B1">
            <w:pPr>
              <w:widowControl/>
              <w:spacing w:line="360" w:lineRule="exact"/>
              <w:ind w:firstLine="0" w:firstLineChars="0"/>
              <w:jc w:val="center"/>
              <w:rPr>
                <w:rFonts w:hint="default" w:ascii="Times New Roman" w:hAnsi="Times New Roman" w:cs="Times New Roman"/>
                <w:color w:val="auto"/>
                <w:sz w:val="21"/>
                <w:szCs w:val="21"/>
                <w:highlight w:val="none"/>
              </w:rPr>
            </w:pPr>
          </w:p>
        </w:tc>
        <w:tc>
          <w:tcPr>
            <w:tcW w:w="1034" w:type="dxa"/>
            <w:tcBorders>
              <w:tl2br w:val="nil"/>
              <w:tr2bl w:val="nil"/>
            </w:tcBorders>
            <w:shd w:val="clear" w:color="auto" w:fill="auto"/>
            <w:vAlign w:val="center"/>
          </w:tcPr>
          <w:p w14:paraId="14C331C9">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550,50</w:t>
            </w:r>
          </w:p>
        </w:tc>
        <w:tc>
          <w:tcPr>
            <w:tcW w:w="780" w:type="dxa"/>
            <w:tcBorders>
              <w:tl2br w:val="nil"/>
              <w:tr2bl w:val="nil"/>
            </w:tcBorders>
            <w:shd w:val="clear" w:color="auto" w:fill="auto"/>
            <w:vAlign w:val="center"/>
          </w:tcPr>
          <w:p w14:paraId="2C134C7B">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1117.00</w:t>
            </w:r>
          </w:p>
        </w:tc>
        <w:tc>
          <w:tcPr>
            <w:tcW w:w="705" w:type="dxa"/>
            <w:tcBorders>
              <w:tl2br w:val="nil"/>
              <w:tr2bl w:val="nil"/>
            </w:tcBorders>
            <w:shd w:val="clear" w:color="auto" w:fill="auto"/>
            <w:vAlign w:val="center"/>
          </w:tcPr>
          <w:p w14:paraId="5E2192ED">
            <w:pPr>
              <w:widowControl/>
              <w:spacing w:line="36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全时段</w:t>
            </w:r>
          </w:p>
        </w:tc>
        <w:tc>
          <w:tcPr>
            <w:tcW w:w="845" w:type="dxa"/>
            <w:tcBorders>
              <w:tl2br w:val="nil"/>
              <w:tr2bl w:val="nil"/>
            </w:tcBorders>
            <w:shd w:val="clear" w:color="auto" w:fill="auto"/>
            <w:vAlign w:val="center"/>
          </w:tcPr>
          <w:p w14:paraId="5742CE0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0.002576</w:t>
            </w:r>
          </w:p>
        </w:tc>
        <w:tc>
          <w:tcPr>
            <w:tcW w:w="851" w:type="dxa"/>
            <w:tcBorders>
              <w:tl2br w:val="nil"/>
              <w:tr2bl w:val="nil"/>
            </w:tcBorders>
            <w:shd w:val="clear" w:color="auto" w:fill="auto"/>
            <w:vAlign w:val="center"/>
          </w:tcPr>
          <w:p w14:paraId="3DC9C299">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平均值</w:t>
            </w:r>
          </w:p>
        </w:tc>
        <w:tc>
          <w:tcPr>
            <w:tcW w:w="850" w:type="dxa"/>
            <w:tcBorders>
              <w:tl2br w:val="nil"/>
              <w:tr2bl w:val="nil"/>
            </w:tcBorders>
            <w:vAlign w:val="center"/>
          </w:tcPr>
          <w:p w14:paraId="1B42C0C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0.025</w:t>
            </w:r>
          </w:p>
        </w:tc>
        <w:tc>
          <w:tcPr>
            <w:tcW w:w="851" w:type="dxa"/>
            <w:tcBorders>
              <w:tl2br w:val="nil"/>
              <w:tr2bl w:val="nil"/>
            </w:tcBorders>
            <w:vAlign w:val="center"/>
          </w:tcPr>
          <w:p w14:paraId="6024A7B1">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0.027576</w:t>
            </w:r>
          </w:p>
        </w:tc>
        <w:tc>
          <w:tcPr>
            <w:tcW w:w="758" w:type="dxa"/>
            <w:tcBorders>
              <w:tl2br w:val="nil"/>
              <w:tr2bl w:val="nil"/>
            </w:tcBorders>
            <w:shd w:val="clear" w:color="auto" w:fill="auto"/>
            <w:vAlign w:val="center"/>
          </w:tcPr>
          <w:p w14:paraId="68769848">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0.06</w:t>
            </w:r>
          </w:p>
        </w:tc>
        <w:tc>
          <w:tcPr>
            <w:tcW w:w="714" w:type="dxa"/>
            <w:tcBorders>
              <w:tl2br w:val="nil"/>
              <w:tr2bl w:val="nil"/>
            </w:tcBorders>
            <w:vAlign w:val="center"/>
          </w:tcPr>
          <w:p w14:paraId="06D0EBD1">
            <w:pPr>
              <w:widowControl/>
              <w:ind w:firstLine="0" w:firstLineChars="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cs="Times New Roman"/>
                <w:b w:val="0"/>
                <w:bCs w:val="0"/>
                <w:color w:val="auto"/>
                <w:kern w:val="0"/>
                <w:sz w:val="21"/>
                <w:szCs w:val="21"/>
                <w:highlight w:val="none"/>
                <w:lang w:val="en-US" w:eastAsia="zh-CN" w:bidi="ar"/>
              </w:rPr>
              <w:t>45.96</w:t>
            </w:r>
          </w:p>
        </w:tc>
        <w:tc>
          <w:tcPr>
            <w:tcW w:w="512" w:type="dxa"/>
            <w:tcBorders>
              <w:tl2br w:val="nil"/>
              <w:tr2bl w:val="nil"/>
            </w:tcBorders>
            <w:shd w:val="clear" w:color="auto" w:fill="auto"/>
            <w:vAlign w:val="center"/>
          </w:tcPr>
          <w:p w14:paraId="32AE7963">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达标</w:t>
            </w:r>
          </w:p>
        </w:tc>
      </w:tr>
      <w:tr w14:paraId="5270A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544" w:type="dxa"/>
            <w:vMerge w:val="restart"/>
            <w:tcBorders>
              <w:tl2br w:val="nil"/>
              <w:tr2bl w:val="nil"/>
            </w:tcBorders>
            <w:vAlign w:val="center"/>
          </w:tcPr>
          <w:p w14:paraId="68D00B8B">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544" w:type="dxa"/>
            <w:vMerge w:val="restart"/>
            <w:tcBorders>
              <w:tl2br w:val="nil"/>
              <w:tr2bl w:val="nil"/>
            </w:tcBorders>
            <w:vAlign w:val="center"/>
          </w:tcPr>
          <w:p w14:paraId="30704227">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网格</w:t>
            </w:r>
          </w:p>
        </w:tc>
        <w:tc>
          <w:tcPr>
            <w:tcW w:w="1034" w:type="dxa"/>
            <w:tcBorders>
              <w:tl2br w:val="nil"/>
              <w:tr2bl w:val="nil"/>
            </w:tcBorders>
            <w:shd w:val="clear" w:color="auto" w:fill="auto"/>
            <w:vAlign w:val="center"/>
          </w:tcPr>
          <w:p w14:paraId="59425F59">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500,300</w:t>
            </w:r>
          </w:p>
        </w:tc>
        <w:tc>
          <w:tcPr>
            <w:tcW w:w="780" w:type="dxa"/>
            <w:tcBorders>
              <w:tl2br w:val="nil"/>
              <w:tr2bl w:val="nil"/>
            </w:tcBorders>
            <w:shd w:val="clear" w:color="auto" w:fill="auto"/>
            <w:vAlign w:val="center"/>
          </w:tcPr>
          <w:p w14:paraId="55AA6C9F">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1115.00</w:t>
            </w:r>
          </w:p>
        </w:tc>
        <w:tc>
          <w:tcPr>
            <w:tcW w:w="705" w:type="dxa"/>
            <w:tcBorders>
              <w:tl2br w:val="nil"/>
              <w:tr2bl w:val="nil"/>
            </w:tcBorders>
            <w:shd w:val="clear" w:color="auto" w:fill="auto"/>
            <w:vAlign w:val="center"/>
          </w:tcPr>
          <w:p w14:paraId="60568EC7">
            <w:pPr>
              <w:widowControl/>
              <w:spacing w:line="36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日平均</w:t>
            </w:r>
          </w:p>
        </w:tc>
        <w:tc>
          <w:tcPr>
            <w:tcW w:w="845" w:type="dxa"/>
            <w:tcBorders>
              <w:tl2br w:val="nil"/>
              <w:tr2bl w:val="nil"/>
            </w:tcBorders>
            <w:shd w:val="clear" w:color="auto" w:fill="auto"/>
            <w:vAlign w:val="center"/>
          </w:tcPr>
          <w:p w14:paraId="3636ACB0">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0.028261</w:t>
            </w:r>
          </w:p>
        </w:tc>
        <w:tc>
          <w:tcPr>
            <w:tcW w:w="851" w:type="dxa"/>
            <w:tcBorders>
              <w:tl2br w:val="nil"/>
              <w:tr2bl w:val="nil"/>
            </w:tcBorders>
            <w:shd w:val="clear" w:color="auto" w:fill="auto"/>
            <w:vAlign w:val="center"/>
          </w:tcPr>
          <w:p w14:paraId="222ADD63">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230223</w:t>
            </w:r>
          </w:p>
        </w:tc>
        <w:tc>
          <w:tcPr>
            <w:tcW w:w="850" w:type="dxa"/>
            <w:tcBorders>
              <w:tl2br w:val="nil"/>
              <w:tr2bl w:val="nil"/>
            </w:tcBorders>
            <w:vAlign w:val="center"/>
          </w:tcPr>
          <w:p w14:paraId="6DB0E87D">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0.227</w:t>
            </w:r>
          </w:p>
        </w:tc>
        <w:tc>
          <w:tcPr>
            <w:tcW w:w="851" w:type="dxa"/>
            <w:tcBorders>
              <w:tl2br w:val="nil"/>
              <w:tr2bl w:val="nil"/>
            </w:tcBorders>
            <w:vAlign w:val="center"/>
          </w:tcPr>
          <w:p w14:paraId="56527B27">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0.255261</w:t>
            </w:r>
          </w:p>
        </w:tc>
        <w:tc>
          <w:tcPr>
            <w:tcW w:w="758" w:type="dxa"/>
            <w:tcBorders>
              <w:tl2br w:val="nil"/>
              <w:tr2bl w:val="nil"/>
            </w:tcBorders>
            <w:shd w:val="clear" w:color="auto" w:fill="auto"/>
            <w:vAlign w:val="center"/>
          </w:tcPr>
          <w:p w14:paraId="01B81F29">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0.30</w:t>
            </w:r>
          </w:p>
        </w:tc>
        <w:tc>
          <w:tcPr>
            <w:tcW w:w="714" w:type="dxa"/>
            <w:tcBorders>
              <w:tl2br w:val="nil"/>
              <w:tr2bl w:val="nil"/>
            </w:tcBorders>
            <w:vAlign w:val="center"/>
          </w:tcPr>
          <w:p w14:paraId="47DFB16A">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85.09</w:t>
            </w:r>
          </w:p>
        </w:tc>
        <w:tc>
          <w:tcPr>
            <w:tcW w:w="512" w:type="dxa"/>
            <w:tcBorders>
              <w:tl2br w:val="nil"/>
              <w:tr2bl w:val="nil"/>
            </w:tcBorders>
            <w:shd w:val="clear" w:color="auto" w:fill="auto"/>
            <w:vAlign w:val="center"/>
          </w:tcPr>
          <w:p w14:paraId="660C5690">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达标</w:t>
            </w:r>
          </w:p>
        </w:tc>
      </w:tr>
      <w:tr w14:paraId="50F51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340" w:hRule="atLeast"/>
          <w:jc w:val="center"/>
        </w:trPr>
        <w:tc>
          <w:tcPr>
            <w:tcW w:w="544" w:type="dxa"/>
            <w:vMerge w:val="continue"/>
            <w:tcBorders>
              <w:tl2br w:val="nil"/>
              <w:tr2bl w:val="nil"/>
            </w:tcBorders>
            <w:vAlign w:val="center"/>
          </w:tcPr>
          <w:p w14:paraId="523D8248">
            <w:pPr>
              <w:widowControl/>
              <w:spacing w:line="360" w:lineRule="exact"/>
              <w:ind w:firstLine="0" w:firstLineChars="0"/>
              <w:jc w:val="center"/>
              <w:rPr>
                <w:rFonts w:hint="default" w:ascii="Times New Roman" w:hAnsi="Times New Roman" w:cs="Times New Roman"/>
                <w:color w:val="auto"/>
                <w:sz w:val="21"/>
                <w:szCs w:val="21"/>
                <w:highlight w:val="none"/>
              </w:rPr>
            </w:pPr>
          </w:p>
        </w:tc>
        <w:tc>
          <w:tcPr>
            <w:tcW w:w="544" w:type="dxa"/>
            <w:vMerge w:val="continue"/>
            <w:tcBorders>
              <w:tl2br w:val="nil"/>
              <w:tr2bl w:val="nil"/>
            </w:tcBorders>
            <w:vAlign w:val="center"/>
          </w:tcPr>
          <w:p w14:paraId="59F44F99">
            <w:pPr>
              <w:widowControl/>
              <w:spacing w:line="360" w:lineRule="exact"/>
              <w:ind w:firstLine="0" w:firstLineChars="0"/>
              <w:jc w:val="center"/>
              <w:rPr>
                <w:rFonts w:hint="default" w:ascii="Times New Roman" w:hAnsi="Times New Roman" w:cs="Times New Roman"/>
                <w:color w:val="auto"/>
                <w:sz w:val="21"/>
                <w:szCs w:val="21"/>
                <w:highlight w:val="none"/>
              </w:rPr>
            </w:pPr>
          </w:p>
        </w:tc>
        <w:tc>
          <w:tcPr>
            <w:tcW w:w="1034" w:type="dxa"/>
            <w:tcBorders>
              <w:tl2br w:val="nil"/>
              <w:tr2bl w:val="nil"/>
            </w:tcBorders>
            <w:shd w:val="clear" w:color="auto" w:fill="auto"/>
            <w:vAlign w:val="center"/>
          </w:tcPr>
          <w:p w14:paraId="2CC49686">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200,250</w:t>
            </w:r>
          </w:p>
        </w:tc>
        <w:tc>
          <w:tcPr>
            <w:tcW w:w="780" w:type="dxa"/>
            <w:tcBorders>
              <w:tl2br w:val="nil"/>
              <w:tr2bl w:val="nil"/>
            </w:tcBorders>
            <w:shd w:val="clear" w:color="auto" w:fill="auto"/>
            <w:vAlign w:val="center"/>
          </w:tcPr>
          <w:p w14:paraId="4D2A3E7A">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1105.90</w:t>
            </w:r>
          </w:p>
        </w:tc>
        <w:tc>
          <w:tcPr>
            <w:tcW w:w="705" w:type="dxa"/>
            <w:tcBorders>
              <w:tl2br w:val="nil"/>
              <w:tr2bl w:val="nil"/>
            </w:tcBorders>
            <w:shd w:val="clear" w:color="auto" w:fill="auto"/>
            <w:vAlign w:val="center"/>
          </w:tcPr>
          <w:p w14:paraId="4184BBCA">
            <w:pPr>
              <w:widowControl/>
              <w:spacing w:line="36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全时段</w:t>
            </w:r>
          </w:p>
        </w:tc>
        <w:tc>
          <w:tcPr>
            <w:tcW w:w="845" w:type="dxa"/>
            <w:tcBorders>
              <w:tl2br w:val="nil"/>
              <w:tr2bl w:val="nil"/>
            </w:tcBorders>
            <w:shd w:val="clear" w:color="auto" w:fill="auto"/>
            <w:vAlign w:val="center"/>
          </w:tcPr>
          <w:p w14:paraId="4F0AC00B">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0.004054</w:t>
            </w:r>
          </w:p>
        </w:tc>
        <w:tc>
          <w:tcPr>
            <w:tcW w:w="851" w:type="dxa"/>
            <w:tcBorders>
              <w:tl2br w:val="nil"/>
              <w:tr2bl w:val="nil"/>
            </w:tcBorders>
            <w:shd w:val="clear" w:color="auto" w:fill="auto"/>
            <w:vAlign w:val="center"/>
          </w:tcPr>
          <w:p w14:paraId="122CC4FB">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平均值</w:t>
            </w:r>
          </w:p>
        </w:tc>
        <w:tc>
          <w:tcPr>
            <w:tcW w:w="850" w:type="dxa"/>
            <w:tcBorders>
              <w:tl2br w:val="nil"/>
              <w:tr2bl w:val="nil"/>
            </w:tcBorders>
            <w:vAlign w:val="center"/>
          </w:tcPr>
          <w:p w14:paraId="54D0B248">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0.191857</w:t>
            </w:r>
          </w:p>
        </w:tc>
        <w:tc>
          <w:tcPr>
            <w:tcW w:w="851" w:type="dxa"/>
            <w:tcBorders>
              <w:tl2br w:val="nil"/>
              <w:tr2bl w:val="nil"/>
            </w:tcBorders>
            <w:vAlign w:val="center"/>
          </w:tcPr>
          <w:p w14:paraId="57C0CAF8">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0.195912</w:t>
            </w:r>
          </w:p>
        </w:tc>
        <w:tc>
          <w:tcPr>
            <w:tcW w:w="758" w:type="dxa"/>
            <w:tcBorders>
              <w:tl2br w:val="nil"/>
              <w:tr2bl w:val="nil"/>
            </w:tcBorders>
            <w:shd w:val="clear" w:color="auto" w:fill="auto"/>
            <w:vAlign w:val="center"/>
          </w:tcPr>
          <w:p w14:paraId="3FFEEB8E">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0.20</w:t>
            </w:r>
          </w:p>
        </w:tc>
        <w:tc>
          <w:tcPr>
            <w:tcW w:w="714" w:type="dxa"/>
            <w:tcBorders>
              <w:tl2br w:val="nil"/>
              <w:tr2bl w:val="nil"/>
            </w:tcBorders>
            <w:vAlign w:val="center"/>
          </w:tcPr>
          <w:p w14:paraId="5FA99E2B">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97.96</w:t>
            </w:r>
          </w:p>
        </w:tc>
        <w:tc>
          <w:tcPr>
            <w:tcW w:w="512" w:type="dxa"/>
            <w:tcBorders>
              <w:tl2br w:val="nil"/>
              <w:tr2bl w:val="nil"/>
            </w:tcBorders>
            <w:shd w:val="clear" w:color="auto" w:fill="auto"/>
            <w:vAlign w:val="center"/>
          </w:tcPr>
          <w:p w14:paraId="0815D743">
            <w:pPr>
              <w:widowControl/>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达标</w:t>
            </w:r>
          </w:p>
        </w:tc>
      </w:tr>
    </w:tbl>
    <w:p w14:paraId="023907F7">
      <w:pPr>
        <w:spacing w:line="360" w:lineRule="auto"/>
        <w:ind w:firstLine="0" w:firstLineChars="0"/>
        <w:jc w:val="center"/>
        <w:rPr>
          <w:rFonts w:hint="default" w:ascii="Times New Roman" w:hAnsi="Times New Roman" w:cs="Times New Roman"/>
          <w:b/>
          <w:color w:val="auto"/>
          <w:highlight w:val="none"/>
          <w:lang w:bidi="ar"/>
        </w:rPr>
      </w:pPr>
      <w:r>
        <w:rPr>
          <w:color w:val="auto"/>
          <w:highlight w:val="none"/>
        </w:rPr>
        <w:drawing>
          <wp:inline distT="0" distB="0" distL="114300" distR="114300">
            <wp:extent cx="5271135" cy="3274695"/>
            <wp:effectExtent l="9525" t="9525" r="15240" b="11430"/>
            <wp:docPr id="1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
                    <pic:cNvPicPr>
                      <a:picLocks noChangeAspect="1"/>
                    </pic:cNvPicPr>
                  </pic:nvPicPr>
                  <pic:blipFill>
                    <a:blip r:embed="rId57"/>
                    <a:stretch>
                      <a:fillRect/>
                    </a:stretch>
                  </pic:blipFill>
                  <pic:spPr>
                    <a:xfrm>
                      <a:off x="0" y="0"/>
                      <a:ext cx="5271135" cy="3274695"/>
                    </a:xfrm>
                    <a:prstGeom prst="rect">
                      <a:avLst/>
                    </a:prstGeom>
                    <a:noFill/>
                    <a:ln>
                      <a:solidFill>
                        <a:schemeClr val="tx1"/>
                      </a:solidFill>
                    </a:ln>
                  </pic:spPr>
                </pic:pic>
              </a:graphicData>
            </a:graphic>
          </wp:inline>
        </w:drawing>
      </w:r>
    </w:p>
    <w:p w14:paraId="2039655F">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图5.2-</w:t>
      </w:r>
      <w:r>
        <w:rPr>
          <w:rFonts w:hint="default" w:cs="Times New Roman"/>
          <w:b/>
          <w:color w:val="auto"/>
          <w:highlight w:val="none"/>
          <w:lang w:val="en-US" w:eastAsia="zh-CN" w:bidi="ar"/>
        </w:rPr>
        <w:t>6</w:t>
      </w:r>
      <w:r>
        <w:rPr>
          <w:rFonts w:hint="default" w:ascii="Times New Roman" w:hAnsi="Times New Roman" w:cs="Times New Roman"/>
          <w:b/>
          <w:color w:val="auto"/>
          <w:highlight w:val="none"/>
          <w:lang w:bidi="ar"/>
        </w:rPr>
        <w:t xml:space="preserve">    PM</w:t>
      </w:r>
      <w:r>
        <w:rPr>
          <w:rFonts w:hint="default" w:ascii="Times New Roman" w:hAnsi="Times New Roman" w:cs="Times New Roman"/>
          <w:b/>
          <w:color w:val="auto"/>
          <w:highlight w:val="none"/>
          <w:vertAlign w:val="subscript"/>
          <w:lang w:bidi="ar"/>
        </w:rPr>
        <w:t>10</w:t>
      </w:r>
      <w:r>
        <w:rPr>
          <w:rFonts w:hint="default" w:ascii="Times New Roman" w:hAnsi="Times New Roman" w:cs="Times New Roman"/>
          <w:b/>
          <w:color w:val="auto"/>
          <w:highlight w:val="none"/>
          <w:lang w:bidi="ar"/>
        </w:rPr>
        <w:t>区域日保证率浓度叠加现状浓度后等值线图（mg/m</w:t>
      </w:r>
      <w:r>
        <w:rPr>
          <w:rFonts w:hint="default" w:ascii="Times New Roman" w:hAnsi="Times New Roman" w:cs="Times New Roman"/>
          <w:b/>
          <w:color w:val="auto"/>
          <w:highlight w:val="none"/>
          <w:vertAlign w:val="superscript"/>
          <w:lang w:bidi="ar"/>
        </w:rPr>
        <w:t>3</w:t>
      </w:r>
      <w:r>
        <w:rPr>
          <w:rFonts w:hint="default" w:ascii="Times New Roman" w:hAnsi="Times New Roman" w:cs="Times New Roman"/>
          <w:b/>
          <w:color w:val="auto"/>
          <w:highlight w:val="none"/>
          <w:lang w:bidi="ar"/>
        </w:rPr>
        <w:t>）</w:t>
      </w:r>
    </w:p>
    <w:p w14:paraId="38BB4E74">
      <w:pPr>
        <w:spacing w:line="360" w:lineRule="auto"/>
        <w:ind w:firstLine="0" w:firstLineChars="0"/>
        <w:jc w:val="center"/>
        <w:rPr>
          <w:rFonts w:hint="default" w:ascii="Times New Roman" w:hAnsi="Times New Roman" w:cs="Times New Roman"/>
          <w:color w:val="auto"/>
          <w:highlight w:val="none"/>
        </w:rPr>
      </w:pPr>
      <w:r>
        <w:rPr>
          <w:color w:val="auto"/>
          <w:highlight w:val="none"/>
        </w:rPr>
        <w:drawing>
          <wp:inline distT="0" distB="0" distL="114300" distR="114300">
            <wp:extent cx="5271135" cy="3274695"/>
            <wp:effectExtent l="9525" t="9525" r="15240" b="11430"/>
            <wp:docPr id="10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2"/>
                    <pic:cNvPicPr>
                      <a:picLocks noChangeAspect="1"/>
                    </pic:cNvPicPr>
                  </pic:nvPicPr>
                  <pic:blipFill>
                    <a:blip r:embed="rId58"/>
                    <a:stretch>
                      <a:fillRect/>
                    </a:stretch>
                  </pic:blipFill>
                  <pic:spPr>
                    <a:xfrm>
                      <a:off x="0" y="0"/>
                      <a:ext cx="5271135" cy="3274695"/>
                    </a:xfrm>
                    <a:prstGeom prst="rect">
                      <a:avLst/>
                    </a:prstGeom>
                    <a:noFill/>
                    <a:ln>
                      <a:solidFill>
                        <a:schemeClr val="tx1"/>
                      </a:solidFill>
                    </a:ln>
                  </pic:spPr>
                </pic:pic>
              </a:graphicData>
            </a:graphic>
          </wp:inline>
        </w:drawing>
      </w:r>
    </w:p>
    <w:p w14:paraId="605D2776">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图5.2-</w:t>
      </w:r>
      <w:r>
        <w:rPr>
          <w:rFonts w:hint="default" w:cs="Times New Roman"/>
          <w:b/>
          <w:color w:val="auto"/>
          <w:highlight w:val="none"/>
          <w:lang w:val="en-US" w:eastAsia="zh-CN" w:bidi="ar"/>
        </w:rPr>
        <w:t>7</w:t>
      </w:r>
      <w:r>
        <w:rPr>
          <w:rFonts w:hint="default" w:ascii="Times New Roman" w:hAnsi="Times New Roman" w:cs="Times New Roman"/>
          <w:b/>
          <w:color w:val="auto"/>
          <w:highlight w:val="none"/>
          <w:lang w:bidi="ar"/>
        </w:rPr>
        <w:t xml:space="preserve">    PM</w:t>
      </w:r>
      <w:r>
        <w:rPr>
          <w:rFonts w:hint="default" w:ascii="Times New Roman" w:hAnsi="Times New Roman" w:cs="Times New Roman"/>
          <w:b/>
          <w:color w:val="auto"/>
          <w:highlight w:val="none"/>
          <w:vertAlign w:val="subscript"/>
          <w:lang w:bidi="ar"/>
        </w:rPr>
        <w:t>10</w:t>
      </w:r>
      <w:r>
        <w:rPr>
          <w:rFonts w:hint="default" w:ascii="Times New Roman" w:hAnsi="Times New Roman" w:cs="Times New Roman"/>
          <w:b/>
          <w:color w:val="auto"/>
          <w:highlight w:val="none"/>
          <w:lang w:bidi="ar"/>
        </w:rPr>
        <w:t>区域最大全时段地面浓度叠加现状浓度后等值线图（mg/m</w:t>
      </w:r>
      <w:r>
        <w:rPr>
          <w:rFonts w:hint="default" w:ascii="Times New Roman" w:hAnsi="Times New Roman" w:cs="Times New Roman"/>
          <w:b/>
          <w:color w:val="auto"/>
          <w:highlight w:val="none"/>
          <w:vertAlign w:val="superscript"/>
          <w:lang w:bidi="ar"/>
        </w:rPr>
        <w:t>3</w:t>
      </w:r>
      <w:r>
        <w:rPr>
          <w:rFonts w:hint="default" w:ascii="Times New Roman" w:hAnsi="Times New Roman" w:cs="Times New Roman"/>
          <w:b/>
          <w:color w:val="auto"/>
          <w:highlight w:val="none"/>
          <w:lang w:bidi="ar"/>
        </w:rPr>
        <w:t>）</w:t>
      </w:r>
    </w:p>
    <w:p w14:paraId="6B6E80C5">
      <w:pPr>
        <w:spacing w:line="360" w:lineRule="auto"/>
        <w:ind w:firstLine="0" w:firstLineChars="0"/>
        <w:jc w:val="center"/>
        <w:rPr>
          <w:rFonts w:hint="default" w:ascii="Times New Roman" w:hAnsi="Times New Roman" w:cs="Times New Roman"/>
          <w:b/>
          <w:color w:val="auto"/>
          <w:highlight w:val="none"/>
          <w:lang w:bidi="ar"/>
        </w:rPr>
      </w:pPr>
      <w:r>
        <w:rPr>
          <w:color w:val="auto"/>
          <w:highlight w:val="none"/>
        </w:rPr>
        <w:drawing>
          <wp:inline distT="0" distB="0" distL="114300" distR="114300">
            <wp:extent cx="5273040" cy="3267075"/>
            <wp:effectExtent l="9525" t="9525" r="13335" b="19050"/>
            <wp:docPr id="10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pic:cNvPicPr>
                      <a:picLocks noChangeAspect="1"/>
                    </pic:cNvPicPr>
                  </pic:nvPicPr>
                  <pic:blipFill>
                    <a:blip r:embed="rId59"/>
                    <a:stretch>
                      <a:fillRect/>
                    </a:stretch>
                  </pic:blipFill>
                  <pic:spPr>
                    <a:xfrm>
                      <a:off x="0" y="0"/>
                      <a:ext cx="5273040" cy="3267075"/>
                    </a:xfrm>
                    <a:prstGeom prst="rect">
                      <a:avLst/>
                    </a:prstGeom>
                    <a:noFill/>
                    <a:ln>
                      <a:solidFill>
                        <a:schemeClr val="tx1"/>
                      </a:solidFill>
                    </a:ln>
                  </pic:spPr>
                </pic:pic>
              </a:graphicData>
            </a:graphic>
          </wp:inline>
        </w:drawing>
      </w:r>
    </w:p>
    <w:p w14:paraId="0860D4C9">
      <w:pPr>
        <w:ind w:firstLine="0" w:firstLineChars="0"/>
        <w:jc w:val="center"/>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bidi="ar"/>
        </w:rPr>
        <w:t>图5.2-</w:t>
      </w:r>
      <w:r>
        <w:rPr>
          <w:rFonts w:hint="default" w:cs="Times New Roman"/>
          <w:b/>
          <w:color w:val="auto"/>
          <w:highlight w:val="none"/>
          <w:lang w:val="en-US" w:eastAsia="zh-CN" w:bidi="ar"/>
        </w:rPr>
        <w:t>8</w:t>
      </w:r>
      <w:r>
        <w:rPr>
          <w:rFonts w:hint="default" w:ascii="Times New Roman" w:hAnsi="Times New Roman" w:cs="Times New Roman"/>
          <w:b/>
          <w:color w:val="auto"/>
          <w:highlight w:val="none"/>
          <w:lang w:bidi="ar"/>
        </w:rPr>
        <w:t xml:space="preserve">    TSP区域最大日均地面浓度叠加现状浓度后等值线图（mg/m</w:t>
      </w:r>
      <w:r>
        <w:rPr>
          <w:rFonts w:hint="default" w:ascii="Times New Roman" w:hAnsi="Times New Roman" w:cs="Times New Roman"/>
          <w:b/>
          <w:color w:val="auto"/>
          <w:highlight w:val="none"/>
          <w:vertAlign w:val="superscript"/>
          <w:lang w:bidi="ar"/>
        </w:rPr>
        <w:t>3</w:t>
      </w:r>
      <w:r>
        <w:rPr>
          <w:rFonts w:hint="default" w:ascii="Times New Roman" w:hAnsi="Times New Roman" w:cs="Times New Roman"/>
          <w:b/>
          <w:color w:val="auto"/>
          <w:highlight w:val="none"/>
          <w:lang w:bidi="ar"/>
        </w:rPr>
        <w:t>）</w:t>
      </w:r>
    </w:p>
    <w:p w14:paraId="4E054BD2">
      <w:pPr>
        <w:spacing w:line="360" w:lineRule="auto"/>
        <w:ind w:firstLine="0" w:firstLineChars="0"/>
        <w:jc w:val="center"/>
        <w:rPr>
          <w:rFonts w:hint="default" w:ascii="Times New Roman" w:hAnsi="Times New Roman" w:cs="Times New Roman"/>
          <w:color w:val="auto"/>
          <w:highlight w:val="none"/>
        </w:rPr>
      </w:pPr>
      <w:r>
        <w:rPr>
          <w:color w:val="auto"/>
          <w:highlight w:val="none"/>
        </w:rPr>
        <w:drawing>
          <wp:inline distT="0" distB="0" distL="114300" distR="114300">
            <wp:extent cx="5269230" cy="3290570"/>
            <wp:effectExtent l="9525" t="9525" r="17145" b="14605"/>
            <wp:docPr id="10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pic:cNvPicPr>
                      <a:picLocks noChangeAspect="1"/>
                    </pic:cNvPicPr>
                  </pic:nvPicPr>
                  <pic:blipFill>
                    <a:blip r:embed="rId60"/>
                    <a:stretch>
                      <a:fillRect/>
                    </a:stretch>
                  </pic:blipFill>
                  <pic:spPr>
                    <a:xfrm>
                      <a:off x="0" y="0"/>
                      <a:ext cx="5269230" cy="3290570"/>
                    </a:xfrm>
                    <a:prstGeom prst="rect">
                      <a:avLst/>
                    </a:prstGeom>
                    <a:noFill/>
                    <a:ln>
                      <a:solidFill>
                        <a:schemeClr val="tx1"/>
                      </a:solidFill>
                    </a:ln>
                  </pic:spPr>
                </pic:pic>
              </a:graphicData>
            </a:graphic>
          </wp:inline>
        </w:drawing>
      </w:r>
    </w:p>
    <w:p w14:paraId="4A81C8E2">
      <w:pPr>
        <w:ind w:firstLine="482"/>
        <w:rPr>
          <w:rFonts w:hint="default" w:ascii="Times New Roman" w:hAnsi="Times New Roman" w:cs="Times New Roman"/>
          <w:color w:val="auto"/>
          <w:highlight w:val="none"/>
        </w:rPr>
      </w:pPr>
      <w:r>
        <w:rPr>
          <w:rFonts w:hint="default" w:ascii="Times New Roman" w:hAnsi="Times New Roman" w:cs="Times New Roman"/>
          <w:b/>
          <w:color w:val="auto"/>
          <w:highlight w:val="none"/>
          <w:lang w:bidi="ar"/>
        </w:rPr>
        <w:t>图5.4-</w:t>
      </w:r>
      <w:r>
        <w:rPr>
          <w:rFonts w:hint="default" w:cs="Times New Roman"/>
          <w:b/>
          <w:color w:val="auto"/>
          <w:highlight w:val="none"/>
          <w:lang w:val="en-US" w:eastAsia="zh-CN" w:bidi="ar"/>
        </w:rPr>
        <w:t>9</w:t>
      </w:r>
      <w:r>
        <w:rPr>
          <w:rFonts w:hint="default" w:ascii="Times New Roman" w:hAnsi="Times New Roman" w:cs="Times New Roman"/>
          <w:b/>
          <w:color w:val="auto"/>
          <w:highlight w:val="none"/>
          <w:lang w:bidi="ar"/>
        </w:rPr>
        <w:t xml:space="preserve">  TSP区域最大全时段地面浓度叠加现状浓度后等值线图（mg/m</w:t>
      </w:r>
      <w:r>
        <w:rPr>
          <w:rFonts w:hint="default" w:ascii="Times New Roman" w:hAnsi="Times New Roman" w:cs="Times New Roman"/>
          <w:b/>
          <w:color w:val="auto"/>
          <w:highlight w:val="none"/>
          <w:vertAlign w:val="superscript"/>
          <w:lang w:bidi="ar"/>
        </w:rPr>
        <w:t>3</w:t>
      </w:r>
      <w:r>
        <w:rPr>
          <w:rFonts w:hint="default" w:ascii="Times New Roman" w:hAnsi="Times New Roman" w:cs="Times New Roman"/>
          <w:b/>
          <w:color w:val="auto"/>
          <w:highlight w:val="none"/>
          <w:lang w:bidi="ar"/>
        </w:rPr>
        <w:t>）</w:t>
      </w:r>
    </w:p>
    <w:p w14:paraId="57561F8E">
      <w:pPr>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rPr>
        <w:t>由表5.4-13可知，本项目建成后，网格最大落地浓度与现状监测值逐日叠加后，现状达标的SO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、及NO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日保证率、全时段值依然可以达标。</w:t>
      </w:r>
    </w:p>
    <w:p w14:paraId="618BE852">
      <w:pPr>
        <w:pStyle w:val="32"/>
        <w:widowControl/>
        <w:autoSpaceDE w:val="0"/>
        <w:autoSpaceDN w:val="0"/>
        <w:adjustRightInd w:val="0"/>
        <w:spacing w:after="0"/>
        <w:ind w:left="0" w:leftChars="0" w:firstLine="480"/>
        <w:jc w:val="left"/>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③非正常工况小时浓度预测结果与分析</w:t>
      </w:r>
    </w:p>
    <w:p w14:paraId="100D99CD">
      <w:pPr>
        <w:pStyle w:val="32"/>
        <w:widowControl/>
        <w:autoSpaceDE w:val="0"/>
        <w:autoSpaceDN w:val="0"/>
        <w:adjustRightInd w:val="0"/>
        <w:spacing w:after="0"/>
        <w:ind w:left="0" w:leftChars="0" w:firstLine="480"/>
        <w:jc w:val="left"/>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本项目非正常工况指布袋除尘器</w:t>
      </w:r>
      <w:r>
        <w:rPr>
          <w:rFonts w:hint="default" w:ascii="Times New Roman" w:hAnsi="Times New Roman" w:cs="Times New Roman"/>
          <w:color w:val="auto"/>
          <w:sz w:val="24"/>
          <w:highlight w:val="none"/>
        </w:rPr>
        <w:t>在非正常期间大气处理装置无法正常工作，</w:t>
      </w:r>
      <w:r>
        <w:rPr>
          <w:rFonts w:hint="default" w:ascii="Times New Roman" w:hAnsi="Times New Roman" w:cs="Times New Roman"/>
          <w:color w:val="auto"/>
          <w:sz w:val="24"/>
          <w:highlight w:val="none"/>
          <w:shd w:val="clear" w:color="auto" w:fill="FFFFFF"/>
        </w:rPr>
        <w:t>非正常工况最大小时落地浓度预测结果见5.2-14。</w:t>
      </w:r>
    </w:p>
    <w:p w14:paraId="40830D88">
      <w:pPr>
        <w:pStyle w:val="32"/>
        <w:widowControl/>
        <w:autoSpaceDE w:val="0"/>
        <w:autoSpaceDN w:val="0"/>
        <w:adjustRightInd w:val="0"/>
        <w:spacing w:after="0"/>
        <w:ind w:left="0" w:leftChars="0" w:firstLine="0" w:firstLineChars="0"/>
        <w:jc w:val="center"/>
        <w:textAlignment w:val="baseline"/>
        <w:rPr>
          <w:rFonts w:hint="default" w:ascii="Times New Roman" w:hAnsi="Times New Roman" w:cs="Times New Roman"/>
          <w:b/>
          <w:bCs/>
          <w:color w:val="auto"/>
          <w:sz w:val="24"/>
          <w:highlight w:val="none"/>
          <w:shd w:val="clear" w:color="auto" w:fill="FFFFFF"/>
        </w:rPr>
      </w:pPr>
      <w:r>
        <w:rPr>
          <w:rFonts w:hint="default" w:ascii="Times New Roman" w:hAnsi="Times New Roman" w:cs="Times New Roman"/>
          <w:b/>
          <w:bCs/>
          <w:color w:val="auto"/>
          <w:sz w:val="24"/>
          <w:highlight w:val="none"/>
          <w:shd w:val="clear" w:color="auto" w:fill="FFFFFF"/>
        </w:rPr>
        <w:t>表5.2-14    非正常工况污染物小时落地浓度预测结果一览表</w:t>
      </w:r>
    </w:p>
    <w:tbl>
      <w:tblPr>
        <w:tblStyle w:val="33"/>
        <w:tblW w:w="8988" w:type="dxa"/>
        <w:jc w:val="center"/>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15" w:type="dxa"/>
          <w:left w:w="15" w:type="dxa"/>
          <w:bottom w:w="15" w:type="dxa"/>
          <w:right w:w="15" w:type="dxa"/>
        </w:tblCellMar>
      </w:tblPr>
      <w:tblGrid>
        <w:gridCol w:w="786"/>
        <w:gridCol w:w="831"/>
        <w:gridCol w:w="992"/>
        <w:gridCol w:w="993"/>
        <w:gridCol w:w="708"/>
        <w:gridCol w:w="993"/>
        <w:gridCol w:w="1559"/>
        <w:gridCol w:w="879"/>
        <w:gridCol w:w="709"/>
        <w:gridCol w:w="538"/>
      </w:tblGrid>
      <w:tr w14:paraId="39EA471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5" w:type="dxa"/>
            <w:bottom w:w="15" w:type="dxa"/>
            <w:right w:w="15" w:type="dxa"/>
          </w:tblCellMar>
        </w:tblPrEx>
        <w:trPr>
          <w:cantSplit/>
          <w:trHeight w:val="340" w:hRule="atLeast"/>
          <w:tblHeader/>
          <w:jc w:val="center"/>
        </w:trPr>
        <w:tc>
          <w:tcPr>
            <w:tcW w:w="786" w:type="dxa"/>
            <w:tcBorders>
              <w:bottom w:val="single" w:color="auto" w:sz="4" w:space="0"/>
              <w:right w:val="single" w:color="auto" w:sz="4" w:space="0"/>
            </w:tcBorders>
            <w:vAlign w:val="center"/>
          </w:tcPr>
          <w:p w14:paraId="469A2B0E">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831" w:type="dxa"/>
            <w:tcBorders>
              <w:left w:val="single" w:color="auto" w:sz="4" w:space="0"/>
              <w:bottom w:val="single" w:color="auto" w:sz="4" w:space="0"/>
              <w:right w:val="single" w:color="auto" w:sz="4" w:space="0"/>
            </w:tcBorders>
            <w:vAlign w:val="center"/>
          </w:tcPr>
          <w:p w14:paraId="5AC4CB5A">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点名称</w:t>
            </w:r>
          </w:p>
        </w:tc>
        <w:tc>
          <w:tcPr>
            <w:tcW w:w="992" w:type="dxa"/>
            <w:tcBorders>
              <w:left w:val="single" w:color="auto" w:sz="4" w:space="0"/>
              <w:bottom w:val="single" w:color="auto" w:sz="4" w:space="0"/>
              <w:right w:val="single" w:color="auto" w:sz="4" w:space="0"/>
            </w:tcBorders>
            <w:vAlign w:val="center"/>
          </w:tcPr>
          <w:p w14:paraId="7C10C178">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点坐标</w:t>
            </w:r>
          </w:p>
          <w:p w14:paraId="1B2C7FAE">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(x,y)</w:t>
            </w:r>
          </w:p>
        </w:tc>
        <w:tc>
          <w:tcPr>
            <w:tcW w:w="993" w:type="dxa"/>
            <w:tcBorders>
              <w:left w:val="single" w:color="auto" w:sz="4" w:space="0"/>
              <w:bottom w:val="single" w:color="auto" w:sz="4" w:space="0"/>
              <w:right w:val="single" w:color="auto" w:sz="4" w:space="0"/>
            </w:tcBorders>
            <w:vAlign w:val="center"/>
          </w:tcPr>
          <w:p w14:paraId="70D851D3">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地面高程</w:t>
            </w:r>
          </w:p>
          <w:p w14:paraId="56EA9DE0">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w:t>
            </w:r>
          </w:p>
        </w:tc>
        <w:tc>
          <w:tcPr>
            <w:tcW w:w="708" w:type="dxa"/>
            <w:tcBorders>
              <w:left w:val="single" w:color="auto" w:sz="4" w:space="0"/>
              <w:bottom w:val="single" w:color="auto" w:sz="4" w:space="0"/>
              <w:right w:val="single" w:color="auto" w:sz="4" w:space="0"/>
            </w:tcBorders>
            <w:vAlign w:val="center"/>
          </w:tcPr>
          <w:p w14:paraId="784A8ACF">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p w14:paraId="0F670027">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类型</w:t>
            </w:r>
          </w:p>
        </w:tc>
        <w:tc>
          <w:tcPr>
            <w:tcW w:w="993" w:type="dxa"/>
            <w:tcBorders>
              <w:left w:val="single" w:color="auto" w:sz="4" w:space="0"/>
              <w:bottom w:val="single" w:color="auto" w:sz="4" w:space="0"/>
              <w:right w:val="single" w:color="auto" w:sz="4" w:space="0"/>
            </w:tcBorders>
            <w:vAlign w:val="center"/>
          </w:tcPr>
          <w:p w14:paraId="33CBF679">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浓度增量(mg/m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1559" w:type="dxa"/>
            <w:tcBorders>
              <w:left w:val="single" w:color="auto" w:sz="4" w:space="0"/>
              <w:bottom w:val="single" w:color="auto" w:sz="4" w:space="0"/>
              <w:right w:val="single" w:color="auto" w:sz="4" w:space="0"/>
            </w:tcBorders>
            <w:vAlign w:val="center"/>
          </w:tcPr>
          <w:p w14:paraId="3AE7E813">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出现时间(YYMMDDHH)</w:t>
            </w:r>
          </w:p>
        </w:tc>
        <w:tc>
          <w:tcPr>
            <w:tcW w:w="879" w:type="dxa"/>
            <w:tcBorders>
              <w:left w:val="single" w:color="auto" w:sz="4" w:space="0"/>
              <w:bottom w:val="single" w:color="auto" w:sz="4" w:space="0"/>
              <w:right w:val="single" w:color="auto" w:sz="4" w:space="0"/>
            </w:tcBorders>
            <w:vAlign w:val="center"/>
          </w:tcPr>
          <w:p w14:paraId="521483B1">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评价标准(mg/m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709" w:type="dxa"/>
            <w:tcBorders>
              <w:left w:val="single" w:color="auto" w:sz="4" w:space="0"/>
              <w:bottom w:val="single" w:color="auto" w:sz="4" w:space="0"/>
              <w:right w:val="single" w:color="auto" w:sz="4" w:space="0"/>
            </w:tcBorders>
            <w:vAlign w:val="center"/>
          </w:tcPr>
          <w:p w14:paraId="69EE245A">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占标率</w:t>
            </w:r>
          </w:p>
          <w:p w14:paraId="73494A99">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w:t>
            </w:r>
          </w:p>
        </w:tc>
        <w:tc>
          <w:tcPr>
            <w:tcW w:w="538" w:type="dxa"/>
            <w:tcBorders>
              <w:left w:val="single" w:color="auto" w:sz="4" w:space="0"/>
              <w:bottom w:val="single" w:color="auto" w:sz="4" w:space="0"/>
            </w:tcBorders>
            <w:vAlign w:val="center"/>
          </w:tcPr>
          <w:p w14:paraId="7ADCF0A0">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w:t>
            </w:r>
          </w:p>
          <w:p w14:paraId="2E7FC124">
            <w:pPr>
              <w:widowControl/>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超标</w:t>
            </w:r>
          </w:p>
        </w:tc>
      </w:tr>
      <w:tr w14:paraId="7087AF3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15" w:type="dxa"/>
            <w:left w:w="15" w:type="dxa"/>
            <w:bottom w:w="15" w:type="dxa"/>
            <w:right w:w="15" w:type="dxa"/>
          </w:tblCellMar>
        </w:tblPrEx>
        <w:trPr>
          <w:cantSplit/>
          <w:trHeight w:val="340" w:hRule="atLeast"/>
          <w:jc w:val="center"/>
        </w:trPr>
        <w:tc>
          <w:tcPr>
            <w:tcW w:w="786" w:type="dxa"/>
            <w:tcBorders>
              <w:top w:val="single" w:color="auto" w:sz="4" w:space="0"/>
              <w:right w:val="single" w:color="auto" w:sz="4" w:space="0"/>
            </w:tcBorders>
            <w:vAlign w:val="center"/>
          </w:tcPr>
          <w:p w14:paraId="45BC3B92">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831" w:type="dxa"/>
            <w:tcBorders>
              <w:top w:val="single" w:color="auto" w:sz="4" w:space="0"/>
              <w:left w:val="single" w:color="auto" w:sz="4" w:space="0"/>
              <w:right w:val="single" w:color="auto" w:sz="4" w:space="0"/>
            </w:tcBorders>
            <w:vAlign w:val="center"/>
          </w:tcPr>
          <w:p w14:paraId="0523A745">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网格</w:t>
            </w:r>
          </w:p>
        </w:tc>
        <w:tc>
          <w:tcPr>
            <w:tcW w:w="992" w:type="dxa"/>
            <w:tcBorders>
              <w:top w:val="single" w:color="auto" w:sz="4" w:space="0"/>
              <w:left w:val="single" w:color="auto" w:sz="4" w:space="0"/>
              <w:right w:val="single" w:color="auto" w:sz="4" w:space="0"/>
            </w:tcBorders>
            <w:vAlign w:val="center"/>
          </w:tcPr>
          <w:p w14:paraId="2A367B1B">
            <w:pPr>
              <w:widowControl/>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kern w:val="0"/>
                <w:sz w:val="22"/>
                <w:szCs w:val="22"/>
                <w:highlight w:val="none"/>
                <w:lang w:val="en-US" w:eastAsia="zh-CN" w:bidi="ar"/>
              </w:rPr>
              <w:t>650,200</w:t>
            </w:r>
          </w:p>
        </w:tc>
        <w:tc>
          <w:tcPr>
            <w:tcW w:w="993" w:type="dxa"/>
            <w:tcBorders>
              <w:top w:val="single" w:color="auto" w:sz="4" w:space="0"/>
              <w:left w:val="single" w:color="auto" w:sz="4" w:space="0"/>
              <w:right w:val="single" w:color="auto" w:sz="4" w:space="0"/>
            </w:tcBorders>
            <w:vAlign w:val="center"/>
          </w:tcPr>
          <w:p w14:paraId="53B3A5F0">
            <w:pPr>
              <w:widowControl/>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kern w:val="0"/>
                <w:sz w:val="22"/>
                <w:szCs w:val="22"/>
                <w:highlight w:val="none"/>
                <w:lang w:val="en-US" w:eastAsia="zh-CN" w:bidi="ar"/>
              </w:rPr>
              <w:t>1118.70</w:t>
            </w:r>
          </w:p>
        </w:tc>
        <w:tc>
          <w:tcPr>
            <w:tcW w:w="708" w:type="dxa"/>
            <w:tcBorders>
              <w:top w:val="single" w:color="auto" w:sz="4" w:space="0"/>
              <w:left w:val="single" w:color="auto" w:sz="4" w:space="0"/>
              <w:right w:val="single" w:color="auto" w:sz="4" w:space="0"/>
            </w:tcBorders>
            <w:vAlign w:val="center"/>
          </w:tcPr>
          <w:p w14:paraId="680281FB">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1小时</w:t>
            </w:r>
          </w:p>
        </w:tc>
        <w:tc>
          <w:tcPr>
            <w:tcW w:w="993" w:type="dxa"/>
            <w:tcBorders>
              <w:top w:val="single" w:color="auto" w:sz="4" w:space="0"/>
              <w:left w:val="single" w:color="auto" w:sz="4" w:space="0"/>
              <w:right w:val="single" w:color="auto" w:sz="4" w:space="0"/>
            </w:tcBorders>
            <w:vAlign w:val="center"/>
          </w:tcPr>
          <w:p w14:paraId="1A442340">
            <w:pPr>
              <w:widowControl/>
              <w:ind w:firstLine="0" w:firstLineChars="0"/>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default" w:cs="Times New Roman"/>
                <w:color w:val="auto"/>
                <w:kern w:val="0"/>
                <w:sz w:val="22"/>
                <w:szCs w:val="22"/>
                <w:highlight w:val="none"/>
                <w:lang w:val="en-US" w:eastAsia="zh-CN" w:bidi="ar"/>
              </w:rPr>
              <w:t>1.282</w:t>
            </w:r>
          </w:p>
        </w:tc>
        <w:tc>
          <w:tcPr>
            <w:tcW w:w="1559" w:type="dxa"/>
            <w:tcBorders>
              <w:top w:val="single" w:color="auto" w:sz="4" w:space="0"/>
              <w:left w:val="single" w:color="auto" w:sz="4" w:space="0"/>
              <w:right w:val="single" w:color="auto" w:sz="4" w:space="0"/>
            </w:tcBorders>
            <w:vAlign w:val="center"/>
          </w:tcPr>
          <w:p w14:paraId="5547B1A1">
            <w:pPr>
              <w:widowControl/>
              <w:ind w:firstLine="0" w:firstLineChars="0"/>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default" w:cs="Times New Roman"/>
                <w:color w:val="auto"/>
                <w:kern w:val="0"/>
                <w:sz w:val="22"/>
                <w:szCs w:val="22"/>
                <w:highlight w:val="none"/>
                <w:lang w:val="en-US" w:eastAsia="zh-CN" w:bidi="ar"/>
              </w:rPr>
              <w:t>23042804</w:t>
            </w:r>
          </w:p>
        </w:tc>
        <w:tc>
          <w:tcPr>
            <w:tcW w:w="879" w:type="dxa"/>
            <w:tcBorders>
              <w:top w:val="single" w:color="auto" w:sz="4" w:space="0"/>
              <w:left w:val="single" w:color="auto" w:sz="4" w:space="0"/>
              <w:right w:val="single" w:color="auto" w:sz="4" w:space="0"/>
            </w:tcBorders>
            <w:vAlign w:val="center"/>
          </w:tcPr>
          <w:p w14:paraId="1BDD9C2F">
            <w:pPr>
              <w:widowControl/>
              <w:ind w:firstLine="0" w:firstLineChars="0"/>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cs="Times New Roman"/>
                <w:color w:val="auto"/>
                <w:kern w:val="0"/>
                <w:sz w:val="22"/>
                <w:szCs w:val="22"/>
                <w:highlight w:val="none"/>
                <w:lang w:bidi="ar"/>
              </w:rPr>
              <w:t>0.45</w:t>
            </w:r>
          </w:p>
        </w:tc>
        <w:tc>
          <w:tcPr>
            <w:tcW w:w="709" w:type="dxa"/>
            <w:tcBorders>
              <w:top w:val="single" w:color="auto" w:sz="4" w:space="0"/>
              <w:left w:val="single" w:color="auto" w:sz="4" w:space="0"/>
              <w:right w:val="single" w:color="auto" w:sz="4" w:space="0"/>
            </w:tcBorders>
            <w:vAlign w:val="center"/>
          </w:tcPr>
          <w:p w14:paraId="73CD98ED">
            <w:pPr>
              <w:widowControl/>
              <w:ind w:firstLine="0" w:firstLineChars="0"/>
              <w:jc w:val="center"/>
              <w:textAlignment w:val="center"/>
              <w:rPr>
                <w:rFonts w:hint="default" w:ascii="Times New Roman" w:hAnsi="Times New Roman" w:eastAsia="宋体" w:cs="Times New Roman"/>
                <w:b/>
                <w:bCs/>
                <w:color w:val="auto"/>
                <w:kern w:val="0"/>
                <w:sz w:val="22"/>
                <w:szCs w:val="22"/>
                <w:highlight w:val="none"/>
                <w:lang w:val="en-US" w:eastAsia="zh-CN" w:bidi="ar"/>
              </w:rPr>
            </w:pPr>
            <w:r>
              <w:rPr>
                <w:rFonts w:hint="default" w:cs="Times New Roman"/>
                <w:b/>
                <w:bCs/>
                <w:color w:val="auto"/>
                <w:kern w:val="0"/>
                <w:sz w:val="22"/>
                <w:szCs w:val="22"/>
                <w:highlight w:val="none"/>
                <w:lang w:val="en-US" w:eastAsia="zh-CN" w:bidi="ar"/>
              </w:rPr>
              <w:t>284.92</w:t>
            </w:r>
          </w:p>
        </w:tc>
        <w:tc>
          <w:tcPr>
            <w:tcW w:w="538" w:type="dxa"/>
            <w:tcBorders>
              <w:top w:val="single" w:color="auto" w:sz="4" w:space="0"/>
              <w:left w:val="single" w:color="auto" w:sz="4" w:space="0"/>
            </w:tcBorders>
            <w:vAlign w:val="center"/>
          </w:tcPr>
          <w:p w14:paraId="3E78BEBF">
            <w:pPr>
              <w:widowControl/>
              <w:ind w:firstLine="0" w:firstLineChars="0"/>
              <w:jc w:val="center"/>
              <w:textAlignment w:val="center"/>
              <w:rPr>
                <w:rFonts w:hint="default" w:ascii="Times New Roman" w:hAnsi="Times New Roman" w:cs="Times New Roman"/>
                <w:b/>
                <w:bCs/>
                <w:color w:val="auto"/>
                <w:kern w:val="0"/>
                <w:sz w:val="22"/>
                <w:szCs w:val="22"/>
                <w:highlight w:val="none"/>
                <w:lang w:bidi="ar"/>
              </w:rPr>
            </w:pPr>
            <w:r>
              <w:rPr>
                <w:rFonts w:hint="default" w:ascii="Times New Roman" w:hAnsi="Times New Roman" w:cs="Times New Roman"/>
                <w:b/>
                <w:bCs/>
                <w:color w:val="auto"/>
                <w:kern w:val="0"/>
                <w:sz w:val="22"/>
                <w:szCs w:val="22"/>
                <w:highlight w:val="none"/>
                <w:lang w:bidi="ar"/>
              </w:rPr>
              <w:t>超标</w:t>
            </w:r>
          </w:p>
        </w:tc>
      </w:tr>
    </w:tbl>
    <w:p w14:paraId="345D3ECF">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由表5.4-14可以看出，非正常状况下，本项目排放的PM</w:t>
      </w:r>
      <w:r>
        <w:rPr>
          <w:rFonts w:hint="default" w:ascii="Times New Roman" w:hAnsi="Times New Roman" w:cs="Times New Roman"/>
          <w:color w:val="auto"/>
          <w:sz w:val="24"/>
          <w:highlight w:val="none"/>
          <w:shd w:val="clear" w:color="auto" w:fill="FFFFFF"/>
          <w:vertAlign w:val="subscript"/>
        </w:rPr>
        <w:t>10</w:t>
      </w:r>
      <w:r>
        <w:rPr>
          <w:rFonts w:hint="default" w:ascii="Times New Roman" w:hAnsi="Times New Roman" w:cs="Times New Roman"/>
          <w:color w:val="auto"/>
          <w:sz w:val="24"/>
          <w:highlight w:val="none"/>
          <w:shd w:val="clear" w:color="auto" w:fill="FFFFFF"/>
        </w:rPr>
        <w:t>最大浓度占比率为</w:t>
      </w:r>
      <w:r>
        <w:rPr>
          <w:rFonts w:hint="eastAsia" w:cs="Times New Roman"/>
          <w:color w:val="auto"/>
          <w:sz w:val="24"/>
          <w:highlight w:val="none"/>
          <w:shd w:val="clear" w:color="auto" w:fill="FFFFFF"/>
          <w:lang w:val="en-US" w:eastAsia="zh-CN"/>
        </w:rPr>
        <w:t>284.92</w:t>
      </w:r>
      <w:r>
        <w:rPr>
          <w:rFonts w:hint="default" w:ascii="Times New Roman" w:hAnsi="Times New Roman" w:cs="Times New Roman"/>
          <w:color w:val="auto"/>
          <w:sz w:val="24"/>
          <w:highlight w:val="none"/>
          <w:shd w:val="clear" w:color="auto" w:fill="FFFFFF"/>
        </w:rPr>
        <w:t>%，出现严重超标现象，因此短时间内会对该区域大气环境质量将造成一定影响，需加强检修频次，杜绝事故排污。</w:t>
      </w:r>
    </w:p>
    <w:p w14:paraId="21E77ADD">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当出现非正常工况时，应立即停止设备运转并及时检查故障，缩短非正常工况的排放时间，减少污染物排放。</w:t>
      </w:r>
    </w:p>
    <w:p w14:paraId="640F7087">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为杜绝非正常工况废气排放，建设单位应采取以下措施确保废气达标排放：</w:t>
      </w:r>
    </w:p>
    <w:p w14:paraId="53B1EE42">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A.平时注意各设施的维护保养，及时发现处理设备的隐患，确保系统正常运行；</w:t>
      </w:r>
    </w:p>
    <w:p w14:paraId="75F357F4">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B.建立健全的环保机构，配置必要的监测仪器，对管理人员和技术人员进行岗位培训，对废气处理实行全过程跟踪控制。</w:t>
      </w:r>
    </w:p>
    <w:p w14:paraId="59985F28">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w:t>
      </w:r>
      <w:r>
        <w:rPr>
          <w:rFonts w:hint="default" w:cs="Times New Roman"/>
          <w:color w:val="auto"/>
          <w:sz w:val="24"/>
          <w:highlight w:val="none"/>
          <w:shd w:val="clear" w:color="auto" w:fill="FFFFFF"/>
          <w:lang w:val="en-US" w:eastAsia="zh-CN"/>
        </w:rPr>
        <w:t>4</w:t>
      </w:r>
      <w:r>
        <w:rPr>
          <w:rFonts w:hint="default" w:ascii="Times New Roman" w:hAnsi="Times New Roman" w:cs="Times New Roman"/>
          <w:color w:val="auto"/>
          <w:sz w:val="24"/>
          <w:highlight w:val="none"/>
          <w:shd w:val="clear" w:color="auto" w:fill="FFFFFF"/>
        </w:rPr>
        <w:t>）区域环境变化分析</w:t>
      </w:r>
    </w:p>
    <w:p w14:paraId="48851573">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本项目</w:t>
      </w:r>
      <w:r>
        <w:rPr>
          <w:rFonts w:hint="default" w:cs="Times New Roman"/>
          <w:color w:val="auto"/>
          <w:sz w:val="24"/>
          <w:highlight w:val="none"/>
          <w:shd w:val="clear" w:color="auto" w:fill="FFFFFF"/>
          <w:lang w:eastAsia="zh-CN"/>
        </w:rPr>
        <w:t>位于</w:t>
      </w:r>
      <w:r>
        <w:rPr>
          <w:rFonts w:hint="default" w:cs="Times New Roman"/>
          <w:color w:val="auto"/>
          <w:sz w:val="24"/>
          <w:highlight w:val="none"/>
          <w:shd w:val="clear" w:color="auto" w:fill="FFFFFF"/>
          <w:lang w:val="en-US" w:eastAsia="zh-CN"/>
        </w:rPr>
        <w:t>阿勒泰地区富蕴</w:t>
      </w:r>
      <w:r>
        <w:rPr>
          <w:rFonts w:hint="default" w:ascii="Times New Roman" w:hAnsi="Times New Roman" w:cs="Times New Roman"/>
          <w:color w:val="auto"/>
          <w:sz w:val="24"/>
          <w:highlight w:val="none"/>
          <w:shd w:val="clear" w:color="auto" w:fill="FFFFFF"/>
        </w:rPr>
        <w:t>县，根据区域基本污染物评价基准年连续一年监测结果，区域为达标区。由于本项目污染物SO</w:t>
      </w:r>
      <w:r>
        <w:rPr>
          <w:rFonts w:hint="default" w:ascii="Times New Roman" w:hAnsi="Times New Roman" w:cs="Times New Roman"/>
          <w:color w:val="auto"/>
          <w:sz w:val="24"/>
          <w:highlight w:val="none"/>
          <w:shd w:val="clear" w:color="auto" w:fill="FFFFFF"/>
          <w:vertAlign w:val="subscript"/>
        </w:rPr>
        <w:t>2</w:t>
      </w:r>
      <w:r>
        <w:rPr>
          <w:rFonts w:hint="default" w:ascii="Times New Roman" w:hAnsi="Times New Roman" w:cs="Times New Roman"/>
          <w:color w:val="auto"/>
          <w:sz w:val="24"/>
          <w:highlight w:val="none"/>
          <w:shd w:val="clear" w:color="auto" w:fill="FFFFFF"/>
        </w:rPr>
        <w:t>及NO</w:t>
      </w:r>
      <w:r>
        <w:rPr>
          <w:rFonts w:hint="default" w:ascii="Times New Roman" w:hAnsi="Times New Roman" w:cs="Times New Roman"/>
          <w:color w:val="auto"/>
          <w:sz w:val="24"/>
          <w:highlight w:val="none"/>
          <w:shd w:val="clear" w:color="auto" w:fill="FFFFFF"/>
          <w:vertAlign w:val="subscript"/>
        </w:rPr>
        <w:t>2</w:t>
      </w:r>
      <w:r>
        <w:rPr>
          <w:rFonts w:hint="default" w:ascii="Times New Roman" w:hAnsi="Times New Roman" w:cs="Times New Roman"/>
          <w:color w:val="auto"/>
          <w:sz w:val="24"/>
          <w:highlight w:val="none"/>
          <w:shd w:val="clear" w:color="auto" w:fill="FFFFFF"/>
        </w:rPr>
        <w:t>年排放量未超过500t，因此本次评价因子不包括PM</w:t>
      </w:r>
      <w:r>
        <w:rPr>
          <w:rFonts w:hint="default" w:ascii="Times New Roman" w:hAnsi="Times New Roman" w:cs="Times New Roman"/>
          <w:color w:val="auto"/>
          <w:sz w:val="24"/>
          <w:highlight w:val="none"/>
          <w:shd w:val="clear" w:color="auto" w:fill="FFFFFF"/>
          <w:vertAlign w:val="subscript"/>
        </w:rPr>
        <w:t>2.5</w:t>
      </w:r>
      <w:r>
        <w:rPr>
          <w:rFonts w:hint="default" w:ascii="Times New Roman" w:hAnsi="Times New Roman" w:cs="Times New Roman"/>
          <w:color w:val="auto"/>
          <w:sz w:val="24"/>
          <w:highlight w:val="none"/>
          <w:shd w:val="clear" w:color="auto" w:fill="FFFFFF"/>
        </w:rPr>
        <w:t>。</w:t>
      </w:r>
    </w:p>
    <w:p w14:paraId="38C6B81A">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根据预测，本项目新增污染源正常排放下污染物短期浓度贡献值最大浓度占标率≤100%；新增污染源正常排放下污染物年均浓度贡献值最大浓度占标率≤30%，</w:t>
      </w:r>
      <w:r>
        <w:rPr>
          <w:rFonts w:hint="default" w:cs="Times New Roman"/>
          <w:color w:val="auto"/>
          <w:sz w:val="24"/>
          <w:highlight w:val="none"/>
          <w:shd w:val="clear" w:color="auto" w:fill="FFFFFF"/>
          <w:lang w:val="en-US" w:eastAsia="zh-CN"/>
        </w:rPr>
        <w:t>同时叠加现状浓度后，本项目主要污染物的保证率日平均质量浓度和年平均质量浓度均符合环境质量标准，因此本项目对大气环境的影响可接受。</w:t>
      </w:r>
    </w:p>
    <w:p w14:paraId="1DF1DBF8">
      <w:pPr>
        <w:pStyle w:val="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5.2.1.6大气环境防护距离</w:t>
      </w:r>
    </w:p>
    <w:p w14:paraId="479C8AC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10FC797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本项目经估算各污染物没有超出环境质量标准浓度限值，因此不设大气防护距离。</w:t>
      </w:r>
    </w:p>
    <w:p w14:paraId="7C79EB4F">
      <w:pPr>
        <w:pStyle w:val="120"/>
        <w:ind w:left="-120" w:firstLine="45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5.2.1.7大气环境影响分析结论</w:t>
      </w:r>
    </w:p>
    <w:p w14:paraId="2B7BDD24">
      <w:pPr>
        <w:overflowPunct w:val="0"/>
        <w:topLinePunct/>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根据</w:t>
      </w:r>
      <w:r>
        <w:rPr>
          <w:rFonts w:hint="default" w:ascii="Times New Roman" w:hAnsi="Times New Roman" w:cs="Times New Roman"/>
          <w:color w:val="auto"/>
          <w:highlight w:val="none"/>
        </w:rPr>
        <w:t>《环境影响评价技术导则 大气环境》（HJ2.2-2018）：达标区域的建设项目环境影响评价</w:t>
      </w:r>
      <w:r>
        <w:rPr>
          <w:rFonts w:hint="default" w:ascii="Times New Roman" w:hAnsi="Times New Roman" w:cs="Times New Roman"/>
          <w:color w:val="auto"/>
          <w:highlight w:val="none"/>
          <w:shd w:val="clear" w:color="auto" w:fill="FFFFFF"/>
        </w:rPr>
        <w:t>，当同时满足以下条件时，则认为环境影响可以接受。</w:t>
      </w:r>
    </w:p>
    <w:p w14:paraId="50E2F9B5">
      <w:pPr>
        <w:overflowPunct w:val="0"/>
        <w:topLinePunct/>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①新增污染源正常排放下污染物短期浓度贡献值的最大浓度占标率≤100%；</w:t>
      </w:r>
    </w:p>
    <w:p w14:paraId="1168DDCF">
      <w:pPr>
        <w:overflowPunct w:val="0"/>
        <w:topLinePunct/>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②新增污染源正常排放下污染物年均浓度贡献值的最大浓度占标率≤30%</w:t>
      </w:r>
      <w:r>
        <w:rPr>
          <w:rFonts w:hint="default" w:ascii="Times New Roman" w:hAnsi="Times New Roman" w:cs="Times New Roman"/>
          <w:color w:val="auto"/>
          <w:highlight w:val="none"/>
        </w:rPr>
        <w:t>（其中一类区</w:t>
      </w:r>
      <w:r>
        <w:rPr>
          <w:rFonts w:hint="default" w:ascii="Times New Roman" w:hAnsi="Times New Roman" w:cs="Times New Roman"/>
          <w:color w:val="auto"/>
          <w:highlight w:val="none"/>
          <w:shd w:val="clear" w:color="auto" w:fill="FFFFFF"/>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shd w:val="clear" w:color="auto" w:fill="FFFFFF"/>
        </w:rPr>
        <w:t>；</w:t>
      </w:r>
    </w:p>
    <w:p w14:paraId="4A83C230">
      <w:pPr>
        <w:overflowPunct w:val="0"/>
        <w:topLinePunct/>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③项目环境影响符合环境功能区划。叠加现状浓度、区域削减污染源以及在建、拟建项目的环境影响后，主要污染物的保证率日平均质量浓度和年平均质量浓度均符合环境质量标准；对于项目排放的主要污染物仅有短期浓度限值的，叠加后的短期浓度符合环境质量标准。</w:t>
      </w:r>
    </w:p>
    <w:p w14:paraId="0A7094C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shd w:val="clear" w:color="auto" w:fill="FFFFFF"/>
        </w:rPr>
        <w:t>本项目位于</w:t>
      </w:r>
      <w:r>
        <w:rPr>
          <w:rFonts w:hint="default" w:cs="Times New Roman"/>
          <w:color w:val="auto"/>
          <w:highlight w:val="none"/>
          <w:shd w:val="clear" w:color="auto" w:fill="FFFFFF"/>
          <w:lang w:val="en-US" w:eastAsia="zh-CN"/>
        </w:rPr>
        <w:t>富蕴县达标区</w:t>
      </w:r>
      <w:r>
        <w:rPr>
          <w:rFonts w:hint="default" w:ascii="Times New Roman" w:hAnsi="Times New Roman" w:cs="Times New Roman"/>
          <w:color w:val="auto"/>
          <w:highlight w:val="none"/>
          <w:shd w:val="clear" w:color="auto" w:fill="FFFFFF"/>
        </w:rPr>
        <w:t>，根据预测，本项目新增污染源正常排放下污染物短期浓度贡献值最大浓度占标率≤100%；新增污染源正常排放下污染物年均浓度贡献值最大浓度占标率≤30%，同时叠加现状浓度后，本项目主要污染物的保证率日平均质量浓度和年平均质量浓度均符合环境质量标准，因此本项目对大气环境的影响可接受。</w:t>
      </w:r>
    </w:p>
    <w:p w14:paraId="67D36E29">
      <w:pPr>
        <w:pStyle w:val="32"/>
        <w:widowControl/>
        <w:autoSpaceDE w:val="0"/>
        <w:autoSpaceDN w:val="0"/>
        <w:adjustRightInd w:val="0"/>
        <w:spacing w:after="0"/>
        <w:ind w:left="0" w:leftChars="0" w:firstLine="0" w:firstLineChars="0"/>
        <w:jc w:val="center"/>
        <w:textAlignment w:val="baseline"/>
        <w:rPr>
          <w:rFonts w:hint="default" w:ascii="Times New Roman" w:hAnsi="Times New Roman" w:cs="Times New Roman"/>
          <w:b/>
          <w:bCs/>
          <w:color w:val="auto"/>
          <w:sz w:val="24"/>
          <w:highlight w:val="none"/>
          <w:shd w:val="clear" w:color="auto" w:fill="FFFFFF"/>
        </w:rPr>
      </w:pPr>
      <w:r>
        <w:rPr>
          <w:rFonts w:hint="default" w:ascii="Times New Roman" w:hAnsi="Times New Roman" w:cs="Times New Roman"/>
          <w:b/>
          <w:bCs/>
          <w:color w:val="auto"/>
          <w:sz w:val="24"/>
          <w:highlight w:val="none"/>
          <w:shd w:val="clear" w:color="auto" w:fill="FFFFFF"/>
        </w:rPr>
        <w:t>表5.2-15    大气环境影响评价自查表</w:t>
      </w:r>
    </w:p>
    <w:tbl>
      <w:tblPr>
        <w:tblStyle w:val="33"/>
        <w:tblW w:w="83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097"/>
        <w:gridCol w:w="921"/>
        <w:gridCol w:w="467"/>
        <w:gridCol w:w="195"/>
        <w:gridCol w:w="136"/>
        <w:gridCol w:w="141"/>
        <w:gridCol w:w="80"/>
        <w:gridCol w:w="525"/>
        <w:gridCol w:w="372"/>
        <w:gridCol w:w="110"/>
        <w:gridCol w:w="511"/>
        <w:gridCol w:w="165"/>
        <w:gridCol w:w="426"/>
        <w:gridCol w:w="660"/>
        <w:gridCol w:w="236"/>
        <w:gridCol w:w="183"/>
        <w:gridCol w:w="901"/>
        <w:gridCol w:w="349"/>
      </w:tblGrid>
      <w:tr w14:paraId="7F35BA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956" w:type="dxa"/>
            <w:gridSpan w:val="2"/>
            <w:shd w:val="clear" w:color="auto" w:fill="auto"/>
            <w:vAlign w:val="center"/>
          </w:tcPr>
          <w:p w14:paraId="73F08241">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工作内容</w:t>
            </w:r>
          </w:p>
        </w:tc>
        <w:tc>
          <w:tcPr>
            <w:tcW w:w="6378" w:type="dxa"/>
            <w:gridSpan w:val="17"/>
            <w:shd w:val="clear" w:color="auto" w:fill="auto"/>
            <w:vAlign w:val="center"/>
          </w:tcPr>
          <w:p w14:paraId="55AE44F4">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自查项目</w:t>
            </w:r>
          </w:p>
        </w:tc>
      </w:tr>
      <w:tr w14:paraId="7C57D6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5C8387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评价等级与范围</w:t>
            </w:r>
          </w:p>
        </w:tc>
        <w:tc>
          <w:tcPr>
            <w:tcW w:w="1097" w:type="dxa"/>
            <w:shd w:val="clear" w:color="auto" w:fill="auto"/>
            <w:vAlign w:val="center"/>
          </w:tcPr>
          <w:p w14:paraId="33F05E3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w:t>
            </w:r>
          </w:p>
        </w:tc>
        <w:tc>
          <w:tcPr>
            <w:tcW w:w="2465" w:type="dxa"/>
            <w:gridSpan w:val="7"/>
            <w:shd w:val="clear" w:color="auto" w:fill="auto"/>
            <w:vAlign w:val="center"/>
          </w:tcPr>
          <w:p w14:paraId="3B8968A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r>
              <w:rPr>
                <w:rFonts w:hint="default" w:ascii="Times New Roman" w:hAnsi="Times New Roman" w:cs="Times New Roman"/>
                <w:color w:val="auto"/>
                <w:sz w:val="21"/>
                <w:szCs w:val="21"/>
                <w:highlight w:val="none"/>
              </w:rPr>
              <w:sym w:font="Wingdings 2" w:char="0052"/>
            </w:r>
          </w:p>
        </w:tc>
        <w:tc>
          <w:tcPr>
            <w:tcW w:w="2244" w:type="dxa"/>
            <w:gridSpan w:val="6"/>
            <w:shd w:val="clear" w:color="auto" w:fill="auto"/>
            <w:vAlign w:val="center"/>
          </w:tcPr>
          <w:p w14:paraId="2E42DDB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r>
              <w:rPr>
                <w:rFonts w:hint="default" w:ascii="Times New Roman" w:hAnsi="Times New Roman" w:cs="Times New Roman"/>
                <w:color w:val="auto"/>
                <w:sz w:val="21"/>
                <w:szCs w:val="21"/>
                <w:highlight w:val="none"/>
              </w:rPr>
              <w:sym w:font="Wingdings 2" w:char="002A"/>
            </w:r>
          </w:p>
        </w:tc>
        <w:tc>
          <w:tcPr>
            <w:tcW w:w="1669" w:type="dxa"/>
            <w:gridSpan w:val="4"/>
            <w:shd w:val="clear" w:color="auto" w:fill="auto"/>
            <w:vAlign w:val="center"/>
          </w:tcPr>
          <w:p w14:paraId="3117964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r>
              <w:rPr>
                <w:rFonts w:hint="default" w:ascii="Times New Roman" w:hAnsi="Times New Roman" w:cs="Times New Roman"/>
                <w:color w:val="auto"/>
                <w:sz w:val="21"/>
                <w:szCs w:val="21"/>
                <w:highlight w:val="none"/>
              </w:rPr>
              <w:sym w:font="Wingdings 2" w:char="002A"/>
            </w:r>
          </w:p>
        </w:tc>
      </w:tr>
      <w:tr w14:paraId="54A2F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76333006">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5917D2A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评价范围</w:t>
            </w:r>
          </w:p>
        </w:tc>
        <w:tc>
          <w:tcPr>
            <w:tcW w:w="2465" w:type="dxa"/>
            <w:gridSpan w:val="7"/>
            <w:shd w:val="clear" w:color="auto" w:fill="auto"/>
            <w:vAlign w:val="center"/>
          </w:tcPr>
          <w:p w14:paraId="2F479D1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边长=50km</w:t>
            </w:r>
            <w:r>
              <w:rPr>
                <w:rFonts w:hint="default" w:ascii="Times New Roman" w:hAnsi="Times New Roman" w:cs="Times New Roman"/>
                <w:color w:val="auto"/>
                <w:sz w:val="21"/>
                <w:szCs w:val="21"/>
                <w:highlight w:val="none"/>
              </w:rPr>
              <w:sym w:font="Wingdings 2" w:char="002A"/>
            </w:r>
          </w:p>
        </w:tc>
        <w:tc>
          <w:tcPr>
            <w:tcW w:w="2244" w:type="dxa"/>
            <w:gridSpan w:val="6"/>
            <w:shd w:val="clear" w:color="auto" w:fill="auto"/>
            <w:vAlign w:val="center"/>
          </w:tcPr>
          <w:p w14:paraId="56A1D88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边长=5～50km</w:t>
            </w:r>
            <w:r>
              <w:rPr>
                <w:rFonts w:hint="default" w:ascii="Times New Roman" w:hAnsi="Times New Roman" w:cs="Times New Roman"/>
                <w:color w:val="auto"/>
                <w:sz w:val="21"/>
                <w:szCs w:val="21"/>
                <w:highlight w:val="none"/>
              </w:rPr>
              <w:sym w:font="Wingdings 2" w:char="002A"/>
            </w:r>
          </w:p>
        </w:tc>
        <w:tc>
          <w:tcPr>
            <w:tcW w:w="1669" w:type="dxa"/>
            <w:gridSpan w:val="4"/>
            <w:shd w:val="clear" w:color="auto" w:fill="auto"/>
            <w:vAlign w:val="center"/>
          </w:tcPr>
          <w:p w14:paraId="38D51A8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边长=5km√</w:t>
            </w:r>
          </w:p>
        </w:tc>
      </w:tr>
      <w:tr w14:paraId="76237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45CDEA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1097" w:type="dxa"/>
            <w:shd w:val="clear" w:color="auto" w:fill="auto"/>
            <w:vAlign w:val="center"/>
          </w:tcPr>
          <w:p w14:paraId="66C735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rPr>
              <w:t>排放量</w:t>
            </w:r>
          </w:p>
        </w:tc>
        <w:tc>
          <w:tcPr>
            <w:tcW w:w="1719" w:type="dxa"/>
            <w:gridSpan w:val="4"/>
            <w:shd w:val="clear" w:color="auto" w:fill="auto"/>
            <w:vAlign w:val="center"/>
          </w:tcPr>
          <w:p w14:paraId="0E58468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≥2000t/a</w:t>
            </w:r>
            <w:r>
              <w:rPr>
                <w:rFonts w:hint="default" w:ascii="Times New Roman" w:hAnsi="Times New Roman" w:cs="Times New Roman"/>
                <w:color w:val="auto"/>
                <w:sz w:val="21"/>
                <w:szCs w:val="21"/>
                <w:highlight w:val="none"/>
              </w:rPr>
              <w:sym w:font="Wingdings 2" w:char="002A"/>
            </w:r>
          </w:p>
        </w:tc>
        <w:tc>
          <w:tcPr>
            <w:tcW w:w="1739" w:type="dxa"/>
            <w:gridSpan w:val="6"/>
            <w:shd w:val="clear" w:color="auto" w:fill="auto"/>
            <w:vAlign w:val="center"/>
          </w:tcPr>
          <w:p w14:paraId="48E1FBE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500～2000t/a</w:t>
            </w:r>
            <w:r>
              <w:rPr>
                <w:rFonts w:hint="default" w:ascii="Times New Roman" w:hAnsi="Times New Roman" w:cs="Times New Roman"/>
                <w:color w:val="auto"/>
                <w:sz w:val="21"/>
                <w:szCs w:val="21"/>
                <w:highlight w:val="none"/>
              </w:rPr>
              <w:sym w:font="Wingdings 2" w:char="002A"/>
            </w:r>
          </w:p>
        </w:tc>
        <w:tc>
          <w:tcPr>
            <w:tcW w:w="2920" w:type="dxa"/>
            <w:gridSpan w:val="7"/>
            <w:shd w:val="clear" w:color="auto" w:fill="auto"/>
            <w:vAlign w:val="center"/>
          </w:tcPr>
          <w:p w14:paraId="4AE06AB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&lt;500t/a√</w:t>
            </w:r>
          </w:p>
        </w:tc>
      </w:tr>
      <w:tr w14:paraId="561FAB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70512709">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5BDBB5E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3458" w:type="dxa"/>
            <w:gridSpan w:val="10"/>
            <w:shd w:val="clear" w:color="auto" w:fill="auto"/>
            <w:vAlign w:val="center"/>
          </w:tcPr>
          <w:p w14:paraId="7951CBC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基本污染物（SO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、CO、O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p>
          <w:p w14:paraId="0EA6C2C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其他污染物（TSP）</w:t>
            </w:r>
          </w:p>
        </w:tc>
        <w:tc>
          <w:tcPr>
            <w:tcW w:w="2920" w:type="dxa"/>
            <w:gridSpan w:val="7"/>
            <w:shd w:val="clear" w:color="auto" w:fill="auto"/>
            <w:vAlign w:val="center"/>
          </w:tcPr>
          <w:p w14:paraId="390DA10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sym w:font="Wingdings 2" w:char="002A"/>
            </w:r>
          </w:p>
          <w:p w14:paraId="3D112F6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w:t>
            </w:r>
          </w:p>
        </w:tc>
      </w:tr>
      <w:tr w14:paraId="3E6DE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shd w:val="clear" w:color="auto" w:fill="auto"/>
            <w:vAlign w:val="center"/>
          </w:tcPr>
          <w:p w14:paraId="1F7D60B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097" w:type="dxa"/>
            <w:shd w:val="clear" w:color="auto" w:fill="auto"/>
            <w:vAlign w:val="center"/>
          </w:tcPr>
          <w:p w14:paraId="3E69860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940" w:type="dxa"/>
            <w:gridSpan w:val="6"/>
            <w:shd w:val="clear" w:color="auto" w:fill="auto"/>
            <w:vAlign w:val="center"/>
          </w:tcPr>
          <w:p w14:paraId="0FEF1FD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国家标准√</w:t>
            </w:r>
          </w:p>
        </w:tc>
        <w:tc>
          <w:tcPr>
            <w:tcW w:w="1518" w:type="dxa"/>
            <w:gridSpan w:val="4"/>
            <w:shd w:val="clear" w:color="auto" w:fill="auto"/>
            <w:vAlign w:val="center"/>
          </w:tcPr>
          <w:p w14:paraId="1336CE1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地方标准</w:t>
            </w:r>
            <w:r>
              <w:rPr>
                <w:rFonts w:hint="default" w:ascii="Times New Roman" w:hAnsi="Times New Roman" w:cs="Times New Roman"/>
                <w:color w:val="auto"/>
                <w:sz w:val="21"/>
                <w:szCs w:val="21"/>
                <w:highlight w:val="none"/>
              </w:rPr>
              <w:sym w:font="Wingdings 2" w:char="002A"/>
            </w:r>
          </w:p>
        </w:tc>
        <w:tc>
          <w:tcPr>
            <w:tcW w:w="1251" w:type="dxa"/>
            <w:gridSpan w:val="3"/>
            <w:shd w:val="clear" w:color="auto" w:fill="auto"/>
            <w:vAlign w:val="center"/>
          </w:tcPr>
          <w:p w14:paraId="3CEC9E6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附录D</w:t>
            </w:r>
            <w:r>
              <w:rPr>
                <w:rFonts w:hint="default" w:ascii="Times New Roman" w:hAnsi="Times New Roman" w:cs="Times New Roman"/>
                <w:color w:val="auto"/>
                <w:sz w:val="21"/>
                <w:szCs w:val="21"/>
                <w:highlight w:val="none"/>
              </w:rPr>
              <w:sym w:font="Wingdings 2" w:char="002A"/>
            </w:r>
          </w:p>
        </w:tc>
        <w:tc>
          <w:tcPr>
            <w:tcW w:w="1669" w:type="dxa"/>
            <w:gridSpan w:val="4"/>
            <w:shd w:val="clear" w:color="auto" w:fill="auto"/>
            <w:vAlign w:val="center"/>
          </w:tcPr>
          <w:p w14:paraId="7C9DC5D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其他标准</w:t>
            </w:r>
            <w:r>
              <w:rPr>
                <w:rFonts w:hint="default" w:ascii="Times New Roman" w:hAnsi="Times New Roman" w:cs="Times New Roman"/>
                <w:color w:val="auto"/>
                <w:sz w:val="21"/>
                <w:szCs w:val="21"/>
                <w:highlight w:val="none"/>
              </w:rPr>
              <w:sym w:font="Wingdings 2" w:char="002A"/>
            </w:r>
          </w:p>
        </w:tc>
      </w:tr>
      <w:tr w14:paraId="276EF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7D6725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1097" w:type="dxa"/>
            <w:shd w:val="clear" w:color="auto" w:fill="auto"/>
            <w:vAlign w:val="center"/>
          </w:tcPr>
          <w:p w14:paraId="5B08E75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评价功能区</w:t>
            </w:r>
          </w:p>
        </w:tc>
        <w:tc>
          <w:tcPr>
            <w:tcW w:w="2465" w:type="dxa"/>
            <w:gridSpan w:val="7"/>
            <w:shd w:val="clear" w:color="auto" w:fill="auto"/>
            <w:vAlign w:val="center"/>
          </w:tcPr>
          <w:p w14:paraId="605881A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w:t>
            </w:r>
            <w:r>
              <w:rPr>
                <w:rFonts w:hint="default" w:ascii="Times New Roman" w:hAnsi="Times New Roman" w:cs="Times New Roman"/>
                <w:color w:val="auto"/>
                <w:sz w:val="21"/>
                <w:szCs w:val="21"/>
                <w:highlight w:val="none"/>
              </w:rPr>
              <w:sym w:font="Wingdings 2" w:char="002A"/>
            </w:r>
          </w:p>
        </w:tc>
        <w:tc>
          <w:tcPr>
            <w:tcW w:w="2244" w:type="dxa"/>
            <w:gridSpan w:val="6"/>
            <w:shd w:val="clear" w:color="auto" w:fill="auto"/>
            <w:vAlign w:val="center"/>
          </w:tcPr>
          <w:p w14:paraId="6DD80C3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1669" w:type="dxa"/>
            <w:gridSpan w:val="4"/>
            <w:shd w:val="clear" w:color="auto" w:fill="auto"/>
            <w:vAlign w:val="center"/>
          </w:tcPr>
          <w:p w14:paraId="08A8722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一类区和二类区</w:t>
            </w:r>
          </w:p>
          <w:p w14:paraId="7D7667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2A"/>
            </w:r>
          </w:p>
        </w:tc>
      </w:tr>
      <w:tr w14:paraId="43724B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7BD9DCB">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729E914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评价基准年</w:t>
            </w:r>
          </w:p>
        </w:tc>
        <w:tc>
          <w:tcPr>
            <w:tcW w:w="6378" w:type="dxa"/>
            <w:gridSpan w:val="17"/>
            <w:shd w:val="clear" w:color="auto" w:fill="auto"/>
            <w:vAlign w:val="center"/>
          </w:tcPr>
          <w:p w14:paraId="7BA70AE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default"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）年</w:t>
            </w:r>
          </w:p>
        </w:tc>
      </w:tr>
      <w:tr w14:paraId="0C659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3F446312">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6E1C4F2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w:t>
            </w:r>
          </w:p>
          <w:p w14:paraId="409A34F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量现状调查数据来源</w:t>
            </w:r>
          </w:p>
        </w:tc>
        <w:tc>
          <w:tcPr>
            <w:tcW w:w="2465" w:type="dxa"/>
            <w:gridSpan w:val="7"/>
            <w:shd w:val="clear" w:color="auto" w:fill="auto"/>
            <w:vAlign w:val="center"/>
          </w:tcPr>
          <w:p w14:paraId="2EB22F7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长期例行监测数据</w:t>
            </w:r>
            <w:r>
              <w:rPr>
                <w:rFonts w:hint="default" w:ascii="Times New Roman" w:hAnsi="Times New Roman" w:cs="Times New Roman"/>
                <w:color w:val="auto"/>
                <w:sz w:val="21"/>
                <w:szCs w:val="21"/>
                <w:highlight w:val="none"/>
              </w:rPr>
              <w:sym w:font="Wingdings 2" w:char="002A"/>
            </w:r>
          </w:p>
        </w:tc>
        <w:tc>
          <w:tcPr>
            <w:tcW w:w="2244" w:type="dxa"/>
            <w:gridSpan w:val="6"/>
            <w:shd w:val="clear" w:color="auto" w:fill="auto"/>
            <w:vAlign w:val="center"/>
          </w:tcPr>
          <w:p w14:paraId="34471D7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主管部门发布的数据√</w:t>
            </w:r>
          </w:p>
        </w:tc>
        <w:tc>
          <w:tcPr>
            <w:tcW w:w="1669" w:type="dxa"/>
            <w:gridSpan w:val="4"/>
            <w:shd w:val="clear" w:color="auto" w:fill="auto"/>
            <w:vAlign w:val="center"/>
          </w:tcPr>
          <w:p w14:paraId="2D05202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现状补充检测</w:t>
            </w:r>
            <w:r>
              <w:rPr>
                <w:rFonts w:hint="default" w:ascii="Times New Roman" w:hAnsi="Times New Roman" w:cs="Times New Roman"/>
                <w:color w:val="auto"/>
                <w:sz w:val="21"/>
                <w:szCs w:val="21"/>
                <w:highlight w:val="none"/>
              </w:rPr>
              <w:sym w:font="Wingdings 2" w:char="0052"/>
            </w:r>
          </w:p>
        </w:tc>
      </w:tr>
      <w:tr w14:paraId="4EE3DC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4F1F00BA">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7B23D7E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3623" w:type="dxa"/>
            <w:gridSpan w:val="11"/>
            <w:shd w:val="clear" w:color="auto" w:fill="auto"/>
            <w:vAlign w:val="center"/>
          </w:tcPr>
          <w:p w14:paraId="39ADB40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达标区</w:t>
            </w:r>
            <w:r>
              <w:rPr>
                <w:rFonts w:hint="default" w:ascii="Times New Roman" w:hAnsi="Times New Roman" w:cs="Times New Roman"/>
                <w:color w:val="auto"/>
                <w:sz w:val="21"/>
                <w:szCs w:val="21"/>
                <w:highlight w:val="none"/>
              </w:rPr>
              <w:sym w:font="Wingdings 2" w:char="0052"/>
            </w:r>
          </w:p>
        </w:tc>
        <w:tc>
          <w:tcPr>
            <w:tcW w:w="2755" w:type="dxa"/>
            <w:gridSpan w:val="6"/>
            <w:shd w:val="clear" w:color="auto" w:fill="auto"/>
            <w:vAlign w:val="center"/>
          </w:tcPr>
          <w:p w14:paraId="22C415C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不达标区</w:t>
            </w:r>
            <w:r>
              <w:rPr>
                <w:rFonts w:hint="default" w:ascii="Times New Roman" w:hAnsi="Times New Roman" w:cs="Times New Roman"/>
                <w:color w:val="auto"/>
                <w:sz w:val="21"/>
                <w:szCs w:val="21"/>
                <w:highlight w:val="none"/>
              </w:rPr>
              <w:sym w:font="Wingdings 2" w:char="00A3"/>
            </w:r>
          </w:p>
        </w:tc>
      </w:tr>
      <w:tr w14:paraId="111360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shd w:val="clear" w:color="auto" w:fill="auto"/>
            <w:vAlign w:val="center"/>
          </w:tcPr>
          <w:p w14:paraId="34FBB7F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污染源调查</w:t>
            </w:r>
          </w:p>
        </w:tc>
        <w:tc>
          <w:tcPr>
            <w:tcW w:w="1097" w:type="dxa"/>
            <w:shd w:val="clear" w:color="auto" w:fill="auto"/>
            <w:vAlign w:val="center"/>
          </w:tcPr>
          <w:p w14:paraId="2CDE05C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调查内容</w:t>
            </w:r>
          </w:p>
        </w:tc>
        <w:tc>
          <w:tcPr>
            <w:tcW w:w="1860" w:type="dxa"/>
            <w:gridSpan w:val="5"/>
            <w:shd w:val="clear" w:color="auto" w:fill="auto"/>
            <w:vAlign w:val="center"/>
          </w:tcPr>
          <w:p w14:paraId="235243E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本项目正常排放源√</w:t>
            </w:r>
          </w:p>
          <w:p w14:paraId="7173B32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本项目非正常排放源√</w:t>
            </w:r>
          </w:p>
          <w:p w14:paraId="153D0C4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现有污染源</w:t>
            </w:r>
            <w:r>
              <w:rPr>
                <w:rFonts w:hint="default" w:ascii="Times New Roman" w:hAnsi="Times New Roman" w:cs="Times New Roman"/>
                <w:color w:val="auto"/>
                <w:sz w:val="21"/>
                <w:szCs w:val="21"/>
                <w:highlight w:val="none"/>
              </w:rPr>
              <w:sym w:font="Wingdings 2" w:char="00A3"/>
            </w:r>
          </w:p>
        </w:tc>
        <w:tc>
          <w:tcPr>
            <w:tcW w:w="1763" w:type="dxa"/>
            <w:gridSpan w:val="6"/>
            <w:shd w:val="clear" w:color="auto" w:fill="auto"/>
            <w:vAlign w:val="center"/>
          </w:tcPr>
          <w:p w14:paraId="2B48D6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拟替代的污染源</w:t>
            </w:r>
          </w:p>
          <w:p w14:paraId="7F1FD47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2A"/>
            </w:r>
          </w:p>
        </w:tc>
        <w:tc>
          <w:tcPr>
            <w:tcW w:w="1505" w:type="dxa"/>
            <w:gridSpan w:val="4"/>
            <w:shd w:val="clear" w:color="auto" w:fill="auto"/>
            <w:vAlign w:val="center"/>
          </w:tcPr>
          <w:p w14:paraId="698E104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其他在建、拟建项目污染源</w:t>
            </w:r>
            <w:r>
              <w:rPr>
                <w:rFonts w:hint="default" w:ascii="Times New Roman" w:hAnsi="Times New Roman" w:cs="Times New Roman"/>
                <w:color w:val="auto"/>
                <w:sz w:val="21"/>
                <w:szCs w:val="21"/>
                <w:highlight w:val="none"/>
              </w:rPr>
              <w:sym w:font="Wingdings 2" w:char="002A"/>
            </w:r>
          </w:p>
        </w:tc>
        <w:tc>
          <w:tcPr>
            <w:tcW w:w="1250" w:type="dxa"/>
            <w:gridSpan w:val="2"/>
            <w:shd w:val="clear" w:color="auto" w:fill="auto"/>
            <w:vAlign w:val="center"/>
          </w:tcPr>
          <w:p w14:paraId="75FE634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区域污染源</w:t>
            </w:r>
            <w:r>
              <w:rPr>
                <w:rFonts w:hint="default" w:ascii="Times New Roman" w:hAnsi="Times New Roman" w:cs="Times New Roman"/>
                <w:color w:val="auto"/>
                <w:sz w:val="21"/>
                <w:szCs w:val="21"/>
                <w:highlight w:val="none"/>
              </w:rPr>
              <w:sym w:font="Wingdings 2" w:char="002A"/>
            </w:r>
          </w:p>
        </w:tc>
      </w:tr>
      <w:tr w14:paraId="65347F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3ADFBB4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大气环境影响预测与评价</w:t>
            </w:r>
          </w:p>
        </w:tc>
        <w:tc>
          <w:tcPr>
            <w:tcW w:w="1097" w:type="dxa"/>
            <w:shd w:val="clear" w:color="auto" w:fill="auto"/>
            <w:vAlign w:val="center"/>
          </w:tcPr>
          <w:p w14:paraId="068BDA9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预测模型</w:t>
            </w:r>
          </w:p>
        </w:tc>
        <w:tc>
          <w:tcPr>
            <w:tcW w:w="921" w:type="dxa"/>
            <w:shd w:val="clear" w:color="auto" w:fill="auto"/>
            <w:vAlign w:val="center"/>
          </w:tcPr>
          <w:p w14:paraId="1218A8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AERMOD</w:t>
            </w:r>
          </w:p>
          <w:p w14:paraId="0202F87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p>
        </w:tc>
        <w:tc>
          <w:tcPr>
            <w:tcW w:w="662" w:type="dxa"/>
            <w:gridSpan w:val="2"/>
            <w:shd w:val="clear" w:color="auto" w:fill="auto"/>
            <w:vAlign w:val="center"/>
          </w:tcPr>
          <w:p w14:paraId="22CBE7C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ADMS</w:t>
            </w:r>
          </w:p>
          <w:p w14:paraId="176CEBF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2A"/>
            </w:r>
          </w:p>
        </w:tc>
        <w:tc>
          <w:tcPr>
            <w:tcW w:w="1254" w:type="dxa"/>
            <w:gridSpan w:val="5"/>
            <w:shd w:val="clear" w:color="auto" w:fill="auto"/>
            <w:vAlign w:val="center"/>
          </w:tcPr>
          <w:p w14:paraId="1252C8B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AUSTAL2000</w:t>
            </w:r>
          </w:p>
          <w:p w14:paraId="1922E2B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2A"/>
            </w:r>
          </w:p>
        </w:tc>
        <w:tc>
          <w:tcPr>
            <w:tcW w:w="1212" w:type="dxa"/>
            <w:gridSpan w:val="4"/>
            <w:shd w:val="clear" w:color="auto" w:fill="auto"/>
            <w:vAlign w:val="center"/>
          </w:tcPr>
          <w:p w14:paraId="6BCA340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EDMS/AEDT</w:t>
            </w:r>
          </w:p>
          <w:p w14:paraId="3C3AE5F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2A"/>
            </w:r>
          </w:p>
        </w:tc>
        <w:tc>
          <w:tcPr>
            <w:tcW w:w="1079" w:type="dxa"/>
            <w:gridSpan w:val="3"/>
            <w:shd w:val="clear" w:color="auto" w:fill="auto"/>
            <w:vAlign w:val="center"/>
          </w:tcPr>
          <w:p w14:paraId="56F3CA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CALPUFF</w:t>
            </w:r>
            <w:r>
              <w:rPr>
                <w:rFonts w:hint="default" w:ascii="Times New Roman" w:hAnsi="Times New Roman" w:cs="Times New Roman"/>
                <w:color w:val="auto"/>
                <w:sz w:val="21"/>
                <w:szCs w:val="21"/>
                <w:highlight w:val="none"/>
              </w:rPr>
              <w:sym w:font="Wingdings 2" w:char="002A"/>
            </w:r>
          </w:p>
        </w:tc>
        <w:tc>
          <w:tcPr>
            <w:tcW w:w="901" w:type="dxa"/>
            <w:shd w:val="clear" w:color="auto" w:fill="auto"/>
            <w:vAlign w:val="center"/>
          </w:tcPr>
          <w:p w14:paraId="7F5524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网格模型</w:t>
            </w:r>
            <w:r>
              <w:rPr>
                <w:rFonts w:hint="default" w:ascii="Times New Roman" w:hAnsi="Times New Roman" w:cs="Times New Roman"/>
                <w:color w:val="auto"/>
                <w:sz w:val="21"/>
                <w:szCs w:val="21"/>
                <w:highlight w:val="none"/>
              </w:rPr>
              <w:sym w:font="Wingdings 2" w:char="002A"/>
            </w:r>
          </w:p>
        </w:tc>
        <w:tc>
          <w:tcPr>
            <w:tcW w:w="349" w:type="dxa"/>
            <w:shd w:val="clear" w:color="auto" w:fill="auto"/>
            <w:vAlign w:val="center"/>
          </w:tcPr>
          <w:p w14:paraId="7C9CFA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w:t>
            </w:r>
          </w:p>
          <w:p w14:paraId="286253D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他</w:t>
            </w:r>
          </w:p>
          <w:p w14:paraId="4150831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2A"/>
            </w:r>
          </w:p>
        </w:tc>
      </w:tr>
      <w:tr w14:paraId="57CB65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625D067D">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342D1B4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预测范围</w:t>
            </w:r>
          </w:p>
        </w:tc>
        <w:tc>
          <w:tcPr>
            <w:tcW w:w="2465" w:type="dxa"/>
            <w:gridSpan w:val="7"/>
            <w:shd w:val="clear" w:color="auto" w:fill="auto"/>
            <w:vAlign w:val="center"/>
          </w:tcPr>
          <w:p w14:paraId="79EC54E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边长≥50km</w:t>
            </w:r>
            <w:r>
              <w:rPr>
                <w:rFonts w:hint="default" w:ascii="Times New Roman" w:hAnsi="Times New Roman" w:cs="Times New Roman"/>
                <w:color w:val="auto"/>
                <w:sz w:val="21"/>
                <w:szCs w:val="21"/>
                <w:highlight w:val="none"/>
              </w:rPr>
              <w:sym w:font="Wingdings 2" w:char="002A"/>
            </w:r>
          </w:p>
        </w:tc>
        <w:tc>
          <w:tcPr>
            <w:tcW w:w="2244" w:type="dxa"/>
            <w:gridSpan w:val="6"/>
            <w:shd w:val="clear" w:color="auto" w:fill="auto"/>
            <w:vAlign w:val="center"/>
          </w:tcPr>
          <w:p w14:paraId="5521CB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边长5～50km</w:t>
            </w:r>
            <w:r>
              <w:rPr>
                <w:rFonts w:hint="default" w:ascii="Times New Roman" w:hAnsi="Times New Roman" w:cs="Times New Roman"/>
                <w:color w:val="auto"/>
                <w:sz w:val="21"/>
                <w:szCs w:val="21"/>
                <w:highlight w:val="none"/>
              </w:rPr>
              <w:sym w:font="Wingdings 2" w:char="002A"/>
            </w:r>
          </w:p>
        </w:tc>
        <w:tc>
          <w:tcPr>
            <w:tcW w:w="1669" w:type="dxa"/>
            <w:gridSpan w:val="4"/>
            <w:shd w:val="clear" w:color="auto" w:fill="auto"/>
            <w:vAlign w:val="center"/>
          </w:tcPr>
          <w:p w14:paraId="37E5D61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边长=5km</w:t>
            </w:r>
            <w:r>
              <w:rPr>
                <w:rFonts w:hint="default" w:ascii="Times New Roman" w:hAnsi="Times New Roman" w:cs="Times New Roman"/>
                <w:color w:val="auto"/>
                <w:sz w:val="21"/>
                <w:szCs w:val="21"/>
                <w:highlight w:val="none"/>
              </w:rPr>
              <w:sym w:font="Wingdings 2" w:char="0052"/>
            </w:r>
          </w:p>
        </w:tc>
      </w:tr>
      <w:tr w14:paraId="2411B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26307E26">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restart"/>
            <w:shd w:val="clear" w:color="auto" w:fill="auto"/>
            <w:vAlign w:val="center"/>
          </w:tcPr>
          <w:p w14:paraId="22B9DED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w:t>
            </w:r>
          </w:p>
        </w:tc>
        <w:tc>
          <w:tcPr>
            <w:tcW w:w="3458" w:type="dxa"/>
            <w:gridSpan w:val="10"/>
            <w:vMerge w:val="restart"/>
            <w:shd w:val="clear" w:color="auto" w:fill="auto"/>
            <w:vAlign w:val="center"/>
          </w:tcPr>
          <w:p w14:paraId="6A6F4E9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、TSP）</w:t>
            </w:r>
          </w:p>
        </w:tc>
        <w:tc>
          <w:tcPr>
            <w:tcW w:w="2920" w:type="dxa"/>
            <w:gridSpan w:val="7"/>
            <w:shd w:val="clear" w:color="auto" w:fill="auto"/>
            <w:vAlign w:val="center"/>
          </w:tcPr>
          <w:p w14:paraId="608AF3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sym w:font="Wingdings 2" w:char="002A"/>
            </w:r>
          </w:p>
        </w:tc>
      </w:tr>
      <w:tr w14:paraId="391E2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2E68F33">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continue"/>
            <w:shd w:val="clear" w:color="auto" w:fill="auto"/>
            <w:vAlign w:val="center"/>
          </w:tcPr>
          <w:p w14:paraId="291E32FB">
            <w:pPr>
              <w:spacing w:line="360" w:lineRule="exact"/>
              <w:ind w:firstLine="0" w:firstLineChars="0"/>
              <w:jc w:val="center"/>
              <w:rPr>
                <w:rFonts w:hint="default" w:ascii="Times New Roman" w:hAnsi="Times New Roman" w:cs="Times New Roman"/>
                <w:color w:val="auto"/>
                <w:sz w:val="21"/>
                <w:szCs w:val="21"/>
                <w:highlight w:val="none"/>
              </w:rPr>
            </w:pPr>
          </w:p>
        </w:tc>
        <w:tc>
          <w:tcPr>
            <w:tcW w:w="3458" w:type="dxa"/>
            <w:gridSpan w:val="10"/>
            <w:vMerge w:val="continue"/>
            <w:shd w:val="clear" w:color="auto" w:fill="auto"/>
            <w:vAlign w:val="center"/>
          </w:tcPr>
          <w:p w14:paraId="6062BF0C">
            <w:pPr>
              <w:spacing w:line="360" w:lineRule="exact"/>
              <w:ind w:firstLine="0" w:firstLineChars="0"/>
              <w:jc w:val="center"/>
              <w:rPr>
                <w:rFonts w:hint="default" w:ascii="Times New Roman" w:hAnsi="Times New Roman" w:cs="Times New Roman"/>
                <w:color w:val="auto"/>
                <w:sz w:val="21"/>
                <w:szCs w:val="21"/>
                <w:highlight w:val="none"/>
              </w:rPr>
            </w:pPr>
          </w:p>
        </w:tc>
        <w:tc>
          <w:tcPr>
            <w:tcW w:w="2920" w:type="dxa"/>
            <w:gridSpan w:val="7"/>
            <w:shd w:val="clear" w:color="auto" w:fill="auto"/>
            <w:vAlign w:val="center"/>
          </w:tcPr>
          <w:p w14:paraId="149F748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不包括二次PM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sym w:font="Wingdings 2" w:char="0052"/>
            </w:r>
          </w:p>
        </w:tc>
      </w:tr>
      <w:tr w14:paraId="63DA29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30C04DD9">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4E54BB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正常排放短</w:t>
            </w:r>
          </w:p>
          <w:p w14:paraId="7B1FE7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期浓度贡献值</w:t>
            </w:r>
          </w:p>
        </w:tc>
        <w:tc>
          <w:tcPr>
            <w:tcW w:w="3458" w:type="dxa"/>
            <w:gridSpan w:val="10"/>
            <w:shd w:val="clear" w:color="auto" w:fill="auto"/>
            <w:vAlign w:val="center"/>
          </w:tcPr>
          <w:p w14:paraId="6B24A8C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最大占标率≤100%</w:t>
            </w:r>
            <w:r>
              <w:rPr>
                <w:rFonts w:hint="default" w:ascii="Times New Roman" w:hAnsi="Times New Roman" w:cs="Times New Roman"/>
                <w:color w:val="auto"/>
                <w:sz w:val="21"/>
                <w:szCs w:val="21"/>
                <w:highlight w:val="none"/>
              </w:rPr>
              <w:sym w:font="Wingdings 2" w:char="0052"/>
            </w:r>
          </w:p>
        </w:tc>
        <w:tc>
          <w:tcPr>
            <w:tcW w:w="2920" w:type="dxa"/>
            <w:gridSpan w:val="7"/>
            <w:shd w:val="clear" w:color="auto" w:fill="auto"/>
            <w:vAlign w:val="center"/>
          </w:tcPr>
          <w:p w14:paraId="3143F6A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最大占标率&gt;100%</w:t>
            </w:r>
            <w:r>
              <w:rPr>
                <w:rFonts w:hint="default" w:ascii="Times New Roman" w:hAnsi="Times New Roman" w:cs="Times New Roman"/>
                <w:color w:val="auto"/>
                <w:sz w:val="21"/>
                <w:szCs w:val="21"/>
                <w:highlight w:val="none"/>
              </w:rPr>
              <w:sym w:font="Wingdings 2" w:char="002A"/>
            </w:r>
          </w:p>
        </w:tc>
      </w:tr>
      <w:tr w14:paraId="4345B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01FAFB66">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restart"/>
            <w:shd w:val="clear" w:color="auto" w:fill="auto"/>
            <w:vAlign w:val="center"/>
          </w:tcPr>
          <w:p w14:paraId="1A5D9A8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正常排放年均浓度贡献值</w:t>
            </w:r>
          </w:p>
        </w:tc>
        <w:tc>
          <w:tcPr>
            <w:tcW w:w="1719" w:type="dxa"/>
            <w:gridSpan w:val="4"/>
            <w:shd w:val="clear" w:color="auto" w:fill="auto"/>
            <w:vAlign w:val="center"/>
          </w:tcPr>
          <w:p w14:paraId="5ED478C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w:t>
            </w:r>
          </w:p>
        </w:tc>
        <w:tc>
          <w:tcPr>
            <w:tcW w:w="1739" w:type="dxa"/>
            <w:gridSpan w:val="6"/>
            <w:shd w:val="clear" w:color="auto" w:fill="auto"/>
            <w:vAlign w:val="center"/>
          </w:tcPr>
          <w:p w14:paraId="7D29E28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w:t>
            </w:r>
          </w:p>
          <w:p w14:paraId="0D333A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率≤10%</w:t>
            </w:r>
            <w:r>
              <w:rPr>
                <w:rFonts w:hint="default" w:ascii="Times New Roman" w:hAnsi="Times New Roman" w:cs="Times New Roman"/>
                <w:color w:val="auto"/>
                <w:sz w:val="21"/>
                <w:szCs w:val="21"/>
                <w:highlight w:val="none"/>
              </w:rPr>
              <w:sym w:font="Wingdings 2" w:char="002A"/>
            </w:r>
          </w:p>
        </w:tc>
        <w:tc>
          <w:tcPr>
            <w:tcW w:w="2920" w:type="dxa"/>
            <w:gridSpan w:val="7"/>
            <w:shd w:val="clear" w:color="auto" w:fill="auto"/>
            <w:vAlign w:val="center"/>
          </w:tcPr>
          <w:p w14:paraId="54138DA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最大占标率&gt;10%</w:t>
            </w:r>
            <w:r>
              <w:rPr>
                <w:rFonts w:hint="default" w:ascii="Times New Roman" w:hAnsi="Times New Roman" w:cs="Times New Roman"/>
                <w:color w:val="auto"/>
                <w:sz w:val="21"/>
                <w:szCs w:val="21"/>
                <w:highlight w:val="none"/>
              </w:rPr>
              <w:sym w:font="Wingdings 2" w:char="002A"/>
            </w:r>
          </w:p>
        </w:tc>
      </w:tr>
      <w:tr w14:paraId="1B05A3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C593D40">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continue"/>
            <w:shd w:val="clear" w:color="auto" w:fill="auto"/>
            <w:vAlign w:val="center"/>
          </w:tcPr>
          <w:p w14:paraId="6ABF5590">
            <w:pPr>
              <w:spacing w:line="360" w:lineRule="exact"/>
              <w:ind w:firstLine="0" w:firstLineChars="0"/>
              <w:jc w:val="center"/>
              <w:rPr>
                <w:rFonts w:hint="default" w:ascii="Times New Roman" w:hAnsi="Times New Roman" w:cs="Times New Roman"/>
                <w:color w:val="auto"/>
                <w:sz w:val="21"/>
                <w:szCs w:val="21"/>
                <w:highlight w:val="none"/>
              </w:rPr>
            </w:pPr>
          </w:p>
        </w:tc>
        <w:tc>
          <w:tcPr>
            <w:tcW w:w="1719" w:type="dxa"/>
            <w:gridSpan w:val="4"/>
            <w:shd w:val="clear" w:color="auto" w:fill="auto"/>
            <w:vAlign w:val="center"/>
          </w:tcPr>
          <w:p w14:paraId="3CCBA8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1739" w:type="dxa"/>
            <w:gridSpan w:val="6"/>
            <w:shd w:val="clear" w:color="auto" w:fill="auto"/>
            <w:vAlign w:val="center"/>
          </w:tcPr>
          <w:p w14:paraId="0A259E7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w:t>
            </w:r>
          </w:p>
          <w:p w14:paraId="15E0935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率≤30%</w:t>
            </w:r>
            <w:r>
              <w:rPr>
                <w:rFonts w:hint="default" w:ascii="Times New Roman" w:hAnsi="Times New Roman" w:cs="Times New Roman"/>
                <w:color w:val="auto"/>
                <w:sz w:val="21"/>
                <w:szCs w:val="21"/>
                <w:highlight w:val="none"/>
              </w:rPr>
              <w:sym w:font="Wingdings 2" w:char="0052"/>
            </w:r>
          </w:p>
        </w:tc>
        <w:tc>
          <w:tcPr>
            <w:tcW w:w="2920" w:type="dxa"/>
            <w:gridSpan w:val="7"/>
            <w:shd w:val="clear" w:color="auto" w:fill="auto"/>
            <w:vAlign w:val="center"/>
          </w:tcPr>
          <w:p w14:paraId="4006631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最大占标率&gt;30%</w:t>
            </w:r>
            <w:r>
              <w:rPr>
                <w:rFonts w:hint="default" w:ascii="Times New Roman" w:hAnsi="Times New Roman" w:cs="Times New Roman"/>
                <w:color w:val="auto"/>
                <w:sz w:val="21"/>
                <w:szCs w:val="21"/>
                <w:highlight w:val="none"/>
              </w:rPr>
              <w:sym w:font="Wingdings 2" w:char="002A"/>
            </w:r>
          </w:p>
        </w:tc>
      </w:tr>
      <w:tr w14:paraId="24DDFD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28AFF668">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4CC0B22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非正常1h</w:t>
            </w:r>
          </w:p>
          <w:p w14:paraId="7E213DC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浓度贡献值</w:t>
            </w:r>
          </w:p>
        </w:tc>
        <w:tc>
          <w:tcPr>
            <w:tcW w:w="1719" w:type="dxa"/>
            <w:gridSpan w:val="4"/>
            <w:shd w:val="clear" w:color="auto" w:fill="auto"/>
            <w:vAlign w:val="center"/>
          </w:tcPr>
          <w:p w14:paraId="6656921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非正常持续时长</w:t>
            </w:r>
          </w:p>
          <w:p w14:paraId="203FB64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（1）h</w:t>
            </w:r>
          </w:p>
        </w:tc>
        <w:tc>
          <w:tcPr>
            <w:tcW w:w="2990" w:type="dxa"/>
            <w:gridSpan w:val="9"/>
            <w:shd w:val="clear" w:color="auto" w:fill="auto"/>
            <w:vAlign w:val="center"/>
          </w:tcPr>
          <w:p w14:paraId="3AC4A9B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非正常</w:t>
            </w:r>
            <w:r>
              <w:rPr>
                <w:rFonts w:hint="default" w:ascii="Times New Roman" w:hAnsi="Times New Roman" w:cs="Times New Roman"/>
                <w:color w:val="auto"/>
                <w:sz w:val="21"/>
                <w:szCs w:val="21"/>
                <w:highlight w:val="none"/>
              </w:rPr>
              <w:t>占标率≤100%</w:t>
            </w:r>
            <w:r>
              <w:rPr>
                <w:rFonts w:hint="default" w:ascii="Times New Roman" w:hAnsi="Times New Roman" w:cs="Times New Roman"/>
                <w:color w:val="auto"/>
                <w:sz w:val="21"/>
                <w:szCs w:val="21"/>
                <w:highlight w:val="none"/>
              </w:rPr>
              <w:sym w:font="Wingdings 2" w:char="00A3"/>
            </w:r>
          </w:p>
        </w:tc>
        <w:tc>
          <w:tcPr>
            <w:tcW w:w="1669" w:type="dxa"/>
            <w:gridSpan w:val="4"/>
            <w:shd w:val="clear" w:color="auto" w:fill="auto"/>
            <w:vAlign w:val="center"/>
          </w:tcPr>
          <w:p w14:paraId="30B8741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非正常</w:t>
            </w:r>
            <w:r>
              <w:rPr>
                <w:rFonts w:hint="default" w:ascii="Times New Roman" w:hAnsi="Times New Roman" w:cs="Times New Roman"/>
                <w:color w:val="auto"/>
                <w:sz w:val="21"/>
                <w:szCs w:val="21"/>
                <w:highlight w:val="none"/>
              </w:rPr>
              <w:t>占标率&gt;100%</w:t>
            </w:r>
            <w:r>
              <w:rPr>
                <w:rFonts w:hint="default" w:ascii="Times New Roman" w:hAnsi="Times New Roman" w:cs="Times New Roman"/>
                <w:color w:val="auto"/>
                <w:sz w:val="21"/>
                <w:szCs w:val="21"/>
                <w:highlight w:val="none"/>
              </w:rPr>
              <w:sym w:font="Wingdings 2" w:char="0052"/>
            </w:r>
          </w:p>
        </w:tc>
      </w:tr>
      <w:tr w14:paraId="5F430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22E01686">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1467028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保证率日平均浓度和年平均浓度叠加值</w:t>
            </w:r>
          </w:p>
        </w:tc>
        <w:tc>
          <w:tcPr>
            <w:tcW w:w="3458" w:type="dxa"/>
            <w:gridSpan w:val="10"/>
            <w:shd w:val="clear" w:color="auto" w:fill="auto"/>
            <w:vAlign w:val="center"/>
          </w:tcPr>
          <w:p w14:paraId="0F29D7E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叠加</w:t>
            </w:r>
            <w:r>
              <w:rPr>
                <w:rFonts w:hint="default" w:ascii="Times New Roman" w:hAnsi="Times New Roman" w:cs="Times New Roman"/>
                <w:color w:val="auto"/>
                <w:sz w:val="21"/>
                <w:szCs w:val="21"/>
                <w:highlight w:val="none"/>
              </w:rPr>
              <w:t>达标</w:t>
            </w:r>
            <w:r>
              <w:rPr>
                <w:rFonts w:hint="default" w:ascii="Times New Roman" w:hAnsi="Times New Roman" w:cs="Times New Roman"/>
                <w:color w:val="auto"/>
                <w:sz w:val="21"/>
                <w:szCs w:val="21"/>
                <w:highlight w:val="none"/>
              </w:rPr>
              <w:sym w:font="Wingdings 2" w:char="0052"/>
            </w:r>
          </w:p>
        </w:tc>
        <w:tc>
          <w:tcPr>
            <w:tcW w:w="2920" w:type="dxa"/>
            <w:gridSpan w:val="7"/>
            <w:shd w:val="clear" w:color="auto" w:fill="auto"/>
            <w:vAlign w:val="center"/>
          </w:tcPr>
          <w:p w14:paraId="5F91C98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叠加</w:t>
            </w:r>
            <w:r>
              <w:rPr>
                <w:rFonts w:hint="default" w:ascii="Times New Roman" w:hAnsi="Times New Roman" w:cs="Times New Roman"/>
                <w:color w:val="auto"/>
                <w:sz w:val="21"/>
                <w:szCs w:val="21"/>
                <w:highlight w:val="none"/>
              </w:rPr>
              <w:t>不达标</w:t>
            </w:r>
            <w:r>
              <w:rPr>
                <w:rFonts w:hint="default" w:ascii="Times New Roman" w:hAnsi="Times New Roman" w:cs="Times New Roman"/>
                <w:color w:val="auto"/>
                <w:sz w:val="21"/>
                <w:szCs w:val="21"/>
                <w:highlight w:val="none"/>
              </w:rPr>
              <w:sym w:font="Wingdings 2" w:char="00A3"/>
            </w:r>
          </w:p>
        </w:tc>
      </w:tr>
      <w:tr w14:paraId="7A274D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70419CEB">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2E9A6D8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区域环境质</w:t>
            </w:r>
          </w:p>
          <w:p w14:paraId="7496CE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量的整体变化情况</w:t>
            </w:r>
          </w:p>
        </w:tc>
        <w:tc>
          <w:tcPr>
            <w:tcW w:w="3458" w:type="dxa"/>
            <w:gridSpan w:val="10"/>
            <w:shd w:val="clear" w:color="auto" w:fill="auto"/>
            <w:vAlign w:val="center"/>
          </w:tcPr>
          <w:p w14:paraId="490B79C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k≤-20%</w:t>
            </w:r>
            <w:r>
              <w:rPr>
                <w:rFonts w:hint="default" w:ascii="Times New Roman" w:hAnsi="Times New Roman" w:cs="Times New Roman"/>
                <w:color w:val="auto"/>
                <w:sz w:val="21"/>
                <w:szCs w:val="21"/>
                <w:highlight w:val="none"/>
              </w:rPr>
              <w:sym w:font="Wingdings 2" w:char="002A"/>
            </w:r>
          </w:p>
        </w:tc>
        <w:tc>
          <w:tcPr>
            <w:tcW w:w="2920" w:type="dxa"/>
            <w:gridSpan w:val="7"/>
            <w:shd w:val="clear" w:color="auto" w:fill="auto"/>
            <w:vAlign w:val="center"/>
          </w:tcPr>
          <w:p w14:paraId="22B963C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k&gt;-20%□</w:t>
            </w:r>
          </w:p>
        </w:tc>
      </w:tr>
      <w:tr w14:paraId="54B9C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482A778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环境监测计划</w:t>
            </w:r>
          </w:p>
        </w:tc>
        <w:tc>
          <w:tcPr>
            <w:tcW w:w="1097" w:type="dxa"/>
            <w:shd w:val="clear" w:color="auto" w:fill="auto"/>
            <w:vAlign w:val="center"/>
          </w:tcPr>
          <w:p w14:paraId="07B9976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污染源监测</w:t>
            </w:r>
          </w:p>
        </w:tc>
        <w:tc>
          <w:tcPr>
            <w:tcW w:w="2465" w:type="dxa"/>
            <w:gridSpan w:val="7"/>
            <w:shd w:val="clear" w:color="auto" w:fill="auto"/>
            <w:vAlign w:val="center"/>
          </w:tcPr>
          <w:p w14:paraId="626FCA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监测因子：（TSP、PM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w:t>
            </w:r>
          </w:p>
        </w:tc>
        <w:tc>
          <w:tcPr>
            <w:tcW w:w="2244" w:type="dxa"/>
            <w:gridSpan w:val="6"/>
            <w:shd w:val="clear" w:color="auto" w:fill="auto"/>
            <w:vAlign w:val="center"/>
          </w:tcPr>
          <w:p w14:paraId="7D98B12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有组织废气监测√</w:t>
            </w:r>
          </w:p>
          <w:p w14:paraId="27C7A67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无组织废气监测√</w:t>
            </w:r>
          </w:p>
        </w:tc>
        <w:tc>
          <w:tcPr>
            <w:tcW w:w="1669" w:type="dxa"/>
            <w:gridSpan w:val="4"/>
            <w:shd w:val="clear" w:color="auto" w:fill="auto"/>
            <w:vAlign w:val="center"/>
          </w:tcPr>
          <w:p w14:paraId="196077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无监测□</w:t>
            </w:r>
          </w:p>
        </w:tc>
      </w:tr>
      <w:tr w14:paraId="5AF90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7208BD0D">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1DD155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环境质量监测</w:t>
            </w:r>
          </w:p>
        </w:tc>
        <w:tc>
          <w:tcPr>
            <w:tcW w:w="2465" w:type="dxa"/>
            <w:gridSpan w:val="7"/>
            <w:shd w:val="clear" w:color="auto" w:fill="auto"/>
            <w:vAlign w:val="center"/>
          </w:tcPr>
          <w:p w14:paraId="3DFFFAF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监测因子：（TSP、PM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w:t>
            </w:r>
          </w:p>
        </w:tc>
        <w:tc>
          <w:tcPr>
            <w:tcW w:w="2244" w:type="dxa"/>
            <w:gridSpan w:val="6"/>
            <w:shd w:val="clear" w:color="auto" w:fill="auto"/>
            <w:vAlign w:val="center"/>
          </w:tcPr>
          <w:p w14:paraId="7CCDF79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监测点位数（</w:t>
            </w:r>
            <w:r>
              <w:rPr>
                <w:rFonts w:hint="default"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p>
        </w:tc>
        <w:tc>
          <w:tcPr>
            <w:tcW w:w="1669" w:type="dxa"/>
            <w:gridSpan w:val="4"/>
            <w:shd w:val="clear" w:color="auto" w:fill="auto"/>
            <w:vAlign w:val="center"/>
          </w:tcPr>
          <w:p w14:paraId="2C5DA8C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无监测□</w:t>
            </w:r>
          </w:p>
        </w:tc>
      </w:tr>
      <w:tr w14:paraId="2AC87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5ED1933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1097" w:type="dxa"/>
            <w:shd w:val="clear" w:color="auto" w:fill="auto"/>
            <w:vAlign w:val="center"/>
          </w:tcPr>
          <w:p w14:paraId="2C5476C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w:t>
            </w:r>
          </w:p>
        </w:tc>
        <w:tc>
          <w:tcPr>
            <w:tcW w:w="6378" w:type="dxa"/>
            <w:gridSpan w:val="17"/>
            <w:shd w:val="clear" w:color="auto" w:fill="auto"/>
            <w:vAlign w:val="center"/>
          </w:tcPr>
          <w:p w14:paraId="5C6B43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可以接受</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不可以接受□</w:t>
            </w:r>
          </w:p>
        </w:tc>
      </w:tr>
      <w:tr w14:paraId="1F244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20B809A8">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2C3DD33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大气环境防</w:t>
            </w:r>
          </w:p>
          <w:p w14:paraId="10BF3A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护距离</w:t>
            </w:r>
          </w:p>
        </w:tc>
        <w:tc>
          <w:tcPr>
            <w:tcW w:w="6378" w:type="dxa"/>
            <w:gridSpan w:val="17"/>
            <w:shd w:val="clear" w:color="auto" w:fill="auto"/>
            <w:vAlign w:val="center"/>
          </w:tcPr>
          <w:p w14:paraId="2F8DD3B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距（厂界）最远（0）m</w:t>
            </w:r>
          </w:p>
        </w:tc>
      </w:tr>
      <w:tr w14:paraId="6CA8A6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2B750720">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0A24CD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污染源年排</w:t>
            </w:r>
          </w:p>
          <w:p w14:paraId="36B161A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放量</w:t>
            </w:r>
          </w:p>
        </w:tc>
        <w:tc>
          <w:tcPr>
            <w:tcW w:w="1388" w:type="dxa"/>
            <w:gridSpan w:val="2"/>
            <w:shd w:val="clear" w:color="auto" w:fill="auto"/>
            <w:vAlign w:val="center"/>
          </w:tcPr>
          <w:p w14:paraId="0329666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:（）t/a</w:t>
            </w:r>
          </w:p>
        </w:tc>
        <w:tc>
          <w:tcPr>
            <w:tcW w:w="1559" w:type="dxa"/>
            <w:gridSpan w:val="7"/>
            <w:shd w:val="clear" w:color="auto" w:fill="auto"/>
            <w:vAlign w:val="center"/>
          </w:tcPr>
          <w:p w14:paraId="6B3BEBA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NOx:（）t/a</w:t>
            </w:r>
          </w:p>
        </w:tc>
        <w:tc>
          <w:tcPr>
            <w:tcW w:w="1998" w:type="dxa"/>
            <w:gridSpan w:val="5"/>
            <w:shd w:val="clear" w:color="auto" w:fill="auto"/>
            <w:vAlign w:val="center"/>
          </w:tcPr>
          <w:p w14:paraId="1741275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r>
              <w:rPr>
                <w:rFonts w:hint="default" w:cs="Times New Roman"/>
                <w:color w:val="auto"/>
                <w:kern w:val="28"/>
                <w:sz w:val="21"/>
                <w:szCs w:val="21"/>
                <w:highlight w:val="none"/>
                <w:lang w:val="en-US" w:eastAsia="zh-CN"/>
              </w:rPr>
              <w:t>7.196</w:t>
            </w:r>
            <w:r>
              <w:rPr>
                <w:rFonts w:hint="default" w:ascii="Times New Roman" w:hAnsi="Times New Roman" w:cs="Times New Roman"/>
                <w:color w:val="auto"/>
                <w:sz w:val="21"/>
                <w:szCs w:val="21"/>
                <w:highlight w:val="none"/>
              </w:rPr>
              <w:t>）t/a</w:t>
            </w:r>
          </w:p>
        </w:tc>
        <w:tc>
          <w:tcPr>
            <w:tcW w:w="1433" w:type="dxa"/>
            <w:gridSpan w:val="3"/>
            <w:shd w:val="clear" w:color="auto" w:fill="auto"/>
            <w:vAlign w:val="center"/>
          </w:tcPr>
          <w:p w14:paraId="0C9D1DC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w:t>
            </w:r>
            <w:r>
              <w:rPr>
                <w:rFonts w:hint="default" w:ascii="Times New Roman" w:hAnsi="Times New Roman" w:cs="Times New Roman"/>
                <w:color w:val="auto"/>
                <w:sz w:val="21"/>
                <w:szCs w:val="21"/>
                <w:highlight w:val="none"/>
              </w:rPr>
              <w:sym w:font="Wingdings 2" w:char="002A"/>
            </w:r>
            <w:r>
              <w:rPr>
                <w:rFonts w:hint="default" w:ascii="Times New Roman" w:hAnsi="Times New Roman" w:cs="Times New Roman"/>
                <w:color w:val="auto"/>
                <w:sz w:val="21"/>
                <w:szCs w:val="21"/>
                <w:highlight w:val="none"/>
              </w:rPr>
              <w:t>）t/a</w:t>
            </w:r>
          </w:p>
        </w:tc>
      </w:tr>
      <w:tr w14:paraId="7768F6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334" w:type="dxa"/>
            <w:gridSpan w:val="19"/>
            <w:shd w:val="clear" w:color="auto" w:fill="auto"/>
            <w:vAlign w:val="center"/>
          </w:tcPr>
          <w:p w14:paraId="461478F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注：“”为勾选项，填“√”；“（）”为内容填写项</w:t>
            </w:r>
          </w:p>
        </w:tc>
      </w:tr>
    </w:tbl>
    <w:p w14:paraId="32E954A4">
      <w:pPr>
        <w:pStyle w:val="4"/>
        <w:rPr>
          <w:rFonts w:hint="default" w:ascii="Times New Roman" w:hAnsi="Times New Roman" w:cs="Times New Roman"/>
          <w:color w:val="auto"/>
          <w:highlight w:val="none"/>
        </w:rPr>
      </w:pPr>
      <w:bookmarkStart w:id="751" w:name="_Toc29792"/>
      <w:bookmarkStart w:id="752" w:name="_Toc23305"/>
      <w:bookmarkStart w:id="753" w:name="_Toc3260"/>
      <w:bookmarkStart w:id="754" w:name="_Toc14191"/>
      <w:bookmarkStart w:id="755" w:name="_Toc19875"/>
      <w:bookmarkStart w:id="756" w:name="_Toc26294"/>
      <w:r>
        <w:rPr>
          <w:rFonts w:hint="default" w:ascii="Times New Roman" w:hAnsi="Times New Roman" w:cs="Times New Roman"/>
          <w:color w:val="auto"/>
          <w:highlight w:val="none"/>
        </w:rPr>
        <w:t>5.2.2运营期地表水环境影响分析与评价</w:t>
      </w:r>
      <w:bookmarkEnd w:id="751"/>
      <w:bookmarkEnd w:id="752"/>
      <w:bookmarkEnd w:id="753"/>
    </w:p>
    <w:p w14:paraId="3F72C98A">
      <w:pPr>
        <w:pStyle w:val="5"/>
        <w:ind w:firstLine="482" w:firstLineChars="200"/>
        <w:rPr>
          <w:rFonts w:hint="default" w:ascii="Times New Roman" w:hAnsi="Times New Roman" w:cs="Times New Roman"/>
          <w:color w:val="auto"/>
          <w:highlight w:val="none"/>
        </w:rPr>
      </w:pPr>
      <w:bookmarkStart w:id="757" w:name="_Toc11550"/>
      <w:r>
        <w:rPr>
          <w:rFonts w:hint="default" w:ascii="Times New Roman" w:hAnsi="Times New Roman" w:cs="Times New Roman"/>
          <w:color w:val="auto"/>
          <w:highlight w:val="none"/>
        </w:rPr>
        <w:t>5.2.2.1工程取水对地表水体的影响</w:t>
      </w:r>
      <w:bookmarkEnd w:id="757"/>
    </w:p>
    <w:p w14:paraId="2F997B3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新建选矿厂给水工程主要由水源泵房、高位水池、循环水池、生产新水池等组成。</w:t>
      </w:r>
      <w:r>
        <w:rPr>
          <w:rFonts w:hint="default" w:ascii="Times New Roman" w:hAnsi="Times New Roman" w:cs="Times New Roman"/>
          <w:color w:val="auto"/>
          <w:highlight w:val="none"/>
          <w:lang w:val="en-US" w:eastAsia="zh-CN"/>
        </w:rPr>
        <w:t>矿区东北侧白杨沟村已通自来水，该村水源</w:t>
      </w:r>
      <w:r>
        <w:rPr>
          <w:rFonts w:hint="default" w:ascii="Times New Roman" w:hAnsi="Times New Roman" w:cs="Times New Roman"/>
          <w:color w:val="auto"/>
          <w:highlight w:val="none"/>
        </w:rPr>
        <w:t>作为选矿厂生活供水水源，采矿工程矿井涌水</w:t>
      </w:r>
      <w:r>
        <w:rPr>
          <w:rFonts w:hint="eastAsia" w:cs="Times New Roman"/>
          <w:color w:val="auto"/>
          <w:highlight w:val="none"/>
          <w:lang w:val="en-US" w:eastAsia="zh-CN"/>
        </w:rPr>
        <w:t>及工业园区工业用水</w:t>
      </w:r>
      <w:r>
        <w:rPr>
          <w:rFonts w:hint="default" w:ascii="Times New Roman" w:hAnsi="Times New Roman" w:cs="Times New Roman"/>
          <w:color w:val="auto"/>
          <w:highlight w:val="none"/>
        </w:rPr>
        <w:t>为选矿厂的生产水源。</w:t>
      </w:r>
    </w:p>
    <w:p w14:paraId="497749B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本项目供水系统</w:t>
      </w:r>
      <w:r>
        <w:rPr>
          <w:rFonts w:hint="default" w:cs="Times New Roman"/>
          <w:color w:val="auto"/>
          <w:highlight w:val="none"/>
          <w:lang w:eastAsia="zh-CN"/>
        </w:rPr>
        <w:t>：</w:t>
      </w:r>
      <w:r>
        <w:rPr>
          <w:rFonts w:hint="default" w:ascii="Times New Roman" w:hAnsi="Times New Roman" w:cs="Times New Roman"/>
          <w:color w:val="auto"/>
          <w:szCs w:val="28"/>
          <w:highlight w:val="none"/>
        </w:rPr>
        <w:t>选厂生产用水储存于400m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回水池内，通过水泵供给。在生活区的办公楼设备间内设1个20m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生活水箱、1套全自动供水设备，供生活区生活用水。</w:t>
      </w:r>
    </w:p>
    <w:p w14:paraId="0096A39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消防用水储存于选矿厂</w:t>
      </w:r>
      <w:r>
        <w:rPr>
          <w:rFonts w:hint="default" w:cs="Times New Roman"/>
          <w:color w:val="auto"/>
          <w:highlight w:val="none"/>
          <w:lang w:val="en-US" w:eastAsia="zh-CN"/>
        </w:rPr>
        <w:t>3</w:t>
      </w:r>
      <w:r>
        <w:rPr>
          <w:rFonts w:hint="default" w:ascii="Times New Roman" w:hAnsi="Times New Roman" w:cs="Times New Roman"/>
          <w:color w:val="auto"/>
          <w:highlight w:val="none"/>
        </w:rPr>
        <w:t>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清水池内，消防水池设防冻措施，设就地水位检测系统，并在值班室设高低水位报警，且采取措施保证消防用水不被挪作他用。</w:t>
      </w:r>
    </w:p>
    <w:p w14:paraId="24DBED7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室内、外消防给水管网合建，给水系统采用临高压消防给水系统，通过消防水泵供给，自建筑物室外地面算，供水压力不低于0.25MPa。消防稳压设施，包括一组稳压泵和一个稳压罐，稳压泵</w:t>
      </w:r>
      <w:r>
        <w:rPr>
          <w:rFonts w:hint="default" w:cs="Times New Roman"/>
          <w:color w:val="auto"/>
          <w:highlight w:val="none"/>
          <w:lang w:eastAsia="zh-CN"/>
        </w:rPr>
        <w:t>两台</w:t>
      </w:r>
      <w:r>
        <w:rPr>
          <w:rFonts w:hint="default" w:ascii="Times New Roman" w:hAnsi="Times New Roman" w:cs="Times New Roman"/>
          <w:color w:val="auto"/>
          <w:highlight w:val="none"/>
        </w:rPr>
        <w:t>，一</w:t>
      </w:r>
      <w:r>
        <w:rPr>
          <w:rFonts w:hint="default" w:cs="Times New Roman"/>
          <w:color w:val="auto"/>
          <w:highlight w:val="none"/>
          <w:lang w:val="en-US" w:eastAsia="zh-CN"/>
        </w:rPr>
        <w:t>用</w:t>
      </w:r>
      <w:r>
        <w:rPr>
          <w:rFonts w:hint="default" w:ascii="Times New Roman" w:hAnsi="Times New Roman" w:cs="Times New Roman"/>
          <w:color w:val="auto"/>
          <w:highlight w:val="none"/>
        </w:rPr>
        <w:t>一备。</w:t>
      </w:r>
    </w:p>
    <w:p w14:paraId="18D6E1B1">
      <w:pPr>
        <w:overflowPunct w:val="0"/>
        <w:topLinePunct/>
        <w:ind w:firstLine="480"/>
        <w:rPr>
          <w:rFonts w:hint="default" w:ascii="Times New Roman" w:hAnsi="Times New Roman" w:cs="Times New Roman"/>
          <w:color w:val="auto"/>
          <w:spacing w:val="-10"/>
          <w:highlight w:val="none"/>
        </w:rPr>
      </w:pPr>
      <w:r>
        <w:rPr>
          <w:rFonts w:hint="default" w:ascii="Times New Roman" w:hAnsi="Times New Roman" w:cs="Times New Roman"/>
          <w:color w:val="auto"/>
          <w:szCs w:val="28"/>
          <w:highlight w:val="none"/>
        </w:rPr>
        <w:t>本项目用水</w:t>
      </w:r>
      <w:r>
        <w:rPr>
          <w:rFonts w:hint="default" w:ascii="Times New Roman" w:hAnsi="Times New Roman" w:cs="Times New Roman"/>
          <w:color w:val="auto"/>
          <w:highlight w:val="none"/>
        </w:rPr>
        <w:t>主要包括生活用水、</w:t>
      </w:r>
      <w:r>
        <w:rPr>
          <w:rFonts w:hint="default" w:ascii="Times New Roman" w:hAnsi="Times New Roman" w:cs="Times New Roman"/>
          <w:color w:val="auto"/>
          <w:highlight w:val="none"/>
          <w:lang w:val="en-US" w:eastAsia="zh-CN"/>
        </w:rPr>
        <w:t>生产用水、降尘冲洗等生产辅助用水及不可预见用水</w:t>
      </w:r>
      <w:r>
        <w:rPr>
          <w:rFonts w:hint="default" w:ascii="Times New Roman" w:hAnsi="Times New Roman" w:cs="Times New Roman"/>
          <w:color w:val="auto"/>
          <w:highlight w:val="none"/>
        </w:rPr>
        <w:t>，</w:t>
      </w:r>
      <w:r>
        <w:rPr>
          <w:rFonts w:hint="default" w:ascii="Times New Roman" w:hAnsi="Times New Roman" w:cs="Times New Roman"/>
          <w:color w:val="auto"/>
          <w:spacing w:val="-10"/>
          <w:highlight w:val="none"/>
        </w:rPr>
        <w:t>项目建成后，</w:t>
      </w:r>
      <w:r>
        <w:rPr>
          <w:rFonts w:hint="default" w:ascii="Times New Roman" w:hAnsi="Times New Roman" w:cs="Times New Roman"/>
          <w:color w:val="auto"/>
          <w:highlight w:val="none"/>
        </w:rPr>
        <w:t>全厂</w:t>
      </w:r>
      <w:r>
        <w:rPr>
          <w:rFonts w:hint="default" w:ascii="Times New Roman" w:hAnsi="Times New Roman" w:cs="Times New Roman"/>
          <w:color w:val="auto"/>
          <w:highlight w:val="none"/>
          <w:lang w:val="en-US" w:eastAsia="zh-CN"/>
        </w:rPr>
        <w:t>灌溉期总用水量为972.35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23.3364</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，非灌溉期用水量为</w:t>
      </w:r>
      <w:r>
        <w:rPr>
          <w:rFonts w:hint="default" w:ascii="Times New Roman" w:hAnsi="Times New Roman" w:cs="Times New Roman"/>
          <w:color w:val="auto"/>
          <w:spacing w:val="-10"/>
          <w:highlight w:val="none"/>
          <w:lang w:val="en-US" w:eastAsia="zh-CN"/>
        </w:rPr>
        <w:t>932.35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spacing w:val="-10"/>
          <w:highlight w:val="none"/>
          <w:lang w:val="en-US" w:eastAsia="zh-CN"/>
        </w:rPr>
        <w:t>22.3764</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cs="Times New Roman"/>
          <w:color w:val="auto"/>
          <w:highlight w:val="none"/>
          <w:lang w:val="en-US" w:eastAsia="zh-CN"/>
        </w:rPr>
        <w:t>其中</w:t>
      </w:r>
      <w:r>
        <w:rPr>
          <w:rFonts w:hint="eastAsia" w:cs="Times New Roman"/>
          <w:color w:val="auto"/>
          <w:spacing w:val="-10"/>
          <w:highlight w:val="none"/>
          <w:lang w:val="en-US" w:eastAsia="zh-CN"/>
        </w:rPr>
        <w:t>生活</w:t>
      </w:r>
      <w:r>
        <w:rPr>
          <w:rFonts w:hint="default" w:ascii="Times New Roman" w:hAnsi="Times New Roman" w:cs="Times New Roman"/>
          <w:color w:val="auto"/>
          <w:spacing w:val="-10"/>
          <w:highlight w:val="none"/>
        </w:rPr>
        <w:t>用水量为</w:t>
      </w:r>
      <w:r>
        <w:rPr>
          <w:rFonts w:hint="eastAsia" w:cs="Times New Roman"/>
          <w:color w:val="auto"/>
          <w:spacing w:val="-10"/>
          <w:highlight w:val="none"/>
          <w:lang w:val="en-US" w:eastAsia="zh-CN"/>
        </w:rPr>
        <w:t>10.3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spacing w:val="-10"/>
          <w:highlight w:val="none"/>
          <w:lang w:val="en-US" w:eastAsia="zh-CN"/>
        </w:rPr>
        <w:t>0.2472</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10"/>
          <w:highlight w:val="none"/>
        </w:rPr>
        <w:t>。</w:t>
      </w:r>
      <w:r>
        <w:rPr>
          <w:rFonts w:hint="default" w:ascii="Times New Roman" w:hAnsi="Times New Roman" w:cs="Times New Roman"/>
          <w:color w:val="auto"/>
          <w:highlight w:val="none"/>
        </w:rPr>
        <w:t>本项目取水量比例较小，不会对</w:t>
      </w:r>
      <w:r>
        <w:rPr>
          <w:rFonts w:hint="default" w:ascii="Times New Roman" w:hAnsi="Times New Roman" w:cs="Times New Roman"/>
          <w:color w:val="auto"/>
          <w:highlight w:val="none"/>
          <w:lang w:val="en-US" w:eastAsia="zh-CN"/>
        </w:rPr>
        <w:t>白杨沟村</w:t>
      </w:r>
      <w:r>
        <w:rPr>
          <w:rFonts w:hint="default" w:cs="Times New Roman"/>
          <w:color w:val="auto"/>
          <w:highlight w:val="none"/>
          <w:lang w:val="en-US" w:eastAsia="zh-CN"/>
        </w:rPr>
        <w:t>水源</w:t>
      </w:r>
      <w:r>
        <w:rPr>
          <w:rFonts w:hint="default" w:ascii="Times New Roman" w:hAnsi="Times New Roman" w:cs="Times New Roman"/>
          <w:color w:val="auto"/>
          <w:highlight w:val="none"/>
        </w:rPr>
        <w:t>产生明显影响。</w:t>
      </w:r>
    </w:p>
    <w:p w14:paraId="583356EC">
      <w:pPr>
        <w:pStyle w:val="5"/>
        <w:ind w:firstLine="482" w:firstLineChars="200"/>
        <w:rPr>
          <w:rFonts w:hint="default" w:ascii="Times New Roman" w:hAnsi="Times New Roman" w:cs="Times New Roman"/>
          <w:color w:val="auto"/>
          <w:highlight w:val="none"/>
        </w:rPr>
      </w:pPr>
      <w:bookmarkStart w:id="758" w:name="_Toc30684"/>
      <w:r>
        <w:rPr>
          <w:rFonts w:hint="default" w:ascii="Times New Roman" w:hAnsi="Times New Roman" w:cs="Times New Roman"/>
          <w:color w:val="auto"/>
          <w:highlight w:val="none"/>
        </w:rPr>
        <w:t>5.2.2.2工程排水对地表水体的影响</w:t>
      </w:r>
      <w:bookmarkEnd w:id="758"/>
    </w:p>
    <w:p w14:paraId="13E2C377">
      <w:pPr>
        <w:overflowPunct w:val="0"/>
        <w:topLinePunct/>
        <w:ind w:firstLine="480"/>
        <w:rPr>
          <w:rFonts w:hint="default" w:ascii="Times New Roman" w:hAnsi="Times New Roman" w:cs="Times New Roman"/>
          <w:color w:val="auto"/>
          <w:highlight w:val="none"/>
        </w:rPr>
      </w:pPr>
      <w:r>
        <w:rPr>
          <w:rFonts w:hint="default" w:cs="Times New Roman"/>
          <w:color w:val="auto"/>
          <w:szCs w:val="24"/>
          <w:highlight w:val="none"/>
        </w:rPr>
        <w:t>本项目</w:t>
      </w:r>
      <w:r>
        <w:rPr>
          <w:rFonts w:hint="default" w:cs="Times New Roman"/>
          <w:color w:val="auto"/>
          <w:szCs w:val="24"/>
          <w:highlight w:val="none"/>
          <w:lang w:val="en-US" w:eastAsia="zh-CN"/>
        </w:rPr>
        <w:t>尾矿库北距</w:t>
      </w:r>
      <w:r>
        <w:rPr>
          <w:rFonts w:hint="default" w:cs="Times New Roman"/>
          <w:color w:val="auto"/>
          <w:szCs w:val="24"/>
          <w:highlight w:val="none"/>
          <w:lang w:eastAsia="zh-CN"/>
        </w:rPr>
        <w:t>Ⅱ类水体喀拉通克河</w:t>
      </w:r>
      <w:r>
        <w:rPr>
          <w:rFonts w:hint="default" w:cs="Times New Roman"/>
          <w:color w:val="auto"/>
          <w:szCs w:val="24"/>
          <w:highlight w:val="none"/>
          <w:lang w:val="en-US" w:eastAsia="zh-CN"/>
        </w:rPr>
        <w:t>左支一河</w:t>
      </w:r>
      <w:r>
        <w:rPr>
          <w:rFonts w:cs="Times New Roman"/>
          <w:color w:val="auto"/>
          <w:szCs w:val="24"/>
          <w:highlight w:val="none"/>
        </w:rPr>
        <w:t>约</w:t>
      </w:r>
      <w:r>
        <w:rPr>
          <w:rFonts w:hint="default" w:cs="Times New Roman"/>
          <w:color w:val="auto"/>
          <w:szCs w:val="24"/>
          <w:highlight w:val="none"/>
          <w:lang w:val="en-US" w:eastAsia="zh-CN"/>
        </w:rPr>
        <w:t>1.02</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rPr>
        <w:t>东</w:t>
      </w:r>
      <w:r>
        <w:rPr>
          <w:rFonts w:hint="default" w:cs="Times New Roman"/>
          <w:color w:val="auto"/>
          <w:szCs w:val="24"/>
          <w:highlight w:val="none"/>
          <w:lang w:val="en-US" w:eastAsia="zh-CN"/>
        </w:rPr>
        <w:t>北</w:t>
      </w:r>
      <w:r>
        <w:rPr>
          <w:rFonts w:hint="default" w:cs="Times New Roman"/>
          <w:color w:val="auto"/>
          <w:szCs w:val="24"/>
          <w:highlight w:val="none"/>
        </w:rPr>
        <w:t>距</w:t>
      </w:r>
      <w:r>
        <w:rPr>
          <w:rFonts w:hint="default" w:cs="Times New Roman"/>
          <w:color w:val="auto"/>
          <w:szCs w:val="24"/>
          <w:highlight w:val="none"/>
          <w:lang w:eastAsia="zh-CN"/>
        </w:rPr>
        <w:t>Ⅱ类水体喀拉通克河</w:t>
      </w:r>
      <w:r>
        <w:rPr>
          <w:rFonts w:cs="Times New Roman"/>
          <w:color w:val="auto"/>
          <w:szCs w:val="24"/>
          <w:highlight w:val="none"/>
        </w:rPr>
        <w:t>约</w:t>
      </w:r>
      <w:r>
        <w:rPr>
          <w:rFonts w:hint="default" w:cs="Times New Roman"/>
          <w:color w:val="auto"/>
          <w:szCs w:val="24"/>
          <w:highlight w:val="none"/>
          <w:lang w:val="en-US" w:eastAsia="zh-CN"/>
        </w:rPr>
        <w:t>3.79</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lang w:val="en-US" w:eastAsia="zh-CN"/>
        </w:rPr>
        <w:t>选矿厂北距</w:t>
      </w:r>
      <w:r>
        <w:rPr>
          <w:rFonts w:hint="default" w:cs="Times New Roman"/>
          <w:color w:val="auto"/>
          <w:szCs w:val="24"/>
          <w:highlight w:val="none"/>
          <w:lang w:eastAsia="zh-CN"/>
        </w:rPr>
        <w:t>Ⅱ类水体喀拉通克河</w:t>
      </w:r>
      <w:r>
        <w:rPr>
          <w:rFonts w:hint="default" w:cs="Times New Roman"/>
          <w:color w:val="auto"/>
          <w:szCs w:val="24"/>
          <w:highlight w:val="none"/>
          <w:lang w:val="en-US" w:eastAsia="zh-CN"/>
        </w:rPr>
        <w:t>左支一河</w:t>
      </w:r>
      <w:r>
        <w:rPr>
          <w:rFonts w:cs="Times New Roman"/>
          <w:color w:val="auto"/>
          <w:szCs w:val="24"/>
          <w:highlight w:val="none"/>
        </w:rPr>
        <w:t>约</w:t>
      </w:r>
      <w:r>
        <w:rPr>
          <w:rFonts w:hint="default" w:cs="Times New Roman"/>
          <w:color w:val="auto"/>
          <w:szCs w:val="24"/>
          <w:highlight w:val="none"/>
          <w:lang w:val="en-US" w:eastAsia="zh-CN"/>
        </w:rPr>
        <w:t>2.45</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rPr>
        <w:t>东</w:t>
      </w:r>
      <w:r>
        <w:rPr>
          <w:rFonts w:hint="default" w:cs="Times New Roman"/>
          <w:color w:val="auto"/>
          <w:szCs w:val="24"/>
          <w:highlight w:val="none"/>
          <w:lang w:val="en-US" w:eastAsia="zh-CN"/>
        </w:rPr>
        <w:t>北</w:t>
      </w:r>
      <w:r>
        <w:rPr>
          <w:rFonts w:hint="default" w:cs="Times New Roman"/>
          <w:color w:val="auto"/>
          <w:szCs w:val="24"/>
          <w:highlight w:val="none"/>
        </w:rPr>
        <w:t>距</w:t>
      </w:r>
      <w:r>
        <w:rPr>
          <w:rFonts w:hint="default" w:cs="Times New Roman"/>
          <w:color w:val="auto"/>
          <w:szCs w:val="24"/>
          <w:highlight w:val="none"/>
          <w:lang w:eastAsia="zh-CN"/>
        </w:rPr>
        <w:t>Ⅱ类水体喀拉通克河</w:t>
      </w:r>
      <w:r>
        <w:rPr>
          <w:rFonts w:cs="Times New Roman"/>
          <w:color w:val="auto"/>
          <w:szCs w:val="24"/>
          <w:highlight w:val="none"/>
        </w:rPr>
        <w:t>约</w:t>
      </w:r>
      <w:r>
        <w:rPr>
          <w:rFonts w:hint="default" w:cs="Times New Roman"/>
          <w:color w:val="auto"/>
          <w:szCs w:val="24"/>
          <w:highlight w:val="none"/>
          <w:lang w:val="en-US" w:eastAsia="zh-CN"/>
        </w:rPr>
        <w:t>4.16</w:t>
      </w:r>
      <w:r>
        <w:rPr>
          <w:rFonts w:hint="default" w:cs="Times New Roman"/>
          <w:color w:val="auto"/>
          <w:szCs w:val="24"/>
          <w:highlight w:val="none"/>
        </w:rPr>
        <w:t>km</w:t>
      </w:r>
      <w:r>
        <w:rPr>
          <w:rFonts w:hint="default" w:ascii="Times New Roman" w:hAnsi="Times New Roman" w:cs="Times New Roman"/>
          <w:color w:val="auto"/>
          <w:highlight w:val="none"/>
        </w:rPr>
        <w:t>。</w:t>
      </w:r>
      <w:r>
        <w:rPr>
          <w:rFonts w:hint="default" w:cs="Times New Roman"/>
          <w:color w:val="auto"/>
          <w:highlight w:val="none"/>
          <w:lang w:val="en-US" w:eastAsia="zh-CN"/>
        </w:rPr>
        <w:t>距离较远</w:t>
      </w:r>
      <w:r>
        <w:rPr>
          <w:rFonts w:hint="default" w:ascii="Times New Roman" w:hAnsi="Times New Roman" w:cs="Times New Roman"/>
          <w:color w:val="auto"/>
          <w:highlight w:val="none"/>
        </w:rPr>
        <w:t>，因此项目区与地表水之间</w:t>
      </w:r>
      <w:r>
        <w:rPr>
          <w:rFonts w:hint="default" w:cs="Times New Roman"/>
          <w:color w:val="auto"/>
          <w:highlight w:val="none"/>
          <w:lang w:val="en-US" w:eastAsia="zh-CN"/>
        </w:rPr>
        <w:t>基本无</w:t>
      </w:r>
      <w:r>
        <w:rPr>
          <w:rFonts w:hint="default" w:ascii="Times New Roman" w:hAnsi="Times New Roman" w:cs="Times New Roman"/>
          <w:color w:val="auto"/>
          <w:highlight w:val="none"/>
        </w:rPr>
        <w:t>水力联系。</w:t>
      </w:r>
    </w:p>
    <w:p w14:paraId="1768144E">
      <w:pPr>
        <w:overflowPunct w:val="0"/>
        <w:topLinePunct/>
        <w:ind w:firstLine="480"/>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GB"/>
        </w:rPr>
        <w:t>正常工况下影响分析</w:t>
      </w:r>
    </w:p>
    <w:p w14:paraId="03A1F448">
      <w:pPr>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（1）生产废水对地表水的影响</w:t>
      </w:r>
    </w:p>
    <w:p w14:paraId="1714BEAC">
      <w:pPr>
        <w:pStyle w:val="41"/>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highlight w:val="none"/>
        </w:rPr>
        <w:t>本项目运营期选矿废水产生于选矿过程中，选矿废水量约为</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kern w:val="0"/>
          <w:highlight w:val="none"/>
        </w:rPr>
        <w:t>主要污染因子为pH、COD、SS及少量金属等</w:t>
      </w:r>
      <w:r>
        <w:rPr>
          <w:rFonts w:hint="default" w:ascii="Times New Roman" w:hAnsi="Times New Roman" w:cs="Times New Roman"/>
          <w:color w:val="auto"/>
          <w:highlight w:val="none"/>
        </w:rPr>
        <w:t>。选矿废水部分被</w:t>
      </w:r>
      <w:r>
        <w:rPr>
          <w:rFonts w:hint="default" w:cs="Times New Roman"/>
          <w:color w:val="auto"/>
          <w:highlight w:val="none"/>
          <w:lang w:val="en-US" w:eastAsia="zh-CN"/>
        </w:rPr>
        <w:t>金</w:t>
      </w:r>
      <w:r>
        <w:rPr>
          <w:rFonts w:hint="default" w:ascii="Times New Roman" w:hAnsi="Times New Roman" w:cs="Times New Roman"/>
          <w:color w:val="auto"/>
          <w:highlight w:val="none"/>
        </w:rPr>
        <w:t>精粉带走，精矿过滤水、尾矿浓缩压滤溢流水返回生产工序循环利用，尾矿矿浆通过管道输送至尾矿库，尾矿库设有回水系统，使用水泵将库内澄清水通过管道泵送至选矿厂生产回水池，供选矿循环使用，实现生产废水“闭路循环”，不外排。</w:t>
      </w:r>
    </w:p>
    <w:p w14:paraId="18F714F6">
      <w:pPr>
        <w:pStyle w:val="41"/>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（2）生活污水对地表水的影响</w:t>
      </w:r>
    </w:p>
    <w:p w14:paraId="7962D077">
      <w:pPr>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生活污水主要为洗浴、食堂、卫生间以及洗衣等产生的，属于一般性生活污水，主要污染物为SS、BOD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、COD、氨氮及动植物油等，</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生活污水产生量为</w:t>
      </w:r>
      <w:r>
        <w:rPr>
          <w:rFonts w:hint="default" w:ascii="Times New Roman" w:hAnsi="Times New Roman" w:cs="Times New Roman"/>
          <w:color w:val="auto"/>
          <w:highlight w:val="none"/>
          <w:lang w:val="en-US" w:eastAsia="zh-CN"/>
        </w:rPr>
        <w:t>8.24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1978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/a）。生活污水污染物浓度及产生量为SS：220mg/L（0.97t/a）、COD：300mg/L（1.32t/a）、BOD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：200mg/L（0.88t/a）、氨氮：30mg/L（0.13t/a）、动植物油100mg/L（0.44t/a）。</w:t>
      </w:r>
    </w:p>
    <w:p w14:paraId="158BA64A">
      <w:pPr>
        <w:pStyle w:val="41"/>
        <w:topLinePunct/>
        <w:spacing w:line="480" w:lineRule="exact"/>
        <w:ind w:firstLine="480"/>
        <w:rPr>
          <w:rFonts w:hint="default" w:ascii="Times New Roman" w:hAnsi="Times New Roman" w:cs="Times New Roman"/>
          <w:color w:val="auto"/>
          <w:spacing w:val="-1"/>
          <w:szCs w:val="24"/>
          <w:highlight w:val="none"/>
        </w:rPr>
      </w:pPr>
      <w:r>
        <w:rPr>
          <w:rFonts w:hint="default" w:ascii="Times New Roman" w:hAnsi="Times New Roman" w:cs="Times New Roman"/>
          <w:color w:val="auto"/>
          <w:highlight w:val="none"/>
        </w:rPr>
        <w:t>本项目生活污水排入新建的地埋式一体化污水处理设施处理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达到《农村生活污水处理排放标准》（DB65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highlight w:val="none"/>
          <w:lang w:val="en-US" w:eastAsia="zh-CN"/>
        </w:rPr>
        <w:t>灌溉季用于厂区绿化，非灌溉季</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highlight w:val="none"/>
        </w:rPr>
        <w:t>，不外排。</w:t>
      </w:r>
    </w:p>
    <w:p w14:paraId="63129DCD">
      <w:pPr>
        <w:pStyle w:val="41"/>
        <w:topLinePunct/>
        <w:spacing w:line="480" w:lineRule="exact"/>
        <w:ind w:firstLine="480"/>
        <w:rPr>
          <w:rFonts w:hint="default" w:ascii="Times New Roman" w:hAnsi="Times New Roman" w:cs="Times New Roman"/>
          <w:color w:val="auto"/>
          <w:spacing w:val="-1"/>
          <w:szCs w:val="24"/>
          <w:highlight w:val="none"/>
        </w:rPr>
      </w:pPr>
      <w:r>
        <w:rPr>
          <w:rFonts w:hint="default" w:ascii="Times New Roman" w:hAnsi="Times New Roman" w:cs="Times New Roman"/>
          <w:color w:val="auto"/>
          <w:highlight w:val="none"/>
        </w:rPr>
        <w:t>综上，本项目正常工况下的选矿废水</w:t>
      </w:r>
      <w:r>
        <w:rPr>
          <w:rFonts w:hint="default" w:cs="Times New Roman"/>
          <w:color w:val="auto"/>
          <w:highlight w:val="none"/>
          <w:lang w:val="en-US" w:eastAsia="zh-CN"/>
        </w:rPr>
        <w:t>和</w:t>
      </w:r>
      <w:r>
        <w:rPr>
          <w:rFonts w:hint="default" w:ascii="Times New Roman" w:hAnsi="Times New Roman" w:cs="Times New Roman"/>
          <w:color w:val="auto"/>
          <w:highlight w:val="none"/>
        </w:rPr>
        <w:t>生活污水均得到合理处理，对周围地表水环境影响较小。</w:t>
      </w:r>
    </w:p>
    <w:p w14:paraId="34CA0822">
      <w:pPr>
        <w:overflowPunct w:val="0"/>
        <w:topLinePunct/>
        <w:ind w:firstLine="480"/>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GB"/>
        </w:rPr>
        <w:t>非正常工况下影响分析</w:t>
      </w:r>
    </w:p>
    <w:p w14:paraId="7DAF9AFF">
      <w:pPr>
        <w:overflowPunct w:val="0"/>
        <w:topLinePunct/>
        <w:ind w:firstLine="480"/>
        <w:rPr>
          <w:rFonts w:hint="default" w:ascii="Times New Roman" w:hAnsi="Times New Roman" w:cs="Times New Roman"/>
          <w:bCs/>
          <w:snapToGrid w:val="0"/>
          <w:color w:val="auto"/>
          <w:highlight w:val="none"/>
        </w:rPr>
      </w:pPr>
      <w:r>
        <w:rPr>
          <w:rFonts w:hint="default" w:ascii="Times New Roman" w:hAnsi="Times New Roman" w:cs="Times New Roman"/>
          <w:color w:val="auto"/>
          <w:highlight w:val="none"/>
          <w:lang w:val="en-GB"/>
        </w:rPr>
        <w:t>为防止</w:t>
      </w:r>
      <w:r>
        <w:rPr>
          <w:rFonts w:hint="default" w:ascii="Times New Roman" w:hAnsi="Times New Roman" w:cs="Times New Roman"/>
          <w:color w:val="auto"/>
          <w:highlight w:val="none"/>
          <w:lang w:val="en-GB" w:eastAsia="zh-CN"/>
        </w:rPr>
        <w:t>生产设施、</w:t>
      </w:r>
      <w:r>
        <w:rPr>
          <w:rFonts w:hint="default" w:ascii="Times New Roman" w:hAnsi="Times New Roman" w:cs="Times New Roman"/>
          <w:color w:val="auto"/>
          <w:highlight w:val="none"/>
        </w:rPr>
        <w:t>回水</w:t>
      </w:r>
      <w:r>
        <w:rPr>
          <w:rFonts w:hint="default" w:ascii="Times New Roman" w:hAnsi="Times New Roman" w:cs="Times New Roman"/>
          <w:color w:val="auto"/>
          <w:highlight w:val="none"/>
          <w:lang w:val="en-GB"/>
        </w:rPr>
        <w:t>系统故障对外环境造成污染影响，</w:t>
      </w:r>
      <w:r>
        <w:rPr>
          <w:rFonts w:hint="default" w:ascii="Times New Roman" w:hAnsi="Times New Roman" w:cs="Times New Roman"/>
          <w:color w:val="auto"/>
          <w:highlight w:val="none"/>
        </w:rPr>
        <w:t>本项目</w:t>
      </w:r>
      <w:r>
        <w:rPr>
          <w:rFonts w:hint="default" w:cs="Times New Roman"/>
          <w:color w:val="auto"/>
          <w:highlight w:val="none"/>
          <w:lang w:val="en-US" w:eastAsia="zh-CN"/>
        </w:rPr>
        <w:t>尾矿库西南侧坝脚处设置</w:t>
      </w:r>
      <w:r>
        <w:rPr>
          <w:rFonts w:hint="default" w:ascii="Times New Roman" w:hAnsi="Times New Roman" w:cs="Times New Roman"/>
          <w:color w:val="auto"/>
          <w:highlight w:val="none"/>
          <w:lang w:val="en-GB"/>
        </w:rPr>
        <w:t>1座</w:t>
      </w:r>
      <w:r>
        <w:rPr>
          <w:rFonts w:hint="default" w:cs="Times New Roman"/>
          <w:color w:val="auto"/>
          <w:highlight w:val="none"/>
          <w:lang w:val="en-US" w:eastAsia="zh-CN"/>
        </w:rPr>
        <w:t>96</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的事故池，尾矿库输送管线事故时将管道内矿浆放至尾矿输送泵站外事故池内</w:t>
      </w:r>
      <w:r>
        <w:rPr>
          <w:rFonts w:hint="default" w:cs="Times New Roman"/>
          <w:color w:val="auto"/>
          <w:highlight w:val="none"/>
          <w:lang w:val="en-GB" w:eastAsia="zh-CN"/>
        </w:rPr>
        <w:t>。</w:t>
      </w:r>
      <w:r>
        <w:rPr>
          <w:rFonts w:hint="default" w:ascii="Times New Roman" w:hAnsi="Times New Roman" w:cs="Times New Roman"/>
          <w:color w:val="auto"/>
          <w:highlight w:val="none"/>
          <w:lang w:val="en-GB"/>
        </w:rPr>
        <w:t>根据《尾矿设施设计规范》（GB50863）中的要求，事故池</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val="en-GB"/>
        </w:rPr>
        <w:t>容积</w:t>
      </w:r>
      <w:r>
        <w:rPr>
          <w:rFonts w:hint="default" w:ascii="Times New Roman" w:hAnsi="Times New Roman" w:cs="Times New Roman"/>
          <w:color w:val="auto"/>
          <w:highlight w:val="none"/>
        </w:rPr>
        <w:t>按</w:t>
      </w:r>
      <w:r>
        <w:rPr>
          <w:rFonts w:hint="default" w:ascii="Times New Roman" w:hAnsi="Times New Roman" w:cs="Times New Roman"/>
          <w:color w:val="auto"/>
          <w:highlight w:val="none"/>
          <w:lang w:val="en-GB"/>
        </w:rPr>
        <w:t>10~20min的正常矿浆量、</w:t>
      </w:r>
      <w:r>
        <w:rPr>
          <w:rFonts w:hint="default" w:ascii="Times New Roman" w:hAnsi="Times New Roman" w:cs="Times New Roman"/>
          <w:color w:val="auto"/>
          <w:highlight w:val="none"/>
        </w:rPr>
        <w:t>倒空管段的矿浆及矿浆池一次事故放空量之和确定</w:t>
      </w:r>
      <w:r>
        <w:rPr>
          <w:rFonts w:hint="default" w:ascii="Times New Roman" w:hAnsi="Times New Roman" w:cs="Times New Roman"/>
          <w:color w:val="auto"/>
          <w:highlight w:val="none"/>
          <w:lang w:val="en-GB"/>
        </w:rPr>
        <w:t>。选厂正常工况下</w:t>
      </w:r>
      <w:r>
        <w:rPr>
          <w:rFonts w:hint="default" w:ascii="Times New Roman" w:hAnsi="Times New Roman" w:cs="Times New Roman"/>
          <w:color w:val="auto"/>
          <w:highlight w:val="none"/>
        </w:rPr>
        <w:t>选矿厂内尾</w:t>
      </w:r>
      <w:r>
        <w:rPr>
          <w:rFonts w:hint="default" w:cs="Times New Roman"/>
          <w:color w:val="auto"/>
          <w:highlight w:val="none"/>
          <w:lang w:val="en-US" w:eastAsia="zh-CN"/>
        </w:rPr>
        <w:t>矿浆</w:t>
      </w:r>
      <w:r>
        <w:rPr>
          <w:rFonts w:hint="default" w:ascii="Times New Roman" w:hAnsi="Times New Roman" w:cs="Times New Roman"/>
          <w:color w:val="auto"/>
          <w:highlight w:val="none"/>
        </w:rPr>
        <w:t>产生量</w:t>
      </w:r>
      <w:r>
        <w:rPr>
          <w:rFonts w:hint="default" w:ascii="Times New Roman" w:hAnsi="Times New Roman" w:cs="Times New Roman"/>
          <w:color w:val="auto"/>
          <w:highlight w:val="none"/>
          <w:lang w:val="en-GB"/>
        </w:rPr>
        <w:t>约380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GB"/>
        </w:rPr>
        <w:t>，则生产系统20min矿浆量为</w:t>
      </w:r>
      <w:r>
        <w:rPr>
          <w:rFonts w:hint="default" w:cs="Times New Roman"/>
          <w:color w:val="auto"/>
          <w:highlight w:val="none"/>
          <w:lang w:val="en-US" w:eastAsia="zh-CN"/>
        </w:rPr>
        <w:t>5.28</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，事故池容积足以承纳规范要求的10~20min的正常矿浆量。因此，在尾矿库输送管线事故时，通过将</w:t>
      </w:r>
      <w:r>
        <w:rPr>
          <w:rFonts w:hint="default" w:cs="Times New Roman"/>
          <w:color w:val="auto"/>
          <w:highlight w:val="none"/>
          <w:lang w:val="en-US" w:eastAsia="zh-CN"/>
        </w:rPr>
        <w:t>输送管道内的</w:t>
      </w:r>
      <w:r>
        <w:rPr>
          <w:rFonts w:hint="default" w:ascii="Times New Roman" w:hAnsi="Times New Roman" w:cs="Times New Roman"/>
          <w:color w:val="auto"/>
          <w:highlight w:val="none"/>
          <w:lang w:val="en-GB"/>
        </w:rPr>
        <w:t>矿浆排入事故池，并及时维修，在故障或事故排除后，再泵回生产系统，不会发生外排</w:t>
      </w:r>
      <w:r>
        <w:rPr>
          <w:rFonts w:hint="default" w:ascii="Times New Roman" w:hAnsi="Times New Roman" w:cs="Times New Roman"/>
          <w:color w:val="auto"/>
          <w:highlight w:val="none"/>
          <w:lang w:val="en-GB" w:eastAsia="zh-CN"/>
        </w:rPr>
        <w:t>或者直接排入尾矿库</w:t>
      </w:r>
      <w:r>
        <w:rPr>
          <w:rFonts w:hint="default" w:ascii="Times New Roman" w:hAnsi="Times New Roman" w:cs="Times New Roman"/>
          <w:color w:val="auto"/>
          <w:highlight w:val="none"/>
          <w:lang w:val="en-GB"/>
        </w:rPr>
        <w:t>，对</w:t>
      </w:r>
      <w:r>
        <w:rPr>
          <w:rFonts w:hint="default" w:ascii="Times New Roman" w:hAnsi="Times New Roman" w:cs="Times New Roman"/>
          <w:color w:val="auto"/>
          <w:highlight w:val="none"/>
        </w:rPr>
        <w:t>外部水</w:t>
      </w:r>
      <w:r>
        <w:rPr>
          <w:rFonts w:hint="default" w:ascii="Times New Roman" w:hAnsi="Times New Roman" w:cs="Times New Roman"/>
          <w:color w:val="auto"/>
          <w:highlight w:val="none"/>
          <w:lang w:val="en-GB"/>
        </w:rPr>
        <w:t>环境影响</w:t>
      </w:r>
      <w:r>
        <w:rPr>
          <w:rFonts w:hint="default" w:ascii="Times New Roman" w:hAnsi="Times New Roman" w:cs="Times New Roman"/>
          <w:color w:val="auto"/>
          <w:highlight w:val="none"/>
        </w:rPr>
        <w:t>较小</w:t>
      </w:r>
      <w:r>
        <w:rPr>
          <w:rFonts w:hint="default" w:ascii="Times New Roman" w:hAnsi="Times New Roman" w:cs="Times New Roman"/>
          <w:bCs/>
          <w:snapToGrid w:val="0"/>
          <w:color w:val="auto"/>
          <w:highlight w:val="none"/>
        </w:rPr>
        <w:t>。</w:t>
      </w:r>
    </w:p>
    <w:p w14:paraId="6B013045">
      <w:pPr>
        <w:overflowPunct w:val="0"/>
        <w:topLinePunct/>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3、地表水环境影响评价自查表</w:t>
      </w:r>
    </w:p>
    <w:p w14:paraId="213AB11C">
      <w:pPr>
        <w:overflowPunct w:val="0"/>
        <w:topLinePunct/>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地表水环境影响评价自查表见下表。</w:t>
      </w:r>
    </w:p>
    <w:p w14:paraId="72A9DF1E">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表5.2-16    地表水环境影响评价自查表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05"/>
        <w:gridCol w:w="1249"/>
        <w:gridCol w:w="312"/>
        <w:gridCol w:w="53"/>
        <w:gridCol w:w="468"/>
        <w:gridCol w:w="417"/>
        <w:gridCol w:w="623"/>
        <w:gridCol w:w="60"/>
        <w:gridCol w:w="566"/>
        <w:gridCol w:w="182"/>
        <w:gridCol w:w="234"/>
        <w:gridCol w:w="785"/>
        <w:gridCol w:w="49"/>
        <w:gridCol w:w="1249"/>
      </w:tblGrid>
      <w:tr w14:paraId="40B71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275" w:type="dxa"/>
            <w:gridSpan w:val="2"/>
            <w:vAlign w:val="center"/>
          </w:tcPr>
          <w:p w14:paraId="12B2AEB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工作内容</w:t>
            </w:r>
          </w:p>
        </w:tc>
        <w:tc>
          <w:tcPr>
            <w:tcW w:w="6247" w:type="dxa"/>
            <w:gridSpan w:val="13"/>
            <w:vAlign w:val="center"/>
          </w:tcPr>
          <w:p w14:paraId="61159E7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自查项目</w:t>
            </w:r>
          </w:p>
        </w:tc>
      </w:tr>
      <w:tr w14:paraId="1DB67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restart"/>
            <w:vAlign w:val="center"/>
          </w:tcPr>
          <w:p w14:paraId="0BFBBC0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w:t>
            </w:r>
          </w:p>
          <w:p w14:paraId="0D972C7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响</w:t>
            </w:r>
          </w:p>
          <w:p w14:paraId="3CE531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识</w:t>
            </w:r>
          </w:p>
          <w:p w14:paraId="3B7E00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别</w:t>
            </w:r>
          </w:p>
        </w:tc>
        <w:tc>
          <w:tcPr>
            <w:tcW w:w="1405" w:type="dxa"/>
            <w:vAlign w:val="center"/>
          </w:tcPr>
          <w:p w14:paraId="13E360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影响类型</w:t>
            </w:r>
          </w:p>
        </w:tc>
        <w:tc>
          <w:tcPr>
            <w:tcW w:w="6247" w:type="dxa"/>
            <w:gridSpan w:val="13"/>
            <w:vAlign w:val="center"/>
          </w:tcPr>
          <w:p w14:paraId="6BB1E39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水污染影响型</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；水文要素影响型 □</w:t>
            </w:r>
          </w:p>
        </w:tc>
      </w:tr>
      <w:tr w14:paraId="096F9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237647AB">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53AB8D1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水环境保护目标</w:t>
            </w:r>
          </w:p>
        </w:tc>
        <w:tc>
          <w:tcPr>
            <w:tcW w:w="6247" w:type="dxa"/>
            <w:gridSpan w:val="13"/>
            <w:vAlign w:val="center"/>
          </w:tcPr>
          <w:p w14:paraId="236775BB">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饮用水水源保护区□；饮用水取水口□；涉水的自然保护区□；重要湿地□；</w:t>
            </w:r>
          </w:p>
          <w:p w14:paraId="22B5BC92">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重点保护与珍稀水生生物的栖息地□；重要水生生物的自然产卵场及索饵场、越冬场和洄游通道、天然渔场等渔业水体□；涉水的风景名胜区□；其他□</w:t>
            </w:r>
          </w:p>
        </w:tc>
      </w:tr>
      <w:tr w14:paraId="5F33E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7610FC59">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restart"/>
            <w:vAlign w:val="center"/>
          </w:tcPr>
          <w:p w14:paraId="637827E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影响途径</w:t>
            </w:r>
          </w:p>
        </w:tc>
        <w:tc>
          <w:tcPr>
            <w:tcW w:w="3182" w:type="dxa"/>
            <w:gridSpan w:val="7"/>
            <w:vAlign w:val="center"/>
          </w:tcPr>
          <w:p w14:paraId="1182177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水污染影响型</w:t>
            </w:r>
          </w:p>
        </w:tc>
        <w:tc>
          <w:tcPr>
            <w:tcW w:w="3065" w:type="dxa"/>
            <w:gridSpan w:val="6"/>
            <w:vAlign w:val="center"/>
          </w:tcPr>
          <w:p w14:paraId="7C8DC13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水文要素影响型</w:t>
            </w:r>
          </w:p>
        </w:tc>
      </w:tr>
      <w:tr w14:paraId="092AA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501B7C38">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22F5999D">
            <w:pPr>
              <w:spacing w:line="360" w:lineRule="exact"/>
              <w:ind w:firstLine="0" w:firstLineChars="0"/>
              <w:jc w:val="center"/>
              <w:rPr>
                <w:rFonts w:hint="default" w:ascii="Times New Roman" w:hAnsi="Times New Roman" w:cs="Times New Roman"/>
                <w:color w:val="auto"/>
                <w:sz w:val="21"/>
                <w:szCs w:val="21"/>
                <w:highlight w:val="none"/>
              </w:rPr>
            </w:pPr>
          </w:p>
        </w:tc>
        <w:tc>
          <w:tcPr>
            <w:tcW w:w="3182" w:type="dxa"/>
            <w:gridSpan w:val="7"/>
            <w:vAlign w:val="center"/>
          </w:tcPr>
          <w:p w14:paraId="5A83C22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直接排放□；间接排放□；其他</w:t>
            </w:r>
            <w:r>
              <w:rPr>
                <w:rFonts w:hint="default" w:ascii="Times New Roman" w:hAnsi="Times New Roman" w:cs="Times New Roman"/>
                <w:color w:val="auto"/>
                <w:sz w:val="21"/>
                <w:szCs w:val="21"/>
                <w:highlight w:val="none"/>
              </w:rPr>
              <w:sym w:font="Wingdings 2" w:char="0052"/>
            </w:r>
          </w:p>
        </w:tc>
        <w:tc>
          <w:tcPr>
            <w:tcW w:w="3065" w:type="dxa"/>
            <w:gridSpan w:val="6"/>
            <w:vAlign w:val="center"/>
          </w:tcPr>
          <w:p w14:paraId="3148421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水温□；径流□；水域面积□</w:t>
            </w:r>
          </w:p>
        </w:tc>
      </w:tr>
      <w:tr w14:paraId="7C81C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75D552AA">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28129C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影响因子</w:t>
            </w:r>
          </w:p>
        </w:tc>
        <w:tc>
          <w:tcPr>
            <w:tcW w:w="3182" w:type="dxa"/>
            <w:gridSpan w:val="7"/>
            <w:vAlign w:val="center"/>
          </w:tcPr>
          <w:p w14:paraId="0190BC3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持久性污染物□</w:t>
            </w:r>
            <w:r>
              <w:rPr>
                <w:rFonts w:hint="default" w:cs="Times New Roman"/>
                <w:color w:val="auto"/>
                <w:sz w:val="21"/>
                <w:szCs w:val="21"/>
                <w:highlight w:val="none"/>
                <w:lang w:eastAsia="zh-CN"/>
              </w:rPr>
              <w:t>；有</w:t>
            </w:r>
            <w:r>
              <w:rPr>
                <w:rFonts w:hint="default" w:ascii="Times New Roman" w:hAnsi="Times New Roman" w:cs="Times New Roman"/>
                <w:color w:val="auto"/>
                <w:sz w:val="21"/>
                <w:szCs w:val="21"/>
                <w:highlight w:val="none"/>
              </w:rPr>
              <w:t>毒有害污染物□；</w:t>
            </w:r>
          </w:p>
          <w:p w14:paraId="56D8A44C">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非持久性污染物</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；pH值</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w:t>
            </w:r>
          </w:p>
          <w:p w14:paraId="68E52FD7">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热污染□；富营养化□；其他□</w:t>
            </w:r>
          </w:p>
        </w:tc>
        <w:tc>
          <w:tcPr>
            <w:tcW w:w="3065" w:type="dxa"/>
            <w:gridSpan w:val="6"/>
            <w:vAlign w:val="center"/>
          </w:tcPr>
          <w:p w14:paraId="57FC2D66">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水温□；水位（水深）□；流速□；流量□；其他□</w:t>
            </w:r>
          </w:p>
        </w:tc>
      </w:tr>
      <w:tr w14:paraId="67DCC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75" w:type="dxa"/>
            <w:gridSpan w:val="2"/>
            <w:vMerge w:val="restart"/>
            <w:vAlign w:val="center"/>
          </w:tcPr>
          <w:p w14:paraId="2CFFFA8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w:t>
            </w:r>
          </w:p>
        </w:tc>
        <w:tc>
          <w:tcPr>
            <w:tcW w:w="3182" w:type="dxa"/>
            <w:gridSpan w:val="7"/>
            <w:vAlign w:val="center"/>
          </w:tcPr>
          <w:p w14:paraId="1A6C52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水污染影响型</w:t>
            </w:r>
          </w:p>
        </w:tc>
        <w:tc>
          <w:tcPr>
            <w:tcW w:w="3065" w:type="dxa"/>
            <w:gridSpan w:val="6"/>
            <w:vAlign w:val="center"/>
          </w:tcPr>
          <w:p w14:paraId="5E12827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水文要素影响型</w:t>
            </w:r>
          </w:p>
        </w:tc>
      </w:tr>
      <w:tr w14:paraId="63CBD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75" w:type="dxa"/>
            <w:gridSpan w:val="2"/>
            <w:vMerge w:val="continue"/>
            <w:vAlign w:val="center"/>
          </w:tcPr>
          <w:p w14:paraId="29A0855A">
            <w:pPr>
              <w:spacing w:line="360" w:lineRule="exact"/>
              <w:ind w:firstLine="0" w:firstLineChars="0"/>
              <w:jc w:val="center"/>
              <w:rPr>
                <w:rFonts w:hint="default" w:ascii="Times New Roman" w:hAnsi="Times New Roman" w:cs="Times New Roman"/>
                <w:color w:val="auto"/>
                <w:sz w:val="21"/>
                <w:szCs w:val="21"/>
                <w:highlight w:val="none"/>
              </w:rPr>
            </w:pPr>
          </w:p>
        </w:tc>
        <w:tc>
          <w:tcPr>
            <w:tcW w:w="3182" w:type="dxa"/>
            <w:gridSpan w:val="7"/>
            <w:vAlign w:val="center"/>
          </w:tcPr>
          <w:p w14:paraId="4E0575E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一级□；二级□；三级A□；</w:t>
            </w:r>
          </w:p>
          <w:p w14:paraId="69568429">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三级B</w:t>
            </w:r>
            <w:r>
              <w:rPr>
                <w:rFonts w:hint="default" w:ascii="Times New Roman" w:hAnsi="Times New Roman" w:cs="Times New Roman"/>
                <w:color w:val="auto"/>
                <w:sz w:val="21"/>
                <w:szCs w:val="21"/>
                <w:highlight w:val="none"/>
              </w:rPr>
              <w:sym w:font="Wingdings 2" w:char="0052"/>
            </w:r>
          </w:p>
        </w:tc>
        <w:tc>
          <w:tcPr>
            <w:tcW w:w="3065" w:type="dxa"/>
            <w:gridSpan w:val="6"/>
            <w:vAlign w:val="center"/>
          </w:tcPr>
          <w:p w14:paraId="241E1EC6">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一级□；二级□；三级□</w:t>
            </w:r>
          </w:p>
        </w:tc>
      </w:tr>
      <w:tr w14:paraId="3A878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restart"/>
            <w:vAlign w:val="center"/>
          </w:tcPr>
          <w:p w14:paraId="1C2CEBE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w:t>
            </w:r>
          </w:p>
          <w:p w14:paraId="49957F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状</w:t>
            </w:r>
          </w:p>
          <w:p w14:paraId="7922C28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w:t>
            </w:r>
          </w:p>
          <w:p w14:paraId="4CFD84D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w:t>
            </w:r>
          </w:p>
        </w:tc>
        <w:tc>
          <w:tcPr>
            <w:tcW w:w="1405" w:type="dxa"/>
            <w:vMerge w:val="restart"/>
            <w:vAlign w:val="center"/>
          </w:tcPr>
          <w:p w14:paraId="2823350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区域污染源</w:t>
            </w:r>
          </w:p>
        </w:tc>
        <w:tc>
          <w:tcPr>
            <w:tcW w:w="3182" w:type="dxa"/>
            <w:gridSpan w:val="7"/>
            <w:vAlign w:val="center"/>
          </w:tcPr>
          <w:p w14:paraId="7E83D3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调查项目</w:t>
            </w:r>
          </w:p>
        </w:tc>
        <w:tc>
          <w:tcPr>
            <w:tcW w:w="3065" w:type="dxa"/>
            <w:gridSpan w:val="6"/>
            <w:vAlign w:val="center"/>
          </w:tcPr>
          <w:p w14:paraId="564EE8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数据来源</w:t>
            </w:r>
          </w:p>
        </w:tc>
      </w:tr>
      <w:tr w14:paraId="638A9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25D1961F">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7A68BA4A">
            <w:pPr>
              <w:spacing w:line="360" w:lineRule="exact"/>
              <w:ind w:firstLine="0" w:firstLineChars="0"/>
              <w:jc w:val="center"/>
              <w:rPr>
                <w:rFonts w:hint="default" w:ascii="Times New Roman" w:hAnsi="Times New Roman" w:cs="Times New Roman"/>
                <w:color w:val="auto"/>
                <w:sz w:val="21"/>
                <w:szCs w:val="21"/>
                <w:highlight w:val="none"/>
              </w:rPr>
            </w:pPr>
          </w:p>
        </w:tc>
        <w:tc>
          <w:tcPr>
            <w:tcW w:w="1561" w:type="dxa"/>
            <w:gridSpan w:val="2"/>
            <w:vAlign w:val="center"/>
          </w:tcPr>
          <w:p w14:paraId="6752A391">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已建</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；在建□；拟建</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；其他□</w:t>
            </w:r>
          </w:p>
        </w:tc>
        <w:tc>
          <w:tcPr>
            <w:tcW w:w="1621" w:type="dxa"/>
            <w:gridSpan w:val="5"/>
            <w:vAlign w:val="center"/>
          </w:tcPr>
          <w:p w14:paraId="404A462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拟替代的污染源□</w:t>
            </w:r>
          </w:p>
        </w:tc>
        <w:tc>
          <w:tcPr>
            <w:tcW w:w="3065" w:type="dxa"/>
            <w:gridSpan w:val="6"/>
            <w:vAlign w:val="center"/>
          </w:tcPr>
          <w:p w14:paraId="2A4937A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排污许可证□；环评□；环保验收□；既有实测□；现场监测□；入河排放口数据□；其他□</w:t>
            </w:r>
          </w:p>
        </w:tc>
      </w:tr>
      <w:tr w14:paraId="7E192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34C6DA76">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restart"/>
            <w:vAlign w:val="center"/>
          </w:tcPr>
          <w:p w14:paraId="5D917AB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受影响水体水环境质量</w:t>
            </w:r>
          </w:p>
        </w:tc>
        <w:tc>
          <w:tcPr>
            <w:tcW w:w="3182" w:type="dxa"/>
            <w:gridSpan w:val="7"/>
            <w:vAlign w:val="center"/>
          </w:tcPr>
          <w:p w14:paraId="3A57F1E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调查时期</w:t>
            </w:r>
          </w:p>
        </w:tc>
        <w:tc>
          <w:tcPr>
            <w:tcW w:w="3065" w:type="dxa"/>
            <w:gridSpan w:val="6"/>
            <w:vAlign w:val="center"/>
          </w:tcPr>
          <w:p w14:paraId="7430854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数据来源</w:t>
            </w:r>
          </w:p>
        </w:tc>
      </w:tr>
      <w:tr w14:paraId="75D3B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1900B9DB">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269C780E">
            <w:pPr>
              <w:spacing w:line="360" w:lineRule="exact"/>
              <w:ind w:firstLine="0" w:firstLineChars="0"/>
              <w:jc w:val="center"/>
              <w:rPr>
                <w:rFonts w:hint="default" w:ascii="Times New Roman" w:hAnsi="Times New Roman" w:cs="Times New Roman"/>
                <w:color w:val="auto"/>
                <w:sz w:val="21"/>
                <w:szCs w:val="21"/>
                <w:highlight w:val="none"/>
              </w:rPr>
            </w:pPr>
          </w:p>
        </w:tc>
        <w:tc>
          <w:tcPr>
            <w:tcW w:w="3182" w:type="dxa"/>
            <w:gridSpan w:val="7"/>
            <w:vAlign w:val="center"/>
          </w:tcPr>
          <w:p w14:paraId="759A56A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丰水期</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；平水期□；枯水期□；冰封期□</w:t>
            </w:r>
          </w:p>
          <w:p w14:paraId="3A8D0685">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rPr>
              <w:t>；夏季</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rPr>
              <w:t>；秋季□；冬季□</w:t>
            </w:r>
          </w:p>
        </w:tc>
        <w:tc>
          <w:tcPr>
            <w:tcW w:w="3065" w:type="dxa"/>
            <w:gridSpan w:val="6"/>
            <w:vAlign w:val="center"/>
          </w:tcPr>
          <w:p w14:paraId="3FF3749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生态环境保护主管部门□；补充监测□；其他□</w:t>
            </w:r>
          </w:p>
        </w:tc>
      </w:tr>
      <w:tr w14:paraId="32C11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1429F41E">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34504B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区域水资源开发利用状况</w:t>
            </w:r>
          </w:p>
        </w:tc>
        <w:tc>
          <w:tcPr>
            <w:tcW w:w="6247" w:type="dxa"/>
            <w:gridSpan w:val="13"/>
            <w:vAlign w:val="center"/>
          </w:tcPr>
          <w:p w14:paraId="1E53D3E6">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未开发□；开发量40%以下□；开发量40%以上□</w:t>
            </w:r>
          </w:p>
        </w:tc>
      </w:tr>
      <w:tr w14:paraId="39D31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15645C83">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restart"/>
            <w:vAlign w:val="center"/>
          </w:tcPr>
          <w:p w14:paraId="6CB9681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水文情势调查</w:t>
            </w:r>
          </w:p>
        </w:tc>
        <w:tc>
          <w:tcPr>
            <w:tcW w:w="3122" w:type="dxa"/>
            <w:gridSpan w:val="6"/>
            <w:vAlign w:val="center"/>
          </w:tcPr>
          <w:p w14:paraId="0ADB383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调查时期</w:t>
            </w:r>
          </w:p>
        </w:tc>
        <w:tc>
          <w:tcPr>
            <w:tcW w:w="3125" w:type="dxa"/>
            <w:gridSpan w:val="7"/>
            <w:vAlign w:val="center"/>
          </w:tcPr>
          <w:p w14:paraId="7C759CC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数据来源</w:t>
            </w:r>
          </w:p>
        </w:tc>
      </w:tr>
      <w:tr w14:paraId="6631B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50D13294">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3E84C4D4">
            <w:pPr>
              <w:spacing w:line="360" w:lineRule="exact"/>
              <w:ind w:firstLine="0" w:firstLineChars="0"/>
              <w:jc w:val="center"/>
              <w:rPr>
                <w:rFonts w:hint="default" w:ascii="Times New Roman" w:hAnsi="Times New Roman" w:cs="Times New Roman"/>
                <w:color w:val="auto"/>
                <w:sz w:val="21"/>
                <w:szCs w:val="21"/>
                <w:highlight w:val="none"/>
              </w:rPr>
            </w:pPr>
          </w:p>
        </w:tc>
        <w:tc>
          <w:tcPr>
            <w:tcW w:w="3122" w:type="dxa"/>
            <w:gridSpan w:val="6"/>
            <w:vAlign w:val="center"/>
          </w:tcPr>
          <w:p w14:paraId="0EEAECBB">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丰水期</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；平水期□；枯水期□；冰封期</w:t>
            </w:r>
          </w:p>
          <w:p w14:paraId="543D4FBC">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春季□；夏季</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；秋季□；冬季□</w:t>
            </w:r>
          </w:p>
        </w:tc>
        <w:tc>
          <w:tcPr>
            <w:tcW w:w="3125" w:type="dxa"/>
            <w:gridSpan w:val="7"/>
            <w:vAlign w:val="center"/>
          </w:tcPr>
          <w:p w14:paraId="5795D089">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水行政主管部门□；补充监测□；其他□</w:t>
            </w:r>
          </w:p>
        </w:tc>
      </w:tr>
      <w:tr w14:paraId="18919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005F1F23">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restart"/>
            <w:vAlign w:val="center"/>
          </w:tcPr>
          <w:p w14:paraId="027C78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补充监测</w:t>
            </w:r>
          </w:p>
        </w:tc>
        <w:tc>
          <w:tcPr>
            <w:tcW w:w="2082" w:type="dxa"/>
            <w:gridSpan w:val="4"/>
            <w:vAlign w:val="center"/>
          </w:tcPr>
          <w:p w14:paraId="2E41AFF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监测时期</w:t>
            </w:r>
          </w:p>
        </w:tc>
        <w:tc>
          <w:tcPr>
            <w:tcW w:w="2082" w:type="dxa"/>
            <w:gridSpan w:val="6"/>
            <w:vAlign w:val="center"/>
          </w:tcPr>
          <w:p w14:paraId="707771B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2083" w:type="dxa"/>
            <w:gridSpan w:val="3"/>
            <w:vAlign w:val="center"/>
          </w:tcPr>
          <w:p w14:paraId="79A4AE5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监测断面或点位</w:t>
            </w:r>
          </w:p>
        </w:tc>
      </w:tr>
      <w:tr w14:paraId="5AB95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18973DA3">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35B37216">
            <w:pPr>
              <w:spacing w:line="360" w:lineRule="exact"/>
              <w:ind w:firstLine="0" w:firstLineChars="0"/>
              <w:jc w:val="center"/>
              <w:rPr>
                <w:rFonts w:hint="default" w:ascii="Times New Roman" w:hAnsi="Times New Roman" w:cs="Times New Roman"/>
                <w:color w:val="auto"/>
                <w:sz w:val="21"/>
                <w:szCs w:val="21"/>
                <w:highlight w:val="none"/>
              </w:rPr>
            </w:pPr>
          </w:p>
        </w:tc>
        <w:tc>
          <w:tcPr>
            <w:tcW w:w="2082" w:type="dxa"/>
            <w:gridSpan w:val="4"/>
            <w:vAlign w:val="center"/>
          </w:tcPr>
          <w:p w14:paraId="3C36A8E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丰水期</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；平水期□；枯水期□；冰封期□</w:t>
            </w:r>
          </w:p>
          <w:p w14:paraId="0DB6B00E">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rPr>
              <w:t>；夏季</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w:t>
            </w:r>
          </w:p>
          <w:p w14:paraId="4029DFD3">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秋季□；冬季□</w:t>
            </w:r>
          </w:p>
        </w:tc>
        <w:tc>
          <w:tcPr>
            <w:tcW w:w="2082" w:type="dxa"/>
            <w:gridSpan w:val="6"/>
            <w:vAlign w:val="center"/>
          </w:tcPr>
          <w:p w14:paraId="68E8CFD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c>
          <w:tcPr>
            <w:tcW w:w="2083" w:type="dxa"/>
            <w:gridSpan w:val="3"/>
            <w:vAlign w:val="center"/>
          </w:tcPr>
          <w:p w14:paraId="6AC5E6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监测断面或点位个数</w:t>
            </w:r>
          </w:p>
          <w:p w14:paraId="373C3AB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（）个</w:t>
            </w:r>
          </w:p>
        </w:tc>
      </w:tr>
      <w:tr w14:paraId="3A805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restart"/>
            <w:vAlign w:val="center"/>
          </w:tcPr>
          <w:p w14:paraId="76BB34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w:t>
            </w:r>
          </w:p>
          <w:p w14:paraId="27E3FC5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状</w:t>
            </w:r>
          </w:p>
          <w:p w14:paraId="2C6916A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w:t>
            </w:r>
          </w:p>
          <w:p w14:paraId="6B117AD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价</w:t>
            </w:r>
          </w:p>
        </w:tc>
        <w:tc>
          <w:tcPr>
            <w:tcW w:w="1405" w:type="dxa"/>
            <w:vAlign w:val="center"/>
          </w:tcPr>
          <w:p w14:paraId="140BDBB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评价范围</w:t>
            </w:r>
          </w:p>
        </w:tc>
        <w:tc>
          <w:tcPr>
            <w:tcW w:w="6247" w:type="dxa"/>
            <w:gridSpan w:val="13"/>
            <w:vAlign w:val="center"/>
          </w:tcPr>
          <w:p w14:paraId="735C786B">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河流：长度（ </w:t>
            </w:r>
            <w:r>
              <w:rPr>
                <w:rFonts w:hint="default"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 xml:space="preserve"> ）km；湖库、河口及近岸海域：面积（</w:t>
            </w:r>
            <w:r>
              <w:rPr>
                <w:rFonts w:hint="default"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）km</w:t>
            </w:r>
            <w:r>
              <w:rPr>
                <w:rFonts w:hint="default" w:ascii="Times New Roman" w:hAnsi="Times New Roman" w:cs="Times New Roman"/>
                <w:color w:val="auto"/>
                <w:sz w:val="21"/>
                <w:szCs w:val="21"/>
                <w:highlight w:val="none"/>
                <w:vertAlign w:val="superscript"/>
              </w:rPr>
              <w:t>2</w:t>
            </w:r>
          </w:p>
        </w:tc>
      </w:tr>
      <w:tr w14:paraId="0009E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45164280">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38CC991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6247" w:type="dxa"/>
            <w:gridSpan w:val="13"/>
            <w:vAlign w:val="center"/>
          </w:tcPr>
          <w:p w14:paraId="0AE81E0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r>
      <w:tr w14:paraId="6EB26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0222E350">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2929B73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6247" w:type="dxa"/>
            <w:gridSpan w:val="13"/>
            <w:vAlign w:val="center"/>
          </w:tcPr>
          <w:p w14:paraId="57AEDB52">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河流、湖库、河口：</w:t>
            </w:r>
            <w:r>
              <w:rPr>
                <w:rFonts w:hint="eastAsia" w:cs="Times New Roman"/>
                <w:color w:val="auto"/>
                <w:sz w:val="21"/>
                <w:szCs w:val="21"/>
                <w:highlight w:val="none"/>
                <w:lang w:eastAsia="zh-CN"/>
              </w:rPr>
              <w:t>Ⅱ类</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；Ⅱ类□；Ⅲ类□；Ⅳ类□；Ⅴ类□</w:t>
            </w:r>
          </w:p>
          <w:p w14:paraId="5E6BAEA2">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近岸海域：第一类□；第二类□；第三类□；第四类□</w:t>
            </w:r>
          </w:p>
          <w:p w14:paraId="40351CEC">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规划年评价标准（/）</w:t>
            </w:r>
          </w:p>
        </w:tc>
      </w:tr>
      <w:tr w14:paraId="1E1FE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378EF377">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6FD571B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评价时期</w:t>
            </w:r>
          </w:p>
        </w:tc>
        <w:tc>
          <w:tcPr>
            <w:tcW w:w="6247" w:type="dxa"/>
            <w:gridSpan w:val="13"/>
            <w:vAlign w:val="center"/>
          </w:tcPr>
          <w:p w14:paraId="0D973E2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丰水期</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；平水期□；枯水期□；冰封期□</w:t>
            </w:r>
          </w:p>
          <w:p w14:paraId="01A5B012">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春季□；夏季</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rPr>
              <w:t>；秋季□；冬季□</w:t>
            </w:r>
          </w:p>
        </w:tc>
      </w:tr>
      <w:tr w14:paraId="68F9B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68B2A1DE">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6E5954A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4949" w:type="dxa"/>
            <w:gridSpan w:val="11"/>
            <w:vAlign w:val="center"/>
          </w:tcPr>
          <w:p w14:paraId="33A0A81E">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水环境功能区或水功能区、近岸海域环境功能区水质达标状况</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：达标</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；不达标□</w:t>
            </w:r>
          </w:p>
          <w:p w14:paraId="264B61EC">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水环境控制单元或断面水质达标状况□：达标□；不达标□</w:t>
            </w:r>
          </w:p>
          <w:p w14:paraId="72128566">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水环境保护目标质量状况□：达标□；不达标□</w:t>
            </w:r>
          </w:p>
          <w:p w14:paraId="791B13AA">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对照断面、控制断面等代表性断面的水质状况□：达标□；不达标□</w:t>
            </w:r>
          </w:p>
          <w:p w14:paraId="1F7A2EC9">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底泥污染评价□</w:t>
            </w:r>
          </w:p>
          <w:p w14:paraId="0A9DB9FE">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水资源与开发利用程度及其水文情势评价□</w:t>
            </w:r>
          </w:p>
          <w:p w14:paraId="7F26CBAC">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水环境质量回顾评价□</w:t>
            </w:r>
          </w:p>
          <w:p w14:paraId="4A893183">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流域（区域）水资源（包括水能资源）与开发利用总体状况、生态流量管理要求与现状满足程度、建设项目占用水域空间的水流状况与河湖演变状况□</w:t>
            </w:r>
          </w:p>
        </w:tc>
        <w:tc>
          <w:tcPr>
            <w:tcW w:w="1298" w:type="dxa"/>
            <w:gridSpan w:val="2"/>
            <w:vAlign w:val="center"/>
          </w:tcPr>
          <w:p w14:paraId="51435DA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达标区</w:t>
            </w:r>
            <w:r>
              <w:rPr>
                <w:rFonts w:hint="default" w:ascii="Times New Roman" w:hAnsi="Times New Roman" w:cs="Times New Roman"/>
                <w:color w:val="auto"/>
                <w:sz w:val="21"/>
                <w:szCs w:val="21"/>
                <w:highlight w:val="none"/>
              </w:rPr>
              <w:sym w:font="Wingdings 2" w:char="00A3"/>
            </w:r>
          </w:p>
          <w:p w14:paraId="188047D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不达标区□</w:t>
            </w:r>
          </w:p>
        </w:tc>
      </w:tr>
      <w:tr w14:paraId="31666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restart"/>
            <w:vAlign w:val="center"/>
          </w:tcPr>
          <w:p w14:paraId="31B72E7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w:t>
            </w:r>
          </w:p>
          <w:p w14:paraId="383C6D3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响</w:t>
            </w:r>
          </w:p>
          <w:p w14:paraId="2E2B5D1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w:t>
            </w:r>
          </w:p>
          <w:p w14:paraId="13096AE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w:t>
            </w:r>
          </w:p>
        </w:tc>
        <w:tc>
          <w:tcPr>
            <w:tcW w:w="1405" w:type="dxa"/>
            <w:vAlign w:val="center"/>
          </w:tcPr>
          <w:p w14:paraId="09D84EA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预测范围</w:t>
            </w:r>
          </w:p>
        </w:tc>
        <w:tc>
          <w:tcPr>
            <w:tcW w:w="6247" w:type="dxa"/>
            <w:gridSpan w:val="13"/>
            <w:vAlign w:val="center"/>
          </w:tcPr>
          <w:p w14:paraId="4B5A8942">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河流：长度（ ）km；湖库、河口及近岸海域：面积（/）km</w:t>
            </w:r>
            <w:r>
              <w:rPr>
                <w:rFonts w:hint="default" w:ascii="Times New Roman" w:hAnsi="Times New Roman" w:cs="Times New Roman"/>
                <w:color w:val="auto"/>
                <w:sz w:val="21"/>
                <w:szCs w:val="21"/>
                <w:highlight w:val="none"/>
                <w:vertAlign w:val="superscript"/>
              </w:rPr>
              <w:t>2</w:t>
            </w:r>
          </w:p>
        </w:tc>
      </w:tr>
      <w:tr w14:paraId="09E3B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5D8C2DA0">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7346777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w:t>
            </w:r>
          </w:p>
        </w:tc>
        <w:tc>
          <w:tcPr>
            <w:tcW w:w="6247" w:type="dxa"/>
            <w:gridSpan w:val="13"/>
            <w:vAlign w:val="center"/>
          </w:tcPr>
          <w:p w14:paraId="66FD8366">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14:paraId="184AD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5CFEEC36">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1F49C55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预测时期</w:t>
            </w:r>
          </w:p>
        </w:tc>
        <w:tc>
          <w:tcPr>
            <w:tcW w:w="6247" w:type="dxa"/>
            <w:gridSpan w:val="13"/>
            <w:vAlign w:val="center"/>
          </w:tcPr>
          <w:p w14:paraId="633B7C9A">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丰水期□；平水期□；枯水期□；冰封期□</w:t>
            </w:r>
          </w:p>
          <w:p w14:paraId="172F497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春季□；夏季□；秋季□；冬季□</w:t>
            </w:r>
          </w:p>
          <w:p w14:paraId="3A49BAB3">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设计水文条件□</w:t>
            </w:r>
          </w:p>
        </w:tc>
      </w:tr>
      <w:tr w14:paraId="2E435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50413830">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5BB4949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预测情景</w:t>
            </w:r>
          </w:p>
        </w:tc>
        <w:tc>
          <w:tcPr>
            <w:tcW w:w="6247" w:type="dxa"/>
            <w:gridSpan w:val="13"/>
            <w:vAlign w:val="center"/>
          </w:tcPr>
          <w:p w14:paraId="5FFF4F31">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建设期□；生产运行期□；服务期满后□</w:t>
            </w:r>
          </w:p>
          <w:p w14:paraId="7DB6C703">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正常工况□；非正常工况□</w:t>
            </w:r>
          </w:p>
          <w:p w14:paraId="5D1B6A9F">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污染控制和减缓措施方案□</w:t>
            </w:r>
          </w:p>
          <w:p w14:paraId="25BFE7DC">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区（流）域环境质量改善目标要求情景□</w:t>
            </w:r>
          </w:p>
        </w:tc>
      </w:tr>
      <w:tr w14:paraId="5AC2C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33EEF2D3">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030EEF9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预测方法</w:t>
            </w:r>
          </w:p>
        </w:tc>
        <w:tc>
          <w:tcPr>
            <w:tcW w:w="6247" w:type="dxa"/>
            <w:gridSpan w:val="13"/>
            <w:vAlign w:val="center"/>
          </w:tcPr>
          <w:p w14:paraId="2EE498E4">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数值解□：解析解□；其他□</w:t>
            </w:r>
          </w:p>
          <w:p w14:paraId="360349FF">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导则推荐模式□：其他□</w:t>
            </w:r>
          </w:p>
        </w:tc>
      </w:tr>
      <w:tr w14:paraId="0DBCC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restart"/>
            <w:vAlign w:val="center"/>
          </w:tcPr>
          <w:p w14:paraId="1DCC7D2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w:t>
            </w:r>
          </w:p>
          <w:p w14:paraId="01E693B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响</w:t>
            </w:r>
          </w:p>
          <w:p w14:paraId="6218291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w:t>
            </w:r>
          </w:p>
          <w:p w14:paraId="1293BD8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价</w:t>
            </w:r>
          </w:p>
        </w:tc>
        <w:tc>
          <w:tcPr>
            <w:tcW w:w="1405" w:type="dxa"/>
            <w:vAlign w:val="center"/>
          </w:tcPr>
          <w:p w14:paraId="492077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水污染控制和水环境影响减缓措施有效性评价</w:t>
            </w:r>
          </w:p>
        </w:tc>
        <w:tc>
          <w:tcPr>
            <w:tcW w:w="6247" w:type="dxa"/>
            <w:gridSpan w:val="13"/>
            <w:vAlign w:val="center"/>
          </w:tcPr>
          <w:p w14:paraId="3DC6634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区（流）域水环境质量改善目标</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；替代削减源□</w:t>
            </w:r>
          </w:p>
        </w:tc>
      </w:tr>
      <w:tr w14:paraId="070CA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600F16C1">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450683F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水环境影响评价</w:t>
            </w:r>
          </w:p>
        </w:tc>
        <w:tc>
          <w:tcPr>
            <w:tcW w:w="6247" w:type="dxa"/>
            <w:gridSpan w:val="13"/>
            <w:vAlign w:val="center"/>
          </w:tcPr>
          <w:p w14:paraId="7750268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排放口混合区外满足水环境管理要求□</w:t>
            </w:r>
          </w:p>
          <w:p w14:paraId="2B46C97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水环境功能区或水功能区、近岸海域环境功能区水质达标□</w:t>
            </w:r>
          </w:p>
          <w:p w14:paraId="1688C182">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满足水环境保护目标水域水环境质量要求□</w:t>
            </w:r>
          </w:p>
          <w:p w14:paraId="55D2B5FC">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水环境控制单元或断面水质达标□</w:t>
            </w:r>
          </w:p>
          <w:p w14:paraId="634F2995">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满足重点水污染物排放总量控制指标要求，重点行业建设项目，主要污染物排放满足等量或减量替代要求□</w:t>
            </w:r>
          </w:p>
          <w:p w14:paraId="00D7230E">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满足区（流）域水环境质量改善目标要求□</w:t>
            </w:r>
          </w:p>
          <w:p w14:paraId="19A35D61">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水文要素影响型建设项目同时应包括水文情势变化评价、主要水文特征值影响评价、生态流量符合性评价□</w:t>
            </w:r>
          </w:p>
          <w:p w14:paraId="782BF034">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对于新设或调整入河（湖库、近岸海域）排放口的建设项目，应包括排放口设置的环境合理性评价□</w:t>
            </w:r>
          </w:p>
          <w:p w14:paraId="553824F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满足生态保护红线、水环境质量底线、资源利用上线和环境准入清单管理要求</w:t>
            </w:r>
            <w:r>
              <w:rPr>
                <w:rFonts w:hint="default" w:ascii="Times New Roman" w:hAnsi="Times New Roman" w:cs="Times New Roman"/>
                <w:color w:val="auto"/>
                <w:sz w:val="21"/>
                <w:szCs w:val="21"/>
                <w:highlight w:val="none"/>
              </w:rPr>
              <w:sym w:font="Wingdings 2" w:char="00A3"/>
            </w:r>
          </w:p>
        </w:tc>
      </w:tr>
      <w:tr w14:paraId="5168E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3B11267F">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restart"/>
            <w:vAlign w:val="center"/>
          </w:tcPr>
          <w:p w14:paraId="366CED1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污染源排放量核算</w:t>
            </w:r>
          </w:p>
        </w:tc>
        <w:tc>
          <w:tcPr>
            <w:tcW w:w="2082" w:type="dxa"/>
            <w:gridSpan w:val="4"/>
            <w:vAlign w:val="center"/>
          </w:tcPr>
          <w:p w14:paraId="0D2CDA0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2082" w:type="dxa"/>
            <w:gridSpan w:val="6"/>
            <w:vAlign w:val="center"/>
          </w:tcPr>
          <w:p w14:paraId="2110E6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2083" w:type="dxa"/>
            <w:gridSpan w:val="3"/>
            <w:vAlign w:val="center"/>
          </w:tcPr>
          <w:p w14:paraId="005CCCB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r>
      <w:tr w14:paraId="1D0CF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7B1BA485">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7BB082C5">
            <w:pPr>
              <w:spacing w:line="360" w:lineRule="exact"/>
              <w:ind w:firstLine="0" w:firstLineChars="0"/>
              <w:jc w:val="center"/>
              <w:rPr>
                <w:rFonts w:hint="default" w:ascii="Times New Roman" w:hAnsi="Times New Roman" w:cs="Times New Roman"/>
                <w:color w:val="auto"/>
                <w:sz w:val="21"/>
                <w:szCs w:val="21"/>
                <w:highlight w:val="none"/>
              </w:rPr>
            </w:pPr>
          </w:p>
        </w:tc>
        <w:tc>
          <w:tcPr>
            <w:tcW w:w="2082" w:type="dxa"/>
            <w:gridSpan w:val="4"/>
            <w:vAlign w:val="center"/>
          </w:tcPr>
          <w:p w14:paraId="4EF3D60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2" w:type="dxa"/>
            <w:gridSpan w:val="6"/>
            <w:vAlign w:val="center"/>
          </w:tcPr>
          <w:p w14:paraId="353AFBA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3" w:type="dxa"/>
            <w:gridSpan w:val="3"/>
            <w:vAlign w:val="center"/>
          </w:tcPr>
          <w:p w14:paraId="120347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830E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3D6928BB">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restart"/>
            <w:vAlign w:val="center"/>
          </w:tcPr>
          <w:p w14:paraId="3119F93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替代源排放情况</w:t>
            </w:r>
          </w:p>
        </w:tc>
        <w:tc>
          <w:tcPr>
            <w:tcW w:w="1249" w:type="dxa"/>
            <w:vAlign w:val="center"/>
          </w:tcPr>
          <w:p w14:paraId="3746E9C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1250" w:type="dxa"/>
            <w:gridSpan w:val="4"/>
            <w:vAlign w:val="center"/>
          </w:tcPr>
          <w:p w14:paraId="06C3C63B">
            <w:pPr>
              <w:spacing w:line="360" w:lineRule="exact"/>
              <w:ind w:firstLine="0" w:firstLineChars="0"/>
              <w:jc w:val="center"/>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排污许可证编号</w:t>
            </w:r>
          </w:p>
        </w:tc>
        <w:tc>
          <w:tcPr>
            <w:tcW w:w="1249" w:type="dxa"/>
            <w:gridSpan w:val="3"/>
            <w:vAlign w:val="center"/>
          </w:tcPr>
          <w:p w14:paraId="78AA0D7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1250" w:type="dxa"/>
            <w:gridSpan w:val="4"/>
            <w:vAlign w:val="center"/>
          </w:tcPr>
          <w:p w14:paraId="126269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1249" w:type="dxa"/>
            <w:vAlign w:val="center"/>
          </w:tcPr>
          <w:p w14:paraId="39CEC23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r>
      <w:tr w14:paraId="7014D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01DE78D0">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78570645">
            <w:pPr>
              <w:spacing w:line="360" w:lineRule="exact"/>
              <w:ind w:firstLine="0" w:firstLineChars="0"/>
              <w:jc w:val="center"/>
              <w:rPr>
                <w:rFonts w:hint="default" w:ascii="Times New Roman" w:hAnsi="Times New Roman" w:cs="Times New Roman"/>
                <w:color w:val="auto"/>
                <w:sz w:val="21"/>
                <w:szCs w:val="21"/>
                <w:highlight w:val="none"/>
              </w:rPr>
            </w:pPr>
          </w:p>
        </w:tc>
        <w:tc>
          <w:tcPr>
            <w:tcW w:w="1249" w:type="dxa"/>
          </w:tcPr>
          <w:p w14:paraId="288C64A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50" w:type="dxa"/>
            <w:gridSpan w:val="4"/>
          </w:tcPr>
          <w:p w14:paraId="63835A1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49" w:type="dxa"/>
            <w:gridSpan w:val="3"/>
          </w:tcPr>
          <w:p w14:paraId="402F337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50" w:type="dxa"/>
            <w:gridSpan w:val="4"/>
          </w:tcPr>
          <w:p w14:paraId="5CFDE96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49" w:type="dxa"/>
          </w:tcPr>
          <w:p w14:paraId="3BD9BA2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6A76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61AE0001">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1DFD78F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生态流量确定</w:t>
            </w:r>
          </w:p>
        </w:tc>
        <w:tc>
          <w:tcPr>
            <w:tcW w:w="6247" w:type="dxa"/>
            <w:gridSpan w:val="13"/>
            <w:vAlign w:val="center"/>
          </w:tcPr>
          <w:p w14:paraId="4751AE95">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生态流量：一般水期（ ）m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/s；鱼类繁殖期（ ）m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/s；其他（ ）m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 xml:space="preserve">/s </w:t>
            </w:r>
          </w:p>
          <w:p w14:paraId="2A9A156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生态水位：一般水期（ ）m；鱼类繁殖期（ ）m；其他（ ）m</w:t>
            </w:r>
          </w:p>
        </w:tc>
      </w:tr>
      <w:tr w14:paraId="57EAB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restart"/>
            <w:vAlign w:val="center"/>
          </w:tcPr>
          <w:p w14:paraId="44F99DC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w:t>
            </w:r>
          </w:p>
          <w:p w14:paraId="3C2027A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w:t>
            </w:r>
          </w:p>
          <w:p w14:paraId="06F827A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w:t>
            </w:r>
          </w:p>
          <w:p w14:paraId="4F74D05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w:t>
            </w:r>
          </w:p>
        </w:tc>
        <w:tc>
          <w:tcPr>
            <w:tcW w:w="1405" w:type="dxa"/>
            <w:vAlign w:val="center"/>
          </w:tcPr>
          <w:p w14:paraId="2E0F10C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环保措施</w:t>
            </w:r>
          </w:p>
        </w:tc>
        <w:tc>
          <w:tcPr>
            <w:tcW w:w="6247" w:type="dxa"/>
            <w:gridSpan w:val="13"/>
            <w:vAlign w:val="center"/>
          </w:tcPr>
          <w:p w14:paraId="53BB85B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污水处理设施</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；水文减缓设施□；生态流量保障设施□；区域削减□；依托其他工程措施□；其他□</w:t>
            </w:r>
          </w:p>
        </w:tc>
      </w:tr>
      <w:tr w14:paraId="78536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119546F1">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restart"/>
            <w:vAlign w:val="center"/>
          </w:tcPr>
          <w:p w14:paraId="5F02F6E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监测计划</w:t>
            </w:r>
          </w:p>
        </w:tc>
        <w:tc>
          <w:tcPr>
            <w:tcW w:w="1614" w:type="dxa"/>
            <w:gridSpan w:val="3"/>
            <w:vAlign w:val="center"/>
          </w:tcPr>
          <w:p w14:paraId="7E563539">
            <w:pPr>
              <w:spacing w:line="360" w:lineRule="exact"/>
              <w:ind w:firstLine="0" w:firstLineChars="0"/>
              <w:jc w:val="left"/>
              <w:rPr>
                <w:rFonts w:hint="default" w:ascii="Times New Roman" w:hAnsi="Times New Roman" w:cs="Times New Roman"/>
                <w:color w:val="auto"/>
                <w:sz w:val="21"/>
                <w:szCs w:val="21"/>
                <w:highlight w:val="none"/>
              </w:rPr>
            </w:pPr>
          </w:p>
        </w:tc>
        <w:tc>
          <w:tcPr>
            <w:tcW w:w="2316" w:type="dxa"/>
            <w:gridSpan w:val="6"/>
            <w:vAlign w:val="center"/>
          </w:tcPr>
          <w:p w14:paraId="0FD0527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环境质量</w:t>
            </w:r>
          </w:p>
        </w:tc>
        <w:tc>
          <w:tcPr>
            <w:tcW w:w="2317" w:type="dxa"/>
            <w:gridSpan w:val="4"/>
            <w:vAlign w:val="center"/>
          </w:tcPr>
          <w:p w14:paraId="5B2658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r>
      <w:tr w14:paraId="7BD27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5208A72C">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66927D86">
            <w:pPr>
              <w:spacing w:line="360" w:lineRule="exact"/>
              <w:ind w:firstLine="0" w:firstLineChars="0"/>
              <w:jc w:val="center"/>
              <w:rPr>
                <w:rFonts w:hint="default" w:ascii="Times New Roman" w:hAnsi="Times New Roman" w:cs="Times New Roman"/>
                <w:color w:val="auto"/>
                <w:sz w:val="21"/>
                <w:szCs w:val="21"/>
                <w:highlight w:val="none"/>
              </w:rPr>
            </w:pPr>
          </w:p>
        </w:tc>
        <w:tc>
          <w:tcPr>
            <w:tcW w:w="1614" w:type="dxa"/>
            <w:gridSpan w:val="3"/>
            <w:vAlign w:val="center"/>
          </w:tcPr>
          <w:p w14:paraId="7FC999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监测方式</w:t>
            </w:r>
          </w:p>
        </w:tc>
        <w:tc>
          <w:tcPr>
            <w:tcW w:w="2316" w:type="dxa"/>
            <w:gridSpan w:val="6"/>
            <w:vAlign w:val="center"/>
          </w:tcPr>
          <w:p w14:paraId="09B60C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手动□；自动□；</w:t>
            </w:r>
          </w:p>
          <w:p w14:paraId="651B64D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无监测</w:t>
            </w:r>
            <w:r>
              <w:rPr>
                <w:rFonts w:hint="default" w:ascii="Times New Roman" w:hAnsi="Times New Roman" w:cs="Times New Roman"/>
                <w:color w:val="auto"/>
                <w:sz w:val="21"/>
                <w:szCs w:val="21"/>
                <w:highlight w:val="none"/>
              </w:rPr>
              <w:sym w:font="Wingdings 2" w:char="0052"/>
            </w:r>
          </w:p>
        </w:tc>
        <w:tc>
          <w:tcPr>
            <w:tcW w:w="2317" w:type="dxa"/>
            <w:gridSpan w:val="4"/>
            <w:vAlign w:val="center"/>
          </w:tcPr>
          <w:p w14:paraId="0936113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手动</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rPr>
              <w:t>；自动□；</w:t>
            </w:r>
          </w:p>
          <w:p w14:paraId="039116A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无监测□</w:t>
            </w:r>
          </w:p>
        </w:tc>
      </w:tr>
      <w:tr w14:paraId="33BC9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745A16AF">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03B7E681">
            <w:pPr>
              <w:spacing w:line="360" w:lineRule="exact"/>
              <w:ind w:firstLine="0" w:firstLineChars="0"/>
              <w:jc w:val="center"/>
              <w:rPr>
                <w:rFonts w:hint="default" w:ascii="Times New Roman" w:hAnsi="Times New Roman" w:cs="Times New Roman"/>
                <w:color w:val="auto"/>
                <w:sz w:val="21"/>
                <w:szCs w:val="21"/>
                <w:highlight w:val="none"/>
              </w:rPr>
            </w:pPr>
          </w:p>
        </w:tc>
        <w:tc>
          <w:tcPr>
            <w:tcW w:w="1614" w:type="dxa"/>
            <w:gridSpan w:val="3"/>
            <w:vAlign w:val="center"/>
          </w:tcPr>
          <w:p w14:paraId="2D67557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2316" w:type="dxa"/>
            <w:gridSpan w:val="6"/>
            <w:vAlign w:val="center"/>
          </w:tcPr>
          <w:p w14:paraId="1799BEF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7" w:type="dxa"/>
            <w:gridSpan w:val="4"/>
            <w:vAlign w:val="center"/>
          </w:tcPr>
          <w:p w14:paraId="5D448E3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051C7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17953AB8">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Merge w:val="continue"/>
            <w:vAlign w:val="center"/>
          </w:tcPr>
          <w:p w14:paraId="0317B7F6">
            <w:pPr>
              <w:spacing w:line="360" w:lineRule="exact"/>
              <w:ind w:firstLine="0" w:firstLineChars="0"/>
              <w:jc w:val="center"/>
              <w:rPr>
                <w:rFonts w:hint="default" w:ascii="Times New Roman" w:hAnsi="Times New Roman" w:cs="Times New Roman"/>
                <w:color w:val="auto"/>
                <w:sz w:val="21"/>
                <w:szCs w:val="21"/>
                <w:highlight w:val="none"/>
              </w:rPr>
            </w:pPr>
          </w:p>
        </w:tc>
        <w:tc>
          <w:tcPr>
            <w:tcW w:w="1614" w:type="dxa"/>
            <w:gridSpan w:val="3"/>
            <w:vAlign w:val="center"/>
          </w:tcPr>
          <w:p w14:paraId="6FE5316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2316" w:type="dxa"/>
            <w:gridSpan w:val="6"/>
            <w:vAlign w:val="center"/>
          </w:tcPr>
          <w:p w14:paraId="2796D7D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7" w:type="dxa"/>
            <w:gridSpan w:val="4"/>
            <w:vAlign w:val="center"/>
          </w:tcPr>
          <w:p w14:paraId="0D8EC61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2D5EB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0" w:type="dxa"/>
            <w:vMerge w:val="continue"/>
            <w:vAlign w:val="center"/>
          </w:tcPr>
          <w:p w14:paraId="009B1E87">
            <w:pPr>
              <w:spacing w:line="360" w:lineRule="exact"/>
              <w:ind w:firstLine="0" w:firstLineChars="0"/>
              <w:jc w:val="center"/>
              <w:rPr>
                <w:rFonts w:hint="default" w:ascii="Times New Roman" w:hAnsi="Times New Roman" w:cs="Times New Roman"/>
                <w:color w:val="auto"/>
                <w:sz w:val="21"/>
                <w:szCs w:val="21"/>
                <w:highlight w:val="none"/>
              </w:rPr>
            </w:pPr>
          </w:p>
        </w:tc>
        <w:tc>
          <w:tcPr>
            <w:tcW w:w="1405" w:type="dxa"/>
            <w:vAlign w:val="center"/>
          </w:tcPr>
          <w:p w14:paraId="0E7F9F0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污染物排放清单</w:t>
            </w:r>
          </w:p>
        </w:tc>
        <w:tc>
          <w:tcPr>
            <w:tcW w:w="6247" w:type="dxa"/>
            <w:gridSpan w:val="13"/>
            <w:vAlign w:val="center"/>
          </w:tcPr>
          <w:p w14:paraId="1ADE7836">
            <w:pPr>
              <w:spacing w:line="360" w:lineRule="exact"/>
              <w:ind w:firstLine="0" w:firstLineChars="0"/>
              <w:jc w:val="left"/>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val="en-US" w:eastAsia="zh-CN"/>
              </w:rPr>
              <w:t>/</w:t>
            </w:r>
          </w:p>
        </w:tc>
      </w:tr>
      <w:tr w14:paraId="54730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75" w:type="dxa"/>
            <w:gridSpan w:val="2"/>
            <w:vAlign w:val="center"/>
          </w:tcPr>
          <w:p w14:paraId="047AE5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6247" w:type="dxa"/>
            <w:gridSpan w:val="13"/>
            <w:vAlign w:val="center"/>
          </w:tcPr>
          <w:p w14:paraId="5BC6573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可以接受</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；不可以接受□</w:t>
            </w:r>
          </w:p>
        </w:tc>
      </w:tr>
      <w:tr w14:paraId="7FCCE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22" w:type="dxa"/>
            <w:gridSpan w:val="15"/>
            <w:vAlign w:val="center"/>
          </w:tcPr>
          <w:p w14:paraId="6F8C964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注：“□”为勾选项，可√；“（ ）”为内容填写项；“备注”为其他补充内容。</w:t>
            </w:r>
          </w:p>
        </w:tc>
      </w:tr>
      <w:bookmarkEnd w:id="754"/>
      <w:bookmarkEnd w:id="755"/>
      <w:bookmarkEnd w:id="756"/>
    </w:tbl>
    <w:p w14:paraId="2B66570D">
      <w:pPr>
        <w:pStyle w:val="4"/>
        <w:rPr>
          <w:rFonts w:hint="default" w:ascii="Times New Roman" w:hAnsi="Times New Roman" w:cs="Times New Roman"/>
          <w:color w:val="auto"/>
          <w:highlight w:val="none"/>
        </w:rPr>
      </w:pPr>
      <w:bookmarkStart w:id="759" w:name="_Toc25091"/>
      <w:bookmarkStart w:id="760" w:name="_Toc10714"/>
      <w:bookmarkStart w:id="761" w:name="_Toc7806"/>
      <w:r>
        <w:rPr>
          <w:rFonts w:hint="default" w:ascii="Times New Roman" w:hAnsi="Times New Roman" w:cs="Times New Roman"/>
          <w:color w:val="auto"/>
          <w:highlight w:val="none"/>
        </w:rPr>
        <w:t>5.2.3运营期地下水环境影响分析与评价</w:t>
      </w:r>
    </w:p>
    <w:p w14:paraId="670E82BB">
      <w:pPr>
        <w:pStyle w:val="5"/>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5.2.3.1</w:t>
      </w:r>
      <w:r>
        <w:rPr>
          <w:rFonts w:hint="default" w:ascii="Times New Roman" w:hAnsi="Times New Roman" w:cs="Times New Roman"/>
          <w:color w:val="auto"/>
          <w:highlight w:val="none"/>
          <w:lang w:val="zh-CN"/>
        </w:rPr>
        <w:t>区域水文地质条件</w:t>
      </w:r>
    </w:p>
    <w:p w14:paraId="10857F1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rPr>
        <w:t>岩（矿）层的富水性</w:t>
      </w:r>
    </w:p>
    <w:p w14:paraId="5029E22B">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根据区域水文地质资料及勘查工作成果，</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区地下水类型主要为基岩裂隙水，其现将区内含水层划分如下：</w:t>
      </w:r>
    </w:p>
    <w:p w14:paraId="3981DA81">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第四系透水不含水层（Ⅰ）</w:t>
      </w:r>
    </w:p>
    <w:p w14:paraId="375252AD">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第四系松散堆积物主要分布在地势平坦开阔的戈壁滩中，主要由风积沙土、洪积砂砾石或二者的混合物组成，局部含基岩全风化物质。风积沙土通常为粉砂，颗粒细；砂砾石从细砂到粒径大于20cm的漂石都有分布，分选性差，且多呈次棱角状-次圆状，磨圆度差。根据钻孔岩芯编录及冲沟揭露的地层来看，地表约20到30cm通常为风积沙土或风积沙土夹砂砾石（此层风积沙土含量高于砂砾石），呈松散状，本矿区第四系松散堆积物位于地下水位以上，为透水不含水层。</w:t>
      </w:r>
    </w:p>
    <w:p w14:paraId="61FEF43D">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中泥盆统北塔山组基岩裂隙弱富水性含水层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Ⅱ</w:t>
      </w:r>
      <w:r>
        <w:rPr>
          <w:rFonts w:hint="default" w:ascii="Times New Roman" w:hAnsi="Times New Roman" w:eastAsia="宋体" w:cs="Times New Roman"/>
          <w:color w:val="auto"/>
          <w:highlight w:val="none"/>
          <w:lang w:eastAsia="zh-CN"/>
        </w:rPr>
        <w:t>）</w:t>
      </w:r>
    </w:p>
    <w:p w14:paraId="3B90F27A">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主要为中泥盆统北塔山组第三岩性段（D2b3）和第四岩性段（D2b4），岩性为千枚岩、大理岩、片理化凝灰岩、安山玢岩，岩石裂隙较发育，含裂隙潜水。</w:t>
      </w:r>
    </w:p>
    <w:p w14:paraId="7D24C306">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根据SZK0301水文孔对该含水层抽水试验结果（见表</w:t>
      </w:r>
      <w:r>
        <w:rPr>
          <w:rFonts w:hint="default" w:ascii="Times New Roman" w:hAnsi="Times New Roman" w:eastAsia="宋体" w:cs="Times New Roman"/>
          <w:color w:val="auto"/>
          <w:highlight w:val="none"/>
          <w:lang w:val="en-US" w:eastAsia="zh-CN"/>
        </w:rPr>
        <w:t>4.1</w:t>
      </w:r>
      <w:r>
        <w:rPr>
          <w:rFonts w:hint="default" w:ascii="Times New Roman" w:hAnsi="Times New Roman" w:eastAsia="宋体" w:cs="Times New Roman"/>
          <w:color w:val="auto"/>
          <w:highlight w:val="none"/>
        </w:rPr>
        <w:t>-1）：在以流量为0.291～0.625L/s进行抽水时，水位降深9.27～27.87m，单位涌水量为0.0224～0.0314L/s·m（换算为91mm孔径，10m降深标准涌水量为0.027L/s·m，通过计算，该含水层渗透系数为0.0065～0.0076m/d，抽水影响半径31～84m。</w:t>
      </w:r>
    </w:p>
    <w:p w14:paraId="15995B4B">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ZK1407水文孔对该含水层抽水试验结果：在以流量为0.6028L/s进行抽水时，水位降深64.42m，单位涌水量为0.0094L/s·m（换算为91mm孔径，10m降深标准涌水量为0.0058L/s·m），通过计算，该含水层渗透系数为0.0036m/d，抽水影响半径131m。</w:t>
      </w:r>
    </w:p>
    <w:p w14:paraId="2DCEC5B4">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ZK1412水文孔对该含水层抽水试验结果：在以流量为0.1373L/s进行抽水时，水位降深42.86m，单位涌水量为0.0032L/s·m（换算为91mm孔径，10m降深标准涌水量为0.002L/s·m），通过计算，该含水层渗透系数为0.0008m/d，抽水影响半径46m。</w:t>
      </w:r>
    </w:p>
    <w:p w14:paraId="6F01DC66">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根据《矿区水文地质工程地质勘查规范》（GB/T 12719-2021）含水层富水性分级q≤0.1L/（s·m）</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确定该含水层为弱富水性含水层。</w:t>
      </w:r>
    </w:p>
    <w:p w14:paraId="0D9EBB3B">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隔水层（Ⅲ）</w:t>
      </w:r>
    </w:p>
    <w:p w14:paraId="1943E5EA">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千枚岩、安山质类岩、花岗质类岩及大理岩等都是不溶或难溶岩，在钻孔中深部，仅在极个别部位发现溶蚀小孔，这几类基岩往往形成开启度极小甚至闭合的裂隙，因而透水性极差，形成本区基岩地下水局部相对隔水层。</w:t>
      </w:r>
    </w:p>
    <w:p w14:paraId="4A4C69F8">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②</w:t>
      </w:r>
      <w:r>
        <w:rPr>
          <w:rFonts w:hint="default" w:ascii="Times New Roman" w:hAnsi="Times New Roman" w:eastAsia="宋体" w:cs="Times New Roman"/>
          <w:color w:val="auto"/>
          <w:highlight w:val="none"/>
        </w:rPr>
        <w:t>构造破碎带的水文地质特征</w:t>
      </w:r>
    </w:p>
    <w:p w14:paraId="1C1976EC">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内破碎带主要为接触破碎带和构造破碎带，其中构造破碎带主要位于F5、F6及F7断层，根据区域水文资料，F5断层（乔夏哈拉断裂），为单层充水断层，具有一定导、储水性，但该断层对本矿区而言，属于边界断层，对矿床充水影响较小。</w:t>
      </w:r>
    </w:p>
    <w:p w14:paraId="08C0B6DD">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内SZK0303水文孔（民井）揭穿韧性变形带（R1），根据该孔对该变形带抽水试验结果（见表7-2）：在以流量为0.142L/s进行抽水时，水位降深10.84m，单位涌水量为0.0131L/s·m（换算为91mm孔径，10m降深标准涌水量为0.027L/s·m），通过计算，该含水层渗透系数为0.0032m/d，抽水影响半径23m。根据《矿区水文地质工程地质勘查规范》（GB/T 12719-2021）含水层富水性分级q≤0.1 L/（s·m）</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确定该韧性变形带及基岩含水层富水性弱。</w:t>
      </w:r>
    </w:p>
    <w:p w14:paraId="2E25C3ED">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③</w:t>
      </w:r>
      <w:r>
        <w:rPr>
          <w:rFonts w:hint="default" w:ascii="Times New Roman" w:hAnsi="Times New Roman" w:eastAsia="宋体" w:cs="Times New Roman"/>
          <w:color w:val="auto"/>
          <w:highlight w:val="none"/>
        </w:rPr>
        <w:t>地下水动态及其补给、径流与排泄</w:t>
      </w:r>
    </w:p>
    <w:p w14:paraId="4E585757">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位于阿尔泰山山前戈壁荒漠带，在区域水文地质单元上属于地下水的补给、径流区，区内地下水主要接受上游地下水侧向径流、大气降水、春季冰雪融水的补给，地下水在水势梯度作用下沿第四系松散堆积物的孔隙或基岩的风化裂隙网络，由地势较高的部位径流到地势较低的部位，区内地下水流向总体为由东北向西南。</w:t>
      </w:r>
    </w:p>
    <w:p w14:paraId="559631D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本区地下水的排泄一部分通过地表蒸发或植物蒸腾方式排泄到大气，另一部分则以径流的方式流向下游，并在下游条件适合部位以泄流或者泉水形式排泄到地表水体。</w:t>
      </w:r>
    </w:p>
    <w:p w14:paraId="384D4D0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④</w:t>
      </w:r>
      <w:r>
        <w:rPr>
          <w:rFonts w:hint="default" w:ascii="Times New Roman" w:hAnsi="Times New Roman" w:eastAsia="宋体" w:cs="Times New Roman"/>
          <w:color w:val="auto"/>
          <w:highlight w:val="none"/>
        </w:rPr>
        <w:t>地下水化学特征</w:t>
      </w:r>
    </w:p>
    <w:p w14:paraId="55B98B4C">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根据本区钻孔本区地下水阳离子主要以Ca</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、Mg</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、Na</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、K</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为主，阴离子主要以SO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、Cl</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、HCO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、F</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为主，总硬度392～635mg/L，总碱度122～134mg/L，总酸度5.07～5.07mg/L，</w:t>
      </w:r>
      <w:r>
        <w:rPr>
          <w:rFonts w:hint="default" w:ascii="Times New Roman" w:hAnsi="Times New Roman" w:eastAsia="宋体" w:cs="Times New Roman"/>
          <w:color w:val="auto"/>
          <w:highlight w:val="none"/>
          <w:lang w:val="en-US" w:eastAsia="zh-CN"/>
        </w:rPr>
        <w:t>p</w:t>
      </w:r>
      <w:r>
        <w:rPr>
          <w:rFonts w:hint="default" w:ascii="Times New Roman" w:hAnsi="Times New Roman" w:eastAsia="宋体" w:cs="Times New Roman"/>
          <w:color w:val="auto"/>
          <w:highlight w:val="none"/>
        </w:rPr>
        <w:t>H值7.62～7.97，矿化度918～1376mg/L，水化学类型为SO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-Ca·Mg型、SO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-Ca·Mg·Na型。</w:t>
      </w:r>
    </w:p>
    <w:p w14:paraId="20954F36">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⑤</w:t>
      </w:r>
      <w:r>
        <w:rPr>
          <w:rFonts w:hint="default" w:ascii="Times New Roman" w:hAnsi="Times New Roman" w:eastAsia="宋体" w:cs="Times New Roman"/>
          <w:color w:val="auto"/>
          <w:highlight w:val="none"/>
        </w:rPr>
        <w:t>充水因素分析</w:t>
      </w:r>
    </w:p>
    <w:p w14:paraId="2995B75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w:t>
      </w:r>
      <w:r>
        <w:rPr>
          <w:rFonts w:hint="default" w:ascii="Times New Roman" w:hAnsi="Times New Roman" w:eastAsia="宋体" w:cs="Times New Roman"/>
          <w:color w:val="auto"/>
          <w:highlight w:val="none"/>
          <w:lang w:val="en-US" w:eastAsia="zh-CN"/>
        </w:rPr>
        <w:t>评价范围</w:t>
      </w:r>
      <w:r>
        <w:rPr>
          <w:rFonts w:hint="default" w:ascii="Times New Roman" w:hAnsi="Times New Roman" w:eastAsia="宋体" w:cs="Times New Roman"/>
          <w:color w:val="auto"/>
          <w:highlight w:val="none"/>
        </w:rPr>
        <w:t>内没有地表水源，区内没有老空区赋存，不存在老空区突水问题。大气降水和基岩裂隙水是矿床的主要充水水源。</w:t>
      </w:r>
    </w:p>
    <w:p w14:paraId="6DD583EC">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充水水源</w:t>
      </w:r>
    </w:p>
    <w:p w14:paraId="14615E22">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.大气降水</w:t>
      </w:r>
    </w:p>
    <w:p w14:paraId="0AF989E6">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区在区域上位于地下水径流区，区内岩石地表风化裂隙及深部裂隙均有不同程度的发育，具有一定的透水性和含水性，可接受大气降水补给</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但由于矿区年降水量稀少而蒸发量大</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大气降水对地下水补给量有限。</w:t>
      </w:r>
    </w:p>
    <w:p w14:paraId="7F0895F6">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.基岩裂隙水</w:t>
      </w:r>
    </w:p>
    <w:p w14:paraId="7C6CFCA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本项目配套矿山</w:t>
      </w:r>
      <w:r>
        <w:rPr>
          <w:rFonts w:hint="default" w:ascii="Times New Roman" w:hAnsi="Times New Roman" w:eastAsia="宋体" w:cs="Times New Roman"/>
          <w:color w:val="auto"/>
          <w:highlight w:val="none"/>
        </w:rPr>
        <w:t>矿体开采标高在772～1130米，地下水水位标高在1048.88～1067.509米，矿体开采标高多位于地下水位以下。基岩裂隙水是矿井的主要充水水源，</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区内基岩裂隙含水层富水性弱，补给来源单一且有限，未来开采时矿井水易于疏干。</w:t>
      </w:r>
    </w:p>
    <w:p w14:paraId="1C668135">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充水通道</w:t>
      </w:r>
    </w:p>
    <w:p w14:paraId="26E152A9">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.破碎带</w:t>
      </w:r>
    </w:p>
    <w:p w14:paraId="2C01E943">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区内主要表现为接触破碎带和构造破碎带。破碎带岩石破碎，裂隙发育，连通性好，</w:t>
      </w:r>
      <w:r>
        <w:rPr>
          <w:rFonts w:hint="default" w:cs="Times New Roman"/>
          <w:color w:val="auto"/>
          <w:highlight w:val="none"/>
          <w:lang w:eastAsia="zh-CN"/>
        </w:rPr>
        <w:t>具有</w:t>
      </w:r>
      <w:r>
        <w:rPr>
          <w:rFonts w:hint="default" w:ascii="Times New Roman" w:hAnsi="Times New Roman" w:eastAsia="宋体" w:cs="Times New Roman"/>
          <w:color w:val="auto"/>
          <w:highlight w:val="none"/>
        </w:rPr>
        <w:t>良好的透水性，与矿床连通，形成充水通道。</w:t>
      </w:r>
    </w:p>
    <w:p w14:paraId="20FD2834">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.围岩裂隙</w:t>
      </w:r>
    </w:p>
    <w:p w14:paraId="1830A1EA">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围岩发育有不同性质的裂隙与矿体裂隙相互连通，是地下水进入矿体的主要通道，各类围岩裂隙均有不同程度的发育，</w:t>
      </w:r>
      <w:r>
        <w:rPr>
          <w:rFonts w:hint="default" w:cs="Times New Roman"/>
          <w:color w:val="auto"/>
          <w:highlight w:val="none"/>
          <w:lang w:eastAsia="zh-CN"/>
        </w:rPr>
        <w:t>具有</w:t>
      </w:r>
      <w:r>
        <w:rPr>
          <w:rFonts w:hint="default" w:ascii="Times New Roman" w:hAnsi="Times New Roman" w:eastAsia="宋体" w:cs="Times New Roman"/>
          <w:color w:val="auto"/>
          <w:highlight w:val="none"/>
        </w:rPr>
        <w:t>一定连通性和导水性。</w:t>
      </w:r>
    </w:p>
    <w:p w14:paraId="3E5F4EEE">
      <w:pPr>
        <w:widowControl/>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充水强度</w:t>
      </w:r>
    </w:p>
    <w:p w14:paraId="440D90A4">
      <w:pPr>
        <w:rPr>
          <w:rFonts w:hint="default"/>
          <w:color w:val="auto"/>
          <w:highlight w:val="none"/>
        </w:rPr>
      </w:pPr>
      <w:r>
        <w:rPr>
          <w:rFonts w:hint="default" w:ascii="Times New Roman" w:hAnsi="Times New Roman" w:eastAsia="宋体" w:cs="Times New Roman"/>
          <w:color w:val="auto"/>
          <w:highlight w:val="none"/>
        </w:rPr>
        <w:t>矿区所处区域降水少而蒸发量大，区内地下水以裂隙含水层为主，富水性弱，地下水补给条件一般；区内矿床充水通道主要为破碎带及围岩裂隙，综合充水水源及通道，本区充水强度中等。</w:t>
      </w:r>
    </w:p>
    <w:p w14:paraId="5AA5F2E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5.2.3.2水文地质实验</w:t>
      </w:r>
    </w:p>
    <w:p w14:paraId="031826FA">
      <w:pPr>
        <w:widowControl/>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（1）钻探</w:t>
      </w:r>
    </w:p>
    <w:p w14:paraId="5FB29AE0">
      <w:pPr>
        <w:widowControl/>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在详查区开展1:2000水文地质测量、工程地质测量、环境地质测量工作，开展地表水、地下水动态长期观测工作，重点做好长期观测工作，通过钻孔抽水试验查明区内含水层富水性，通过钻孔工程地质揭露及力学样化验，查明区内岩石稳定性、裂隙发育程度、环境影响评价，查明矿床开采技术条件。</w:t>
      </w:r>
    </w:p>
    <w:p w14:paraId="5B602BF7">
      <w:pPr>
        <w:widowControl/>
        <w:overflowPunct w:val="0"/>
        <w:topLinePunct/>
        <w:ind w:firstLine="480"/>
        <w:rPr>
          <w:rFonts w:hint="default" w:ascii="Times New Roman" w:hAnsi="Times New Roman" w:cs="Times New Roman"/>
          <w:color w:val="auto"/>
          <w:kern w:val="0"/>
          <w:highlight w:val="none"/>
        </w:rPr>
      </w:pPr>
      <w:bookmarkStart w:id="762" w:name="_Toc94391542"/>
      <w:r>
        <w:rPr>
          <w:rFonts w:hint="default" w:ascii="Times New Roman" w:hAnsi="Times New Roman" w:cs="Times New Roman"/>
          <w:color w:val="auto"/>
          <w:kern w:val="0"/>
          <w:highlight w:val="none"/>
        </w:rPr>
        <w:t>（3）</w:t>
      </w:r>
      <w:r>
        <w:rPr>
          <w:rFonts w:hint="default" w:cs="Times New Roman"/>
          <w:color w:val="auto"/>
          <w:kern w:val="0"/>
          <w:highlight w:val="none"/>
          <w:lang w:val="en-US" w:eastAsia="zh-CN"/>
        </w:rPr>
        <w:t>抽</w:t>
      </w:r>
      <w:r>
        <w:rPr>
          <w:rFonts w:hint="default" w:ascii="Times New Roman" w:hAnsi="Times New Roman" w:cs="Times New Roman"/>
          <w:color w:val="auto"/>
          <w:kern w:val="0"/>
          <w:highlight w:val="none"/>
        </w:rPr>
        <w:t>水试验</w:t>
      </w:r>
      <w:bookmarkEnd w:id="762"/>
    </w:p>
    <w:p w14:paraId="2E9ACE3C">
      <w:pPr>
        <w:widowControl/>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本次对区内4孔进行了抽水试验，分别为：SZK1407、SZK1412孔对区内基岩裂隙含水层分别进行单次降深抽水试验，SZK0301孔对区内基岩裂隙含水层进行了三次降深抽水试验，SZK0301孔（附近民井）对勘查区南部近破碎带进行了单次降深抽水试验。</w:t>
      </w:r>
    </w:p>
    <w:p w14:paraId="3942A742">
      <w:pPr>
        <w:widowControl/>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本次抽水试验抽水设备为潜水泵，流量观测均采用容积法，水位观测采用万用表(47k)电阻测量。采用稳定流试验方法，抽（提）水过程连续，Q-s 及 q-s 曲线正常。抽水结束后，分别采取了水样</w:t>
      </w:r>
      <w:r>
        <w:rPr>
          <w:rFonts w:hint="eastAsia" w:cs="Times New Roman"/>
          <w:color w:val="auto"/>
          <w:kern w:val="0"/>
          <w:highlight w:val="none"/>
          <w:lang w:val="en-US" w:eastAsia="zh-CN"/>
        </w:rPr>
        <w:t>及</w:t>
      </w:r>
      <w:r>
        <w:rPr>
          <w:rFonts w:hint="default" w:ascii="Times New Roman" w:hAnsi="Times New Roman" w:cs="Times New Roman"/>
          <w:color w:val="auto"/>
          <w:kern w:val="0"/>
          <w:highlight w:val="none"/>
          <w:lang w:val="en-US" w:eastAsia="zh-CN"/>
        </w:rPr>
        <w:t>水质化验。</w:t>
      </w:r>
    </w:p>
    <w:p w14:paraId="17AC884A">
      <w:pPr>
        <w:widowControl/>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抽水试验质量评述：本次区内水文孔在施工及抽水试验过程中均严格按照《矿区水文地质工程地质勘查规范》（GB/T 12719-2021）执行，满足稳定流抽水试验的要求，抽水延续时间及抽水稳定段时间（≧8小时）均达到了规定要求，抽（提）水时水位误差≤±0.1m，流量误差≤±3%，精度符合抽（提）水试验相关规范要求。在抽水后期按照相关规范要求取相应含水层水样做水质分析。在抽水试验开始前、后均测量抽水孔深，以了解抽水前、后孔底沉淀情况，经测深，孔底沉淀均在规定范围之内，满足规范要求。</w:t>
      </w:r>
    </w:p>
    <w:p w14:paraId="1DFD9AAB">
      <w:pPr>
        <w:pStyle w:val="5"/>
        <w:ind w:firstLine="482"/>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5.2.3.3</w:t>
      </w:r>
      <w:r>
        <w:rPr>
          <w:rFonts w:hint="default" w:ascii="Times New Roman" w:hAnsi="Times New Roman" w:cs="Times New Roman"/>
          <w:color w:val="auto"/>
          <w:highlight w:val="none"/>
          <w:lang w:val="zh-CN"/>
        </w:rPr>
        <w:t>排水对地下水的影响</w:t>
      </w:r>
    </w:p>
    <w:p w14:paraId="131E1372">
      <w:pPr>
        <w:pStyle w:val="32"/>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1、含水层破坏现状分析</w:t>
      </w:r>
    </w:p>
    <w:p w14:paraId="02D3E5DC">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①选矿废水对地下水的影响</w:t>
      </w:r>
    </w:p>
    <w:p w14:paraId="50AFA283">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本项目运营期选矿废水产生于选矿过程中，选矿废水包括精矿过滤水、尾矿浓缩压滤溢流水、尾矿含水</w:t>
      </w:r>
      <w:r>
        <w:rPr>
          <w:rFonts w:hint="default" w:ascii="Times New Roman" w:hAnsi="Times New Roman" w:cs="Times New Roman"/>
          <w:color w:val="auto"/>
          <w:kern w:val="0"/>
          <w:highlight w:val="none"/>
        </w:rPr>
        <w:t>。</w:t>
      </w:r>
      <w:r>
        <w:rPr>
          <w:rFonts w:hint="default" w:ascii="Times New Roman" w:hAnsi="Times New Roman" w:cs="Times New Roman"/>
          <w:color w:val="auto"/>
          <w:highlight w:val="none"/>
        </w:rPr>
        <w:t>选矿废水量约为</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kern w:val="0"/>
          <w:highlight w:val="none"/>
        </w:rPr>
        <w:t>主要污染因子为pH、COD、SS及少量金属等</w:t>
      </w:r>
      <w:r>
        <w:rPr>
          <w:rFonts w:hint="default" w:ascii="Times New Roman" w:hAnsi="Times New Roman" w:cs="Times New Roman"/>
          <w:color w:val="auto"/>
          <w:highlight w:val="none"/>
        </w:rPr>
        <w:t>。</w:t>
      </w:r>
      <w:r>
        <w:rPr>
          <w:rFonts w:hint="default" w:ascii="Times New Roman" w:hAnsi="Times New Roman" w:cs="Times New Roman"/>
          <w:color w:val="auto"/>
          <w:kern w:val="0"/>
          <w:highlight w:val="none"/>
        </w:rPr>
        <w:t>选矿废水部分被</w:t>
      </w:r>
      <w:r>
        <w:rPr>
          <w:rFonts w:hint="default" w:cs="Times New Roman"/>
          <w:color w:val="auto"/>
          <w:kern w:val="0"/>
          <w:highlight w:val="none"/>
          <w:lang w:val="en-US" w:eastAsia="zh-CN"/>
        </w:rPr>
        <w:t>金</w:t>
      </w:r>
      <w:r>
        <w:rPr>
          <w:rFonts w:hint="default" w:ascii="Times New Roman" w:hAnsi="Times New Roman" w:cs="Times New Roman"/>
          <w:color w:val="auto"/>
          <w:kern w:val="0"/>
          <w:highlight w:val="none"/>
        </w:rPr>
        <w:t>精粉带走，精矿过滤水、尾矿浓缩压滤溢流水返回生产工序循环利用，尾矿矿浆通过管道输送至尾矿库，尾矿库设有回水系统，使用水泵将库内澄清水通过管道泵送至选矿厂生产回水池，供选矿循环使用，实现选矿废水</w:t>
      </w:r>
      <w:r>
        <w:rPr>
          <w:rFonts w:hint="default" w:ascii="Times New Roman" w:hAnsi="Times New Roman" w:cs="Times New Roman"/>
          <w:color w:val="auto"/>
          <w:highlight w:val="none"/>
        </w:rPr>
        <w:t>“闭路循环”，不外排，</w:t>
      </w:r>
      <w:r>
        <w:rPr>
          <w:rFonts w:hint="default" w:ascii="Times New Roman" w:hAnsi="Times New Roman" w:cs="Times New Roman"/>
          <w:color w:val="auto"/>
          <w:kern w:val="0"/>
          <w:highlight w:val="none"/>
        </w:rPr>
        <w:t>对区域地下水水质影响较轻。</w:t>
      </w:r>
    </w:p>
    <w:p w14:paraId="56A975FD">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②生活污水对地下水的影响</w:t>
      </w:r>
    </w:p>
    <w:p w14:paraId="2CE84F69">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本项目生活污水排入新建的地埋式一体化污水处理设施处理。达到《农村生活污水处理排放标准》（DB65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highlight w:val="none"/>
          <w:lang w:val="en-US" w:eastAsia="zh-CN"/>
        </w:rPr>
        <w:t>灌溉季用于厂区绿化，非灌溉季</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highlight w:val="none"/>
        </w:rPr>
        <w:t>，不外排，对区域地下水水质影响较轻。</w:t>
      </w:r>
    </w:p>
    <w:p w14:paraId="6510E867">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2、机修间对地下水的影响</w:t>
      </w:r>
    </w:p>
    <w:p w14:paraId="72790607">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为防止机修间发生跑冒滴漏，机修间地面需为混凝土结构，防渗系数小于10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cm/s，有效防止石油类渗漏。同时，对储运过程产生的危险废物按照《危险废物贮存污染控制标准》（</w:t>
      </w:r>
      <w:r>
        <w:rPr>
          <w:rFonts w:hint="default" w:cs="Times New Roman"/>
          <w:color w:val="auto"/>
          <w:highlight w:val="none"/>
          <w:lang w:eastAsia="zh-CN"/>
        </w:rPr>
        <w:t>GB 18597—2023</w:t>
      </w:r>
      <w:r>
        <w:rPr>
          <w:rFonts w:hint="default" w:ascii="Times New Roman" w:hAnsi="Times New Roman" w:cs="Times New Roman"/>
          <w:color w:val="auto"/>
          <w:highlight w:val="none"/>
        </w:rPr>
        <w:t>）的要求利用相应的容器进行收集并暂存于新建</w:t>
      </w:r>
      <w:r>
        <w:rPr>
          <w:rFonts w:hint="default" w:cs="Times New Roman"/>
          <w:color w:val="auto"/>
          <w:highlight w:val="none"/>
          <w:lang w:eastAsia="zh-CN"/>
        </w:rPr>
        <w:t>危废贮存点</w:t>
      </w:r>
      <w:r>
        <w:rPr>
          <w:rFonts w:hint="default" w:ascii="Times New Roman" w:hAnsi="Times New Roman" w:cs="Times New Roman"/>
          <w:color w:val="auto"/>
          <w:highlight w:val="none"/>
        </w:rPr>
        <w:t>，定期委托有资质的单位进行处置，不会对地下水产生影响。</w:t>
      </w:r>
    </w:p>
    <w:p w14:paraId="37FD761F">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3、尾矿库对地下水的影响</w:t>
      </w:r>
    </w:p>
    <w:p w14:paraId="3A6106EC">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正常情况下，尾矿库蓄水对地下水的污染主要是由于污染物迁移穿过包气带进入含水层造成。</w:t>
      </w:r>
    </w:p>
    <w:p w14:paraId="445B397D">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尾矿库废水能否进入含水层取决于地质、水文地质条件和工程采取的防渗漏措施。对于承压水层由于上部有隔水顶板，只要废水不进入补给区，就不会污染地下水。对于潜水含水层，若其顶板为厚度不大的强透水层，废水则有可能通过隔水顶板进入含水层。由于潜水含水层的埋藏特点，导致其在任何部位都可接受补给，污染的危险性较大，其能否被污染取决于包气带的土壤性质和厚度，包气带中的细小颗粒可以滤去吸附某些污染物质。当废水分布于流域系统的补给区时，随着时间延续，污染物质将沿流线从补给区向排泄区逐渐扩展，最终可波及整个流动系统。当污染源位于排泄区，污染影响的范围比较局限，对地下水的影响较小。</w:t>
      </w:r>
    </w:p>
    <w:p w14:paraId="3802C979">
      <w:pPr>
        <w:rPr>
          <w:rFonts w:hint="default"/>
          <w:color w:val="auto"/>
          <w:highlight w:val="none"/>
          <w:lang w:val="zh-CN"/>
        </w:rPr>
      </w:pPr>
      <w:r>
        <w:rPr>
          <w:rFonts w:hint="default" w:ascii="Times New Roman" w:hAnsi="Times New Roman" w:cs="Times New Roman"/>
          <w:color w:val="auto"/>
          <w:kern w:val="2"/>
          <w:highlight w:val="none"/>
        </w:rPr>
        <w:t>本项目尾矿库区的天然基础层饱和渗透系数为</w:t>
      </w:r>
      <w:r>
        <w:rPr>
          <w:rFonts w:hint="default" w:cs="Times New Roman"/>
          <w:color w:val="auto"/>
          <w:kern w:val="2"/>
          <w:highlight w:val="none"/>
          <w:lang w:val="en-US" w:eastAsia="zh-CN"/>
        </w:rPr>
        <w:t>3.7</w:t>
      </w:r>
      <w:r>
        <w:rPr>
          <w:rFonts w:hint="default" w:ascii="Times New Roman" w:hAnsi="Times New Roman" w:cs="Times New Roman"/>
          <w:color w:val="auto"/>
          <w:kern w:val="2"/>
          <w:highlight w:val="none"/>
        </w:rPr>
        <w:t>×10</w:t>
      </w:r>
      <w:r>
        <w:rPr>
          <w:rFonts w:hint="default" w:ascii="Times New Roman" w:hAnsi="Times New Roman" w:cs="Times New Roman"/>
          <w:color w:val="auto"/>
          <w:kern w:val="2"/>
          <w:highlight w:val="none"/>
          <w:vertAlign w:val="superscript"/>
        </w:rPr>
        <w:t>-3</w:t>
      </w:r>
      <w:r>
        <w:rPr>
          <w:rFonts w:hint="default" w:ascii="Times New Roman" w:hAnsi="Times New Roman" w:cs="Times New Roman"/>
          <w:color w:val="auto"/>
          <w:kern w:val="2"/>
          <w:highlight w:val="none"/>
        </w:rPr>
        <w:t>m/</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依据《一般工业固体废物贮存和填埋污染控制标准》（GB18599-2020）规定，Ⅱ类场的防渗层采用单人工复合衬层，防渗层的防渗性能至少相当于1.5mm高密度聚乙烯膜的防渗性能。天然基础之上为导水层；导水层之上为粘土层；粘土层厚度为0.75m，且经压实、人工改性等措施处理后的饱和渗透系数不应大于1.0×10</w:t>
      </w:r>
      <w:r>
        <w:rPr>
          <w:rFonts w:hint="default" w:ascii="Times New Roman" w:hAnsi="Times New Roman" w:cs="Times New Roman"/>
          <w:color w:val="auto"/>
          <w:kern w:val="2"/>
          <w:highlight w:val="none"/>
          <w:vertAlign w:val="superscript"/>
        </w:rPr>
        <w:t>-7</w:t>
      </w:r>
      <w:r>
        <w:rPr>
          <w:rFonts w:hint="default" w:ascii="Times New Roman" w:hAnsi="Times New Roman" w:cs="Times New Roman"/>
          <w:color w:val="auto"/>
          <w:kern w:val="2"/>
          <w:highlight w:val="none"/>
        </w:rPr>
        <w:t>cm/s；粘土层之上采用单人工复合衬层。</w:t>
      </w:r>
    </w:p>
    <w:p w14:paraId="4EACDEB5">
      <w:pPr>
        <w:pStyle w:val="5"/>
        <w:ind w:firstLine="482"/>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5.2.3.4运营期尾矿库地下水环境影响预测与评价</w:t>
      </w:r>
    </w:p>
    <w:p w14:paraId="4823E55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非正常工况主要考虑了生产过程中由于回水池、循环水池、尾矿库、涉污管线出现破损导致的废水渗/泄漏排放，假设厂区地表未进行任何防渗处理，泄/渗漏的废水随着地势向周围扩散，并向泄漏源四周的土壤渗透，下渗污染地下水。</w:t>
      </w:r>
    </w:p>
    <w:p w14:paraId="4A97F16F">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根据</w:t>
      </w:r>
      <w:r>
        <w:rPr>
          <w:rFonts w:hint="default" w:ascii="Times New Roman" w:hAnsi="Times New Roman" w:cs="Times New Roman"/>
          <w:color w:val="auto"/>
          <w:kern w:val="2"/>
          <w:highlight w:val="none"/>
          <w:lang w:val="en-US" w:eastAsia="zh-CN"/>
        </w:rPr>
        <w:t>项目可研</w:t>
      </w:r>
      <w:r>
        <w:rPr>
          <w:rFonts w:hint="default" w:ascii="Times New Roman" w:hAnsi="Times New Roman" w:cs="Times New Roman"/>
          <w:color w:val="auto"/>
          <w:kern w:val="2"/>
          <w:highlight w:val="none"/>
        </w:rPr>
        <w:t>，尾矿库天然基础层饱和渗透系数为</w:t>
      </w:r>
      <w:r>
        <w:rPr>
          <w:rFonts w:hint="default" w:ascii="Times New Roman" w:hAnsi="Times New Roman" w:cs="Times New Roman"/>
          <w:color w:val="auto"/>
          <w:kern w:val="2"/>
          <w:highlight w:val="none"/>
          <w:lang w:val="en-US" w:eastAsia="zh-CN"/>
        </w:rPr>
        <w:t>3.7</w:t>
      </w:r>
      <w:r>
        <w:rPr>
          <w:rFonts w:hint="default" w:ascii="Times New Roman" w:hAnsi="Times New Roman" w:cs="Times New Roman"/>
          <w:color w:val="auto"/>
          <w:kern w:val="2"/>
          <w:highlight w:val="none"/>
        </w:rPr>
        <w:t>×10</w:t>
      </w:r>
      <w:r>
        <w:rPr>
          <w:rFonts w:hint="default" w:ascii="Times New Roman" w:hAnsi="Times New Roman" w:cs="Times New Roman"/>
          <w:color w:val="auto"/>
          <w:kern w:val="2"/>
          <w:highlight w:val="none"/>
          <w:vertAlign w:val="superscript"/>
        </w:rPr>
        <w:t>-3</w:t>
      </w:r>
      <w:r>
        <w:rPr>
          <w:rFonts w:hint="default" w:ascii="Times New Roman" w:hAnsi="Times New Roman" w:cs="Times New Roman"/>
          <w:color w:val="auto"/>
          <w:kern w:val="2"/>
          <w:highlight w:val="none"/>
        </w:rPr>
        <w:t>m/</w:t>
      </w:r>
      <w:r>
        <w:rPr>
          <w:rFonts w:hint="default" w:ascii="Times New Roman" w:hAnsi="Times New Roman" w:cs="Times New Roman"/>
          <w:color w:val="auto"/>
          <w:kern w:val="2"/>
          <w:highlight w:val="none"/>
          <w:lang w:val="en-US" w:eastAsia="zh-CN"/>
        </w:rPr>
        <w:t>d</w:t>
      </w:r>
      <w:r>
        <w:rPr>
          <w:rFonts w:hint="default" w:ascii="Times New Roman" w:hAnsi="Times New Roman" w:cs="Times New Roman"/>
          <w:color w:val="auto"/>
          <w:kern w:val="2"/>
          <w:highlight w:val="none"/>
        </w:rPr>
        <w:t>，为</w:t>
      </w:r>
      <w:r>
        <w:rPr>
          <w:rFonts w:hint="default" w:ascii="Times New Roman" w:hAnsi="Times New Roman" w:cs="Times New Roman"/>
          <w:color w:val="auto"/>
          <w:kern w:val="2"/>
          <w:highlight w:val="none"/>
          <w:lang w:val="en-US" w:eastAsia="zh-CN"/>
        </w:rPr>
        <w:t>透水不含水层</w:t>
      </w:r>
      <w:r>
        <w:rPr>
          <w:rFonts w:hint="default" w:ascii="Times New Roman" w:hAnsi="Times New Roman" w:cs="Times New Roman"/>
          <w:color w:val="auto"/>
          <w:kern w:val="2"/>
          <w:highlight w:val="none"/>
        </w:rPr>
        <w:t>。</w:t>
      </w:r>
    </w:p>
    <w:p w14:paraId="5B1E4AD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地下水环境》（HJ610-2016）中9.4.2规定，本次评价对非正常状况下尾矿库地下水环境进行预测。</w:t>
      </w:r>
    </w:p>
    <w:p w14:paraId="63689FEB">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1）预测范围</w:t>
      </w:r>
    </w:p>
    <w:p w14:paraId="244C7C1D">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环评预测尾矿渗滤液可能对地下水影响进行分析。</w:t>
      </w:r>
    </w:p>
    <w:p w14:paraId="087ABE70">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2）预测因子及预测思路</w:t>
      </w:r>
    </w:p>
    <w:p w14:paraId="2EA9048C">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本项目采用地下水溶质运移解析法中的一维稳定流动一维水动力弥散模式进行预测及评价，预测模型如下：</w:t>
      </w:r>
    </w:p>
    <w:p w14:paraId="166EF686">
      <w:pPr>
        <w:pStyle w:val="11"/>
        <w:widowControl w:val="0"/>
        <w:spacing w:line="360" w:lineRule="auto"/>
        <w:ind w:left="480"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drawing>
          <wp:anchor distT="0" distB="0" distL="114300" distR="114300" simplePos="0" relativeHeight="251709440" behindDoc="0" locked="0" layoutInCell="1" allowOverlap="1">
            <wp:simplePos x="0" y="0"/>
            <wp:positionH relativeFrom="column">
              <wp:posOffset>716915</wp:posOffset>
            </wp:positionH>
            <wp:positionV relativeFrom="paragraph">
              <wp:posOffset>36195</wp:posOffset>
            </wp:positionV>
            <wp:extent cx="3771900" cy="717550"/>
            <wp:effectExtent l="0" t="0" r="0" b="635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1" cstate="print"/>
                    <a:stretch>
                      <a:fillRect/>
                    </a:stretch>
                  </pic:blipFill>
                  <pic:spPr>
                    <a:xfrm>
                      <a:off x="0" y="0"/>
                      <a:ext cx="3771900" cy="717550"/>
                    </a:xfrm>
                    <a:prstGeom prst="rect">
                      <a:avLst/>
                    </a:prstGeom>
                    <a:noFill/>
                    <a:ln w="9525">
                      <a:noFill/>
                      <a:miter/>
                    </a:ln>
                  </pic:spPr>
                </pic:pic>
              </a:graphicData>
            </a:graphic>
          </wp:anchor>
        </w:drawing>
      </w:r>
    </w:p>
    <w:p w14:paraId="70052E5A">
      <w:pPr>
        <w:pStyle w:val="11"/>
        <w:widowControl w:val="0"/>
        <w:spacing w:line="360" w:lineRule="auto"/>
        <w:ind w:left="480" w:firstLine="480"/>
        <w:jc w:val="both"/>
        <w:rPr>
          <w:rFonts w:hint="default" w:ascii="Times New Roman" w:hAnsi="Times New Roman" w:cs="Times New Roman"/>
          <w:color w:val="auto"/>
          <w:kern w:val="2"/>
          <w:highlight w:val="none"/>
        </w:rPr>
      </w:pPr>
    </w:p>
    <w:p w14:paraId="1ADCD332">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式中：x—预测点至污染源强距离（m）；</w:t>
      </w:r>
    </w:p>
    <w:p w14:paraId="2042D918">
      <w:pPr>
        <w:pStyle w:val="11"/>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C—t时刻x处的地下水浓度（mg/L）；</w:t>
      </w:r>
    </w:p>
    <w:p w14:paraId="4DB46A9C">
      <w:pPr>
        <w:pStyle w:val="11"/>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C</w:t>
      </w:r>
      <w:r>
        <w:rPr>
          <w:rFonts w:hint="default" w:ascii="Times New Roman" w:hAnsi="Times New Roman" w:cs="Times New Roman"/>
          <w:color w:val="auto"/>
          <w:kern w:val="2"/>
          <w:highlight w:val="none"/>
          <w:vertAlign w:val="subscript"/>
        </w:rPr>
        <w:t>0</w:t>
      </w:r>
      <w:r>
        <w:rPr>
          <w:rFonts w:hint="default" w:ascii="Times New Roman" w:hAnsi="Times New Roman" w:cs="Times New Roman"/>
          <w:color w:val="auto"/>
          <w:kern w:val="2"/>
          <w:highlight w:val="none"/>
        </w:rPr>
        <w:t>—废水浓度（mg/L）；</w:t>
      </w:r>
    </w:p>
    <w:p w14:paraId="60637602">
      <w:pPr>
        <w:pStyle w:val="11"/>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D—纵向弥散系数（m</w:t>
      </w:r>
      <w:r>
        <w:rPr>
          <w:rFonts w:hint="default" w:ascii="Times New Roman" w:hAnsi="Times New Roman" w:cs="Times New Roman"/>
          <w:color w:val="auto"/>
          <w:kern w:val="2"/>
          <w:highlight w:val="none"/>
          <w:vertAlign w:val="superscript"/>
        </w:rPr>
        <w:t>2</w:t>
      </w:r>
      <w:r>
        <w:rPr>
          <w:rFonts w:hint="default" w:ascii="Times New Roman" w:hAnsi="Times New Roman" w:cs="Times New Roman"/>
          <w:color w:val="auto"/>
          <w:kern w:val="2"/>
          <w:highlight w:val="none"/>
        </w:rPr>
        <w:t>/d）；</w:t>
      </w:r>
    </w:p>
    <w:p w14:paraId="1E8B8EF3">
      <w:pPr>
        <w:pStyle w:val="11"/>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t—预测时段（d）；</w:t>
      </w:r>
    </w:p>
    <w:p w14:paraId="57E7B213">
      <w:pPr>
        <w:pStyle w:val="11"/>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u—地下水流速（m/d）；</w:t>
      </w:r>
    </w:p>
    <w:p w14:paraId="31CCF736">
      <w:pPr>
        <w:pStyle w:val="11"/>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erfc（）—余误差函数。</w:t>
      </w:r>
    </w:p>
    <w:p w14:paraId="76F378F2">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3）相关参数确定</w:t>
      </w:r>
    </w:p>
    <w:p w14:paraId="227EC6C2">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利用所选取的污染物迁移模型，能否达到对污染物迁移过程的合理预测，关键就在于模型参数的选取和确定是否正确合理。</w:t>
      </w:r>
    </w:p>
    <w:p w14:paraId="093EC907">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由上述模型可知，模型需要的参数有：外泄污染物质量m；有效孔隙度n；水流的实际平均速度u；污染物在含水层中的纵向弥散系数DL；这些参数主要由类比区最新的勘察成果资料以及现有的试验资料来确定：</w:t>
      </w:r>
    </w:p>
    <w:p w14:paraId="76414E8D">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含水层的厚度M：根据本次搜集的地勘资料和以往水文地质资料，可知项目区地下水类型为孔隙水；长度为M的线源瞬时注入的示踪剂质量mM：</w:t>
      </w:r>
    </w:p>
    <w:p w14:paraId="1352CDA3">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浅层含水层的平均有效孔隙度n：含水层密实程度为中密，根据《水文地质手册》，可取孔隙度为0.4，而根据以往</w:t>
      </w:r>
      <w:r>
        <w:rPr>
          <w:rFonts w:hint="default" w:ascii="Times New Roman" w:hAnsi="Times New Roman" w:cs="Times New Roman"/>
          <w:color w:val="auto"/>
          <w:kern w:val="2"/>
          <w:highlight w:val="none"/>
          <w:lang w:eastAsia="zh-CN"/>
        </w:rPr>
        <w:t>生产</w:t>
      </w:r>
      <w:r>
        <w:rPr>
          <w:rFonts w:hint="default" w:ascii="Times New Roman" w:hAnsi="Times New Roman" w:cs="Times New Roman"/>
          <w:color w:val="auto"/>
          <w:kern w:val="2"/>
          <w:highlight w:val="none"/>
        </w:rPr>
        <w:t>经验，有效孔隙度一般比孔隙度小10%~20%，因此本次取有效孔隙度n=0.32；</w:t>
      </w:r>
    </w:p>
    <w:p w14:paraId="11A43A8C">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水流实际平均流速u：根据含水层岩性等相关资料，</w:t>
      </w:r>
      <w:r>
        <w:rPr>
          <w:rFonts w:hint="default" w:ascii="Times New Roman" w:hAnsi="Times New Roman" w:eastAsia="宋体" w:cs="Times New Roman"/>
          <w:color w:val="auto"/>
          <w:sz w:val="24"/>
          <w:szCs w:val="24"/>
          <w:highlight w:val="none"/>
        </w:rPr>
        <w:t>确定含水层渗透系数为</w:t>
      </w:r>
      <w:r>
        <w:rPr>
          <w:rFonts w:hint="default" w:ascii="Times New Roman" w:hAnsi="Times New Roman" w:cs="Times New Roman"/>
          <w:bCs/>
          <w:color w:val="auto"/>
          <w:sz w:val="24"/>
          <w:szCs w:val="24"/>
          <w:highlight w:val="none"/>
          <w:lang w:val="en-US" w:eastAsia="zh-CN"/>
        </w:rPr>
        <w:t>0.0037</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rPr>
        <w:t>/d</w:t>
      </w:r>
      <w:r>
        <w:rPr>
          <w:rFonts w:hint="default" w:ascii="Times New Roman" w:hAnsi="Times New Roman" w:cs="Times New Roman"/>
          <w:bCs/>
          <w:color w:val="auto"/>
          <w:sz w:val="24"/>
          <w:szCs w:val="24"/>
          <w:highlight w:val="none"/>
          <w:lang w:eastAsia="zh-CN"/>
        </w:rPr>
        <w:t>；</w:t>
      </w:r>
    </w:p>
    <w:p w14:paraId="19C43BD6">
      <w:pPr>
        <w:pStyle w:val="11"/>
        <w:widowControl w:val="0"/>
        <w:overflowPunct w:val="0"/>
        <w:topLinePunct/>
        <w:spacing w:after="0"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水力坡度</w:t>
      </w:r>
      <w:r>
        <w:rPr>
          <w:rFonts w:hint="default" w:ascii="Times New Roman" w:hAnsi="Times New Roman" w:cs="Times New Roman"/>
          <w:color w:val="auto"/>
          <w:position w:val="-24"/>
          <w:highlight w:val="none"/>
        </w:rPr>
        <w:object>
          <v:shape id="_x0000_i1029" o:spt="75" type="#_x0000_t75" style="height:30pt;width:36pt;" o:ole="t" filled="f" o:preferrelative="t" stroked="f" coordsize="21600,21600">
            <v:path/>
            <v:fill on="f" focussize="0,0"/>
            <v:stroke on="f" joinstyle="miter"/>
            <v:imagedata r:id="rId63" o:title=""/>
            <o:lock v:ext="edit" aspectratio="t"/>
            <w10:wrap type="none"/>
            <w10:anchorlock/>
          </v:shape>
          <o:OLEObject Type="Embed" ProgID="Equation.3" ShapeID="_x0000_i1029" DrawAspect="Content" ObjectID="_1468075731" r:id="rId62">
            <o:LockedField>false</o:LockedField>
          </o:OLEObject>
        </w:object>
      </w:r>
      <w:r>
        <w:rPr>
          <w:rFonts w:hint="default" w:ascii="Times New Roman" w:hAnsi="Times New Roman" w:cs="Times New Roman"/>
          <w:color w:val="auto"/>
          <w:highlight w:val="none"/>
        </w:rPr>
        <w:t>=0.3025；</w:t>
      </w:r>
    </w:p>
    <w:p w14:paraId="2F6BB74A">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因此地下水的渗透流速：V=KI=0.</w:t>
      </w:r>
      <w:r>
        <w:rPr>
          <w:rFonts w:hint="default" w:ascii="Times New Roman" w:hAnsi="Times New Roman" w:cs="Times New Roman"/>
          <w:color w:val="auto"/>
          <w:kern w:val="2"/>
          <w:highlight w:val="none"/>
          <w:lang w:val="en-US" w:eastAsia="zh-CN"/>
        </w:rPr>
        <w:t>0037</w:t>
      </w:r>
      <w:r>
        <w:rPr>
          <w:rFonts w:hint="default" w:ascii="Times New Roman" w:hAnsi="Times New Roman" w:cs="Times New Roman"/>
          <w:color w:val="auto"/>
          <w:kern w:val="2"/>
          <w:highlight w:val="none"/>
        </w:rPr>
        <w:t>m/d×0.3025=</w:t>
      </w:r>
      <w:r>
        <w:rPr>
          <w:rFonts w:hint="default" w:ascii="Times New Roman" w:hAnsi="Times New Roman" w:cs="Times New Roman"/>
          <w:color w:val="auto"/>
          <w:sz w:val="24"/>
          <w:szCs w:val="24"/>
          <w:highlight w:val="none"/>
          <w:lang w:val="en-US" w:eastAsia="zh-CN"/>
        </w:rPr>
        <w:t>0.0011</w:t>
      </w:r>
      <w:r>
        <w:rPr>
          <w:rFonts w:hint="default" w:ascii="Times New Roman" w:hAnsi="Times New Roman" w:cs="Times New Roman"/>
          <w:color w:val="auto"/>
          <w:kern w:val="2"/>
          <w:highlight w:val="none"/>
        </w:rPr>
        <w:t>m/d，</w:t>
      </w:r>
    </w:p>
    <w:p w14:paraId="0BE60011">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平均实际流速u=V/n=0</w:t>
      </w:r>
      <w:r>
        <w:rPr>
          <w:rFonts w:hint="default" w:ascii="Times New Roman" w:hAnsi="Times New Roman" w:cs="Times New Roman"/>
          <w:color w:val="auto"/>
          <w:kern w:val="2"/>
          <w:highlight w:val="none"/>
          <w:lang w:val="en-US" w:eastAsia="zh-CN"/>
        </w:rPr>
        <w:t>.0035</w:t>
      </w:r>
      <w:r>
        <w:rPr>
          <w:rFonts w:hint="default" w:ascii="Times New Roman" w:hAnsi="Times New Roman" w:cs="Times New Roman"/>
          <w:color w:val="auto"/>
          <w:kern w:val="2"/>
          <w:highlight w:val="none"/>
        </w:rPr>
        <w:t>m/d。</w:t>
      </w:r>
    </w:p>
    <w:p w14:paraId="7E96CC04">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纵向x方向的弥散系数DL：</w:t>
      </w:r>
    </w:p>
    <w:p w14:paraId="25779EDF">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αL绘在双对数坐标纸上，从图上可以看出纵向弥散度αL从整体上随着尺度的增加而增大（图5.2-18）。基准尺度Ls是指研究区大小的度量，一般用溶质运移到观测孔的最大距离表示，或用计算区的近似最大内径长度代替。</w:t>
      </w:r>
    </w:p>
    <w:p w14:paraId="3F6844E3">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故本次参考以往研究成果，考虑距污染源下游厂界约</w:t>
      </w:r>
      <w:r>
        <w:rPr>
          <w:rFonts w:hint="default" w:ascii="Times New Roman" w:hAnsi="Times New Roman" w:cs="Times New Roman"/>
          <w:color w:val="auto"/>
          <w:kern w:val="2"/>
          <w:highlight w:val="none"/>
          <w:lang w:val="en-US" w:eastAsia="zh-CN"/>
        </w:rPr>
        <w:t>2000</w:t>
      </w:r>
      <w:r>
        <w:rPr>
          <w:rFonts w:hint="default" w:ascii="Times New Roman" w:hAnsi="Times New Roman" w:cs="Times New Roman"/>
          <w:color w:val="auto"/>
          <w:kern w:val="2"/>
          <w:highlight w:val="none"/>
        </w:rPr>
        <w:t>m的研究区范围，因此，本次模拟取弥散度参数值取</w:t>
      </w:r>
      <w:r>
        <w:rPr>
          <w:rFonts w:hint="default" w:ascii="Times New Roman" w:hAnsi="Times New Roman" w:cs="Times New Roman"/>
          <w:color w:val="auto"/>
          <w:kern w:val="2"/>
          <w:highlight w:val="none"/>
          <w:lang w:val="en-US" w:eastAsia="zh-CN"/>
        </w:rPr>
        <w:t>14.38</w:t>
      </w:r>
      <w:r>
        <w:rPr>
          <w:rFonts w:hint="default" w:ascii="Times New Roman" w:hAnsi="Times New Roman" w:cs="Times New Roman"/>
          <w:color w:val="auto"/>
          <w:kern w:val="2"/>
          <w:highlight w:val="none"/>
        </w:rPr>
        <w:t>m。</w:t>
      </w:r>
    </w:p>
    <w:p w14:paraId="74CD8507">
      <w:pPr>
        <w:pStyle w:val="11"/>
        <w:widowControl w:val="0"/>
        <w:spacing w:line="360" w:lineRule="auto"/>
        <w:ind w:firstLine="0" w:firstLineChars="0"/>
        <w:jc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drawing>
          <wp:inline distT="0" distB="0" distL="114300" distR="114300">
            <wp:extent cx="3211195" cy="2168525"/>
            <wp:effectExtent l="0" t="0" r="8255" b="3175"/>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64" cstate="print"/>
                    <a:stretch>
                      <a:fillRect/>
                    </a:stretch>
                  </pic:blipFill>
                  <pic:spPr>
                    <a:xfrm>
                      <a:off x="0" y="0"/>
                      <a:ext cx="3211195" cy="2168525"/>
                    </a:xfrm>
                    <a:prstGeom prst="rect">
                      <a:avLst/>
                    </a:prstGeom>
                    <a:noFill/>
                    <a:ln w="9525">
                      <a:noFill/>
                      <a:miter/>
                    </a:ln>
                  </pic:spPr>
                </pic:pic>
              </a:graphicData>
            </a:graphic>
          </wp:inline>
        </w:drawing>
      </w:r>
    </w:p>
    <w:p w14:paraId="5DE4E554">
      <w:pPr>
        <w:pStyle w:val="11"/>
        <w:widowControl w:val="0"/>
        <w:spacing w:line="240" w:lineRule="auto"/>
        <w:ind w:firstLine="0" w:firstLineChars="0"/>
        <w:jc w:val="center"/>
        <w:rPr>
          <w:rFonts w:hint="default" w:ascii="Times New Roman" w:hAnsi="Times New Roman" w:cs="Times New Roman"/>
          <w:b/>
          <w:bCs/>
          <w:color w:val="auto"/>
          <w:kern w:val="2"/>
          <w:highlight w:val="none"/>
        </w:rPr>
      </w:pPr>
      <w:r>
        <w:rPr>
          <w:rFonts w:hint="default" w:ascii="Times New Roman" w:hAnsi="Times New Roman" w:cs="Times New Roman"/>
          <w:b/>
          <w:bCs/>
          <w:color w:val="auto"/>
          <w:kern w:val="2"/>
          <w:highlight w:val="none"/>
        </w:rPr>
        <w:t>图5.2-18    lgαL—lgLs关系图</w:t>
      </w:r>
    </w:p>
    <w:p w14:paraId="03D2F528">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模型计算中纵向弥散度选用</w:t>
      </w:r>
      <w:r>
        <w:rPr>
          <w:rFonts w:hint="default" w:ascii="Times New Roman" w:hAnsi="Times New Roman" w:cs="Times New Roman"/>
          <w:color w:val="auto"/>
          <w:kern w:val="2"/>
          <w:highlight w:val="none"/>
          <w:lang w:val="en-US" w:eastAsia="zh-CN"/>
        </w:rPr>
        <w:t>14.38</w:t>
      </w:r>
      <w:r>
        <w:rPr>
          <w:rFonts w:hint="default" w:ascii="Times New Roman" w:hAnsi="Times New Roman" w:cs="Times New Roman"/>
          <w:color w:val="auto"/>
          <w:kern w:val="2"/>
          <w:highlight w:val="none"/>
        </w:rPr>
        <w:t>m。由此计算项目区含水层中的纵向弥散系数DL=</w:t>
      </w:r>
      <w:r>
        <w:rPr>
          <w:rFonts w:hint="default" w:ascii="Times New Roman" w:hAnsi="Times New Roman" w:eastAsia="宋体" w:cs="Times New Roman"/>
          <w:color w:val="auto"/>
          <w:sz w:val="24"/>
          <w:highlight w:val="none"/>
          <w:lang w:val="en-US" w:eastAsia="zh-CN"/>
        </w:rPr>
        <w:t>α</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lang w:val="en-US" w:eastAsia="zh-CN"/>
        </w:rPr>
        <w:t>u</w:t>
      </w:r>
      <w:r>
        <w:rPr>
          <w:rFonts w:hint="default" w:ascii="Times New Roman" w:hAnsi="Times New Roman" w:cs="Times New Roman"/>
          <w:color w:val="auto"/>
          <w:kern w:val="2"/>
          <w:highlight w:val="none"/>
        </w:rPr>
        <w:t>=</w:t>
      </w:r>
      <w:r>
        <w:rPr>
          <w:rFonts w:hint="default" w:ascii="Times New Roman" w:hAnsi="Times New Roman" w:cs="Times New Roman"/>
          <w:color w:val="auto"/>
          <w:sz w:val="24"/>
          <w:highlight w:val="none"/>
          <w:lang w:val="en-US" w:eastAsia="zh-CN"/>
        </w:rPr>
        <w:t>14.83</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0.0035</w:t>
      </w:r>
      <w:r>
        <w:rPr>
          <w:rFonts w:hint="default" w:ascii="Times New Roman" w:hAnsi="Times New Roman" w:eastAsia="宋体" w:cs="Times New Roman"/>
          <w:color w:val="auto"/>
          <w:sz w:val="24"/>
          <w:highlight w:val="none"/>
          <w:lang w:val="en-US" w:eastAsia="zh-CN"/>
        </w:rPr>
        <w:t>m/d=</w:t>
      </w:r>
      <w:r>
        <w:rPr>
          <w:rFonts w:hint="default" w:ascii="Times New Roman" w:hAnsi="Times New Roman" w:cs="Times New Roman"/>
          <w:color w:val="auto"/>
          <w:sz w:val="24"/>
          <w:highlight w:val="none"/>
          <w:lang w:val="en-US" w:eastAsia="zh-CN"/>
        </w:rPr>
        <w:t>0.0519</w:t>
      </w:r>
      <w:r>
        <w:rPr>
          <w:rFonts w:hint="default" w:ascii="Times New Roman" w:hAnsi="Times New Roman" w:cs="Times New Roman"/>
          <w:color w:val="auto"/>
          <w:kern w:val="2"/>
          <w:highlight w:val="none"/>
        </w:rPr>
        <w:t>（m</w:t>
      </w:r>
      <w:r>
        <w:rPr>
          <w:rFonts w:hint="default" w:ascii="Times New Roman" w:hAnsi="Times New Roman" w:cs="Times New Roman"/>
          <w:color w:val="auto"/>
          <w:kern w:val="2"/>
          <w:highlight w:val="none"/>
          <w:vertAlign w:val="superscript"/>
        </w:rPr>
        <w:t>2</w:t>
      </w:r>
      <w:r>
        <w:rPr>
          <w:rFonts w:hint="default" w:ascii="Times New Roman" w:hAnsi="Times New Roman" w:cs="Times New Roman"/>
          <w:color w:val="auto"/>
          <w:kern w:val="2"/>
          <w:highlight w:val="none"/>
        </w:rPr>
        <w:t>/d）；</w:t>
      </w:r>
    </w:p>
    <w:p w14:paraId="64DBE282">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横向y方向的弥散系数DT：根据经验一般，</w:t>
      </w:r>
    </w:p>
    <w:p w14:paraId="3CDA2125">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position w:val="-30"/>
          <w:sz w:val="24"/>
          <w:highlight w:val="none"/>
          <w:lang w:val="en-US" w:eastAsia="zh-CN"/>
        </w:rPr>
        <w:object>
          <v:shape id="_x0000_i1030" o:spt="75" type="#_x0000_t75" style="height:34pt;width:19pt;" o:ole="t" filled="f" o:preferrelative="t" stroked="f" coordsize="21600,21600">
            <v:path/>
            <v:fill on="f" focussize="0,0"/>
            <v:stroke on="f"/>
            <v:imagedata r:id="rId66" o:title=""/>
            <o:lock v:ext="edit" aspectratio="t"/>
            <w10:wrap type="none"/>
            <w10:anchorlock/>
          </v:shape>
          <o:OLEObject Type="Embed" ProgID="Equation.KSEE3" ShapeID="_x0000_i1030" DrawAspect="Content" ObjectID="_1468075732" r:id="rId65">
            <o:LockedField>false</o:LockedField>
          </o:OLEObject>
        </w:object>
      </w:r>
      <w:r>
        <w:rPr>
          <w:rFonts w:hint="default" w:ascii="Times New Roman" w:hAnsi="Times New Roman" w:eastAsia="宋体" w:cs="Times New Roman"/>
          <w:color w:val="auto"/>
          <w:sz w:val="24"/>
          <w:highlight w:val="none"/>
          <w:lang w:val="en-US" w:eastAsia="zh-CN"/>
        </w:rPr>
        <w:t>=0.1</w:t>
      </w:r>
    </w:p>
    <w:p w14:paraId="7329F8C9">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eastAsia="宋体" w:cs="Times New Roman"/>
          <w:color w:val="auto"/>
          <w:sz w:val="24"/>
          <w:highlight w:val="none"/>
          <w:lang w:val="en-US" w:eastAsia="zh-CN"/>
        </w:rPr>
        <w:t>因此α</w:t>
      </w:r>
      <w:r>
        <w:rPr>
          <w:rFonts w:hint="default" w:ascii="Times New Roman" w:hAnsi="Times New Roman" w:eastAsia="宋体" w:cs="Times New Roman"/>
          <w:color w:val="auto"/>
          <w:sz w:val="24"/>
          <w:highlight w:val="none"/>
          <w:vertAlign w:val="subscript"/>
          <w:lang w:val="en-US" w:eastAsia="zh-CN"/>
        </w:rPr>
        <w:t>T</w:t>
      </w:r>
      <w:r>
        <w:rPr>
          <w:rFonts w:hint="default" w:ascii="Times New Roman" w:hAnsi="Times New Roman" w:eastAsia="宋体" w:cs="Times New Roman"/>
          <w:color w:val="auto"/>
          <w:sz w:val="24"/>
          <w:highlight w:val="none"/>
          <w:lang w:val="en-US" w:eastAsia="zh-CN"/>
        </w:rPr>
        <w:t>=0.1×α</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0.00519</w:t>
      </w:r>
      <w:r>
        <w:rPr>
          <w:rFonts w:hint="default" w:ascii="Times New Roman" w:hAnsi="Times New Roman" w:eastAsia="宋体" w:cs="Times New Roman"/>
          <w:color w:val="auto"/>
          <w:sz w:val="24"/>
          <w:highlight w:val="none"/>
          <w:lang w:val="en-US" w:eastAsia="zh-CN"/>
        </w:rPr>
        <w:t>m，则D</w:t>
      </w:r>
      <w:r>
        <w:rPr>
          <w:rFonts w:hint="default" w:ascii="Times New Roman" w:hAnsi="Times New Roman" w:eastAsia="宋体" w:cs="Times New Roman"/>
          <w:color w:val="auto"/>
          <w:sz w:val="24"/>
          <w:highlight w:val="none"/>
          <w:vertAlign w:val="subscript"/>
          <w:lang w:val="en-US" w:eastAsia="zh-CN"/>
        </w:rPr>
        <w:t>T</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0.000519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/d）。</w:t>
      </w:r>
    </w:p>
    <w:p w14:paraId="23DBE48E">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4）运营期尾矿库地下水环境影响预测与评价</w:t>
      </w:r>
    </w:p>
    <w:p w14:paraId="37349E15">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①预测因子</w:t>
      </w:r>
    </w:p>
    <w:p w14:paraId="57277473">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通过对项目建设内容的分析，尾矿库对地下水环境污染的主要因素为尾矿发生泄漏进入地下水，造成地下水污染。本次环评污染物源强以标准指数最大的污染因子为污染源强。通过对尾矿</w:t>
      </w:r>
      <w:r>
        <w:rPr>
          <w:rFonts w:hint="default" w:ascii="Times New Roman" w:hAnsi="Times New Roman" w:cs="Times New Roman"/>
          <w:color w:val="auto"/>
          <w:kern w:val="2"/>
          <w:highlight w:val="none"/>
          <w:lang w:val="en-US" w:eastAsia="zh-CN"/>
        </w:rPr>
        <w:t>浸出</w:t>
      </w:r>
      <w:r>
        <w:rPr>
          <w:rFonts w:hint="default" w:ascii="Times New Roman" w:hAnsi="Times New Roman" w:cs="Times New Roman"/>
          <w:color w:val="auto"/>
          <w:kern w:val="2"/>
          <w:highlight w:val="none"/>
        </w:rPr>
        <w:t>结果分析，确定尾矿的特征污染物“</w:t>
      </w:r>
      <w:r>
        <w:rPr>
          <w:rFonts w:hint="default" w:ascii="Times New Roman" w:hAnsi="Times New Roman" w:cs="Times New Roman"/>
          <w:color w:val="auto"/>
          <w:kern w:val="2"/>
          <w:highlight w:val="none"/>
          <w:lang w:val="en-US" w:eastAsia="zh-CN"/>
        </w:rPr>
        <w:t>铅、石油类、挥发酚</w:t>
      </w:r>
      <w:r>
        <w:rPr>
          <w:rFonts w:hint="default" w:ascii="Times New Roman" w:hAnsi="Times New Roman" w:cs="Times New Roman"/>
          <w:color w:val="auto"/>
          <w:highlight w:val="none"/>
        </w:rPr>
        <w:t>”作为本次预测因子</w:t>
      </w:r>
      <w:r>
        <w:rPr>
          <w:rFonts w:hint="default" w:ascii="Times New Roman" w:hAnsi="Times New Roman" w:cs="Times New Roman"/>
          <w:color w:val="auto"/>
          <w:kern w:val="2"/>
          <w:highlight w:val="none"/>
        </w:rPr>
        <w:t>。标准指数核算结果见表5.2-17。</w:t>
      </w:r>
    </w:p>
    <w:p w14:paraId="51AB41FF">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表5.2-17    地下水污染物标准指数核算结果表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505"/>
        <w:gridCol w:w="1267"/>
        <w:gridCol w:w="1045"/>
        <w:gridCol w:w="2358"/>
        <w:gridCol w:w="1671"/>
        <w:gridCol w:w="1673"/>
      </w:tblGrid>
      <w:tr w14:paraId="41A8F19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296" w:type="pct"/>
            <w:noWrap w:val="0"/>
            <w:vAlign w:val="center"/>
          </w:tcPr>
          <w:p w14:paraId="7A7F2E5D">
            <w:pPr>
              <w:tabs>
                <w:tab w:val="left" w:pos="576"/>
              </w:tabs>
              <w:spacing w:line="360" w:lineRule="exact"/>
              <w:ind w:left="-72" w:leftChars="-30" w:right="-72" w:rightChars="-30" w:firstLine="0" w:firstLineChars="0"/>
              <w:jc w:val="center"/>
              <w:rPr>
                <w:rFonts w:hint="default" w:ascii="Times New Roman" w:hAnsi="Times New Roman" w:eastAsia="宋体" w:cs="Times New Roman"/>
                <w:b/>
                <w:snapToGrid w:val="0"/>
                <w:color w:val="auto"/>
                <w:kern w:val="0"/>
                <w:sz w:val="21"/>
                <w:highlight w:val="none"/>
                <w:lang w:eastAsia="zh-CN"/>
              </w:rPr>
            </w:pPr>
            <w:r>
              <w:rPr>
                <w:rFonts w:hint="default" w:cs="Times New Roman"/>
                <w:b/>
                <w:snapToGrid w:val="0"/>
                <w:color w:val="auto"/>
                <w:kern w:val="0"/>
                <w:sz w:val="21"/>
                <w:highlight w:val="none"/>
                <w:lang w:val="en-US" w:eastAsia="zh-CN" w:bidi="ar"/>
              </w:rPr>
              <w:t>类别</w:t>
            </w:r>
          </w:p>
        </w:tc>
        <w:tc>
          <w:tcPr>
            <w:tcW w:w="743" w:type="pct"/>
            <w:noWrap w:val="0"/>
            <w:vAlign w:val="center"/>
          </w:tcPr>
          <w:p w14:paraId="27750D68">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监测项目</w:t>
            </w:r>
          </w:p>
        </w:tc>
        <w:tc>
          <w:tcPr>
            <w:tcW w:w="613" w:type="pct"/>
            <w:noWrap w:val="0"/>
            <w:vAlign w:val="center"/>
          </w:tcPr>
          <w:p w14:paraId="23704E32">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监测值</w:t>
            </w:r>
          </w:p>
        </w:tc>
        <w:tc>
          <w:tcPr>
            <w:tcW w:w="1383" w:type="pct"/>
            <w:noWrap w:val="0"/>
            <w:vAlign w:val="center"/>
          </w:tcPr>
          <w:p w14:paraId="72C6B501">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单位</w:t>
            </w:r>
          </w:p>
        </w:tc>
        <w:tc>
          <w:tcPr>
            <w:tcW w:w="980" w:type="pct"/>
            <w:noWrap w:val="0"/>
            <w:vAlign w:val="center"/>
          </w:tcPr>
          <w:p w14:paraId="1CDBDF2C">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lang w:bidi="ar"/>
              </w:rPr>
            </w:pPr>
            <w:r>
              <w:rPr>
                <w:rFonts w:hint="default" w:ascii="Times New Roman" w:hAnsi="Times New Roman" w:cs="Times New Roman"/>
                <w:b/>
                <w:snapToGrid w:val="0"/>
                <w:color w:val="auto"/>
                <w:kern w:val="0"/>
                <w:sz w:val="21"/>
                <w:highlight w:val="none"/>
              </w:rPr>
              <w:t>标准</w:t>
            </w:r>
          </w:p>
        </w:tc>
        <w:tc>
          <w:tcPr>
            <w:tcW w:w="981" w:type="pct"/>
            <w:noWrap w:val="0"/>
            <w:vAlign w:val="center"/>
          </w:tcPr>
          <w:p w14:paraId="628C7EB6">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Pi</w:t>
            </w:r>
          </w:p>
        </w:tc>
      </w:tr>
      <w:tr w14:paraId="012E252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restart"/>
            <w:noWrap w:val="0"/>
            <w:vAlign w:val="center"/>
          </w:tcPr>
          <w:p w14:paraId="01C9D4A3">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重金属</w:t>
            </w:r>
          </w:p>
        </w:tc>
        <w:tc>
          <w:tcPr>
            <w:tcW w:w="743" w:type="pct"/>
            <w:noWrap w:val="0"/>
            <w:vAlign w:val="center"/>
          </w:tcPr>
          <w:p w14:paraId="6972CD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汞</w:t>
            </w:r>
          </w:p>
        </w:tc>
        <w:tc>
          <w:tcPr>
            <w:tcW w:w="613" w:type="pct"/>
            <w:noWrap w:val="0"/>
            <w:vAlign w:val="center"/>
          </w:tcPr>
          <w:p w14:paraId="087F18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0.00039</w:t>
            </w:r>
          </w:p>
        </w:tc>
        <w:tc>
          <w:tcPr>
            <w:tcW w:w="1383" w:type="pct"/>
            <w:noWrap w:val="0"/>
            <w:vAlign w:val="center"/>
          </w:tcPr>
          <w:p w14:paraId="74EA1C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7C8358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w:t>
            </w:r>
          </w:p>
        </w:tc>
        <w:tc>
          <w:tcPr>
            <w:tcW w:w="981" w:type="pct"/>
            <w:shd w:val="clear" w:color="auto" w:fill="auto"/>
            <w:noWrap w:val="0"/>
            <w:vAlign w:val="center"/>
          </w:tcPr>
          <w:p w14:paraId="010266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0.39</w:t>
            </w:r>
          </w:p>
        </w:tc>
      </w:tr>
      <w:tr w14:paraId="01EEF5F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72B9CBA6">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6EB0B0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砷</w:t>
            </w:r>
          </w:p>
        </w:tc>
        <w:tc>
          <w:tcPr>
            <w:tcW w:w="613" w:type="pct"/>
            <w:noWrap w:val="0"/>
            <w:vAlign w:val="center"/>
          </w:tcPr>
          <w:p w14:paraId="6C44DD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0.00034</w:t>
            </w:r>
          </w:p>
        </w:tc>
        <w:tc>
          <w:tcPr>
            <w:tcW w:w="1383" w:type="pct"/>
            <w:noWrap w:val="0"/>
            <w:vAlign w:val="center"/>
          </w:tcPr>
          <w:p w14:paraId="082AF8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4D21F2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w:t>
            </w:r>
          </w:p>
        </w:tc>
        <w:tc>
          <w:tcPr>
            <w:tcW w:w="981" w:type="pct"/>
            <w:shd w:val="clear" w:color="auto" w:fill="auto"/>
            <w:noWrap w:val="0"/>
            <w:vAlign w:val="center"/>
          </w:tcPr>
          <w:p w14:paraId="74C42B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0.034</w:t>
            </w:r>
          </w:p>
        </w:tc>
      </w:tr>
      <w:tr w14:paraId="450EEF2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43379D0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163446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镍</w:t>
            </w:r>
          </w:p>
        </w:tc>
        <w:tc>
          <w:tcPr>
            <w:tcW w:w="613" w:type="pct"/>
            <w:noWrap w:val="0"/>
            <w:vAlign w:val="center"/>
          </w:tcPr>
          <w:p w14:paraId="557422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0.33</w:t>
            </w:r>
          </w:p>
        </w:tc>
        <w:tc>
          <w:tcPr>
            <w:tcW w:w="1383" w:type="pct"/>
            <w:noWrap w:val="0"/>
            <w:vAlign w:val="center"/>
          </w:tcPr>
          <w:p w14:paraId="4FB9D1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59D5E0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w:t>
            </w:r>
          </w:p>
        </w:tc>
        <w:tc>
          <w:tcPr>
            <w:tcW w:w="981" w:type="pct"/>
            <w:shd w:val="clear" w:color="auto" w:fill="auto"/>
            <w:noWrap w:val="0"/>
            <w:vAlign w:val="center"/>
          </w:tcPr>
          <w:p w14:paraId="18156C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16.5</w:t>
            </w:r>
          </w:p>
        </w:tc>
      </w:tr>
      <w:tr w14:paraId="1DB170C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4DC2AAC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26794A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eastAsia="zh-CN"/>
              </w:rPr>
              <w:t>铬</w:t>
            </w:r>
          </w:p>
        </w:tc>
        <w:tc>
          <w:tcPr>
            <w:tcW w:w="613" w:type="pct"/>
            <w:noWrap w:val="0"/>
            <w:vAlign w:val="center"/>
          </w:tcPr>
          <w:p w14:paraId="43CB1A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6.0</w:t>
            </w:r>
          </w:p>
        </w:tc>
        <w:tc>
          <w:tcPr>
            <w:tcW w:w="1383" w:type="pct"/>
            <w:noWrap w:val="0"/>
            <w:vAlign w:val="center"/>
          </w:tcPr>
          <w:p w14:paraId="2A5421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21C478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81" w:type="pct"/>
            <w:shd w:val="clear" w:color="auto" w:fill="auto"/>
            <w:noWrap w:val="0"/>
            <w:vAlign w:val="center"/>
          </w:tcPr>
          <w:p w14:paraId="46AF1B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C9BA66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345F4718">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47447C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六价铬</w:t>
            </w:r>
          </w:p>
        </w:tc>
        <w:tc>
          <w:tcPr>
            <w:tcW w:w="613" w:type="pct"/>
            <w:noWrap w:val="0"/>
            <w:vAlign w:val="center"/>
          </w:tcPr>
          <w:p w14:paraId="50D2AE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383" w:type="pct"/>
            <w:noWrap w:val="0"/>
            <w:vAlign w:val="center"/>
          </w:tcPr>
          <w:p w14:paraId="4642A4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6F1F38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w:t>
            </w:r>
          </w:p>
        </w:tc>
        <w:tc>
          <w:tcPr>
            <w:tcW w:w="981" w:type="pct"/>
            <w:shd w:val="clear" w:color="auto" w:fill="auto"/>
            <w:noWrap w:val="0"/>
            <w:vAlign w:val="center"/>
          </w:tcPr>
          <w:p w14:paraId="1B7AC4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7B6930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09F2A5E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6F52B2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锌</w:t>
            </w:r>
          </w:p>
        </w:tc>
        <w:tc>
          <w:tcPr>
            <w:tcW w:w="613" w:type="pct"/>
            <w:noWrap w:val="0"/>
            <w:vAlign w:val="center"/>
          </w:tcPr>
          <w:p w14:paraId="661C89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2.5</w:t>
            </w:r>
          </w:p>
        </w:tc>
        <w:tc>
          <w:tcPr>
            <w:tcW w:w="1383" w:type="pct"/>
            <w:noWrap w:val="0"/>
            <w:vAlign w:val="center"/>
          </w:tcPr>
          <w:p w14:paraId="187EA3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29E919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981" w:type="pct"/>
            <w:shd w:val="clear" w:color="auto" w:fill="auto"/>
            <w:noWrap w:val="0"/>
            <w:vAlign w:val="center"/>
          </w:tcPr>
          <w:p w14:paraId="6D4DC9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r>
      <w:tr w14:paraId="4796258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6EE1024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4378DF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镉</w:t>
            </w:r>
          </w:p>
        </w:tc>
        <w:tc>
          <w:tcPr>
            <w:tcW w:w="613" w:type="pct"/>
            <w:noWrap w:val="0"/>
            <w:vAlign w:val="center"/>
          </w:tcPr>
          <w:p w14:paraId="4D5E84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383" w:type="pct"/>
            <w:noWrap w:val="0"/>
            <w:vAlign w:val="center"/>
          </w:tcPr>
          <w:p w14:paraId="397C5D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340A77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0.005</w:t>
            </w:r>
          </w:p>
        </w:tc>
        <w:tc>
          <w:tcPr>
            <w:tcW w:w="981" w:type="pct"/>
            <w:shd w:val="clear" w:color="auto" w:fill="auto"/>
            <w:noWrap w:val="0"/>
            <w:vAlign w:val="center"/>
          </w:tcPr>
          <w:p w14:paraId="1A374B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608285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340F259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167B79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c>
          <w:tcPr>
            <w:tcW w:w="613" w:type="pct"/>
            <w:noWrap w:val="0"/>
            <w:vAlign w:val="center"/>
          </w:tcPr>
          <w:p w14:paraId="273ABA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3.6</w:t>
            </w:r>
          </w:p>
        </w:tc>
        <w:tc>
          <w:tcPr>
            <w:tcW w:w="1383" w:type="pct"/>
            <w:noWrap w:val="0"/>
            <w:vAlign w:val="center"/>
          </w:tcPr>
          <w:p w14:paraId="2DEDC7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0425D7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w:t>
            </w:r>
          </w:p>
        </w:tc>
        <w:tc>
          <w:tcPr>
            <w:tcW w:w="981" w:type="pct"/>
            <w:shd w:val="clear" w:color="auto" w:fill="auto"/>
            <w:noWrap w:val="0"/>
            <w:vAlign w:val="center"/>
          </w:tcPr>
          <w:p w14:paraId="33EC08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360</w:t>
            </w:r>
          </w:p>
        </w:tc>
      </w:tr>
      <w:tr w14:paraId="6A8EAD0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71615C7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036F52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铍</w:t>
            </w:r>
          </w:p>
        </w:tc>
        <w:tc>
          <w:tcPr>
            <w:tcW w:w="613" w:type="pct"/>
            <w:noWrap w:val="0"/>
            <w:vAlign w:val="center"/>
          </w:tcPr>
          <w:p w14:paraId="4386A4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ND</w:t>
            </w:r>
          </w:p>
        </w:tc>
        <w:tc>
          <w:tcPr>
            <w:tcW w:w="1383" w:type="pct"/>
            <w:noWrap w:val="0"/>
            <w:vAlign w:val="center"/>
          </w:tcPr>
          <w:p w14:paraId="02F1C8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42D75A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0.002</w:t>
            </w:r>
          </w:p>
        </w:tc>
        <w:tc>
          <w:tcPr>
            <w:tcW w:w="981" w:type="pct"/>
            <w:shd w:val="clear" w:color="auto" w:fill="auto"/>
            <w:noWrap w:val="0"/>
            <w:vAlign w:val="center"/>
          </w:tcPr>
          <w:p w14:paraId="6E5337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D302DC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75333DE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74EA5C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银</w:t>
            </w:r>
          </w:p>
        </w:tc>
        <w:tc>
          <w:tcPr>
            <w:tcW w:w="613" w:type="pct"/>
            <w:noWrap w:val="0"/>
            <w:vAlign w:val="center"/>
          </w:tcPr>
          <w:p w14:paraId="54178F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383" w:type="pct"/>
            <w:noWrap w:val="0"/>
            <w:vAlign w:val="center"/>
          </w:tcPr>
          <w:p w14:paraId="3DD77E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5B5969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w:t>
            </w:r>
          </w:p>
        </w:tc>
        <w:tc>
          <w:tcPr>
            <w:tcW w:w="981" w:type="pct"/>
            <w:shd w:val="clear" w:color="auto" w:fill="auto"/>
            <w:noWrap w:val="0"/>
            <w:vAlign w:val="center"/>
          </w:tcPr>
          <w:p w14:paraId="2A01C8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794E53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10727C46">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49CEB2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铜</w:t>
            </w:r>
          </w:p>
        </w:tc>
        <w:tc>
          <w:tcPr>
            <w:tcW w:w="613" w:type="pct"/>
            <w:noWrap w:val="0"/>
            <w:vAlign w:val="center"/>
          </w:tcPr>
          <w:p w14:paraId="6003FF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0.26</w:t>
            </w:r>
          </w:p>
        </w:tc>
        <w:tc>
          <w:tcPr>
            <w:tcW w:w="1383" w:type="pct"/>
            <w:noWrap w:val="0"/>
            <w:vAlign w:val="center"/>
          </w:tcPr>
          <w:p w14:paraId="0FBC56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1F2F9C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981" w:type="pct"/>
            <w:shd w:val="clear" w:color="auto" w:fill="auto"/>
            <w:noWrap w:val="0"/>
            <w:vAlign w:val="center"/>
          </w:tcPr>
          <w:p w14:paraId="31EAEC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w:t>
            </w:r>
          </w:p>
        </w:tc>
      </w:tr>
      <w:tr w14:paraId="5F63496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1541195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469EB6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钡</w:t>
            </w:r>
          </w:p>
        </w:tc>
        <w:tc>
          <w:tcPr>
            <w:tcW w:w="613" w:type="pct"/>
            <w:noWrap w:val="0"/>
            <w:vAlign w:val="center"/>
          </w:tcPr>
          <w:p w14:paraId="3C8FB4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0.00267</w:t>
            </w:r>
          </w:p>
        </w:tc>
        <w:tc>
          <w:tcPr>
            <w:tcW w:w="1383" w:type="pct"/>
            <w:noWrap w:val="0"/>
            <w:vAlign w:val="center"/>
          </w:tcPr>
          <w:p w14:paraId="3DC2FE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64FB87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w:t>
            </w:r>
          </w:p>
        </w:tc>
        <w:tc>
          <w:tcPr>
            <w:tcW w:w="981" w:type="pct"/>
            <w:shd w:val="clear" w:color="auto" w:fill="auto"/>
            <w:noWrap w:val="0"/>
            <w:vAlign w:val="center"/>
          </w:tcPr>
          <w:p w14:paraId="3AF1BC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0.0038</w:t>
            </w:r>
          </w:p>
        </w:tc>
      </w:tr>
      <w:tr w14:paraId="7025828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13C0B00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noWrap w:val="0"/>
            <w:vAlign w:val="center"/>
          </w:tcPr>
          <w:p w14:paraId="59E8E2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硒</w:t>
            </w:r>
          </w:p>
        </w:tc>
        <w:tc>
          <w:tcPr>
            <w:tcW w:w="613" w:type="pct"/>
            <w:noWrap w:val="0"/>
            <w:vAlign w:val="center"/>
          </w:tcPr>
          <w:p w14:paraId="593015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383" w:type="pct"/>
            <w:noWrap w:val="0"/>
            <w:vAlign w:val="center"/>
          </w:tcPr>
          <w:p w14:paraId="52E402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0D7C7B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w:t>
            </w:r>
          </w:p>
        </w:tc>
        <w:tc>
          <w:tcPr>
            <w:tcW w:w="981" w:type="pct"/>
            <w:shd w:val="clear" w:color="auto" w:fill="auto"/>
            <w:noWrap w:val="0"/>
            <w:vAlign w:val="center"/>
          </w:tcPr>
          <w:p w14:paraId="3FC96B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09984E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1679B45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shd w:val="clear" w:color="auto" w:fill="auto"/>
            <w:noWrap w:val="0"/>
            <w:vAlign w:val="center"/>
          </w:tcPr>
          <w:p w14:paraId="6EC79B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锰</w:t>
            </w:r>
          </w:p>
        </w:tc>
        <w:tc>
          <w:tcPr>
            <w:tcW w:w="613" w:type="pct"/>
            <w:shd w:val="clear" w:color="auto" w:fill="auto"/>
            <w:noWrap w:val="0"/>
            <w:vAlign w:val="center"/>
          </w:tcPr>
          <w:p w14:paraId="2F61F5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383" w:type="pct"/>
            <w:shd w:val="clear" w:color="auto" w:fill="auto"/>
            <w:noWrap w:val="0"/>
            <w:vAlign w:val="center"/>
          </w:tcPr>
          <w:p w14:paraId="5D4B13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4DBB0B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981" w:type="pct"/>
            <w:shd w:val="clear" w:color="auto" w:fill="auto"/>
            <w:noWrap w:val="0"/>
            <w:vAlign w:val="center"/>
          </w:tcPr>
          <w:p w14:paraId="1C8F96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AEFE73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296" w:type="pct"/>
            <w:noWrap w:val="0"/>
            <w:vAlign w:val="center"/>
          </w:tcPr>
          <w:p w14:paraId="6BE63BB8">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持续性有机物</w:t>
            </w:r>
          </w:p>
        </w:tc>
        <w:tc>
          <w:tcPr>
            <w:tcW w:w="743" w:type="pct"/>
            <w:shd w:val="clear" w:color="auto" w:fill="auto"/>
            <w:noWrap w:val="0"/>
            <w:vAlign w:val="center"/>
          </w:tcPr>
          <w:p w14:paraId="1358D6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石油类</w:t>
            </w:r>
          </w:p>
        </w:tc>
        <w:tc>
          <w:tcPr>
            <w:tcW w:w="613" w:type="pct"/>
            <w:shd w:val="clear" w:color="auto" w:fill="auto"/>
            <w:noWrap w:val="0"/>
            <w:vAlign w:val="center"/>
          </w:tcPr>
          <w:p w14:paraId="27A491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0.53</w:t>
            </w:r>
          </w:p>
        </w:tc>
        <w:tc>
          <w:tcPr>
            <w:tcW w:w="1383" w:type="pct"/>
            <w:shd w:val="clear" w:color="auto" w:fill="auto"/>
            <w:noWrap w:val="0"/>
            <w:vAlign w:val="center"/>
          </w:tcPr>
          <w:p w14:paraId="1187A8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02E740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w:t>
            </w:r>
          </w:p>
        </w:tc>
        <w:tc>
          <w:tcPr>
            <w:tcW w:w="981" w:type="pct"/>
            <w:shd w:val="clear" w:color="auto" w:fill="auto"/>
            <w:noWrap w:val="0"/>
            <w:vAlign w:val="center"/>
          </w:tcPr>
          <w:p w14:paraId="7847BE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10.6</w:t>
            </w:r>
          </w:p>
        </w:tc>
      </w:tr>
      <w:tr w14:paraId="1BC5D73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restart"/>
            <w:noWrap w:val="0"/>
            <w:vAlign w:val="center"/>
          </w:tcPr>
          <w:p w14:paraId="1E33DB2F">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其他</w:t>
            </w:r>
          </w:p>
        </w:tc>
        <w:tc>
          <w:tcPr>
            <w:tcW w:w="743" w:type="pct"/>
            <w:shd w:val="clear" w:color="auto" w:fill="auto"/>
            <w:noWrap w:val="0"/>
            <w:vAlign w:val="center"/>
          </w:tcPr>
          <w:p w14:paraId="0C4502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氟化物</w:t>
            </w:r>
          </w:p>
        </w:tc>
        <w:tc>
          <w:tcPr>
            <w:tcW w:w="613" w:type="pct"/>
            <w:shd w:val="clear" w:color="auto" w:fill="auto"/>
            <w:noWrap w:val="0"/>
            <w:vAlign w:val="center"/>
          </w:tcPr>
          <w:p w14:paraId="78AFAD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0.17</w:t>
            </w:r>
          </w:p>
        </w:tc>
        <w:tc>
          <w:tcPr>
            <w:tcW w:w="1383" w:type="pct"/>
            <w:shd w:val="clear" w:color="auto" w:fill="auto"/>
            <w:noWrap w:val="0"/>
            <w:vAlign w:val="center"/>
          </w:tcPr>
          <w:p w14:paraId="240E0E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23EBFA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c>
          <w:tcPr>
            <w:tcW w:w="981" w:type="pct"/>
            <w:shd w:val="clear" w:color="auto" w:fill="auto"/>
            <w:noWrap w:val="0"/>
            <w:vAlign w:val="center"/>
          </w:tcPr>
          <w:p w14:paraId="41620F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0.17</w:t>
            </w:r>
          </w:p>
        </w:tc>
      </w:tr>
      <w:tr w14:paraId="36DA6A6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60" w:hRule="atLeast"/>
          <w:jc w:val="center"/>
        </w:trPr>
        <w:tc>
          <w:tcPr>
            <w:tcW w:w="296" w:type="pct"/>
            <w:vMerge w:val="continue"/>
            <w:noWrap w:val="0"/>
            <w:vAlign w:val="center"/>
          </w:tcPr>
          <w:p w14:paraId="06F2FC9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shd w:val="clear" w:color="auto" w:fill="auto"/>
            <w:noWrap w:val="0"/>
            <w:vAlign w:val="center"/>
          </w:tcPr>
          <w:p w14:paraId="67B1AE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挥发酚</w:t>
            </w:r>
          </w:p>
        </w:tc>
        <w:tc>
          <w:tcPr>
            <w:tcW w:w="613" w:type="pct"/>
            <w:shd w:val="clear" w:color="auto" w:fill="auto"/>
            <w:noWrap w:val="0"/>
            <w:vAlign w:val="center"/>
          </w:tcPr>
          <w:p w14:paraId="465F89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0.02</w:t>
            </w:r>
          </w:p>
        </w:tc>
        <w:tc>
          <w:tcPr>
            <w:tcW w:w="1383" w:type="pct"/>
            <w:shd w:val="clear" w:color="auto" w:fill="auto"/>
            <w:noWrap w:val="0"/>
            <w:vAlign w:val="center"/>
          </w:tcPr>
          <w:p w14:paraId="6B2C17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61855D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0.002</w:t>
            </w:r>
          </w:p>
        </w:tc>
        <w:tc>
          <w:tcPr>
            <w:tcW w:w="981" w:type="pct"/>
            <w:shd w:val="clear" w:color="auto" w:fill="auto"/>
            <w:noWrap w:val="0"/>
            <w:vAlign w:val="center"/>
          </w:tcPr>
          <w:p w14:paraId="6B7557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r>
      <w:tr w14:paraId="16D35B9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68ACC4C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shd w:val="clear" w:color="auto" w:fill="auto"/>
            <w:noWrap w:val="0"/>
            <w:vAlign w:val="center"/>
          </w:tcPr>
          <w:p w14:paraId="172067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硫化物</w:t>
            </w:r>
          </w:p>
        </w:tc>
        <w:tc>
          <w:tcPr>
            <w:tcW w:w="613" w:type="pct"/>
            <w:shd w:val="clear" w:color="auto" w:fill="auto"/>
            <w:noWrap w:val="0"/>
            <w:vAlign w:val="center"/>
          </w:tcPr>
          <w:p w14:paraId="5FDE6E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383" w:type="pct"/>
            <w:shd w:val="clear" w:color="auto" w:fill="auto"/>
            <w:noWrap w:val="0"/>
            <w:vAlign w:val="center"/>
          </w:tcPr>
          <w:p w14:paraId="07B3AB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652E2D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0.02</w:t>
            </w:r>
          </w:p>
        </w:tc>
        <w:tc>
          <w:tcPr>
            <w:tcW w:w="981" w:type="pct"/>
            <w:shd w:val="clear" w:color="auto" w:fill="auto"/>
            <w:noWrap w:val="0"/>
            <w:vAlign w:val="center"/>
          </w:tcPr>
          <w:p w14:paraId="7AB74B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r w14:paraId="1237AEC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61C257D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shd w:val="clear" w:color="auto" w:fill="auto"/>
            <w:noWrap w:val="0"/>
            <w:vAlign w:val="center"/>
          </w:tcPr>
          <w:p w14:paraId="134DDF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氨氮</w:t>
            </w:r>
          </w:p>
        </w:tc>
        <w:tc>
          <w:tcPr>
            <w:tcW w:w="613" w:type="pct"/>
            <w:shd w:val="clear" w:color="auto" w:fill="auto"/>
            <w:noWrap w:val="0"/>
            <w:vAlign w:val="center"/>
          </w:tcPr>
          <w:p w14:paraId="3DB5F4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0.396</w:t>
            </w:r>
          </w:p>
        </w:tc>
        <w:tc>
          <w:tcPr>
            <w:tcW w:w="1383" w:type="pct"/>
            <w:shd w:val="clear" w:color="auto" w:fill="auto"/>
            <w:noWrap w:val="0"/>
            <w:vAlign w:val="center"/>
          </w:tcPr>
          <w:p w14:paraId="6521EE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262468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0.5</w:t>
            </w:r>
          </w:p>
        </w:tc>
        <w:tc>
          <w:tcPr>
            <w:tcW w:w="981" w:type="pct"/>
            <w:shd w:val="clear" w:color="auto" w:fill="auto"/>
            <w:noWrap w:val="0"/>
            <w:vAlign w:val="center"/>
          </w:tcPr>
          <w:p w14:paraId="3DF529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0.792</w:t>
            </w:r>
          </w:p>
        </w:tc>
      </w:tr>
      <w:tr w14:paraId="26959C7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96" w:type="pct"/>
            <w:vMerge w:val="continue"/>
            <w:noWrap w:val="0"/>
            <w:vAlign w:val="center"/>
          </w:tcPr>
          <w:p w14:paraId="6085353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p>
        </w:tc>
        <w:tc>
          <w:tcPr>
            <w:tcW w:w="743" w:type="pct"/>
            <w:shd w:val="clear" w:color="auto" w:fill="auto"/>
            <w:noWrap w:val="0"/>
            <w:vAlign w:val="center"/>
          </w:tcPr>
          <w:p w14:paraId="2583C3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氰化物</w:t>
            </w:r>
          </w:p>
        </w:tc>
        <w:tc>
          <w:tcPr>
            <w:tcW w:w="613" w:type="pct"/>
            <w:shd w:val="clear" w:color="auto" w:fill="auto"/>
            <w:noWrap w:val="0"/>
            <w:vAlign w:val="center"/>
          </w:tcPr>
          <w:p w14:paraId="0AF186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383" w:type="pct"/>
            <w:shd w:val="clear" w:color="auto" w:fill="auto"/>
            <w:noWrap w:val="0"/>
            <w:vAlign w:val="center"/>
          </w:tcPr>
          <w:p w14:paraId="2561A2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highlight w:val="none"/>
                <w:lang w:bidi="ar"/>
              </w:rPr>
              <w:t>mg/L</w:t>
            </w:r>
          </w:p>
        </w:tc>
        <w:tc>
          <w:tcPr>
            <w:tcW w:w="980" w:type="pct"/>
            <w:shd w:val="clear" w:color="auto" w:fill="auto"/>
            <w:noWrap w:val="0"/>
            <w:vAlign w:val="center"/>
          </w:tcPr>
          <w:p w14:paraId="441DD5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0.05</w:t>
            </w:r>
          </w:p>
        </w:tc>
        <w:tc>
          <w:tcPr>
            <w:tcW w:w="981" w:type="pct"/>
            <w:shd w:val="clear" w:color="auto" w:fill="auto"/>
            <w:noWrap w:val="0"/>
            <w:vAlign w:val="center"/>
          </w:tcPr>
          <w:p w14:paraId="11E9A1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bl>
    <w:p w14:paraId="7ABE5A74">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②预测情景</w:t>
      </w:r>
    </w:p>
    <w:p w14:paraId="6250EAB2">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运行期尾矿库出现渗漏，尾矿淋滤液渗漏溢流到坝下区域，污染物直接进入含水层，对地下水环境产生影响。污染源概化为短时注入点源，从发生</w:t>
      </w:r>
      <w:r>
        <w:rPr>
          <w:rFonts w:hint="default" w:ascii="Times New Roman" w:hAnsi="Times New Roman" w:cs="Times New Roman"/>
          <w:color w:val="auto"/>
          <w:kern w:val="2"/>
          <w:highlight w:val="none"/>
          <w:lang w:eastAsia="zh-CN"/>
        </w:rPr>
        <w:t>泄漏</w:t>
      </w:r>
      <w:r>
        <w:rPr>
          <w:rFonts w:hint="default" w:ascii="Times New Roman" w:hAnsi="Times New Roman" w:cs="Times New Roman"/>
          <w:color w:val="auto"/>
          <w:kern w:val="2"/>
          <w:highlight w:val="none"/>
        </w:rPr>
        <w:t>到处理完毕不再发生污染的</w:t>
      </w:r>
      <w:r>
        <w:rPr>
          <w:rFonts w:hint="default" w:ascii="Times New Roman" w:hAnsi="Times New Roman" w:cs="Times New Roman"/>
          <w:color w:val="auto"/>
          <w:kern w:val="2"/>
          <w:highlight w:val="none"/>
          <w:lang w:eastAsia="zh-CN"/>
        </w:rPr>
        <w:t>泄漏</w:t>
      </w:r>
      <w:r>
        <w:rPr>
          <w:rFonts w:hint="default" w:ascii="Times New Roman" w:hAnsi="Times New Roman" w:cs="Times New Roman"/>
          <w:color w:val="auto"/>
          <w:kern w:val="2"/>
          <w:highlight w:val="none"/>
        </w:rPr>
        <w:t>事件共20天。</w:t>
      </w:r>
    </w:p>
    <w:p w14:paraId="149DA605">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③预测结果</w:t>
      </w:r>
    </w:p>
    <w:p w14:paraId="22C5B16F">
      <w:pPr>
        <w:pStyle w:val="11"/>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非正常工况下，尾矿淋滤液渗漏溢流到坝下区域，污染物视为短时</w:t>
      </w:r>
      <w:r>
        <w:rPr>
          <w:rFonts w:hint="default" w:ascii="Times New Roman" w:hAnsi="Times New Roman" w:cs="Times New Roman"/>
          <w:color w:val="auto"/>
          <w:kern w:val="2"/>
          <w:highlight w:val="none"/>
          <w:lang w:eastAsia="zh-CN"/>
        </w:rPr>
        <w:t>泄漏</w:t>
      </w:r>
      <w:r>
        <w:rPr>
          <w:rFonts w:hint="default" w:ascii="Times New Roman" w:hAnsi="Times New Roman" w:cs="Times New Roman"/>
          <w:color w:val="auto"/>
          <w:kern w:val="2"/>
          <w:highlight w:val="none"/>
        </w:rPr>
        <w:t>直接进入含水层，在地下水动力场的控制下随地下水径流运移扩散，对地下水造成污染，预测结果见表5.2-18</w:t>
      </w:r>
      <w:r>
        <w:rPr>
          <w:rFonts w:hint="default" w:ascii="Times New Roman" w:hAnsi="Times New Roman" w:cs="Times New Roman"/>
          <w:color w:val="auto"/>
          <w:kern w:val="2"/>
          <w:highlight w:val="none"/>
          <w:lang w:val="en-US" w:eastAsia="zh-CN"/>
        </w:rPr>
        <w:t>-表5.2-20</w:t>
      </w:r>
      <w:r>
        <w:rPr>
          <w:rFonts w:hint="default" w:ascii="Times New Roman" w:hAnsi="Times New Roman" w:cs="Times New Roman"/>
          <w:color w:val="auto"/>
          <w:kern w:val="2"/>
          <w:highlight w:val="none"/>
        </w:rPr>
        <w:t>，预测结果C-x图见图5.2-19</w:t>
      </w:r>
      <w:r>
        <w:rPr>
          <w:rFonts w:hint="default" w:ascii="Times New Roman" w:hAnsi="Times New Roman" w:cs="Times New Roman"/>
          <w:color w:val="auto"/>
          <w:kern w:val="2"/>
          <w:highlight w:val="none"/>
          <w:lang w:val="en-US" w:eastAsia="zh-CN"/>
        </w:rPr>
        <w:t>-图5.2-21</w:t>
      </w:r>
      <w:r>
        <w:rPr>
          <w:rFonts w:hint="default" w:ascii="Times New Roman" w:hAnsi="Times New Roman" w:cs="Times New Roman"/>
          <w:color w:val="auto"/>
          <w:kern w:val="2"/>
          <w:highlight w:val="none"/>
        </w:rPr>
        <w:t>。</w:t>
      </w:r>
    </w:p>
    <w:p w14:paraId="506B03C6">
      <w:pPr>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表5.2-18    库区尾矿淋滤液渗漏溢流对地下水中</w:t>
      </w:r>
      <w:r>
        <w:rPr>
          <w:rFonts w:hint="default" w:ascii="Times New Roman" w:hAnsi="Times New Roman" w:cs="Times New Roman"/>
          <w:b/>
          <w:bCs/>
          <w:color w:val="auto"/>
          <w:highlight w:val="none"/>
          <w:lang w:val="en-US" w:eastAsia="zh-CN"/>
        </w:rPr>
        <w:t>铅</w:t>
      </w:r>
      <w:r>
        <w:rPr>
          <w:rFonts w:hint="default" w:ascii="Times New Roman" w:hAnsi="Times New Roman" w:cs="Times New Roman"/>
          <w:b/>
          <w:bCs/>
          <w:color w:val="auto"/>
          <w:highlight w:val="none"/>
        </w:rPr>
        <w:t>浓度预测结果表</w:t>
      </w:r>
    </w:p>
    <w:tbl>
      <w:tblPr>
        <w:tblStyle w:val="3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20"/>
        <w:gridCol w:w="2385"/>
        <w:gridCol w:w="2071"/>
        <w:gridCol w:w="1688"/>
        <w:gridCol w:w="1469"/>
      </w:tblGrid>
      <w:tr w14:paraId="795F05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32" w:type="pct"/>
            <w:vAlign w:val="center"/>
          </w:tcPr>
          <w:p w14:paraId="3268B26A">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时间</w:t>
            </w:r>
          </w:p>
        </w:tc>
        <w:tc>
          <w:tcPr>
            <w:tcW w:w="1430" w:type="pct"/>
            <w:vAlign w:val="center"/>
          </w:tcPr>
          <w:p w14:paraId="340A8119">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预测浓度最大值（</w:t>
            </w:r>
            <w:r>
              <w:rPr>
                <w:rFonts w:hint="default" w:ascii="Times New Roman" w:hAnsi="Times New Roman" w:cs="Times New Roman"/>
                <w:color w:val="auto"/>
                <w:kern w:val="18"/>
                <w:sz w:val="21"/>
                <w:szCs w:val="21"/>
                <w:highlight w:val="none"/>
              </w:rPr>
              <w:t>mg/L</w:t>
            </w:r>
            <w:r>
              <w:rPr>
                <w:rFonts w:hint="default" w:ascii="Times New Roman" w:hAnsi="Times New Roman" w:cs="Times New Roman"/>
                <w:b/>
                <w:bCs/>
                <w:color w:val="auto"/>
                <w:kern w:val="18"/>
                <w:sz w:val="21"/>
                <w:szCs w:val="21"/>
                <w:highlight w:val="none"/>
              </w:rPr>
              <w:t>）</w:t>
            </w:r>
          </w:p>
        </w:tc>
        <w:tc>
          <w:tcPr>
            <w:tcW w:w="1242" w:type="pct"/>
            <w:vAlign w:val="center"/>
          </w:tcPr>
          <w:p w14:paraId="2F8070F2">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最大值对应距离（m）</w:t>
            </w:r>
          </w:p>
        </w:tc>
        <w:tc>
          <w:tcPr>
            <w:tcW w:w="1012" w:type="pct"/>
            <w:shd w:val="clear" w:color="auto" w:fill="auto"/>
            <w:vAlign w:val="center"/>
          </w:tcPr>
          <w:p w14:paraId="50F6F24D">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b/>
                <w:bCs/>
                <w:snapToGrid w:val="0"/>
                <w:color w:val="auto"/>
                <w:kern w:val="18"/>
                <w:sz w:val="21"/>
                <w:szCs w:val="21"/>
                <w:highlight w:val="none"/>
                <w:lang w:val="en-US" w:eastAsia="zh-CN" w:bidi="ar-SA"/>
              </w:rPr>
            </w:pPr>
            <w:r>
              <w:rPr>
                <w:rFonts w:hint="default" w:ascii="Times New Roman" w:hAnsi="Times New Roman" w:cs="Times New Roman"/>
                <w:b/>
                <w:bCs/>
                <w:color w:val="auto"/>
                <w:kern w:val="18"/>
                <w:sz w:val="21"/>
                <w:szCs w:val="21"/>
                <w:highlight w:val="none"/>
              </w:rPr>
              <w:t>预测影响最远距离（m）</w:t>
            </w:r>
          </w:p>
        </w:tc>
        <w:tc>
          <w:tcPr>
            <w:tcW w:w="881" w:type="pct"/>
            <w:vAlign w:val="center"/>
          </w:tcPr>
          <w:p w14:paraId="0EDEDEB0">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超标距离（m）</w:t>
            </w:r>
          </w:p>
        </w:tc>
      </w:tr>
      <w:tr w14:paraId="7AF87E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32" w:type="pct"/>
            <w:vAlign w:val="center"/>
          </w:tcPr>
          <w:p w14:paraId="7F587330">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100天</w:t>
            </w:r>
          </w:p>
        </w:tc>
        <w:tc>
          <w:tcPr>
            <w:tcW w:w="1430" w:type="pct"/>
            <w:vAlign w:val="center"/>
          </w:tcPr>
          <w:p w14:paraId="2AF0FDC9">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0.0561106</w:t>
            </w:r>
          </w:p>
        </w:tc>
        <w:tc>
          <w:tcPr>
            <w:tcW w:w="1242" w:type="pct"/>
            <w:vAlign w:val="center"/>
          </w:tcPr>
          <w:p w14:paraId="3DFB46AB">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eastAsia="zh-CN"/>
              </w:rPr>
            </w:pPr>
            <w:r>
              <w:rPr>
                <w:rFonts w:hint="default" w:ascii="Times New Roman" w:hAnsi="Times New Roman" w:cs="Times New Roman"/>
                <w:color w:val="auto"/>
                <w:kern w:val="18"/>
                <w:sz w:val="21"/>
                <w:szCs w:val="21"/>
                <w:highlight w:val="none"/>
                <w:lang w:val="en-US" w:eastAsia="zh-CN"/>
              </w:rPr>
              <w:t>1</w:t>
            </w:r>
          </w:p>
        </w:tc>
        <w:tc>
          <w:tcPr>
            <w:tcW w:w="1012" w:type="pct"/>
            <w:shd w:val="clear" w:color="auto" w:fill="auto"/>
            <w:vAlign w:val="center"/>
          </w:tcPr>
          <w:p w14:paraId="059B812D">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cs="Times New Roman"/>
                <w:color w:val="auto"/>
                <w:kern w:val="18"/>
                <w:sz w:val="21"/>
                <w:szCs w:val="21"/>
                <w:highlight w:val="none"/>
                <w:lang w:val="en-US" w:eastAsia="zh-CN"/>
              </w:rPr>
              <w:t>/</w:t>
            </w:r>
          </w:p>
        </w:tc>
        <w:tc>
          <w:tcPr>
            <w:tcW w:w="881" w:type="pct"/>
            <w:shd w:val="clear" w:color="auto" w:fill="auto"/>
            <w:vAlign w:val="center"/>
          </w:tcPr>
          <w:p w14:paraId="0590BC39">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cs="Times New Roman"/>
                <w:color w:val="auto"/>
                <w:kern w:val="18"/>
                <w:sz w:val="21"/>
                <w:szCs w:val="21"/>
                <w:highlight w:val="none"/>
                <w:lang w:val="en-US" w:eastAsia="zh-CN"/>
              </w:rPr>
              <w:t>1</w:t>
            </w:r>
          </w:p>
        </w:tc>
      </w:tr>
      <w:tr w14:paraId="2AD21D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blHeader/>
          <w:jc w:val="center"/>
        </w:trPr>
        <w:tc>
          <w:tcPr>
            <w:tcW w:w="432" w:type="pct"/>
            <w:vAlign w:val="center"/>
          </w:tcPr>
          <w:p w14:paraId="78A2EDDC">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1000天</w:t>
            </w:r>
          </w:p>
        </w:tc>
        <w:tc>
          <w:tcPr>
            <w:tcW w:w="1430" w:type="pct"/>
            <w:vAlign w:val="center"/>
          </w:tcPr>
          <w:p w14:paraId="5AD0290F">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0.09292</w:t>
            </w:r>
          </w:p>
        </w:tc>
        <w:tc>
          <w:tcPr>
            <w:tcW w:w="1242" w:type="pct"/>
            <w:vAlign w:val="center"/>
          </w:tcPr>
          <w:p w14:paraId="70A1B3B1">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eastAsia="zh-CN"/>
              </w:rPr>
            </w:pPr>
            <w:r>
              <w:rPr>
                <w:rFonts w:hint="default" w:ascii="Times New Roman" w:hAnsi="Times New Roman" w:cs="Times New Roman"/>
                <w:color w:val="auto"/>
                <w:kern w:val="18"/>
                <w:sz w:val="21"/>
                <w:szCs w:val="21"/>
                <w:highlight w:val="none"/>
                <w:lang w:val="en-US" w:eastAsia="zh-CN"/>
              </w:rPr>
              <w:t>4</w:t>
            </w:r>
          </w:p>
        </w:tc>
        <w:tc>
          <w:tcPr>
            <w:tcW w:w="1012" w:type="pct"/>
            <w:shd w:val="clear" w:color="auto" w:fill="auto"/>
            <w:vAlign w:val="top"/>
          </w:tcPr>
          <w:p w14:paraId="155C081B">
            <w:pPr>
              <w:jc w:val="center"/>
              <w:rPr>
                <w:rFonts w:hint="default" w:ascii="Times New Roman" w:hAnsi="Times New Roman" w:cs="Times New Roman"/>
                <w:color w:val="auto"/>
                <w:kern w:val="18"/>
                <w:sz w:val="21"/>
                <w:szCs w:val="21"/>
                <w:highlight w:val="none"/>
                <w:lang w:val="en-US" w:eastAsia="zh-CN"/>
              </w:rPr>
            </w:pPr>
            <w:r>
              <w:rPr>
                <w:rFonts w:hint="default" w:ascii="Times New Roman" w:hAnsi="Times New Roman" w:cs="Times New Roman"/>
                <w:color w:val="auto"/>
                <w:kern w:val="18"/>
                <w:sz w:val="21"/>
                <w:szCs w:val="21"/>
                <w:highlight w:val="none"/>
                <w:lang w:val="en-US" w:eastAsia="zh-CN"/>
              </w:rPr>
              <w:t>/</w:t>
            </w:r>
          </w:p>
        </w:tc>
        <w:tc>
          <w:tcPr>
            <w:tcW w:w="881" w:type="pct"/>
            <w:shd w:val="clear" w:color="auto" w:fill="auto"/>
            <w:vAlign w:val="center"/>
          </w:tcPr>
          <w:p w14:paraId="3C18A604">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cs="Times New Roman"/>
                <w:color w:val="auto"/>
                <w:kern w:val="18"/>
                <w:sz w:val="21"/>
                <w:szCs w:val="21"/>
                <w:highlight w:val="none"/>
                <w:lang w:val="en-US" w:eastAsia="zh-CN"/>
              </w:rPr>
              <w:t>5</w:t>
            </w:r>
          </w:p>
        </w:tc>
      </w:tr>
      <w:tr w14:paraId="32B6BC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blHeader/>
          <w:jc w:val="center"/>
        </w:trPr>
        <w:tc>
          <w:tcPr>
            <w:tcW w:w="432" w:type="pct"/>
            <w:vAlign w:val="center"/>
          </w:tcPr>
          <w:p w14:paraId="5BC7D247">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lang w:val="en-US" w:eastAsia="zh-CN"/>
              </w:rPr>
              <w:t>9125</w:t>
            </w:r>
            <w:r>
              <w:rPr>
                <w:rFonts w:hint="default" w:ascii="Times New Roman" w:hAnsi="Times New Roman" w:cs="Times New Roman"/>
                <w:color w:val="auto"/>
                <w:kern w:val="18"/>
                <w:sz w:val="21"/>
                <w:szCs w:val="21"/>
                <w:highlight w:val="none"/>
              </w:rPr>
              <w:t>天</w:t>
            </w:r>
          </w:p>
        </w:tc>
        <w:tc>
          <w:tcPr>
            <w:tcW w:w="1430" w:type="pct"/>
            <w:vAlign w:val="center"/>
          </w:tcPr>
          <w:p w14:paraId="5052B17B">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0.03271751</w:t>
            </w:r>
          </w:p>
        </w:tc>
        <w:tc>
          <w:tcPr>
            <w:tcW w:w="1242" w:type="pct"/>
            <w:vAlign w:val="center"/>
          </w:tcPr>
          <w:p w14:paraId="688E4ADD">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cs="Times New Roman"/>
                <w:color w:val="auto"/>
                <w:kern w:val="18"/>
                <w:sz w:val="21"/>
                <w:szCs w:val="21"/>
                <w:highlight w:val="none"/>
                <w:lang w:val="en-US" w:eastAsia="zh-CN"/>
              </w:rPr>
              <w:t>32</w:t>
            </w:r>
          </w:p>
        </w:tc>
        <w:tc>
          <w:tcPr>
            <w:tcW w:w="1012" w:type="pct"/>
            <w:shd w:val="clear" w:color="auto" w:fill="auto"/>
            <w:vAlign w:val="top"/>
          </w:tcPr>
          <w:p w14:paraId="2247942B">
            <w:pPr>
              <w:jc w:val="center"/>
              <w:rPr>
                <w:rFonts w:hint="default" w:ascii="Times New Roman" w:hAnsi="Times New Roman" w:cs="Times New Roman"/>
                <w:color w:val="auto"/>
                <w:kern w:val="18"/>
                <w:sz w:val="21"/>
                <w:szCs w:val="21"/>
                <w:highlight w:val="none"/>
                <w:lang w:val="en-US" w:eastAsia="zh-CN"/>
              </w:rPr>
            </w:pPr>
            <w:r>
              <w:rPr>
                <w:rFonts w:hint="default" w:ascii="Times New Roman" w:hAnsi="Times New Roman" w:cs="Times New Roman"/>
                <w:color w:val="auto"/>
                <w:kern w:val="18"/>
                <w:sz w:val="21"/>
                <w:szCs w:val="21"/>
                <w:highlight w:val="none"/>
                <w:lang w:val="en-US" w:eastAsia="zh-CN"/>
              </w:rPr>
              <w:t>/</w:t>
            </w:r>
          </w:p>
        </w:tc>
        <w:tc>
          <w:tcPr>
            <w:tcW w:w="881" w:type="pct"/>
            <w:shd w:val="clear" w:color="auto" w:fill="auto"/>
            <w:vAlign w:val="center"/>
          </w:tcPr>
          <w:p w14:paraId="3DDD02BF">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cs="Times New Roman"/>
                <w:color w:val="auto"/>
                <w:kern w:val="18"/>
                <w:sz w:val="21"/>
                <w:szCs w:val="21"/>
                <w:highlight w:val="none"/>
                <w:lang w:val="en-US" w:eastAsia="zh-CN"/>
              </w:rPr>
              <w:t>36</w:t>
            </w:r>
          </w:p>
        </w:tc>
      </w:tr>
    </w:tbl>
    <w:p w14:paraId="4ECA5964">
      <w:pPr>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表5.2-1</w:t>
      </w:r>
      <w:r>
        <w:rPr>
          <w:rFonts w:hint="default" w:ascii="Times New Roman" w:hAnsi="Times New Roman" w:cs="Times New Roman"/>
          <w:b/>
          <w:bCs/>
          <w:color w:val="auto"/>
          <w:highlight w:val="none"/>
          <w:lang w:val="en-US" w:eastAsia="zh-CN"/>
        </w:rPr>
        <w:t>9</w:t>
      </w:r>
      <w:r>
        <w:rPr>
          <w:rFonts w:hint="default" w:ascii="Times New Roman" w:hAnsi="Times New Roman" w:cs="Times New Roman"/>
          <w:b/>
          <w:bCs/>
          <w:color w:val="auto"/>
          <w:highlight w:val="none"/>
        </w:rPr>
        <w:t xml:space="preserve">    库区尾矿淋滤液渗漏溢流对地下水中</w:t>
      </w:r>
      <w:r>
        <w:rPr>
          <w:rFonts w:hint="default" w:ascii="Times New Roman" w:hAnsi="Times New Roman" w:cs="Times New Roman"/>
          <w:b/>
          <w:bCs/>
          <w:color w:val="auto"/>
          <w:highlight w:val="none"/>
          <w:lang w:val="en-US" w:eastAsia="zh-CN"/>
        </w:rPr>
        <w:t>石油类</w:t>
      </w:r>
      <w:r>
        <w:rPr>
          <w:rFonts w:hint="default" w:ascii="Times New Roman" w:hAnsi="Times New Roman" w:cs="Times New Roman"/>
          <w:b/>
          <w:bCs/>
          <w:color w:val="auto"/>
          <w:highlight w:val="none"/>
        </w:rPr>
        <w:t>浓度预测结果表</w:t>
      </w:r>
    </w:p>
    <w:tbl>
      <w:tblPr>
        <w:tblStyle w:val="3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20"/>
        <w:gridCol w:w="2385"/>
        <w:gridCol w:w="2071"/>
        <w:gridCol w:w="1688"/>
        <w:gridCol w:w="1469"/>
      </w:tblGrid>
      <w:tr w14:paraId="5C536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32" w:type="pct"/>
            <w:vAlign w:val="center"/>
          </w:tcPr>
          <w:p w14:paraId="685116DB">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时间</w:t>
            </w:r>
          </w:p>
        </w:tc>
        <w:tc>
          <w:tcPr>
            <w:tcW w:w="1430" w:type="pct"/>
            <w:vAlign w:val="center"/>
          </w:tcPr>
          <w:p w14:paraId="40B13C27">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预测浓度最大值（</w:t>
            </w:r>
            <w:r>
              <w:rPr>
                <w:rFonts w:hint="default" w:ascii="Times New Roman" w:hAnsi="Times New Roman" w:cs="Times New Roman"/>
                <w:color w:val="auto"/>
                <w:kern w:val="18"/>
                <w:sz w:val="21"/>
                <w:szCs w:val="21"/>
                <w:highlight w:val="none"/>
              </w:rPr>
              <w:t>mg/L</w:t>
            </w:r>
            <w:r>
              <w:rPr>
                <w:rFonts w:hint="default" w:ascii="Times New Roman" w:hAnsi="Times New Roman" w:cs="Times New Roman"/>
                <w:b/>
                <w:bCs/>
                <w:color w:val="auto"/>
                <w:kern w:val="18"/>
                <w:sz w:val="21"/>
                <w:szCs w:val="21"/>
                <w:highlight w:val="none"/>
              </w:rPr>
              <w:t>）</w:t>
            </w:r>
          </w:p>
        </w:tc>
        <w:tc>
          <w:tcPr>
            <w:tcW w:w="1242" w:type="pct"/>
            <w:vAlign w:val="center"/>
          </w:tcPr>
          <w:p w14:paraId="694CE893">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最大值对应距离（m）</w:t>
            </w:r>
          </w:p>
        </w:tc>
        <w:tc>
          <w:tcPr>
            <w:tcW w:w="1012" w:type="pct"/>
            <w:shd w:val="clear" w:color="auto" w:fill="auto"/>
            <w:vAlign w:val="center"/>
          </w:tcPr>
          <w:p w14:paraId="556BA075">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b/>
                <w:bCs/>
                <w:snapToGrid w:val="0"/>
                <w:color w:val="auto"/>
                <w:kern w:val="18"/>
                <w:sz w:val="21"/>
                <w:szCs w:val="21"/>
                <w:highlight w:val="none"/>
                <w:lang w:val="en-US" w:eastAsia="zh-CN" w:bidi="ar-SA"/>
              </w:rPr>
            </w:pPr>
            <w:r>
              <w:rPr>
                <w:rFonts w:hint="default" w:ascii="Times New Roman" w:hAnsi="Times New Roman" w:cs="Times New Roman"/>
                <w:b/>
                <w:bCs/>
                <w:color w:val="auto"/>
                <w:kern w:val="18"/>
                <w:sz w:val="21"/>
                <w:szCs w:val="21"/>
                <w:highlight w:val="none"/>
              </w:rPr>
              <w:t>预测影响最远距离（m）</w:t>
            </w:r>
          </w:p>
        </w:tc>
        <w:tc>
          <w:tcPr>
            <w:tcW w:w="881" w:type="pct"/>
            <w:vAlign w:val="center"/>
          </w:tcPr>
          <w:p w14:paraId="582EB1FD">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超标距离（m）</w:t>
            </w:r>
          </w:p>
        </w:tc>
      </w:tr>
      <w:tr w14:paraId="4A5E02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32" w:type="pct"/>
            <w:vAlign w:val="center"/>
          </w:tcPr>
          <w:p w14:paraId="3B31ADE5">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100天</w:t>
            </w:r>
          </w:p>
        </w:tc>
        <w:tc>
          <w:tcPr>
            <w:tcW w:w="1430" w:type="pct"/>
            <w:vAlign w:val="center"/>
          </w:tcPr>
          <w:p w14:paraId="588E3D4E">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0.008260728</w:t>
            </w:r>
          </w:p>
        </w:tc>
        <w:tc>
          <w:tcPr>
            <w:tcW w:w="1242" w:type="pct"/>
            <w:vAlign w:val="center"/>
          </w:tcPr>
          <w:p w14:paraId="4E8D0D9D">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lang w:val="en-US" w:eastAsia="zh-CN"/>
              </w:rPr>
              <w:t>1</w:t>
            </w:r>
          </w:p>
        </w:tc>
        <w:tc>
          <w:tcPr>
            <w:tcW w:w="1012" w:type="pct"/>
            <w:shd w:val="clear" w:color="auto" w:fill="auto"/>
            <w:vAlign w:val="center"/>
          </w:tcPr>
          <w:p w14:paraId="6CC55BAD">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cs="Times New Roman"/>
                <w:color w:val="auto"/>
                <w:kern w:val="18"/>
                <w:sz w:val="21"/>
                <w:szCs w:val="21"/>
                <w:highlight w:val="none"/>
                <w:lang w:val="en-US" w:eastAsia="zh-CN"/>
              </w:rPr>
              <w:t>/</w:t>
            </w:r>
          </w:p>
        </w:tc>
        <w:tc>
          <w:tcPr>
            <w:tcW w:w="881" w:type="pct"/>
            <w:vAlign w:val="center"/>
          </w:tcPr>
          <w:p w14:paraId="7F60D95C">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cs="Times New Roman"/>
                <w:color w:val="auto"/>
                <w:kern w:val="18"/>
                <w:sz w:val="21"/>
                <w:szCs w:val="21"/>
                <w:highlight w:val="none"/>
                <w:lang w:val="en-US" w:eastAsia="zh-CN"/>
              </w:rPr>
              <w:t>0</w:t>
            </w:r>
          </w:p>
        </w:tc>
      </w:tr>
      <w:tr w14:paraId="1945C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32" w:type="pct"/>
            <w:vAlign w:val="center"/>
          </w:tcPr>
          <w:p w14:paraId="627AADFF">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1000天</w:t>
            </w:r>
          </w:p>
        </w:tc>
        <w:tc>
          <w:tcPr>
            <w:tcW w:w="1430" w:type="pct"/>
            <w:vAlign w:val="center"/>
          </w:tcPr>
          <w:p w14:paraId="688DA559">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0.01367989</w:t>
            </w:r>
          </w:p>
        </w:tc>
        <w:tc>
          <w:tcPr>
            <w:tcW w:w="1242" w:type="pct"/>
            <w:vAlign w:val="center"/>
          </w:tcPr>
          <w:p w14:paraId="284ABA43">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lang w:val="en-US" w:eastAsia="zh-CN"/>
              </w:rPr>
              <w:t>4</w:t>
            </w:r>
          </w:p>
        </w:tc>
        <w:tc>
          <w:tcPr>
            <w:tcW w:w="1012" w:type="pct"/>
            <w:shd w:val="clear" w:color="auto" w:fill="auto"/>
            <w:vAlign w:val="center"/>
          </w:tcPr>
          <w:p w14:paraId="56920FDE">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cs="Times New Roman"/>
                <w:color w:val="auto"/>
                <w:kern w:val="18"/>
                <w:sz w:val="21"/>
                <w:szCs w:val="21"/>
                <w:highlight w:val="none"/>
                <w:lang w:val="en-US" w:eastAsia="zh-CN"/>
              </w:rPr>
              <w:t>/</w:t>
            </w:r>
          </w:p>
        </w:tc>
        <w:tc>
          <w:tcPr>
            <w:tcW w:w="881" w:type="pct"/>
            <w:vAlign w:val="center"/>
          </w:tcPr>
          <w:p w14:paraId="4C41ECB6">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w:t>
            </w:r>
          </w:p>
        </w:tc>
      </w:tr>
      <w:tr w14:paraId="5E569E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432" w:type="pct"/>
            <w:vAlign w:val="center"/>
          </w:tcPr>
          <w:p w14:paraId="70CB1BC1">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lang w:val="en-US" w:eastAsia="zh-CN"/>
              </w:rPr>
              <w:t>9125</w:t>
            </w:r>
            <w:r>
              <w:rPr>
                <w:rFonts w:hint="default" w:ascii="Times New Roman" w:hAnsi="Times New Roman" w:cs="Times New Roman"/>
                <w:color w:val="auto"/>
                <w:kern w:val="18"/>
                <w:sz w:val="21"/>
                <w:szCs w:val="21"/>
                <w:highlight w:val="none"/>
              </w:rPr>
              <w:t>天</w:t>
            </w:r>
          </w:p>
        </w:tc>
        <w:tc>
          <w:tcPr>
            <w:tcW w:w="1430" w:type="pct"/>
            <w:vAlign w:val="center"/>
          </w:tcPr>
          <w:p w14:paraId="68D7094E">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0.004816745</w:t>
            </w:r>
          </w:p>
        </w:tc>
        <w:tc>
          <w:tcPr>
            <w:tcW w:w="1242" w:type="pct"/>
            <w:vAlign w:val="center"/>
          </w:tcPr>
          <w:p w14:paraId="7BDB5C92">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lang w:val="en-US" w:eastAsia="zh-CN"/>
              </w:rPr>
              <w:t>32</w:t>
            </w:r>
          </w:p>
        </w:tc>
        <w:tc>
          <w:tcPr>
            <w:tcW w:w="1012" w:type="pct"/>
            <w:shd w:val="clear" w:color="auto" w:fill="auto"/>
            <w:vAlign w:val="center"/>
          </w:tcPr>
          <w:p w14:paraId="704EE873">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cs="Times New Roman"/>
                <w:color w:val="auto"/>
                <w:kern w:val="18"/>
                <w:sz w:val="21"/>
                <w:szCs w:val="21"/>
                <w:highlight w:val="none"/>
              </w:rPr>
              <w:t>/</w:t>
            </w:r>
          </w:p>
        </w:tc>
        <w:tc>
          <w:tcPr>
            <w:tcW w:w="881" w:type="pct"/>
            <w:vAlign w:val="center"/>
          </w:tcPr>
          <w:p w14:paraId="36323C98">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w:t>
            </w:r>
          </w:p>
        </w:tc>
      </w:tr>
    </w:tbl>
    <w:p w14:paraId="2C83A8C4">
      <w:pPr>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表5.2-</w:t>
      </w:r>
      <w:r>
        <w:rPr>
          <w:rFonts w:hint="default" w:ascii="Times New Roman" w:hAnsi="Times New Roman" w:cs="Times New Roman"/>
          <w:b/>
          <w:bCs/>
          <w:color w:val="auto"/>
          <w:highlight w:val="none"/>
          <w:lang w:val="en-US" w:eastAsia="zh-CN"/>
        </w:rPr>
        <w:t>20</w:t>
      </w:r>
      <w:r>
        <w:rPr>
          <w:rFonts w:hint="default" w:ascii="Times New Roman" w:hAnsi="Times New Roman" w:cs="Times New Roman"/>
          <w:b/>
          <w:bCs/>
          <w:color w:val="auto"/>
          <w:highlight w:val="none"/>
        </w:rPr>
        <w:t xml:space="preserve">    库区尾矿淋滤液渗漏溢流对地下水中</w:t>
      </w:r>
      <w:r>
        <w:rPr>
          <w:rFonts w:hint="default" w:ascii="Times New Roman" w:hAnsi="Times New Roman" w:cs="Times New Roman"/>
          <w:b/>
          <w:bCs/>
          <w:color w:val="auto"/>
          <w:highlight w:val="none"/>
          <w:lang w:val="en-US" w:eastAsia="zh-CN"/>
        </w:rPr>
        <w:t>挥发酚</w:t>
      </w:r>
      <w:r>
        <w:rPr>
          <w:rFonts w:hint="default" w:ascii="Times New Roman" w:hAnsi="Times New Roman" w:cs="Times New Roman"/>
          <w:b/>
          <w:bCs/>
          <w:color w:val="auto"/>
          <w:highlight w:val="none"/>
        </w:rPr>
        <w:t>浓度预测结果表</w:t>
      </w:r>
    </w:p>
    <w:tbl>
      <w:tblPr>
        <w:tblStyle w:val="33"/>
        <w:tblW w:w="83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7"/>
        <w:gridCol w:w="2226"/>
        <w:gridCol w:w="1934"/>
        <w:gridCol w:w="2124"/>
        <w:gridCol w:w="1375"/>
      </w:tblGrid>
      <w:tr w14:paraId="0E167F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677" w:type="dxa"/>
            <w:vAlign w:val="center"/>
          </w:tcPr>
          <w:p w14:paraId="7A1500CA">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时间</w:t>
            </w:r>
          </w:p>
        </w:tc>
        <w:tc>
          <w:tcPr>
            <w:tcW w:w="2226" w:type="dxa"/>
            <w:vAlign w:val="center"/>
          </w:tcPr>
          <w:p w14:paraId="7BF9B3C3">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预测浓度最大值（</w:t>
            </w:r>
            <w:r>
              <w:rPr>
                <w:rFonts w:hint="default" w:ascii="Times New Roman" w:hAnsi="Times New Roman" w:cs="Times New Roman"/>
                <w:color w:val="auto"/>
                <w:kern w:val="18"/>
                <w:sz w:val="21"/>
                <w:szCs w:val="21"/>
                <w:highlight w:val="none"/>
              </w:rPr>
              <w:t>mg/L</w:t>
            </w:r>
            <w:r>
              <w:rPr>
                <w:rFonts w:hint="default" w:ascii="Times New Roman" w:hAnsi="Times New Roman" w:cs="Times New Roman"/>
                <w:b/>
                <w:bCs/>
                <w:color w:val="auto"/>
                <w:kern w:val="18"/>
                <w:sz w:val="21"/>
                <w:szCs w:val="21"/>
                <w:highlight w:val="none"/>
              </w:rPr>
              <w:t>）</w:t>
            </w:r>
          </w:p>
        </w:tc>
        <w:tc>
          <w:tcPr>
            <w:tcW w:w="1934" w:type="dxa"/>
            <w:vAlign w:val="center"/>
          </w:tcPr>
          <w:p w14:paraId="09D7463C">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最大值对应距离（m）</w:t>
            </w:r>
          </w:p>
        </w:tc>
        <w:tc>
          <w:tcPr>
            <w:tcW w:w="2124" w:type="dxa"/>
            <w:vAlign w:val="center"/>
          </w:tcPr>
          <w:p w14:paraId="017C2C72">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预测影响最远距离（m）</w:t>
            </w:r>
          </w:p>
        </w:tc>
        <w:tc>
          <w:tcPr>
            <w:tcW w:w="1375" w:type="dxa"/>
            <w:vAlign w:val="center"/>
          </w:tcPr>
          <w:p w14:paraId="7E784C21">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超标距离（m）</w:t>
            </w:r>
          </w:p>
        </w:tc>
      </w:tr>
      <w:tr w14:paraId="6523F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677" w:type="dxa"/>
            <w:vAlign w:val="center"/>
          </w:tcPr>
          <w:p w14:paraId="65057CC4">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100天</w:t>
            </w:r>
          </w:p>
        </w:tc>
        <w:tc>
          <w:tcPr>
            <w:tcW w:w="2226" w:type="dxa"/>
            <w:vAlign w:val="center"/>
          </w:tcPr>
          <w:p w14:paraId="5BE9D9F6">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0.0003117256</w:t>
            </w:r>
          </w:p>
        </w:tc>
        <w:tc>
          <w:tcPr>
            <w:tcW w:w="1934" w:type="dxa"/>
            <w:shd w:val="clear" w:color="auto" w:fill="auto"/>
            <w:vAlign w:val="center"/>
          </w:tcPr>
          <w:p w14:paraId="1C7965C1">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1</w:t>
            </w:r>
          </w:p>
        </w:tc>
        <w:tc>
          <w:tcPr>
            <w:tcW w:w="2124" w:type="dxa"/>
            <w:vAlign w:val="center"/>
          </w:tcPr>
          <w:p w14:paraId="21DBBDDA">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eastAsia="zh-CN"/>
              </w:rPr>
            </w:pPr>
            <w:r>
              <w:rPr>
                <w:rFonts w:hint="default" w:ascii="Times New Roman" w:hAnsi="Times New Roman" w:cs="Times New Roman"/>
                <w:color w:val="auto"/>
                <w:kern w:val="18"/>
                <w:sz w:val="21"/>
                <w:szCs w:val="21"/>
                <w:highlight w:val="none"/>
                <w:lang w:val="en-US" w:eastAsia="zh-CN"/>
              </w:rPr>
              <w:t>/</w:t>
            </w:r>
          </w:p>
        </w:tc>
        <w:tc>
          <w:tcPr>
            <w:tcW w:w="1375" w:type="dxa"/>
            <w:vAlign w:val="center"/>
          </w:tcPr>
          <w:p w14:paraId="51406912">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w:t>
            </w:r>
          </w:p>
        </w:tc>
      </w:tr>
      <w:tr w14:paraId="0DF908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677" w:type="dxa"/>
            <w:vAlign w:val="center"/>
          </w:tcPr>
          <w:p w14:paraId="1F32CE32">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1000天</w:t>
            </w:r>
          </w:p>
        </w:tc>
        <w:tc>
          <w:tcPr>
            <w:tcW w:w="2226" w:type="dxa"/>
            <w:vAlign w:val="center"/>
          </w:tcPr>
          <w:p w14:paraId="74836FD1">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0.0005162222</w:t>
            </w:r>
          </w:p>
        </w:tc>
        <w:tc>
          <w:tcPr>
            <w:tcW w:w="1934" w:type="dxa"/>
            <w:shd w:val="clear" w:color="auto" w:fill="auto"/>
            <w:vAlign w:val="center"/>
          </w:tcPr>
          <w:p w14:paraId="47ECD7AA">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4</w:t>
            </w:r>
          </w:p>
        </w:tc>
        <w:tc>
          <w:tcPr>
            <w:tcW w:w="2124" w:type="dxa"/>
            <w:vAlign w:val="center"/>
          </w:tcPr>
          <w:p w14:paraId="09B7D929">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color w:val="auto"/>
                <w:kern w:val="18"/>
                <w:sz w:val="21"/>
                <w:szCs w:val="21"/>
                <w:highlight w:val="none"/>
                <w:lang w:eastAsia="zh-CN"/>
              </w:rPr>
            </w:pPr>
            <w:r>
              <w:rPr>
                <w:rFonts w:hint="default" w:ascii="Times New Roman" w:hAnsi="Times New Roman" w:cs="Times New Roman"/>
                <w:color w:val="auto"/>
                <w:kern w:val="18"/>
                <w:sz w:val="21"/>
                <w:szCs w:val="21"/>
                <w:highlight w:val="none"/>
                <w:lang w:val="en-US" w:eastAsia="zh-CN"/>
              </w:rPr>
              <w:t>/</w:t>
            </w:r>
          </w:p>
        </w:tc>
        <w:tc>
          <w:tcPr>
            <w:tcW w:w="1375" w:type="dxa"/>
            <w:vAlign w:val="center"/>
          </w:tcPr>
          <w:p w14:paraId="06047BA5">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w:t>
            </w:r>
          </w:p>
        </w:tc>
      </w:tr>
      <w:tr w14:paraId="73A3D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677" w:type="dxa"/>
            <w:vAlign w:val="center"/>
          </w:tcPr>
          <w:p w14:paraId="222E7DCC">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lang w:val="en-US" w:eastAsia="zh-CN"/>
              </w:rPr>
              <w:t>9125</w:t>
            </w:r>
            <w:r>
              <w:rPr>
                <w:rFonts w:hint="default" w:ascii="Times New Roman" w:hAnsi="Times New Roman" w:cs="Times New Roman"/>
                <w:color w:val="auto"/>
                <w:kern w:val="18"/>
                <w:sz w:val="21"/>
                <w:szCs w:val="21"/>
                <w:highlight w:val="none"/>
              </w:rPr>
              <w:t>天</w:t>
            </w:r>
          </w:p>
        </w:tc>
        <w:tc>
          <w:tcPr>
            <w:tcW w:w="2226" w:type="dxa"/>
            <w:vAlign w:val="center"/>
          </w:tcPr>
          <w:p w14:paraId="52AF4147">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0.000181764</w:t>
            </w:r>
          </w:p>
        </w:tc>
        <w:tc>
          <w:tcPr>
            <w:tcW w:w="1934" w:type="dxa"/>
            <w:shd w:val="clear" w:color="auto" w:fill="auto"/>
            <w:vAlign w:val="center"/>
          </w:tcPr>
          <w:p w14:paraId="0D388DBF">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eastAsia="宋体" w:cs="Times New Roman"/>
                <w:snapToGrid w:val="0"/>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32</w:t>
            </w:r>
          </w:p>
        </w:tc>
        <w:tc>
          <w:tcPr>
            <w:tcW w:w="2124" w:type="dxa"/>
            <w:vAlign w:val="center"/>
          </w:tcPr>
          <w:p w14:paraId="73A8DCF4">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w:t>
            </w:r>
          </w:p>
        </w:tc>
        <w:tc>
          <w:tcPr>
            <w:tcW w:w="1375" w:type="dxa"/>
            <w:vAlign w:val="center"/>
          </w:tcPr>
          <w:p w14:paraId="5022C868">
            <w:pPr>
              <w:pStyle w:val="69"/>
              <w:widowControl/>
              <w:tabs>
                <w:tab w:val="left" w:pos="360"/>
                <w:tab w:val="left" w:pos="1620"/>
                <w:tab w:val="clear" w:pos="1119"/>
              </w:tabs>
              <w:overflowPunct w:val="0"/>
              <w:snapToGrid w:val="0"/>
              <w:spacing w:line="360" w:lineRule="exact"/>
              <w:ind w:left="0" w:leftChars="0"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0</w:t>
            </w:r>
          </w:p>
        </w:tc>
      </w:tr>
    </w:tbl>
    <w:p w14:paraId="50C7BBDB">
      <w:pPr>
        <w:pStyle w:val="69"/>
        <w:widowControl/>
        <w:tabs>
          <w:tab w:val="left" w:pos="360"/>
          <w:tab w:val="left" w:pos="1620"/>
          <w:tab w:val="clear" w:pos="1119"/>
        </w:tabs>
        <w:overflowPunct w:val="0"/>
        <w:snapToGrid w:val="0"/>
        <w:ind w:left="0" w:leftChars="0" w:firstLine="0" w:firstLineChars="0"/>
        <w:jc w:val="center"/>
        <w:rPr>
          <w:rFonts w:hint="default" w:ascii="Times New Roman" w:hAnsi="Times New Roman" w:cs="Times New Roman"/>
          <w:b/>
          <w:bCs/>
          <w:snapToGrid/>
          <w:color w:val="auto"/>
          <w:kern w:val="2"/>
          <w:sz w:val="24"/>
          <w:szCs w:val="24"/>
          <w:highlight w:val="none"/>
        </w:rPr>
      </w:pPr>
    </w:p>
    <w:p w14:paraId="64077079">
      <w:pPr>
        <w:pStyle w:val="69"/>
        <w:widowControl/>
        <w:tabs>
          <w:tab w:val="left" w:pos="360"/>
          <w:tab w:val="left" w:pos="1620"/>
          <w:tab w:val="clear" w:pos="1119"/>
        </w:tabs>
        <w:overflowPunct w:val="0"/>
        <w:snapToGrid w:val="0"/>
        <w:ind w:left="0" w:leftChars="0" w:firstLine="0" w:firstLineChars="0"/>
        <w:jc w:val="center"/>
        <w:rPr>
          <w:rFonts w:hint="default" w:ascii="Times New Roman" w:hAnsi="Times New Roman" w:cs="Times New Roman"/>
          <w:b/>
          <w:bCs/>
          <w:snapToGrid/>
          <w:color w:val="auto"/>
          <w:kern w:val="2"/>
          <w:sz w:val="24"/>
          <w:szCs w:val="24"/>
          <w:highlight w:val="none"/>
        </w:rPr>
      </w:pPr>
    </w:p>
    <w:p w14:paraId="5BE9CA5D">
      <w:pPr>
        <w:pStyle w:val="69"/>
        <w:widowControl/>
        <w:tabs>
          <w:tab w:val="left" w:pos="360"/>
          <w:tab w:val="left" w:pos="1620"/>
          <w:tab w:val="clear" w:pos="1119"/>
        </w:tabs>
        <w:overflowPunct w:val="0"/>
        <w:snapToGrid w:val="0"/>
        <w:ind w:left="0" w:leftChars="0" w:firstLine="0" w:firstLineChars="0"/>
        <w:jc w:val="center"/>
        <w:rPr>
          <w:rFonts w:hint="default" w:ascii="Times New Roman" w:hAnsi="Times New Roman" w:cs="Times New Roman"/>
          <w:b/>
          <w:bCs/>
          <w:snapToGrid/>
          <w:color w:val="auto"/>
          <w:kern w:val="2"/>
          <w:sz w:val="24"/>
          <w:szCs w:val="24"/>
          <w:highlight w:val="none"/>
        </w:rPr>
      </w:pPr>
      <w:r>
        <w:rPr>
          <w:rFonts w:ascii="Times New Roman" w:hAnsi="Times New Roman" w:cs="Times New Roman"/>
          <w:color w:val="auto"/>
          <w:highlight w:val="none"/>
        </w:rPr>
        <w:drawing>
          <wp:anchor distT="0" distB="0" distL="114300" distR="114300" simplePos="0" relativeHeight="251738112" behindDoc="0" locked="0" layoutInCell="1" allowOverlap="1">
            <wp:simplePos x="0" y="0"/>
            <wp:positionH relativeFrom="column">
              <wp:posOffset>241300</wp:posOffset>
            </wp:positionH>
            <wp:positionV relativeFrom="paragraph">
              <wp:posOffset>166370</wp:posOffset>
            </wp:positionV>
            <wp:extent cx="4986020" cy="2647950"/>
            <wp:effectExtent l="4445" t="4445" r="19685" b="14605"/>
            <wp:wrapTopAndBottom/>
            <wp:docPr id="103" name="图表 2" descr="7b0a202020202263686172745265734964223a20223434383839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Pr>
          <w:rFonts w:hint="default" w:ascii="Times New Roman" w:hAnsi="Times New Roman" w:cs="Times New Roman"/>
          <w:b/>
          <w:bCs/>
          <w:snapToGrid/>
          <w:color w:val="auto"/>
          <w:kern w:val="2"/>
          <w:sz w:val="24"/>
          <w:szCs w:val="24"/>
          <w:highlight w:val="none"/>
        </w:rPr>
        <w:t>图5.2-19    不同天数下</w:t>
      </w:r>
      <w:r>
        <w:rPr>
          <w:rFonts w:hint="default" w:ascii="Times New Roman" w:hAnsi="Times New Roman" w:cs="Times New Roman"/>
          <w:b/>
          <w:bCs/>
          <w:snapToGrid/>
          <w:color w:val="auto"/>
          <w:kern w:val="2"/>
          <w:sz w:val="24"/>
          <w:szCs w:val="24"/>
          <w:highlight w:val="none"/>
          <w:lang w:val="en-US" w:eastAsia="zh-CN"/>
        </w:rPr>
        <w:t>铅</w:t>
      </w:r>
      <w:r>
        <w:rPr>
          <w:rFonts w:hint="default" w:ascii="Times New Roman" w:hAnsi="Times New Roman" w:cs="Times New Roman"/>
          <w:b/>
          <w:bCs/>
          <w:snapToGrid/>
          <w:color w:val="auto"/>
          <w:kern w:val="2"/>
          <w:sz w:val="24"/>
          <w:szCs w:val="24"/>
          <w:highlight w:val="none"/>
        </w:rPr>
        <w:t>浓度历时曲线图</w:t>
      </w:r>
    </w:p>
    <w:p w14:paraId="7E117F6F">
      <w:pPr>
        <w:jc w:val="center"/>
        <w:rPr>
          <w:rFonts w:hint="default" w:ascii="Times New Roman" w:hAnsi="Times New Roman" w:cs="Times New Roman"/>
          <w:b/>
          <w:bCs/>
          <w:snapToGrid/>
          <w:color w:val="auto"/>
          <w:kern w:val="2"/>
          <w:sz w:val="24"/>
          <w:szCs w:val="24"/>
          <w:highlight w:val="none"/>
        </w:rPr>
      </w:pPr>
      <w:r>
        <w:rPr>
          <w:rFonts w:ascii="Times New Roman" w:hAnsi="Times New Roman" w:cs="Times New Roman"/>
          <w:color w:val="auto"/>
          <w:highlight w:val="none"/>
        </w:rPr>
        <w:drawing>
          <wp:anchor distT="0" distB="0" distL="114300" distR="114300" simplePos="0" relativeHeight="251739136" behindDoc="0" locked="0" layoutInCell="1" allowOverlap="1">
            <wp:simplePos x="0" y="0"/>
            <wp:positionH relativeFrom="column">
              <wp:posOffset>185420</wp:posOffset>
            </wp:positionH>
            <wp:positionV relativeFrom="paragraph">
              <wp:posOffset>124460</wp:posOffset>
            </wp:positionV>
            <wp:extent cx="4986020" cy="2647950"/>
            <wp:effectExtent l="4445" t="4445" r="19685" b="14605"/>
            <wp:wrapTopAndBottom/>
            <wp:docPr id="104" name="图表 2" descr="7b0a202020202263686172745265734964223a20223434383839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Pr>
          <w:rFonts w:hint="default" w:ascii="Times New Roman" w:hAnsi="Times New Roman" w:cs="Times New Roman"/>
          <w:b/>
          <w:bCs/>
          <w:snapToGrid/>
          <w:color w:val="auto"/>
          <w:kern w:val="2"/>
          <w:sz w:val="24"/>
          <w:szCs w:val="24"/>
          <w:highlight w:val="none"/>
        </w:rPr>
        <w:t>图5.2-</w:t>
      </w:r>
      <w:r>
        <w:rPr>
          <w:rFonts w:hint="default" w:ascii="Times New Roman" w:hAnsi="Times New Roman" w:cs="Times New Roman"/>
          <w:b/>
          <w:bCs/>
          <w:snapToGrid/>
          <w:color w:val="auto"/>
          <w:kern w:val="2"/>
          <w:sz w:val="24"/>
          <w:szCs w:val="24"/>
          <w:highlight w:val="none"/>
          <w:lang w:val="en-US" w:eastAsia="zh-CN"/>
        </w:rPr>
        <w:t>20</w:t>
      </w:r>
      <w:r>
        <w:rPr>
          <w:rFonts w:hint="default" w:ascii="Times New Roman" w:hAnsi="Times New Roman" w:cs="Times New Roman"/>
          <w:b/>
          <w:bCs/>
          <w:snapToGrid/>
          <w:color w:val="auto"/>
          <w:kern w:val="2"/>
          <w:sz w:val="24"/>
          <w:szCs w:val="24"/>
          <w:highlight w:val="none"/>
        </w:rPr>
        <w:t xml:space="preserve">    不同天数下</w:t>
      </w:r>
      <w:r>
        <w:rPr>
          <w:rFonts w:hint="default" w:ascii="Times New Roman" w:hAnsi="Times New Roman" w:cs="Times New Roman"/>
          <w:b/>
          <w:bCs/>
          <w:snapToGrid/>
          <w:color w:val="auto"/>
          <w:kern w:val="2"/>
          <w:sz w:val="24"/>
          <w:szCs w:val="24"/>
          <w:highlight w:val="none"/>
          <w:lang w:val="en-US" w:eastAsia="zh-CN"/>
        </w:rPr>
        <w:t>石油类</w:t>
      </w:r>
      <w:r>
        <w:rPr>
          <w:rFonts w:hint="default" w:ascii="Times New Roman" w:hAnsi="Times New Roman" w:cs="Times New Roman"/>
          <w:b/>
          <w:bCs/>
          <w:snapToGrid/>
          <w:color w:val="auto"/>
          <w:kern w:val="2"/>
          <w:sz w:val="24"/>
          <w:szCs w:val="24"/>
          <w:highlight w:val="none"/>
        </w:rPr>
        <w:t>浓度历时曲线图</w:t>
      </w:r>
    </w:p>
    <w:p w14:paraId="02753335">
      <w:pPr>
        <w:pStyle w:val="32"/>
        <w:jc w:val="center"/>
        <w:rPr>
          <w:rFonts w:hint="default" w:ascii="Times New Roman" w:hAnsi="Times New Roman" w:cs="Times New Roman"/>
          <w:b/>
          <w:bCs/>
          <w:snapToGrid/>
          <w:color w:val="auto"/>
          <w:kern w:val="2"/>
          <w:sz w:val="24"/>
          <w:szCs w:val="24"/>
          <w:highlight w:val="none"/>
        </w:rPr>
      </w:pPr>
      <w:r>
        <w:rPr>
          <w:color w:val="auto"/>
          <w:highlight w:val="none"/>
        </w:rPr>
        <w:drawing>
          <wp:anchor distT="0" distB="0" distL="114300" distR="114300" simplePos="0" relativeHeight="251740160" behindDoc="0" locked="0" layoutInCell="1" allowOverlap="1">
            <wp:simplePos x="0" y="0"/>
            <wp:positionH relativeFrom="column">
              <wp:posOffset>194945</wp:posOffset>
            </wp:positionH>
            <wp:positionV relativeFrom="paragraph">
              <wp:posOffset>143510</wp:posOffset>
            </wp:positionV>
            <wp:extent cx="4986020" cy="2647950"/>
            <wp:effectExtent l="4445" t="4445" r="19685" b="14605"/>
            <wp:wrapTopAndBottom/>
            <wp:docPr id="111" name="图表 2" descr="7b0a202020202263686172745265734964223a20223434383839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Pr>
          <w:rFonts w:hint="default" w:ascii="Times New Roman" w:hAnsi="Times New Roman" w:cs="Times New Roman"/>
          <w:b/>
          <w:bCs/>
          <w:snapToGrid/>
          <w:color w:val="auto"/>
          <w:kern w:val="2"/>
          <w:sz w:val="24"/>
          <w:szCs w:val="24"/>
          <w:highlight w:val="none"/>
        </w:rPr>
        <w:t>图5.2-</w:t>
      </w:r>
      <w:r>
        <w:rPr>
          <w:rFonts w:hint="default" w:ascii="Times New Roman" w:hAnsi="Times New Roman" w:eastAsia="宋体" w:cs="Times New Roman"/>
          <w:b/>
          <w:bCs/>
          <w:snapToGrid/>
          <w:color w:val="auto"/>
          <w:kern w:val="2"/>
          <w:sz w:val="24"/>
          <w:szCs w:val="24"/>
          <w:highlight w:val="none"/>
          <w:lang w:eastAsia="zh-CN"/>
        </w:rPr>
        <w:t>2</w:t>
      </w:r>
      <w:r>
        <w:rPr>
          <w:rFonts w:hint="default" w:ascii="Times New Roman" w:hAnsi="Times New Roman" w:eastAsia="宋体" w:cs="Times New Roman"/>
          <w:b/>
          <w:bCs/>
          <w:snapToGrid/>
          <w:color w:val="auto"/>
          <w:kern w:val="2"/>
          <w:sz w:val="24"/>
          <w:szCs w:val="24"/>
          <w:highlight w:val="none"/>
          <w:lang w:val="en-US" w:eastAsia="zh-CN"/>
        </w:rPr>
        <w:t>1</w:t>
      </w:r>
      <w:r>
        <w:rPr>
          <w:rFonts w:hint="default" w:ascii="Times New Roman" w:hAnsi="Times New Roman" w:cs="Times New Roman"/>
          <w:b/>
          <w:bCs/>
          <w:snapToGrid/>
          <w:color w:val="auto"/>
          <w:kern w:val="2"/>
          <w:sz w:val="24"/>
          <w:szCs w:val="24"/>
          <w:highlight w:val="none"/>
        </w:rPr>
        <w:t xml:space="preserve">    不同天数下</w:t>
      </w:r>
      <w:r>
        <w:rPr>
          <w:rFonts w:hint="default" w:ascii="Times New Roman" w:hAnsi="Times New Roman" w:eastAsia="宋体" w:cs="Times New Roman"/>
          <w:b/>
          <w:bCs/>
          <w:snapToGrid/>
          <w:color w:val="auto"/>
          <w:kern w:val="2"/>
          <w:sz w:val="24"/>
          <w:szCs w:val="24"/>
          <w:highlight w:val="none"/>
          <w:lang w:val="en-US" w:eastAsia="zh-CN"/>
        </w:rPr>
        <w:t>挥发酚</w:t>
      </w:r>
      <w:r>
        <w:rPr>
          <w:rFonts w:hint="default" w:ascii="Times New Roman" w:hAnsi="Times New Roman" w:cs="Times New Roman"/>
          <w:b/>
          <w:bCs/>
          <w:snapToGrid/>
          <w:color w:val="auto"/>
          <w:kern w:val="2"/>
          <w:sz w:val="24"/>
          <w:szCs w:val="24"/>
          <w:highlight w:val="none"/>
        </w:rPr>
        <w:t>浓度历时曲线图</w:t>
      </w:r>
    </w:p>
    <w:p w14:paraId="14898A81">
      <w:pPr>
        <w:pStyle w:val="11"/>
        <w:widowControl w:val="0"/>
        <w:overflowPunct w:val="0"/>
        <w:topLinePunct/>
        <w:spacing w:after="0"/>
        <w:ind w:firstLine="480"/>
        <w:jc w:val="both"/>
        <w:rPr>
          <w:rFonts w:hint="default" w:ascii="Times New Roman" w:hAnsi="Times New Roman" w:cs="Times New Roman"/>
          <w:color w:val="auto"/>
          <w:kern w:val="2"/>
          <w:highlight w:val="none"/>
          <w:lang w:eastAsia="zh-CN"/>
        </w:rPr>
      </w:pPr>
      <w:r>
        <w:rPr>
          <w:rFonts w:hint="default" w:ascii="Times New Roman" w:hAnsi="Times New Roman" w:cs="Times New Roman"/>
          <w:color w:val="auto"/>
          <w:kern w:val="2"/>
          <w:highlight w:val="none"/>
        </w:rPr>
        <w:t>由表5.2-18、图5.2-19预测结果可知，100天后，尾矿库特征因子</w:t>
      </w:r>
      <w:r>
        <w:rPr>
          <w:rFonts w:hint="default" w:ascii="Times New Roman" w:hAnsi="Times New Roman" w:cs="Times New Roman"/>
          <w:color w:val="auto"/>
          <w:kern w:val="2"/>
          <w:highlight w:val="none"/>
          <w:lang w:val="en-US" w:eastAsia="zh-CN"/>
        </w:rPr>
        <w:t>铅预测的最大值为0.0561106mg/l，位于下游1m，预测超标距离最远为1m</w:t>
      </w:r>
      <w:r>
        <w:rPr>
          <w:rFonts w:hint="default" w:ascii="Times New Roman" w:hAnsi="Times New Roman" w:cs="Times New Roman"/>
          <w:color w:val="auto"/>
          <w:kern w:val="2"/>
          <w:highlight w:val="none"/>
        </w:rPr>
        <w:t>；1000天后，尾矿库特征因子</w:t>
      </w:r>
      <w:r>
        <w:rPr>
          <w:rFonts w:hint="default" w:ascii="Times New Roman" w:hAnsi="Times New Roman" w:cs="Times New Roman"/>
          <w:color w:val="auto"/>
          <w:kern w:val="2"/>
          <w:highlight w:val="none"/>
          <w:lang w:val="en-US" w:eastAsia="zh-CN"/>
        </w:rPr>
        <w:t>铅</w:t>
      </w:r>
      <w:r>
        <w:rPr>
          <w:rFonts w:hint="default" w:ascii="Times New Roman" w:hAnsi="Times New Roman" w:cs="Times New Roman"/>
          <w:color w:val="auto"/>
          <w:kern w:val="2"/>
          <w:highlight w:val="none"/>
        </w:rPr>
        <w:t>预测的最大值为0.09292mg/l，位于下游4m，预测超标距离最远为5m；</w:t>
      </w:r>
      <w:r>
        <w:rPr>
          <w:rFonts w:hint="default" w:ascii="Times New Roman" w:hAnsi="Times New Roman" w:cs="Times New Roman"/>
          <w:color w:val="auto"/>
          <w:kern w:val="2"/>
          <w:highlight w:val="none"/>
          <w:lang w:val="en-US" w:eastAsia="zh-CN"/>
        </w:rPr>
        <w:t>9125</w:t>
      </w:r>
      <w:r>
        <w:rPr>
          <w:rFonts w:hint="default" w:ascii="Times New Roman" w:hAnsi="Times New Roman" w:cs="Times New Roman"/>
          <w:color w:val="auto"/>
          <w:kern w:val="2"/>
          <w:highlight w:val="none"/>
        </w:rPr>
        <w:t>天后，尾矿库特征因子</w:t>
      </w:r>
      <w:r>
        <w:rPr>
          <w:rFonts w:hint="default" w:ascii="Times New Roman" w:hAnsi="Times New Roman" w:cs="Times New Roman"/>
          <w:color w:val="auto"/>
          <w:kern w:val="2"/>
          <w:highlight w:val="none"/>
          <w:lang w:val="en-US" w:eastAsia="zh-CN"/>
        </w:rPr>
        <w:t>铅</w:t>
      </w:r>
      <w:r>
        <w:rPr>
          <w:rFonts w:hint="default" w:ascii="Times New Roman" w:hAnsi="Times New Roman" w:cs="Times New Roman"/>
          <w:color w:val="auto"/>
          <w:kern w:val="2"/>
          <w:highlight w:val="none"/>
        </w:rPr>
        <w:t>预测的最大值为0.03271751mg/l，位于下游32m，预测超标距离最远为36m</w:t>
      </w:r>
      <w:r>
        <w:rPr>
          <w:rFonts w:hint="default" w:ascii="Times New Roman" w:hAnsi="Times New Roman" w:cs="Times New Roman"/>
          <w:color w:val="auto"/>
          <w:kern w:val="2"/>
          <w:highlight w:val="none"/>
          <w:lang w:eastAsia="zh-CN"/>
        </w:rPr>
        <w:t>。</w:t>
      </w:r>
    </w:p>
    <w:p w14:paraId="29B183AC">
      <w:pPr>
        <w:pStyle w:val="1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由表5.2-19、图5.2-20预测结果可知，100天后，尾矿库特征因子石油类预测的最大值为0.008260728mg/l，位于下游1m，预测结果均未超标；1000天后，尾矿库特征因子石油类预测的最大值为0.01367989mg/l，位于下游4m，预测结果均未超标；9125天后，尾矿库特征因子石油类预测的最大值为0.004816745mg/l，位于下游32m，预测结果均未超标。评价范围内污染物浓度贡献值均满足地下水环境质量《地下水质量标准》（GB/T14848-2017）Ⅲ类标准。</w:t>
      </w:r>
    </w:p>
    <w:p w14:paraId="5C993AE3">
      <w:pPr>
        <w:pStyle w:val="1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由表5.2-20、图5.2-21预测结果可知，100天后，尾矿库特征因子挥发酚预测的最大值为0.0003117256mg/l，位于下游1m，预测结果均未超标；1000天后，尾矿库特征因子挥发酚预测的最大值为0.0005162222mg/l，位于下游4m，预测结果均未超标；9125天后，尾矿库特征因子挥发酚预测的最大值为0.000181764mg/l，位于下游32m，预测结果均未超标。评价范围内污染物浓度贡献值均满足地下水环境质量《地下水质量标准》（GB/T14848-2017）Ⅲ类标准。</w:t>
      </w:r>
    </w:p>
    <w:p w14:paraId="1EC0A941">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从预测结果可以看出，尾矿淋滤液渗漏溢流到坝下区域特征因子</w:t>
      </w:r>
      <w:r>
        <w:rPr>
          <w:rFonts w:hint="default" w:ascii="Times New Roman" w:hAnsi="Times New Roman" w:cs="Times New Roman"/>
          <w:color w:val="auto"/>
          <w:kern w:val="2"/>
          <w:highlight w:val="none"/>
          <w:lang w:val="en-US" w:eastAsia="zh-CN"/>
        </w:rPr>
        <w:t>铅</w:t>
      </w:r>
      <w:r>
        <w:rPr>
          <w:rFonts w:hint="default" w:ascii="Times New Roman" w:hAnsi="Times New Roman" w:cs="Times New Roman"/>
          <w:color w:val="auto"/>
          <w:kern w:val="2"/>
          <w:highlight w:val="none"/>
        </w:rPr>
        <w:t>预测超标距离</w:t>
      </w:r>
      <w:r>
        <w:rPr>
          <w:rFonts w:hint="default" w:ascii="Times New Roman" w:hAnsi="Times New Roman" w:cs="Times New Roman"/>
          <w:color w:val="auto"/>
          <w:kern w:val="2"/>
          <w:highlight w:val="none"/>
          <w:lang w:val="en-US" w:eastAsia="zh-CN"/>
        </w:rPr>
        <w:t>最远</w:t>
      </w:r>
      <w:r>
        <w:rPr>
          <w:rFonts w:hint="default" w:ascii="Times New Roman" w:hAnsi="Times New Roman" w:cs="Times New Roman"/>
          <w:color w:val="auto"/>
          <w:kern w:val="2"/>
          <w:highlight w:val="none"/>
        </w:rPr>
        <w:t>为</w:t>
      </w:r>
      <w:r>
        <w:rPr>
          <w:rFonts w:hint="default" w:ascii="Times New Roman" w:hAnsi="Times New Roman" w:cs="Times New Roman"/>
          <w:color w:val="auto"/>
          <w:kern w:val="2"/>
          <w:highlight w:val="none"/>
          <w:lang w:val="en-US" w:eastAsia="zh-CN"/>
        </w:rPr>
        <w:t>36</w:t>
      </w:r>
      <w:r>
        <w:rPr>
          <w:rFonts w:hint="default" w:ascii="Times New Roman" w:hAnsi="Times New Roman" w:cs="Times New Roman"/>
          <w:color w:val="auto"/>
          <w:kern w:val="2"/>
          <w:highlight w:val="none"/>
        </w:rPr>
        <w:t>m</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lang w:val="en-US" w:eastAsia="zh-CN"/>
        </w:rPr>
        <w:t>超标距离较小且超标浓度倍数较小</w:t>
      </w:r>
      <w:r>
        <w:rPr>
          <w:rFonts w:hint="default" w:ascii="Times New Roman" w:hAnsi="Times New Roman" w:cs="Times New Roman"/>
          <w:color w:val="auto"/>
          <w:kern w:val="2"/>
          <w:highlight w:val="none"/>
        </w:rPr>
        <w:t>。</w:t>
      </w:r>
      <w:r>
        <w:rPr>
          <w:rFonts w:hint="default" w:ascii="Times New Roman" w:hAnsi="Times New Roman" w:cs="Times New Roman"/>
          <w:color w:val="auto"/>
          <w:highlight w:val="none"/>
        </w:rPr>
        <w:t>根据项目区块地形，下游</w:t>
      </w:r>
      <w:r>
        <w:rPr>
          <w:rFonts w:hint="default" w:cs="Times New Roman"/>
          <w:color w:val="auto"/>
          <w:highlight w:val="none"/>
          <w:lang w:val="en-US" w:eastAsia="zh-CN"/>
        </w:rPr>
        <w:t>1</w:t>
      </w:r>
      <w:r>
        <w:rPr>
          <w:rFonts w:hint="default" w:ascii="Times New Roman" w:hAnsi="Times New Roman" w:cs="Times New Roman"/>
          <w:color w:val="auto"/>
          <w:highlight w:val="none"/>
        </w:rPr>
        <w:t>km范围内无耕地和村落、乡镇</w:t>
      </w:r>
      <w:r>
        <w:rPr>
          <w:rFonts w:hint="default" w:ascii="Times New Roman" w:hAnsi="Times New Roman" w:cs="Times New Roman"/>
          <w:color w:val="auto"/>
          <w:highlight w:val="none"/>
          <w:lang w:val="en-US" w:eastAsia="zh-CN"/>
        </w:rPr>
        <w:t>等敏感目标</w:t>
      </w:r>
      <w:r>
        <w:rPr>
          <w:rFonts w:hint="default" w:ascii="Times New Roman" w:hAnsi="Times New Roman" w:cs="Times New Roman"/>
          <w:color w:val="auto"/>
          <w:highlight w:val="none"/>
        </w:rPr>
        <w:t>分布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且在采取</w:t>
      </w:r>
      <w:r>
        <w:rPr>
          <w:rFonts w:hint="default" w:ascii="Times New Roman" w:hAnsi="Times New Roman" w:cs="Times New Roman"/>
          <w:color w:val="auto"/>
          <w:kern w:val="2"/>
          <w:highlight w:val="none"/>
        </w:rPr>
        <w:t>Ⅱ类场的防渗层</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单人工复合衬层，防渗层的防渗性能至少相当于1.5mm高密度聚乙烯膜的防渗性能。天然基础之上为导水层；导水层之上为粘土层；粘土层厚度为0.75m，且经压实、人工改性等措施处理后的饱和渗透系数不应大于1.0×10</w:t>
      </w:r>
      <w:r>
        <w:rPr>
          <w:rFonts w:hint="default" w:ascii="Times New Roman" w:hAnsi="Times New Roman" w:cs="Times New Roman"/>
          <w:color w:val="auto"/>
          <w:kern w:val="2"/>
          <w:highlight w:val="none"/>
          <w:vertAlign w:val="superscript"/>
        </w:rPr>
        <w:t>-7</w:t>
      </w:r>
      <w:r>
        <w:rPr>
          <w:rFonts w:hint="default" w:ascii="Times New Roman" w:hAnsi="Times New Roman" w:cs="Times New Roman"/>
          <w:color w:val="auto"/>
          <w:kern w:val="2"/>
          <w:highlight w:val="none"/>
        </w:rPr>
        <w:t>cm/s；粘土层之上采用单人工复合衬层</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highlight w:val="none"/>
          <w:lang w:val="en-US" w:eastAsia="zh-CN"/>
        </w:rPr>
        <w:t>后，</w:t>
      </w:r>
      <w:r>
        <w:rPr>
          <w:rFonts w:hint="default" w:ascii="Times New Roman" w:hAnsi="Times New Roman" w:cs="Times New Roman"/>
          <w:color w:val="auto"/>
          <w:highlight w:val="none"/>
        </w:rPr>
        <w:t>项目非正常状况对周边环境无明显影响。</w:t>
      </w:r>
    </w:p>
    <w:p w14:paraId="0CB79901">
      <w:pPr>
        <w:pStyle w:val="4"/>
        <w:rPr>
          <w:rFonts w:hint="default" w:ascii="Times New Roman" w:hAnsi="Times New Roman" w:cs="Times New Roman"/>
          <w:color w:val="auto"/>
          <w:highlight w:val="none"/>
        </w:rPr>
      </w:pPr>
      <w:bookmarkStart w:id="763" w:name="_Toc22124"/>
      <w:bookmarkStart w:id="764" w:name="_Toc20422"/>
      <w:bookmarkStart w:id="765" w:name="_Toc26249"/>
      <w:r>
        <w:rPr>
          <w:rFonts w:hint="default" w:ascii="Times New Roman" w:hAnsi="Times New Roman" w:cs="Times New Roman"/>
          <w:color w:val="auto"/>
          <w:highlight w:val="none"/>
        </w:rPr>
        <w:t>5.2.4运营期声环境影响分析与评价</w:t>
      </w:r>
      <w:bookmarkEnd w:id="763"/>
      <w:bookmarkEnd w:id="764"/>
      <w:bookmarkEnd w:id="765"/>
    </w:p>
    <w:p w14:paraId="3A44482C">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5.2.4.1</w:t>
      </w:r>
      <w:r>
        <w:rPr>
          <w:rFonts w:hint="default" w:ascii="Times New Roman" w:hAnsi="Times New Roman" w:cs="Times New Roman"/>
          <w:color w:val="auto"/>
          <w:highlight w:val="none"/>
          <w:lang w:val="zh-CN"/>
        </w:rPr>
        <w:t>声环境质量影响预测</w:t>
      </w:r>
    </w:p>
    <w:p w14:paraId="4DB8B12A">
      <w:pPr>
        <w:overflowPunct w:val="0"/>
        <w:topLinePunct/>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zh-CN"/>
        </w:rPr>
        <w:t>预测因子：等效A声级。</w:t>
      </w:r>
    </w:p>
    <w:p w14:paraId="4C5999E6">
      <w:pPr>
        <w:overflowPunct w:val="0"/>
        <w:topLinePunct/>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zh-CN"/>
        </w:rPr>
        <w:t>预测模式：采用工业噪声预测模式和声压级叠加模式，预测噪声源对厂界噪声的贡献值。</w:t>
      </w:r>
    </w:p>
    <w:p w14:paraId="699D85DF">
      <w:pPr>
        <w:overflowPunct w:val="0"/>
        <w:topLinePunct/>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zh-CN"/>
        </w:rPr>
        <w:t>）点声源</w:t>
      </w:r>
    </w:p>
    <w:p w14:paraId="6A3D02CA">
      <w:pPr>
        <w:pStyle w:val="32"/>
        <w:ind w:left="0" w:leftChars="0" w:firstLine="0" w:firstLineChars="0"/>
        <w:jc w:val="center"/>
        <w:rPr>
          <w:rFonts w:hint="default" w:ascii="Times New Roman" w:hAnsi="Times New Roman" w:cs="Times New Roman"/>
          <w:color w:val="auto"/>
          <w:kern w:val="0"/>
          <w:sz w:val="24"/>
          <w:highlight w:val="none"/>
          <w:lang w:val="zh-CN"/>
        </w:rPr>
      </w:pPr>
      <w:r>
        <w:rPr>
          <w:rFonts w:hint="default" w:ascii="Times New Roman" w:hAnsi="Times New Roman" w:cs="Times New Roman"/>
          <w:color w:val="auto"/>
          <w:kern w:val="0"/>
          <w:position w:val="-12"/>
          <w:sz w:val="24"/>
          <w:highlight w:val="none"/>
          <w:lang w:val="zh-CN"/>
        </w:rPr>
        <w:object>
          <v:shape id="_x0000_i1031" o:spt="75" type="#_x0000_t75" style="height:12pt;width:161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3" r:id="rId70">
            <o:LockedField>false</o:LockedField>
          </o:OLEObject>
        </w:object>
      </w:r>
    </w:p>
    <w:p w14:paraId="397015C2">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式中：</w:t>
      </w:r>
      <w:r>
        <w:rPr>
          <w:rFonts w:hint="default" w:ascii="Times New Roman" w:hAnsi="Times New Roman" w:cs="Times New Roman"/>
          <w:i/>
          <w:iCs/>
          <w:color w:val="auto"/>
          <w:highlight w:val="none"/>
        </w:rPr>
        <w:t>LA(r)</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距声源</w:t>
      </w:r>
      <w:r>
        <w:rPr>
          <w:rFonts w:hint="default" w:ascii="Times New Roman" w:hAnsi="Times New Roman" w:cs="Times New Roman"/>
          <w:color w:val="auto"/>
          <w:highlight w:val="none"/>
        </w:rPr>
        <w:t>1m处的A声级；</w:t>
      </w:r>
    </w:p>
    <w:p w14:paraId="0FD559D6">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LAref(r</w:t>
      </w:r>
      <w:r>
        <w:rPr>
          <w:rFonts w:hint="default" w:ascii="Times New Roman" w:hAnsi="Times New Roman" w:cs="Times New Roman"/>
          <w:i/>
          <w:iCs/>
          <w:color w:val="auto"/>
          <w:highlight w:val="none"/>
          <w:vertAlign w:val="subscript"/>
        </w:rPr>
        <w:t>o</w:t>
      </w:r>
      <w:r>
        <w:rPr>
          <w:rFonts w:hint="default" w:ascii="Times New Roman" w:hAnsi="Times New Roman" w:cs="Times New Roman"/>
          <w:i/>
          <w:iCs/>
          <w:color w:val="auto"/>
          <w:highlight w:val="none"/>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参考位置</w:t>
      </w:r>
      <w:r>
        <w:rPr>
          <w:rFonts w:hint="default" w:ascii="Times New Roman" w:hAnsi="Times New Roman" w:cs="Times New Roman"/>
          <w:color w:val="auto"/>
          <w:highlight w:val="none"/>
        </w:rPr>
        <w:t>r</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lang w:val="zh-CN"/>
        </w:rPr>
        <w:t>处的A声级</w:t>
      </w:r>
      <w:r>
        <w:rPr>
          <w:rFonts w:hint="default" w:ascii="Times New Roman" w:hAnsi="Times New Roman" w:cs="Times New Roman"/>
          <w:color w:val="auto"/>
          <w:highlight w:val="none"/>
        </w:rPr>
        <w:t>；</w:t>
      </w:r>
    </w:p>
    <w:p w14:paraId="5D435BA0">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Adiv</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声波几何发散的</w:t>
      </w:r>
      <w:r>
        <w:rPr>
          <w:rFonts w:hint="default" w:ascii="Times New Roman" w:hAnsi="Times New Roman" w:cs="Times New Roman"/>
          <w:color w:val="auto"/>
          <w:highlight w:val="none"/>
        </w:rPr>
        <w:t>A声级衰减量；</w:t>
      </w:r>
    </w:p>
    <w:p w14:paraId="37362F93">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Adiv=20Lg(r/r</w:t>
      </w:r>
      <w:r>
        <w:rPr>
          <w:rFonts w:hint="default" w:ascii="Times New Roman" w:hAnsi="Times New Roman" w:cs="Times New Roman"/>
          <w:i/>
          <w:iCs/>
          <w:color w:val="auto"/>
          <w:highlight w:val="none"/>
          <w:vertAlign w:val="subscript"/>
        </w:rPr>
        <w:t>0</w:t>
      </w:r>
      <w:r>
        <w:rPr>
          <w:rFonts w:hint="default" w:ascii="Times New Roman" w:hAnsi="Times New Roman" w:cs="Times New Roman"/>
          <w:i/>
          <w:iCs/>
          <w:color w:val="auto"/>
          <w:highlight w:val="none"/>
        </w:rPr>
        <w:t>)</w:t>
      </w:r>
      <w:r>
        <w:rPr>
          <w:rFonts w:hint="default" w:ascii="Times New Roman" w:hAnsi="Times New Roman" w:cs="Times New Roman"/>
          <w:color w:val="auto"/>
          <w:highlight w:val="none"/>
        </w:rPr>
        <w:t>或</w:t>
      </w:r>
      <w:r>
        <w:rPr>
          <w:rFonts w:hint="default" w:ascii="Times New Roman" w:hAnsi="Times New Roman" w:cs="Times New Roman"/>
          <w:i/>
          <w:iCs/>
          <w:color w:val="auto"/>
          <w:highlight w:val="none"/>
        </w:rPr>
        <w:t>Adiv=10Lg(r/r</w:t>
      </w:r>
      <w:r>
        <w:rPr>
          <w:rFonts w:hint="default" w:ascii="Times New Roman" w:hAnsi="Times New Roman" w:cs="Times New Roman"/>
          <w:i/>
          <w:iCs/>
          <w:color w:val="auto"/>
          <w:highlight w:val="none"/>
          <w:vertAlign w:val="subscript"/>
        </w:rPr>
        <w:t>0</w:t>
      </w:r>
      <w:r>
        <w:rPr>
          <w:rFonts w:hint="default" w:ascii="Times New Roman" w:hAnsi="Times New Roman" w:cs="Times New Roman"/>
          <w:i/>
          <w:iCs/>
          <w:color w:val="auto"/>
          <w:highlight w:val="none"/>
        </w:rPr>
        <w:t>)</w:t>
      </w:r>
      <w:r>
        <w:rPr>
          <w:rFonts w:hint="default" w:ascii="Times New Roman" w:hAnsi="Times New Roman" w:cs="Times New Roman"/>
          <w:color w:val="auto"/>
          <w:highlight w:val="none"/>
        </w:rPr>
        <w:t>（当</w:t>
      </w:r>
      <w:r>
        <w:rPr>
          <w:rFonts w:hint="default" w:ascii="Times New Roman" w:hAnsi="Times New Roman" w:cs="Times New Roman"/>
          <w:i/>
          <w:iCs/>
          <w:color w:val="auto"/>
          <w:highlight w:val="none"/>
        </w:rPr>
        <w:t>r≤π</w:t>
      </w:r>
      <w:r>
        <w:rPr>
          <w:rFonts w:hint="default" w:ascii="Times New Roman" w:hAnsi="Times New Roman" w:cs="Times New Roman"/>
          <w:color w:val="auto"/>
          <w:highlight w:val="none"/>
        </w:rPr>
        <w:t>时，</w:t>
      </w:r>
      <w:r>
        <w:rPr>
          <w:rFonts w:hint="default" w:ascii="Times New Roman" w:hAnsi="Times New Roman" w:cs="Times New Roman"/>
          <w:i/>
          <w:iCs/>
          <w:color w:val="auto"/>
          <w:highlight w:val="none"/>
        </w:rPr>
        <w:t>L</w:t>
      </w:r>
      <w:r>
        <w:rPr>
          <w:rFonts w:hint="default" w:ascii="Times New Roman" w:hAnsi="Times New Roman" w:cs="Times New Roman"/>
          <w:color w:val="auto"/>
          <w:highlight w:val="none"/>
        </w:rPr>
        <w:t>为声源长度）</w:t>
      </w:r>
    </w:p>
    <w:p w14:paraId="0097E4C8">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Abar</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声屏障引起的</w:t>
      </w:r>
      <w:r>
        <w:rPr>
          <w:rFonts w:hint="default" w:ascii="Times New Roman" w:hAnsi="Times New Roman" w:cs="Times New Roman"/>
          <w:color w:val="auto"/>
          <w:highlight w:val="none"/>
        </w:rPr>
        <w:t>A声级衰减量，本评价只考虑噪声从室内向室外传播的衰减：</w:t>
      </w:r>
    </w:p>
    <w:p w14:paraId="50F51A47">
      <w:pPr>
        <w:pStyle w:val="32"/>
        <w:ind w:left="0" w:leftChars="0" w:firstLine="0" w:firstLineChars="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6"/>
          <w:sz w:val="24"/>
          <w:highlight w:val="none"/>
        </w:rPr>
        <w:object>
          <v:shape id="_x0000_i1032" o:spt="75" type="#_x0000_t75" style="height:12pt;width:72pt;" o:ole="t" filled="f" o:preferrelative="t" stroked="f" coordsize="21600,21600">
            <v:path/>
            <v:fill on="f" focussize="0,0"/>
            <v:stroke on="f" joinstyle="miter"/>
            <v:imagedata r:id="rId73" o:title=""/>
            <o:lock v:ext="edit" aspectratio="t"/>
            <w10:wrap type="none"/>
            <w10:anchorlock/>
          </v:shape>
          <o:OLEObject Type="Embed" ProgID="Equation.3" ShapeID="_x0000_i1032" DrawAspect="Content" ObjectID="_1468075734" r:id="rId72">
            <o:LockedField>false</o:LockedField>
          </o:OLEObject>
        </w:object>
      </w:r>
    </w:p>
    <w:p w14:paraId="717C31B0">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w:t>
      </w:r>
      <w:r>
        <w:rPr>
          <w:rFonts w:hint="default" w:ascii="Times New Roman" w:hAnsi="Times New Roman" w:cs="Times New Roman"/>
          <w:i/>
          <w:iCs/>
          <w:color w:val="auto"/>
          <w:kern w:val="0"/>
          <w:highlight w:val="none"/>
        </w:rPr>
        <w:t>TL</w:t>
      </w:r>
      <w:r>
        <w:rPr>
          <w:rFonts w:hint="default" w:ascii="Times New Roman" w:hAnsi="Times New Roman" w:cs="Times New Roman"/>
          <w:color w:val="auto"/>
          <w:kern w:val="0"/>
          <w:highlight w:val="none"/>
        </w:rPr>
        <w:t>为隔墙（或窗户）的传输损失。</w:t>
      </w:r>
    </w:p>
    <w:p w14:paraId="1C7D8DE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为简化计算工作，预测计算中只考虑厂区内各声源至受声点（预测点）的距离衰减和车间厂房的屏蔽作用。各声源由于厂内外其它建筑物的屏蔽衰减、空气吸收引起的衰减以及由于云、雾、温度梯度、风及地面其它效应等引起的衰减，因衰减量不大，本次计算忽略不计。</w:t>
      </w:r>
    </w:p>
    <w:p w14:paraId="6A326201">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（2）多个设备同时作业的总等效连续声级：</w:t>
      </w:r>
    </w:p>
    <w:p w14:paraId="0F04D682">
      <w:pPr>
        <w:spacing w:line="360" w:lineRule="auto"/>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position w:val="-28"/>
          <w:highlight w:val="none"/>
        </w:rPr>
        <w:object>
          <v:shape id="_x0000_i1033" o:spt="75" type="#_x0000_t75" style="height:36pt;width:161pt;" o:ole="t" filled="f" o:preferrelative="t" stroked="f" coordsize="21600,21600">
            <v:path/>
            <v:fill on="f" focussize="0,0"/>
            <v:stroke on="f" joinstyle="miter"/>
            <v:imagedata r:id="rId75" o:title=""/>
            <o:lock v:ext="edit" aspectratio="t"/>
            <w10:wrap type="none"/>
            <w10:anchorlock/>
          </v:shape>
          <o:OLEObject Type="Embed" ProgID="Equation.3" ShapeID="_x0000_i1033" DrawAspect="Content" ObjectID="_1468075735" r:id="rId74">
            <o:LockedField>false</o:LockedField>
          </o:OLEObject>
        </w:object>
      </w:r>
    </w:p>
    <w:p w14:paraId="3A2F8261">
      <w:pPr>
        <w:overflowPunct w:val="0"/>
        <w:topLinePunct/>
        <w:spacing w:line="480" w:lineRule="atLeas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zh-CN"/>
        </w:rPr>
        <w:t>式中：</w:t>
      </w:r>
      <w:r>
        <w:rPr>
          <w:rFonts w:hint="default" w:ascii="Times New Roman" w:hAnsi="Times New Roman" w:cs="Times New Roman"/>
          <w:i/>
          <w:iCs/>
          <w:color w:val="auto"/>
          <w:kern w:val="0"/>
          <w:highlight w:val="none"/>
        </w:rPr>
        <w:t>Ler(T)</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zh-CN"/>
        </w:rPr>
        <w:t>总等效连续声级；</w:t>
      </w:r>
    </w:p>
    <w:p w14:paraId="715409EA">
      <w:pPr>
        <w:overflowPunct w:val="0"/>
        <w:topLinePunct/>
        <w:spacing w:line="480" w:lineRule="atLeas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t</w:t>
      </w:r>
      <w:r>
        <w:rPr>
          <w:rFonts w:hint="default" w:ascii="Times New Roman" w:hAnsi="Times New Roman" w:cs="Times New Roman"/>
          <w:color w:val="auto"/>
          <w:kern w:val="0"/>
          <w:highlight w:val="none"/>
          <w:vertAlign w:val="subscript"/>
        </w:rPr>
        <w:t>i</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zh-CN"/>
        </w:rPr>
        <w:t>第i个设备在预测点的噪声作用时间（在T时间内）；</w:t>
      </w:r>
    </w:p>
    <w:p w14:paraId="3AF06CC2">
      <w:pPr>
        <w:overflowPunct w:val="0"/>
        <w:topLinePunct/>
        <w:spacing w:line="480" w:lineRule="atLeas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L</w:t>
      </w:r>
      <w:r>
        <w:rPr>
          <w:rFonts w:hint="default" w:ascii="Times New Roman" w:hAnsi="Times New Roman" w:cs="Times New Roman"/>
          <w:color w:val="auto"/>
          <w:kern w:val="0"/>
          <w:highlight w:val="none"/>
          <w:vertAlign w:val="subscript"/>
        </w:rPr>
        <w:t>Pi</w:t>
      </w:r>
      <w:r>
        <w:rPr>
          <w:rFonts w:hint="default" w:ascii="Times New Roman" w:hAnsi="Times New Roman" w:cs="Times New Roman"/>
          <w:color w:val="auto"/>
          <w:kern w:val="0"/>
          <w:highlight w:val="none"/>
        </w:rPr>
        <w:t>——第i个设备在预测点产生的A声级；</w:t>
      </w:r>
    </w:p>
    <w:p w14:paraId="0A9B7F38">
      <w:pPr>
        <w:overflowPunct w:val="0"/>
        <w:topLinePunct/>
        <w:spacing w:line="480" w:lineRule="atLeas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T——计算等效声级的时间。</w:t>
      </w:r>
    </w:p>
    <w:p w14:paraId="75D93F36">
      <w:pPr>
        <w:overflowPunct w:val="0"/>
        <w:topLinePunct/>
        <w:spacing w:line="480" w:lineRule="atLeas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（3）计算预测点的噪声增加值，可将各声源对预测点的声压级进行叠加，按下式计算：</w:t>
      </w:r>
    </w:p>
    <w:p w14:paraId="78B6B6C4">
      <w:pPr>
        <w:spacing w:line="360" w:lineRule="auto"/>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position w:val="-28"/>
          <w:highlight w:val="none"/>
        </w:rPr>
        <w:object>
          <v:shape id="_x0000_i1034" o:spt="75" type="#_x0000_t75" style="height:42pt;width:138pt;" o:ole="t" filled="f" o:preferrelative="t" stroked="f" coordsize="21600,21600">
            <v:path/>
            <v:fill on="f" focussize="0,0"/>
            <v:stroke on="f" joinstyle="miter"/>
            <v:imagedata r:id="rId77" o:title=""/>
            <o:lock v:ext="edit" aspectratio="t"/>
            <w10:wrap type="none"/>
            <w10:anchorlock/>
          </v:shape>
          <o:OLEObject Type="Embed" ProgID="Equation.3" ShapeID="_x0000_i1034" DrawAspect="Content" ObjectID="_1468075736" r:id="rId76">
            <o:LockedField>false</o:LockedField>
          </o:OLEObject>
        </w:object>
      </w:r>
    </w:p>
    <w:p w14:paraId="78D69367">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式中：L</w:t>
      </w:r>
      <w:r>
        <w:rPr>
          <w:rFonts w:hint="default" w:ascii="Times New Roman" w:hAnsi="Times New Roman" w:cs="Times New Roman"/>
          <w:color w:val="auto"/>
          <w:kern w:val="0"/>
          <w:highlight w:val="none"/>
          <w:vertAlign w:val="subscript"/>
          <w:lang w:val="zh-CN"/>
        </w:rPr>
        <w:t>P总</w:t>
      </w:r>
      <w:r>
        <w:rPr>
          <w:rFonts w:hint="default" w:ascii="Times New Roman" w:hAnsi="Times New Roman" w:cs="Times New Roman"/>
          <w:color w:val="auto"/>
          <w:kern w:val="0"/>
          <w:highlight w:val="none"/>
          <w:lang w:val="zh-CN"/>
        </w:rPr>
        <w:t>——预测点处新增的总声压级，dB；</w:t>
      </w:r>
    </w:p>
    <w:p w14:paraId="22F70567">
      <w:pPr>
        <w:overflowPunct w:val="0"/>
        <w:topLinePunc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zh-CN"/>
        </w:rPr>
        <w:t>L</w:t>
      </w:r>
      <w:r>
        <w:rPr>
          <w:rFonts w:hint="default" w:ascii="Times New Roman" w:hAnsi="Times New Roman" w:cs="Times New Roman"/>
          <w:color w:val="auto"/>
          <w:kern w:val="0"/>
          <w:highlight w:val="none"/>
          <w:vertAlign w:val="subscript"/>
          <w:lang w:val="zh-CN"/>
        </w:rPr>
        <w:t>Pi</w:t>
      </w:r>
      <w:r>
        <w:rPr>
          <w:rFonts w:hint="default" w:ascii="Times New Roman" w:hAnsi="Times New Roman" w:cs="Times New Roman"/>
          <w:color w:val="auto"/>
          <w:kern w:val="0"/>
          <w:highlight w:val="none"/>
          <w:lang w:val="zh-CN"/>
        </w:rPr>
        <w:t>——第i个声源至预测点处的声压级，dB；</w:t>
      </w:r>
    </w:p>
    <w:p w14:paraId="2BC30F18">
      <w:pPr>
        <w:overflowPunct w:val="0"/>
        <w:topLinePunct/>
        <w:ind w:firstLine="1200" w:firstLineChars="50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m——声源个数。</w:t>
      </w:r>
    </w:p>
    <w:p w14:paraId="333D1AD1">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w:t>
      </w:r>
      <w:r>
        <w:rPr>
          <w:rFonts w:hint="default" w:ascii="Times New Roman" w:hAnsi="Times New Roman" w:cs="Times New Roman"/>
          <w:color w:val="auto"/>
          <w:kern w:val="0"/>
          <w:highlight w:val="none"/>
          <w:lang w:val="zh-CN"/>
        </w:rPr>
        <w:t>主要噪声源及预测点位</w:t>
      </w:r>
    </w:p>
    <w:p w14:paraId="0C28848E">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本项目选矿厂运营期噪声源主要为球磨机、分级机、</w:t>
      </w:r>
      <w:r>
        <w:rPr>
          <w:rFonts w:hint="default" w:cs="Times New Roman"/>
          <w:color w:val="auto"/>
          <w:kern w:val="0"/>
          <w:highlight w:val="none"/>
          <w:lang w:val="en-US" w:eastAsia="zh-CN"/>
        </w:rPr>
        <w:t>破碎机、浓缩机</w:t>
      </w:r>
      <w:r>
        <w:rPr>
          <w:rFonts w:hint="default" w:ascii="Times New Roman" w:hAnsi="Times New Roman" w:cs="Times New Roman"/>
          <w:color w:val="auto"/>
          <w:kern w:val="0"/>
          <w:highlight w:val="none"/>
          <w:lang w:val="zh-CN"/>
        </w:rPr>
        <w:t>及水泵等。本项目选矿厂</w:t>
      </w:r>
      <w:r>
        <w:rPr>
          <w:rFonts w:hint="default" w:cs="Times New Roman"/>
          <w:color w:val="auto"/>
          <w:kern w:val="0"/>
          <w:highlight w:val="none"/>
          <w:lang w:val="zh-CN"/>
        </w:rPr>
        <w:t>、</w:t>
      </w:r>
      <w:r>
        <w:rPr>
          <w:rFonts w:hint="default" w:cs="Times New Roman"/>
          <w:color w:val="auto"/>
          <w:kern w:val="0"/>
          <w:highlight w:val="none"/>
          <w:lang w:val="en-US" w:eastAsia="zh-CN"/>
        </w:rPr>
        <w:t>尾矿库</w:t>
      </w:r>
      <w:r>
        <w:rPr>
          <w:rFonts w:hint="default" w:ascii="Times New Roman" w:hAnsi="Times New Roman" w:cs="Times New Roman"/>
          <w:color w:val="auto"/>
          <w:kern w:val="0"/>
          <w:highlight w:val="none"/>
          <w:lang w:val="zh-CN"/>
        </w:rPr>
        <w:t>200m范围内无噪声敏感点，本次声环境影响预测内容为选矿厂</w:t>
      </w:r>
      <w:r>
        <w:rPr>
          <w:rFonts w:hint="default" w:cs="Times New Roman"/>
          <w:color w:val="auto"/>
          <w:kern w:val="0"/>
          <w:highlight w:val="none"/>
          <w:lang w:val="zh-CN"/>
        </w:rPr>
        <w:t>、</w:t>
      </w:r>
      <w:r>
        <w:rPr>
          <w:rFonts w:hint="default" w:cs="Times New Roman"/>
          <w:color w:val="auto"/>
          <w:kern w:val="0"/>
          <w:highlight w:val="none"/>
          <w:lang w:val="en-US" w:eastAsia="zh-CN"/>
        </w:rPr>
        <w:t>尾矿库</w:t>
      </w:r>
      <w:r>
        <w:rPr>
          <w:rFonts w:hint="default" w:ascii="Times New Roman" w:hAnsi="Times New Roman" w:cs="Times New Roman"/>
          <w:color w:val="auto"/>
          <w:kern w:val="0"/>
          <w:highlight w:val="none"/>
          <w:lang w:val="zh-CN"/>
        </w:rPr>
        <w:t>厂界环境噪声达标分析，在选矿厂</w:t>
      </w:r>
      <w:r>
        <w:rPr>
          <w:rFonts w:hint="default" w:cs="Times New Roman"/>
          <w:color w:val="auto"/>
          <w:kern w:val="0"/>
          <w:highlight w:val="none"/>
          <w:lang w:val="zh-CN"/>
        </w:rPr>
        <w:t>、</w:t>
      </w:r>
      <w:r>
        <w:rPr>
          <w:rFonts w:hint="default" w:cs="Times New Roman"/>
          <w:color w:val="auto"/>
          <w:kern w:val="0"/>
          <w:highlight w:val="none"/>
          <w:lang w:val="en-US" w:eastAsia="zh-CN"/>
        </w:rPr>
        <w:t>尾矿库</w:t>
      </w:r>
      <w:r>
        <w:rPr>
          <w:rFonts w:hint="default" w:ascii="Times New Roman" w:hAnsi="Times New Roman" w:cs="Times New Roman"/>
          <w:color w:val="auto"/>
          <w:kern w:val="0"/>
          <w:highlight w:val="none"/>
          <w:lang w:val="zh-CN"/>
        </w:rPr>
        <w:t>厂界处</w:t>
      </w:r>
      <w:r>
        <w:rPr>
          <w:rFonts w:hint="default" w:cs="Times New Roman"/>
          <w:color w:val="auto"/>
          <w:kern w:val="0"/>
          <w:highlight w:val="none"/>
          <w:lang w:val="en-US" w:eastAsia="zh-CN"/>
        </w:rPr>
        <w:t>各</w:t>
      </w:r>
      <w:r>
        <w:rPr>
          <w:rFonts w:hint="default" w:ascii="Times New Roman" w:hAnsi="Times New Roman" w:cs="Times New Roman"/>
          <w:color w:val="auto"/>
          <w:kern w:val="0"/>
          <w:highlight w:val="none"/>
          <w:lang w:val="zh-CN"/>
        </w:rPr>
        <w:t>设</w:t>
      </w:r>
      <w:r>
        <w:rPr>
          <w:rFonts w:hint="default" w:ascii="Times New Roman" w:hAnsi="Times New Roman" w:cs="Times New Roman"/>
          <w:color w:val="auto"/>
          <w:kern w:val="0"/>
          <w:highlight w:val="none"/>
        </w:rPr>
        <w:t>4</w:t>
      </w:r>
      <w:r>
        <w:rPr>
          <w:rFonts w:hint="default" w:ascii="Times New Roman" w:hAnsi="Times New Roman" w:cs="Times New Roman"/>
          <w:color w:val="auto"/>
          <w:kern w:val="0"/>
          <w:highlight w:val="none"/>
          <w:lang w:val="zh-CN"/>
        </w:rPr>
        <w:t>个场界噪声预测点。</w:t>
      </w:r>
    </w:p>
    <w:p w14:paraId="443E75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5.2-12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运营期噪声源强</w:t>
      </w:r>
      <w:r>
        <w:rPr>
          <w:rFonts w:hint="default" w:cs="Times New Roman"/>
          <w:b/>
          <w:color w:val="auto"/>
          <w:sz w:val="24"/>
          <w:szCs w:val="24"/>
          <w:highlight w:val="none"/>
          <w:lang w:val="en-US" w:eastAsia="zh-CN"/>
        </w:rPr>
        <w:t>调查清单</w:t>
      </w:r>
      <w:r>
        <w:rPr>
          <w:rFonts w:hint="default" w:ascii="Times New Roman" w:hAnsi="Times New Roman" w:eastAsia="宋体" w:cs="Times New Roman"/>
          <w:b/>
          <w:color w:val="auto"/>
          <w:sz w:val="24"/>
          <w:szCs w:val="24"/>
          <w:highlight w:val="none"/>
          <w:lang w:val="en-US" w:eastAsia="zh-CN"/>
        </w:rPr>
        <w:t>（室</w:t>
      </w:r>
      <w:r>
        <w:rPr>
          <w:rFonts w:hint="default" w:cs="Times New Roman"/>
          <w:b/>
          <w:color w:val="auto"/>
          <w:sz w:val="24"/>
          <w:szCs w:val="24"/>
          <w:highlight w:val="none"/>
          <w:lang w:val="en-US" w:eastAsia="zh-CN"/>
        </w:rPr>
        <w:t>内声源</w:t>
      </w:r>
      <w:r>
        <w:rPr>
          <w:rFonts w:hint="default" w:ascii="Times New Roman" w:hAnsi="Times New Roman" w:eastAsia="宋体" w:cs="Times New Roman"/>
          <w:b/>
          <w:color w:val="auto"/>
          <w:sz w:val="24"/>
          <w:szCs w:val="24"/>
          <w:highlight w:val="none"/>
          <w:lang w:val="en-US" w:eastAsia="zh-CN"/>
        </w:rPr>
        <w:t>）</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793"/>
        <w:gridCol w:w="1278"/>
        <w:gridCol w:w="794"/>
        <w:gridCol w:w="969"/>
        <w:gridCol w:w="358"/>
        <w:gridCol w:w="500"/>
        <w:gridCol w:w="884"/>
        <w:gridCol w:w="1779"/>
        <w:gridCol w:w="648"/>
      </w:tblGrid>
      <w:tr w14:paraId="05B64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305" w:type="pct"/>
            <w:vMerge w:val="restart"/>
            <w:tcBorders>
              <w:tl2br w:val="nil"/>
              <w:tr2bl w:val="nil"/>
            </w:tcBorders>
            <w:noWrap w:val="0"/>
            <w:vAlign w:val="center"/>
          </w:tcPr>
          <w:p w14:paraId="7EDF1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序号</w:t>
            </w:r>
          </w:p>
        </w:tc>
        <w:tc>
          <w:tcPr>
            <w:tcW w:w="465" w:type="pct"/>
            <w:vMerge w:val="restart"/>
            <w:tcBorders>
              <w:tl2br w:val="nil"/>
              <w:tr2bl w:val="nil"/>
            </w:tcBorders>
            <w:noWrap w:val="0"/>
            <w:vAlign w:val="center"/>
          </w:tcPr>
          <w:p w14:paraId="4F6F0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b/>
                <w:bCs/>
                <w:color w:val="auto"/>
                <w:sz w:val="21"/>
                <w:szCs w:val="21"/>
                <w:highlight w:val="none"/>
                <w:lang w:val="en-US" w:eastAsia="zh-CN"/>
              </w:rPr>
              <w:t>声源</w:t>
            </w:r>
            <w:r>
              <w:rPr>
                <w:rFonts w:hint="default" w:ascii="Times New Roman" w:hAnsi="Times New Roman" w:eastAsia="宋体" w:cs="Times New Roman"/>
                <w:b/>
                <w:bCs/>
                <w:color w:val="auto"/>
                <w:sz w:val="21"/>
                <w:szCs w:val="21"/>
                <w:highlight w:val="none"/>
              </w:rPr>
              <w:t>名称</w:t>
            </w:r>
          </w:p>
        </w:tc>
        <w:tc>
          <w:tcPr>
            <w:tcW w:w="749" w:type="pct"/>
            <w:vMerge w:val="restart"/>
            <w:tcBorders>
              <w:tl2br w:val="nil"/>
              <w:tr2bl w:val="nil"/>
            </w:tcBorders>
            <w:noWrap w:val="0"/>
            <w:vAlign w:val="center"/>
          </w:tcPr>
          <w:p w14:paraId="5A036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cs="Times New Roman"/>
                <w:b/>
                <w:bCs/>
                <w:color w:val="auto"/>
                <w:sz w:val="21"/>
                <w:szCs w:val="21"/>
                <w:highlight w:val="none"/>
                <w:lang w:val="en-US" w:eastAsia="zh-CN"/>
              </w:rPr>
              <w:t>型号</w:t>
            </w:r>
          </w:p>
        </w:tc>
        <w:tc>
          <w:tcPr>
            <w:tcW w:w="1243" w:type="pct"/>
            <w:gridSpan w:val="3"/>
            <w:tcBorders>
              <w:tl2br w:val="nil"/>
              <w:tr2bl w:val="nil"/>
            </w:tcBorders>
            <w:noWrap w:val="0"/>
            <w:vAlign w:val="center"/>
          </w:tcPr>
          <w:p w14:paraId="17F8A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空间相对位置（m）</w:t>
            </w:r>
          </w:p>
        </w:tc>
        <w:tc>
          <w:tcPr>
            <w:tcW w:w="293" w:type="pct"/>
            <w:vMerge w:val="restart"/>
            <w:tcBorders>
              <w:tl2br w:val="nil"/>
              <w:tr2bl w:val="nil"/>
            </w:tcBorders>
            <w:noWrap w:val="0"/>
            <w:vAlign w:val="center"/>
          </w:tcPr>
          <w:p w14:paraId="3AE4E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台数</w:t>
            </w:r>
          </w:p>
        </w:tc>
        <w:tc>
          <w:tcPr>
            <w:tcW w:w="518" w:type="pct"/>
            <w:vMerge w:val="restart"/>
            <w:tcBorders>
              <w:tl2br w:val="nil"/>
              <w:tr2bl w:val="nil"/>
            </w:tcBorders>
            <w:noWrap w:val="0"/>
            <w:vAlign w:val="center"/>
          </w:tcPr>
          <w:p w14:paraId="5906B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声</w:t>
            </w:r>
            <w:r>
              <w:rPr>
                <w:rFonts w:hint="default" w:cs="Times New Roman"/>
                <w:b/>
                <w:bCs/>
                <w:color w:val="auto"/>
                <w:sz w:val="21"/>
                <w:szCs w:val="21"/>
                <w:highlight w:val="none"/>
                <w:lang w:val="en-US" w:eastAsia="zh-CN"/>
              </w:rPr>
              <w:t>功率级</w:t>
            </w:r>
          </w:p>
          <w:p w14:paraId="23021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dB</w:t>
            </w:r>
            <w:r>
              <w:rPr>
                <w:rFonts w:hint="default"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cs="Times New Roman"/>
                <w:b/>
                <w:bCs/>
                <w:color w:val="auto"/>
                <w:sz w:val="21"/>
                <w:szCs w:val="21"/>
                <w:highlight w:val="none"/>
                <w:lang w:eastAsia="zh-CN"/>
              </w:rPr>
              <w:t>）</w:t>
            </w:r>
          </w:p>
        </w:tc>
        <w:tc>
          <w:tcPr>
            <w:tcW w:w="1043" w:type="pct"/>
            <w:vMerge w:val="restart"/>
            <w:tcBorders>
              <w:tl2br w:val="nil"/>
              <w:tr2bl w:val="nil"/>
            </w:tcBorders>
            <w:noWrap w:val="0"/>
            <w:vAlign w:val="center"/>
          </w:tcPr>
          <w:p w14:paraId="6673C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b/>
                <w:bCs/>
                <w:color w:val="auto"/>
                <w:sz w:val="21"/>
                <w:szCs w:val="21"/>
                <w:highlight w:val="none"/>
                <w:lang w:val="en-US" w:eastAsia="zh-CN"/>
              </w:rPr>
              <w:t>声源控制措施</w:t>
            </w:r>
          </w:p>
        </w:tc>
        <w:tc>
          <w:tcPr>
            <w:tcW w:w="380" w:type="pct"/>
            <w:vMerge w:val="restart"/>
            <w:tcBorders>
              <w:tl2br w:val="nil"/>
              <w:tr2bl w:val="nil"/>
            </w:tcBorders>
            <w:noWrap w:val="0"/>
            <w:vAlign w:val="center"/>
          </w:tcPr>
          <w:p w14:paraId="53DA6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b/>
                <w:bCs/>
                <w:color w:val="auto"/>
                <w:sz w:val="21"/>
                <w:szCs w:val="21"/>
                <w:highlight w:val="none"/>
                <w:lang w:val="en-US" w:eastAsia="zh-CN"/>
              </w:rPr>
              <w:t>运行时段</w:t>
            </w:r>
          </w:p>
        </w:tc>
      </w:tr>
      <w:tr w14:paraId="2540A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305" w:type="pct"/>
            <w:vMerge w:val="continue"/>
            <w:tcBorders>
              <w:tl2br w:val="nil"/>
              <w:tr2bl w:val="nil"/>
            </w:tcBorders>
            <w:noWrap w:val="0"/>
            <w:vAlign w:val="center"/>
          </w:tcPr>
          <w:p w14:paraId="237E1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465" w:type="pct"/>
            <w:vMerge w:val="continue"/>
            <w:tcBorders>
              <w:tl2br w:val="nil"/>
              <w:tr2bl w:val="nil"/>
            </w:tcBorders>
            <w:noWrap w:val="0"/>
            <w:vAlign w:val="center"/>
          </w:tcPr>
          <w:p w14:paraId="6E019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749" w:type="pct"/>
            <w:vMerge w:val="continue"/>
            <w:tcBorders>
              <w:tl2br w:val="nil"/>
              <w:tr2bl w:val="nil"/>
            </w:tcBorders>
            <w:noWrap w:val="0"/>
            <w:vAlign w:val="center"/>
          </w:tcPr>
          <w:p w14:paraId="2C6C9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465" w:type="pct"/>
            <w:tcBorders>
              <w:tl2br w:val="nil"/>
              <w:tr2bl w:val="nil"/>
            </w:tcBorders>
            <w:noWrap w:val="0"/>
            <w:vAlign w:val="center"/>
          </w:tcPr>
          <w:p w14:paraId="4848F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X</w:t>
            </w:r>
          </w:p>
        </w:tc>
        <w:tc>
          <w:tcPr>
            <w:tcW w:w="568" w:type="pct"/>
            <w:tcBorders>
              <w:tl2br w:val="nil"/>
              <w:tr2bl w:val="nil"/>
            </w:tcBorders>
            <w:noWrap w:val="0"/>
            <w:vAlign w:val="center"/>
          </w:tcPr>
          <w:p w14:paraId="78FFB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Y</w:t>
            </w:r>
          </w:p>
        </w:tc>
        <w:tc>
          <w:tcPr>
            <w:tcW w:w="209" w:type="pct"/>
            <w:tcBorders>
              <w:tl2br w:val="nil"/>
              <w:tr2bl w:val="nil"/>
            </w:tcBorders>
            <w:noWrap w:val="0"/>
            <w:vAlign w:val="center"/>
          </w:tcPr>
          <w:p w14:paraId="42727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Z</w:t>
            </w:r>
          </w:p>
        </w:tc>
        <w:tc>
          <w:tcPr>
            <w:tcW w:w="293" w:type="pct"/>
            <w:vMerge w:val="continue"/>
            <w:tcBorders>
              <w:tl2br w:val="nil"/>
              <w:tr2bl w:val="nil"/>
            </w:tcBorders>
            <w:noWrap w:val="0"/>
            <w:vAlign w:val="center"/>
          </w:tcPr>
          <w:p w14:paraId="0F181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18" w:type="pct"/>
            <w:vMerge w:val="continue"/>
            <w:tcBorders>
              <w:tl2br w:val="nil"/>
              <w:tr2bl w:val="nil"/>
            </w:tcBorders>
            <w:noWrap w:val="0"/>
            <w:vAlign w:val="center"/>
          </w:tcPr>
          <w:p w14:paraId="71DD5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43" w:type="pct"/>
            <w:vMerge w:val="continue"/>
            <w:tcBorders>
              <w:tl2br w:val="nil"/>
              <w:tr2bl w:val="nil"/>
            </w:tcBorders>
            <w:noWrap w:val="0"/>
            <w:vAlign w:val="center"/>
          </w:tcPr>
          <w:p w14:paraId="5572D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80" w:type="pct"/>
            <w:vMerge w:val="continue"/>
            <w:tcBorders>
              <w:tl2br w:val="nil"/>
              <w:tr2bl w:val="nil"/>
            </w:tcBorders>
            <w:noWrap w:val="0"/>
            <w:vAlign w:val="center"/>
          </w:tcPr>
          <w:p w14:paraId="21353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086C4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305" w:type="pct"/>
            <w:tcBorders>
              <w:tl2br w:val="nil"/>
              <w:tr2bl w:val="nil"/>
            </w:tcBorders>
            <w:noWrap w:val="0"/>
            <w:vAlign w:val="center"/>
          </w:tcPr>
          <w:p w14:paraId="02C26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65" w:type="pct"/>
            <w:tcBorders>
              <w:tl2br w:val="nil"/>
              <w:tr2bl w:val="nil"/>
            </w:tcBorders>
            <w:shd w:val="clear" w:color="auto" w:fill="auto"/>
            <w:noWrap w:val="0"/>
            <w:vAlign w:val="center"/>
          </w:tcPr>
          <w:p w14:paraId="0B15F12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颚式破碎机</w:t>
            </w:r>
          </w:p>
        </w:tc>
        <w:tc>
          <w:tcPr>
            <w:tcW w:w="749" w:type="pct"/>
            <w:tcBorders>
              <w:tl2br w:val="nil"/>
              <w:tr2bl w:val="nil"/>
            </w:tcBorders>
            <w:noWrap w:val="0"/>
            <w:vAlign w:val="center"/>
          </w:tcPr>
          <w:p w14:paraId="703ED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highlight w:val="none"/>
                <w:lang w:val="en-US" w:eastAsia="zh-CN"/>
              </w:rPr>
              <w:t>C80</w:t>
            </w:r>
          </w:p>
        </w:tc>
        <w:tc>
          <w:tcPr>
            <w:tcW w:w="465" w:type="pct"/>
            <w:tcBorders>
              <w:tl2br w:val="nil"/>
              <w:tr2bl w:val="nil"/>
            </w:tcBorders>
            <w:noWrap w:val="0"/>
            <w:vAlign w:val="center"/>
          </w:tcPr>
          <w:p w14:paraId="57CE6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481.69</w:t>
            </w:r>
          </w:p>
        </w:tc>
        <w:tc>
          <w:tcPr>
            <w:tcW w:w="568" w:type="pct"/>
            <w:tcBorders>
              <w:tl2br w:val="nil"/>
              <w:tr2bl w:val="nil"/>
            </w:tcBorders>
            <w:noWrap w:val="0"/>
            <w:vAlign w:val="center"/>
          </w:tcPr>
          <w:p w14:paraId="6073B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-1176.33</w:t>
            </w:r>
          </w:p>
        </w:tc>
        <w:tc>
          <w:tcPr>
            <w:tcW w:w="209" w:type="pct"/>
            <w:tcBorders>
              <w:tl2br w:val="nil"/>
              <w:tr2bl w:val="nil"/>
            </w:tcBorders>
            <w:noWrap w:val="0"/>
            <w:vAlign w:val="center"/>
          </w:tcPr>
          <w:p w14:paraId="05DDE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1C204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1</w:t>
            </w:r>
          </w:p>
        </w:tc>
        <w:tc>
          <w:tcPr>
            <w:tcW w:w="518" w:type="pct"/>
            <w:tcBorders>
              <w:tl2br w:val="nil"/>
              <w:tr2bl w:val="nil"/>
            </w:tcBorders>
            <w:shd w:val="clear" w:color="auto" w:fill="auto"/>
            <w:noWrap w:val="0"/>
            <w:vAlign w:val="center"/>
          </w:tcPr>
          <w:p w14:paraId="2009861B">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75</w:t>
            </w:r>
          </w:p>
        </w:tc>
        <w:tc>
          <w:tcPr>
            <w:tcW w:w="1043" w:type="pct"/>
            <w:tcBorders>
              <w:tl2br w:val="nil"/>
              <w:tr2bl w:val="nil"/>
            </w:tcBorders>
            <w:noWrap w:val="0"/>
            <w:vAlign w:val="center"/>
          </w:tcPr>
          <w:p w14:paraId="4EA0A2B0">
            <w:pPr>
              <w:widowControl/>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41B7D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连续</w:t>
            </w:r>
          </w:p>
        </w:tc>
      </w:tr>
      <w:tr w14:paraId="320E8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305" w:type="pct"/>
            <w:tcBorders>
              <w:tl2br w:val="nil"/>
              <w:tr2bl w:val="nil"/>
            </w:tcBorders>
            <w:noWrap w:val="0"/>
            <w:vAlign w:val="center"/>
          </w:tcPr>
          <w:p w14:paraId="3BDFF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cs="Times New Roman"/>
                <w:color w:val="auto"/>
                <w:highlight w:val="none"/>
                <w:lang w:val="en-US" w:eastAsia="zh-CN"/>
              </w:rPr>
              <w:t>2</w:t>
            </w:r>
          </w:p>
        </w:tc>
        <w:tc>
          <w:tcPr>
            <w:tcW w:w="465" w:type="pct"/>
            <w:tcBorders>
              <w:tl2br w:val="nil"/>
              <w:tr2bl w:val="nil"/>
            </w:tcBorders>
            <w:shd w:val="clear" w:color="auto" w:fill="auto"/>
            <w:noWrap w:val="0"/>
            <w:vAlign w:val="center"/>
          </w:tcPr>
          <w:p w14:paraId="4E2E8B56">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圆锥破碎机</w:t>
            </w:r>
          </w:p>
        </w:tc>
        <w:tc>
          <w:tcPr>
            <w:tcW w:w="749" w:type="pct"/>
            <w:tcBorders>
              <w:tl2br w:val="nil"/>
              <w:tr2bl w:val="nil"/>
            </w:tcBorders>
            <w:noWrap w:val="0"/>
            <w:vAlign w:val="center"/>
          </w:tcPr>
          <w:p w14:paraId="2AAF9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highlight w:val="none"/>
                <w:lang w:val="en-US" w:eastAsia="zh-CN"/>
              </w:rPr>
              <w:t>GP100S</w:t>
            </w:r>
          </w:p>
        </w:tc>
        <w:tc>
          <w:tcPr>
            <w:tcW w:w="465" w:type="pct"/>
            <w:tcBorders>
              <w:tl2br w:val="nil"/>
              <w:tr2bl w:val="nil"/>
            </w:tcBorders>
            <w:noWrap w:val="0"/>
            <w:vAlign w:val="center"/>
          </w:tcPr>
          <w:p w14:paraId="5C1C4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452.76</w:t>
            </w:r>
          </w:p>
        </w:tc>
        <w:tc>
          <w:tcPr>
            <w:tcW w:w="568" w:type="pct"/>
            <w:tcBorders>
              <w:tl2br w:val="nil"/>
              <w:tr2bl w:val="nil"/>
            </w:tcBorders>
            <w:noWrap w:val="0"/>
            <w:vAlign w:val="center"/>
          </w:tcPr>
          <w:p w14:paraId="2B652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-1176.33</w:t>
            </w:r>
          </w:p>
        </w:tc>
        <w:tc>
          <w:tcPr>
            <w:tcW w:w="209" w:type="pct"/>
            <w:tcBorders>
              <w:tl2br w:val="nil"/>
              <w:tr2bl w:val="nil"/>
            </w:tcBorders>
            <w:noWrap w:val="0"/>
            <w:vAlign w:val="center"/>
          </w:tcPr>
          <w:p w14:paraId="26374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386B9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18" w:type="pct"/>
            <w:tcBorders>
              <w:tl2br w:val="nil"/>
              <w:tr2bl w:val="nil"/>
            </w:tcBorders>
            <w:shd w:val="clear" w:color="auto" w:fill="auto"/>
            <w:noWrap w:val="0"/>
            <w:vAlign w:val="center"/>
          </w:tcPr>
          <w:p w14:paraId="5F3EE48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70</w:t>
            </w:r>
          </w:p>
        </w:tc>
        <w:tc>
          <w:tcPr>
            <w:tcW w:w="1043" w:type="pct"/>
            <w:tcBorders>
              <w:tl2br w:val="nil"/>
              <w:tr2bl w:val="nil"/>
            </w:tcBorders>
            <w:noWrap w:val="0"/>
            <w:vAlign w:val="center"/>
          </w:tcPr>
          <w:p w14:paraId="43C2C001">
            <w:pPr>
              <w:widowControl/>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417F5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连续</w:t>
            </w:r>
          </w:p>
        </w:tc>
      </w:tr>
      <w:tr w14:paraId="66409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305" w:type="pct"/>
            <w:tcBorders>
              <w:tl2br w:val="nil"/>
              <w:tr2bl w:val="nil"/>
            </w:tcBorders>
            <w:shd w:val="clear" w:color="auto" w:fill="auto"/>
            <w:noWrap w:val="0"/>
            <w:vAlign w:val="center"/>
          </w:tcPr>
          <w:p w14:paraId="42A7B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s="Times New Roman"/>
                <w:color w:val="auto"/>
                <w:highlight w:val="none"/>
                <w:lang w:val="en-US" w:eastAsia="zh-CN"/>
              </w:rPr>
              <w:t>3</w:t>
            </w:r>
          </w:p>
        </w:tc>
        <w:tc>
          <w:tcPr>
            <w:tcW w:w="465" w:type="pct"/>
            <w:tcBorders>
              <w:tl2br w:val="nil"/>
              <w:tr2bl w:val="nil"/>
            </w:tcBorders>
            <w:shd w:val="clear" w:color="auto" w:fill="auto"/>
            <w:noWrap w:val="0"/>
            <w:vAlign w:val="center"/>
          </w:tcPr>
          <w:p w14:paraId="3C03CC75">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圆锥破碎机</w:t>
            </w:r>
            <w:r>
              <w:rPr>
                <w:rFonts w:hint="default" w:ascii="Times New Roman" w:hAnsi="Times New Roman" w:cs="Times New Roman"/>
                <w:color w:val="auto"/>
                <w:spacing w:val="-2"/>
                <w:sz w:val="21"/>
                <w:szCs w:val="21"/>
                <w:highlight w:val="none"/>
                <w:lang w:val="en-US" w:eastAsia="zh-CN"/>
              </w:rPr>
              <w:t>2</w:t>
            </w:r>
          </w:p>
        </w:tc>
        <w:tc>
          <w:tcPr>
            <w:tcW w:w="749" w:type="pct"/>
            <w:tcBorders>
              <w:tl2br w:val="nil"/>
              <w:tr2bl w:val="nil"/>
            </w:tcBorders>
            <w:shd w:val="clear" w:color="auto" w:fill="auto"/>
            <w:noWrap w:val="0"/>
            <w:vAlign w:val="center"/>
          </w:tcPr>
          <w:p w14:paraId="7136C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highlight w:val="none"/>
                <w:lang w:val="en-US" w:eastAsia="zh-CN"/>
              </w:rPr>
              <w:t>HP200</w:t>
            </w:r>
          </w:p>
        </w:tc>
        <w:tc>
          <w:tcPr>
            <w:tcW w:w="465" w:type="pct"/>
            <w:tcBorders>
              <w:tl2br w:val="nil"/>
              <w:tr2bl w:val="nil"/>
            </w:tcBorders>
            <w:noWrap w:val="0"/>
            <w:vAlign w:val="center"/>
          </w:tcPr>
          <w:p w14:paraId="6615C0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441.83</w:t>
            </w:r>
          </w:p>
        </w:tc>
        <w:tc>
          <w:tcPr>
            <w:tcW w:w="568" w:type="pct"/>
            <w:tcBorders>
              <w:tl2br w:val="nil"/>
              <w:tr2bl w:val="nil"/>
            </w:tcBorders>
            <w:noWrap w:val="0"/>
            <w:vAlign w:val="center"/>
          </w:tcPr>
          <w:p w14:paraId="17DBA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-1176.67</w:t>
            </w:r>
          </w:p>
        </w:tc>
        <w:tc>
          <w:tcPr>
            <w:tcW w:w="209" w:type="pct"/>
            <w:tcBorders>
              <w:tl2br w:val="nil"/>
              <w:tr2bl w:val="nil"/>
            </w:tcBorders>
            <w:noWrap w:val="0"/>
            <w:vAlign w:val="center"/>
          </w:tcPr>
          <w:p w14:paraId="6C6CD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7F3F2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1</w:t>
            </w:r>
          </w:p>
        </w:tc>
        <w:tc>
          <w:tcPr>
            <w:tcW w:w="518" w:type="pct"/>
            <w:tcBorders>
              <w:tl2br w:val="nil"/>
              <w:tr2bl w:val="nil"/>
            </w:tcBorders>
            <w:noWrap w:val="0"/>
            <w:vAlign w:val="center"/>
          </w:tcPr>
          <w:p w14:paraId="1B220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pacing w:val="-2"/>
                <w:sz w:val="21"/>
                <w:szCs w:val="21"/>
                <w:highlight w:val="none"/>
                <w:lang w:val="en-US" w:eastAsia="zh-CN"/>
              </w:rPr>
              <w:t>70</w:t>
            </w:r>
          </w:p>
        </w:tc>
        <w:tc>
          <w:tcPr>
            <w:tcW w:w="1043" w:type="pct"/>
            <w:tcBorders>
              <w:tl2br w:val="nil"/>
              <w:tr2bl w:val="nil"/>
            </w:tcBorders>
            <w:noWrap w:val="0"/>
            <w:vAlign w:val="center"/>
          </w:tcPr>
          <w:p w14:paraId="7997A052">
            <w:pPr>
              <w:widowControl/>
              <w:spacing w:line="36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55BEB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56299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17B67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s="Times New Roman"/>
                <w:color w:val="auto"/>
                <w:highlight w:val="none"/>
                <w:lang w:val="en-US" w:eastAsia="zh-CN"/>
              </w:rPr>
              <w:t>4</w:t>
            </w:r>
          </w:p>
        </w:tc>
        <w:tc>
          <w:tcPr>
            <w:tcW w:w="465" w:type="pct"/>
            <w:tcBorders>
              <w:tl2br w:val="nil"/>
              <w:tr2bl w:val="nil"/>
            </w:tcBorders>
            <w:shd w:val="clear" w:color="auto" w:fill="auto"/>
            <w:noWrap w:val="0"/>
            <w:vAlign w:val="center"/>
          </w:tcPr>
          <w:p w14:paraId="0F5F2909">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b w:val="0"/>
                <w:color w:val="auto"/>
                <w:sz w:val="21"/>
                <w:highlight w:val="none"/>
                <w:lang w:val="en-US" w:eastAsia="zh-CN"/>
              </w:rPr>
              <w:t>香蕉筛</w:t>
            </w:r>
          </w:p>
        </w:tc>
        <w:tc>
          <w:tcPr>
            <w:tcW w:w="749" w:type="pct"/>
            <w:tcBorders>
              <w:tl2br w:val="nil"/>
              <w:tr2bl w:val="nil"/>
            </w:tcBorders>
            <w:noWrap w:val="0"/>
            <w:vAlign w:val="center"/>
          </w:tcPr>
          <w:p w14:paraId="545BD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highlight w:val="none"/>
                <w:lang w:val="en-US" w:eastAsia="zh-CN"/>
              </w:rPr>
              <w:t>MF1848</w:t>
            </w:r>
          </w:p>
        </w:tc>
        <w:tc>
          <w:tcPr>
            <w:tcW w:w="465" w:type="pct"/>
            <w:tcBorders>
              <w:tl2br w:val="nil"/>
              <w:tr2bl w:val="nil"/>
            </w:tcBorders>
            <w:shd w:val="clear" w:color="auto" w:fill="auto"/>
            <w:noWrap w:val="0"/>
            <w:vAlign w:val="center"/>
          </w:tcPr>
          <w:p w14:paraId="47E0B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387.29</w:t>
            </w:r>
          </w:p>
        </w:tc>
        <w:tc>
          <w:tcPr>
            <w:tcW w:w="568" w:type="pct"/>
            <w:tcBorders>
              <w:tl2br w:val="nil"/>
              <w:tr2bl w:val="nil"/>
            </w:tcBorders>
            <w:shd w:val="clear" w:color="auto" w:fill="auto"/>
            <w:noWrap w:val="0"/>
            <w:vAlign w:val="center"/>
          </w:tcPr>
          <w:p w14:paraId="7EB31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-1177.09</w:t>
            </w:r>
          </w:p>
        </w:tc>
        <w:tc>
          <w:tcPr>
            <w:tcW w:w="209" w:type="pct"/>
            <w:tcBorders>
              <w:tl2br w:val="nil"/>
              <w:tr2bl w:val="nil"/>
            </w:tcBorders>
            <w:shd w:val="clear" w:color="auto" w:fill="auto"/>
            <w:noWrap w:val="0"/>
            <w:vAlign w:val="center"/>
          </w:tcPr>
          <w:p w14:paraId="4AD6B3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7A627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18" w:type="pct"/>
            <w:tcBorders>
              <w:tl2br w:val="nil"/>
              <w:tr2bl w:val="nil"/>
            </w:tcBorders>
            <w:shd w:val="clear" w:color="auto" w:fill="auto"/>
            <w:noWrap w:val="0"/>
            <w:vAlign w:val="center"/>
          </w:tcPr>
          <w:p w14:paraId="3154A86A">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65</w:t>
            </w:r>
          </w:p>
        </w:tc>
        <w:tc>
          <w:tcPr>
            <w:tcW w:w="1043" w:type="pct"/>
            <w:tcBorders>
              <w:tl2br w:val="nil"/>
              <w:tr2bl w:val="nil"/>
            </w:tcBorders>
            <w:noWrap w:val="0"/>
            <w:vAlign w:val="center"/>
          </w:tcPr>
          <w:p w14:paraId="5CDC3432">
            <w:pPr>
              <w:widowControl/>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6804B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03653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38297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s="Times New Roman"/>
                <w:color w:val="auto"/>
                <w:highlight w:val="none"/>
                <w:lang w:val="en-US" w:eastAsia="zh-CN"/>
              </w:rPr>
              <w:t>5</w:t>
            </w:r>
          </w:p>
        </w:tc>
        <w:tc>
          <w:tcPr>
            <w:tcW w:w="465" w:type="pct"/>
            <w:tcBorders>
              <w:tl2br w:val="nil"/>
              <w:tr2bl w:val="nil"/>
            </w:tcBorders>
            <w:shd w:val="clear" w:color="auto" w:fill="auto"/>
            <w:noWrap w:val="0"/>
            <w:vAlign w:val="center"/>
          </w:tcPr>
          <w:p w14:paraId="5B0E100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格子型球磨机</w:t>
            </w:r>
          </w:p>
        </w:tc>
        <w:tc>
          <w:tcPr>
            <w:tcW w:w="749" w:type="pct"/>
            <w:tcBorders>
              <w:tl2br w:val="nil"/>
              <w:tr2bl w:val="nil"/>
            </w:tcBorders>
            <w:shd w:val="clear" w:color="auto" w:fill="auto"/>
            <w:noWrap w:val="0"/>
            <w:vAlign w:val="center"/>
          </w:tcPr>
          <w:p w14:paraId="178C123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MQG2736</w:t>
            </w:r>
          </w:p>
        </w:tc>
        <w:tc>
          <w:tcPr>
            <w:tcW w:w="465" w:type="pct"/>
            <w:tcBorders>
              <w:tl2br w:val="nil"/>
              <w:tr2bl w:val="nil"/>
            </w:tcBorders>
            <w:noWrap w:val="0"/>
            <w:vAlign w:val="center"/>
          </w:tcPr>
          <w:p w14:paraId="4167F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422.31</w:t>
            </w:r>
          </w:p>
        </w:tc>
        <w:tc>
          <w:tcPr>
            <w:tcW w:w="568" w:type="pct"/>
            <w:tcBorders>
              <w:tl2br w:val="nil"/>
              <w:tr2bl w:val="nil"/>
            </w:tcBorders>
            <w:noWrap w:val="0"/>
            <w:vAlign w:val="center"/>
          </w:tcPr>
          <w:p w14:paraId="67B43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-1268.45</w:t>
            </w:r>
          </w:p>
        </w:tc>
        <w:tc>
          <w:tcPr>
            <w:tcW w:w="209" w:type="pct"/>
            <w:tcBorders>
              <w:tl2br w:val="nil"/>
              <w:tr2bl w:val="nil"/>
            </w:tcBorders>
            <w:noWrap w:val="0"/>
            <w:vAlign w:val="center"/>
          </w:tcPr>
          <w:p w14:paraId="72034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75FD1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1</w:t>
            </w:r>
          </w:p>
        </w:tc>
        <w:tc>
          <w:tcPr>
            <w:tcW w:w="518" w:type="pct"/>
            <w:tcBorders>
              <w:tl2br w:val="nil"/>
              <w:tr2bl w:val="nil"/>
            </w:tcBorders>
            <w:shd w:val="clear" w:color="auto" w:fill="auto"/>
            <w:noWrap w:val="0"/>
            <w:vAlign w:val="center"/>
          </w:tcPr>
          <w:p w14:paraId="04CF1059">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70</w:t>
            </w:r>
          </w:p>
        </w:tc>
        <w:tc>
          <w:tcPr>
            <w:tcW w:w="1043" w:type="pct"/>
            <w:tcBorders>
              <w:tl2br w:val="nil"/>
              <w:tr2bl w:val="nil"/>
            </w:tcBorders>
            <w:noWrap w:val="0"/>
            <w:vAlign w:val="center"/>
          </w:tcPr>
          <w:p w14:paraId="1C90745A">
            <w:pPr>
              <w:widowControl/>
              <w:spacing w:line="36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4CF31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47CE1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0D023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0"/>
                <w:sz w:val="24"/>
                <w:szCs w:val="28"/>
                <w:highlight w:val="none"/>
                <w:lang w:val="en-US" w:eastAsia="zh-CN" w:bidi="ar-SA"/>
              </w:rPr>
            </w:pPr>
            <w:r>
              <w:rPr>
                <w:rFonts w:hint="default" w:cs="Times New Roman"/>
                <w:color w:val="auto"/>
                <w:highlight w:val="none"/>
                <w:lang w:val="en-US" w:eastAsia="zh-CN"/>
              </w:rPr>
              <w:t>6</w:t>
            </w:r>
          </w:p>
        </w:tc>
        <w:tc>
          <w:tcPr>
            <w:tcW w:w="465" w:type="pct"/>
            <w:tcBorders>
              <w:tl2br w:val="nil"/>
              <w:tr2bl w:val="nil"/>
            </w:tcBorders>
            <w:shd w:val="clear" w:color="auto" w:fill="auto"/>
            <w:noWrap w:val="0"/>
            <w:vAlign w:val="center"/>
          </w:tcPr>
          <w:p w14:paraId="274C9012">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溢流型球磨机</w:t>
            </w:r>
          </w:p>
        </w:tc>
        <w:tc>
          <w:tcPr>
            <w:tcW w:w="749" w:type="pct"/>
            <w:tcBorders>
              <w:tl2br w:val="nil"/>
              <w:tr2bl w:val="nil"/>
            </w:tcBorders>
            <w:shd w:val="clear" w:color="auto" w:fill="auto"/>
            <w:noWrap w:val="0"/>
            <w:vAlign w:val="center"/>
          </w:tcPr>
          <w:p w14:paraId="12E66F6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MQY2736</w:t>
            </w:r>
          </w:p>
        </w:tc>
        <w:tc>
          <w:tcPr>
            <w:tcW w:w="465" w:type="pct"/>
            <w:tcBorders>
              <w:tl2br w:val="nil"/>
              <w:tr2bl w:val="nil"/>
            </w:tcBorders>
            <w:noWrap w:val="0"/>
            <w:vAlign w:val="center"/>
          </w:tcPr>
          <w:p w14:paraId="2C3FE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414.41</w:t>
            </w:r>
          </w:p>
        </w:tc>
        <w:tc>
          <w:tcPr>
            <w:tcW w:w="568" w:type="pct"/>
            <w:tcBorders>
              <w:tl2br w:val="nil"/>
              <w:tr2bl w:val="nil"/>
            </w:tcBorders>
            <w:noWrap w:val="0"/>
            <w:vAlign w:val="center"/>
          </w:tcPr>
          <w:p w14:paraId="0D27B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-1268.54</w:t>
            </w:r>
          </w:p>
        </w:tc>
        <w:tc>
          <w:tcPr>
            <w:tcW w:w="209" w:type="pct"/>
            <w:tcBorders>
              <w:tl2br w:val="nil"/>
              <w:tr2bl w:val="nil"/>
            </w:tcBorders>
            <w:noWrap w:val="0"/>
            <w:vAlign w:val="center"/>
          </w:tcPr>
          <w:p w14:paraId="0E05F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511B2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1</w:t>
            </w:r>
          </w:p>
        </w:tc>
        <w:tc>
          <w:tcPr>
            <w:tcW w:w="518" w:type="pct"/>
            <w:tcBorders>
              <w:tl2br w:val="nil"/>
              <w:tr2bl w:val="nil"/>
            </w:tcBorders>
            <w:noWrap w:val="0"/>
            <w:vAlign w:val="center"/>
          </w:tcPr>
          <w:p w14:paraId="32724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spacing w:val="-2"/>
                <w:sz w:val="21"/>
                <w:szCs w:val="21"/>
                <w:highlight w:val="none"/>
                <w:lang w:val="en-US" w:eastAsia="zh-CN"/>
              </w:rPr>
              <w:t>70</w:t>
            </w:r>
          </w:p>
        </w:tc>
        <w:tc>
          <w:tcPr>
            <w:tcW w:w="1043" w:type="pct"/>
            <w:tcBorders>
              <w:tl2br w:val="nil"/>
              <w:tr2bl w:val="nil"/>
            </w:tcBorders>
            <w:noWrap w:val="0"/>
            <w:vAlign w:val="center"/>
          </w:tcPr>
          <w:p w14:paraId="338F1682">
            <w:pPr>
              <w:widowControl/>
              <w:spacing w:line="360" w:lineRule="exact"/>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7B541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22203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0231E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0"/>
                <w:sz w:val="24"/>
                <w:szCs w:val="28"/>
                <w:highlight w:val="none"/>
                <w:lang w:val="en-US" w:eastAsia="zh-CN" w:bidi="ar-SA"/>
              </w:rPr>
            </w:pPr>
            <w:r>
              <w:rPr>
                <w:rFonts w:hint="default" w:cs="Times New Roman"/>
                <w:color w:val="auto"/>
                <w:highlight w:val="none"/>
                <w:lang w:val="en-US" w:eastAsia="zh-CN"/>
              </w:rPr>
              <w:t>7</w:t>
            </w:r>
          </w:p>
        </w:tc>
        <w:tc>
          <w:tcPr>
            <w:tcW w:w="465" w:type="pct"/>
            <w:tcBorders>
              <w:tl2br w:val="nil"/>
              <w:tr2bl w:val="nil"/>
            </w:tcBorders>
            <w:shd w:val="clear" w:color="auto" w:fill="auto"/>
            <w:noWrap w:val="0"/>
            <w:vAlign w:val="center"/>
          </w:tcPr>
          <w:p w14:paraId="1EBC046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螺旋分级机</w:t>
            </w:r>
          </w:p>
        </w:tc>
        <w:tc>
          <w:tcPr>
            <w:tcW w:w="749" w:type="pct"/>
            <w:tcBorders>
              <w:tl2br w:val="nil"/>
              <w:tr2bl w:val="nil"/>
            </w:tcBorders>
            <w:shd w:val="clear" w:color="auto" w:fill="auto"/>
            <w:noWrap w:val="0"/>
            <w:vAlign w:val="center"/>
          </w:tcPr>
          <w:p w14:paraId="53ACF4F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2FG-20</w:t>
            </w:r>
          </w:p>
        </w:tc>
        <w:tc>
          <w:tcPr>
            <w:tcW w:w="465" w:type="pct"/>
            <w:tcBorders>
              <w:tl2br w:val="nil"/>
              <w:tr2bl w:val="nil"/>
            </w:tcBorders>
            <w:noWrap w:val="0"/>
            <w:vAlign w:val="center"/>
          </w:tcPr>
          <w:p w14:paraId="51D8BC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432.97</w:t>
            </w:r>
          </w:p>
        </w:tc>
        <w:tc>
          <w:tcPr>
            <w:tcW w:w="568" w:type="pct"/>
            <w:tcBorders>
              <w:tl2br w:val="nil"/>
              <w:tr2bl w:val="nil"/>
            </w:tcBorders>
            <w:noWrap w:val="0"/>
            <w:vAlign w:val="center"/>
          </w:tcPr>
          <w:p w14:paraId="4F2CF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-1268.45</w:t>
            </w:r>
          </w:p>
        </w:tc>
        <w:tc>
          <w:tcPr>
            <w:tcW w:w="209" w:type="pct"/>
            <w:tcBorders>
              <w:tl2br w:val="nil"/>
              <w:tr2bl w:val="nil"/>
            </w:tcBorders>
            <w:noWrap w:val="0"/>
            <w:vAlign w:val="center"/>
          </w:tcPr>
          <w:p w14:paraId="2054C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1FB22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18" w:type="pct"/>
            <w:tcBorders>
              <w:tl2br w:val="nil"/>
              <w:tr2bl w:val="nil"/>
            </w:tcBorders>
            <w:noWrap w:val="0"/>
            <w:vAlign w:val="center"/>
          </w:tcPr>
          <w:p w14:paraId="3EB87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pacing w:val="-2"/>
                <w:sz w:val="21"/>
                <w:szCs w:val="21"/>
                <w:highlight w:val="none"/>
                <w:lang w:val="en-US" w:eastAsia="zh-CN"/>
              </w:rPr>
              <w:t>65</w:t>
            </w:r>
          </w:p>
        </w:tc>
        <w:tc>
          <w:tcPr>
            <w:tcW w:w="1043" w:type="pct"/>
            <w:tcBorders>
              <w:tl2br w:val="nil"/>
              <w:tr2bl w:val="nil"/>
            </w:tcBorders>
            <w:noWrap w:val="0"/>
            <w:vAlign w:val="center"/>
          </w:tcPr>
          <w:p w14:paraId="42994ED5">
            <w:pPr>
              <w:widowControl/>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31346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09708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1282C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0"/>
                <w:sz w:val="24"/>
                <w:szCs w:val="28"/>
                <w:highlight w:val="none"/>
                <w:lang w:val="en-US" w:eastAsia="zh-CN" w:bidi="ar-SA"/>
              </w:rPr>
            </w:pPr>
            <w:r>
              <w:rPr>
                <w:rFonts w:hint="default" w:cs="Times New Roman"/>
                <w:color w:val="auto"/>
                <w:highlight w:val="none"/>
                <w:lang w:val="en-US" w:eastAsia="zh-CN"/>
              </w:rPr>
              <w:t>8</w:t>
            </w:r>
          </w:p>
        </w:tc>
        <w:tc>
          <w:tcPr>
            <w:tcW w:w="465" w:type="pct"/>
            <w:tcBorders>
              <w:tl2br w:val="nil"/>
              <w:tr2bl w:val="nil"/>
            </w:tcBorders>
            <w:shd w:val="clear" w:color="auto" w:fill="auto"/>
            <w:noWrap w:val="0"/>
            <w:vAlign w:val="center"/>
          </w:tcPr>
          <w:p w14:paraId="7FEDC81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车间回水泵</w:t>
            </w:r>
          </w:p>
        </w:tc>
        <w:tc>
          <w:tcPr>
            <w:tcW w:w="749" w:type="pct"/>
            <w:tcBorders>
              <w:tl2br w:val="nil"/>
              <w:tr2bl w:val="nil"/>
            </w:tcBorders>
            <w:shd w:val="clear" w:color="auto" w:fill="auto"/>
            <w:noWrap w:val="0"/>
            <w:vAlign w:val="center"/>
          </w:tcPr>
          <w:p w14:paraId="09E6D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cs="Times New Roman"/>
                <w:color w:val="auto"/>
                <w:sz w:val="21"/>
                <w:szCs w:val="21"/>
                <w:highlight w:val="none"/>
                <w:lang w:val="en-US" w:eastAsia="zh-CN"/>
              </w:rPr>
              <w:t>/</w:t>
            </w:r>
          </w:p>
        </w:tc>
        <w:tc>
          <w:tcPr>
            <w:tcW w:w="465" w:type="pct"/>
            <w:tcBorders>
              <w:tl2br w:val="nil"/>
              <w:tr2bl w:val="nil"/>
            </w:tcBorders>
            <w:shd w:val="clear" w:color="auto" w:fill="auto"/>
            <w:noWrap w:val="0"/>
            <w:vAlign w:val="center"/>
          </w:tcPr>
          <w:p w14:paraId="75BB4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cs="Times New Roman"/>
                <w:snapToGrid/>
                <w:color w:val="auto"/>
                <w:kern w:val="2"/>
                <w:sz w:val="21"/>
                <w:szCs w:val="21"/>
                <w:highlight w:val="none"/>
                <w:lang w:val="en-US" w:eastAsia="zh-CN" w:bidi="ar-SA"/>
              </w:rPr>
              <w:t>445.15</w:t>
            </w:r>
          </w:p>
        </w:tc>
        <w:tc>
          <w:tcPr>
            <w:tcW w:w="568" w:type="pct"/>
            <w:tcBorders>
              <w:tl2br w:val="nil"/>
              <w:tr2bl w:val="nil"/>
            </w:tcBorders>
            <w:shd w:val="clear" w:color="auto" w:fill="auto"/>
            <w:noWrap w:val="0"/>
            <w:vAlign w:val="center"/>
          </w:tcPr>
          <w:p w14:paraId="6FC8A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cs="Times New Roman"/>
                <w:snapToGrid/>
                <w:color w:val="auto"/>
                <w:kern w:val="2"/>
                <w:sz w:val="21"/>
                <w:szCs w:val="21"/>
                <w:highlight w:val="none"/>
                <w:lang w:val="en-US" w:eastAsia="zh-CN" w:bidi="ar-SA"/>
              </w:rPr>
              <w:t>-1308.03</w:t>
            </w:r>
          </w:p>
        </w:tc>
        <w:tc>
          <w:tcPr>
            <w:tcW w:w="209" w:type="pct"/>
            <w:tcBorders>
              <w:tl2br w:val="nil"/>
              <w:tr2bl w:val="nil"/>
            </w:tcBorders>
            <w:shd w:val="clear" w:color="auto" w:fill="auto"/>
            <w:noWrap w:val="0"/>
            <w:vAlign w:val="center"/>
          </w:tcPr>
          <w:p w14:paraId="55754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cs="Times New Roman"/>
                <w:snapToGrid/>
                <w:color w:val="auto"/>
                <w:kern w:val="2"/>
                <w:sz w:val="21"/>
                <w:szCs w:val="21"/>
                <w:highlight w:val="none"/>
                <w:lang w:val="en-US" w:eastAsia="zh-CN" w:bidi="ar-SA"/>
              </w:rPr>
              <w:t>1</w:t>
            </w:r>
          </w:p>
        </w:tc>
        <w:tc>
          <w:tcPr>
            <w:tcW w:w="293" w:type="pct"/>
            <w:tcBorders>
              <w:tl2br w:val="nil"/>
              <w:tr2bl w:val="nil"/>
            </w:tcBorders>
            <w:shd w:val="clear" w:color="auto" w:fill="auto"/>
            <w:noWrap w:val="0"/>
            <w:vAlign w:val="center"/>
          </w:tcPr>
          <w:p w14:paraId="6BDCA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18" w:type="pct"/>
            <w:tcBorders>
              <w:tl2br w:val="nil"/>
              <w:tr2bl w:val="nil"/>
            </w:tcBorders>
            <w:shd w:val="clear" w:color="auto" w:fill="auto"/>
            <w:noWrap w:val="0"/>
            <w:vAlign w:val="center"/>
          </w:tcPr>
          <w:p w14:paraId="71ED4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cs="Times New Roman"/>
                <w:snapToGrid/>
                <w:color w:val="auto"/>
                <w:kern w:val="2"/>
                <w:sz w:val="21"/>
                <w:szCs w:val="21"/>
                <w:highlight w:val="none"/>
                <w:lang w:val="en-US" w:eastAsia="zh-CN" w:bidi="ar-SA"/>
              </w:rPr>
              <w:t>65</w:t>
            </w:r>
          </w:p>
        </w:tc>
        <w:tc>
          <w:tcPr>
            <w:tcW w:w="1043" w:type="pct"/>
            <w:tcBorders>
              <w:tl2br w:val="nil"/>
              <w:tr2bl w:val="nil"/>
            </w:tcBorders>
            <w:shd w:val="clear" w:color="auto" w:fill="auto"/>
            <w:noWrap w:val="0"/>
            <w:vAlign w:val="center"/>
          </w:tcPr>
          <w:p w14:paraId="7E4B9E07">
            <w:pPr>
              <w:widowControl/>
              <w:spacing w:line="360" w:lineRule="exact"/>
              <w:ind w:firstLine="0" w:firstLineChars="0"/>
              <w:jc w:val="center"/>
              <w:textAlignment w:val="center"/>
              <w:rPr>
                <w:rFonts w:hint="default" w:ascii="Times New Roman" w:hAnsi="Times New Roman" w:eastAsia="宋体" w:cs="Times New Roman"/>
                <w:snapToGrid/>
                <w:color w:val="auto"/>
                <w:spacing w:val="0"/>
                <w:kern w:val="0"/>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shd w:val="clear" w:color="auto" w:fill="auto"/>
            <w:noWrap w:val="0"/>
            <w:vAlign w:val="center"/>
          </w:tcPr>
          <w:p w14:paraId="4E3BF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连续</w:t>
            </w:r>
          </w:p>
        </w:tc>
      </w:tr>
      <w:tr w14:paraId="0EAA3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77EAF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0"/>
                <w:sz w:val="24"/>
                <w:szCs w:val="28"/>
                <w:highlight w:val="none"/>
                <w:lang w:val="en-US" w:eastAsia="zh-CN" w:bidi="ar-SA"/>
              </w:rPr>
            </w:pPr>
            <w:r>
              <w:rPr>
                <w:rFonts w:hint="default" w:cs="Times New Roman"/>
                <w:color w:val="auto"/>
                <w:highlight w:val="none"/>
                <w:lang w:val="en-US" w:eastAsia="zh-CN"/>
              </w:rPr>
              <w:t>9</w:t>
            </w:r>
          </w:p>
        </w:tc>
        <w:tc>
          <w:tcPr>
            <w:tcW w:w="465" w:type="pct"/>
            <w:tcBorders>
              <w:tl2br w:val="nil"/>
              <w:tr2bl w:val="nil"/>
            </w:tcBorders>
            <w:shd w:val="clear" w:color="auto" w:fill="auto"/>
            <w:noWrap w:val="0"/>
            <w:vAlign w:val="center"/>
          </w:tcPr>
          <w:p w14:paraId="753E999E">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皮带输送机</w:t>
            </w:r>
          </w:p>
        </w:tc>
        <w:tc>
          <w:tcPr>
            <w:tcW w:w="749" w:type="pct"/>
            <w:tcBorders>
              <w:tl2br w:val="nil"/>
              <w:tr2bl w:val="nil"/>
            </w:tcBorders>
            <w:noWrap w:val="0"/>
            <w:vAlign w:val="center"/>
          </w:tcPr>
          <w:p w14:paraId="157B5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aps w:val="0"/>
                <w:color w:val="auto"/>
                <w:spacing w:val="0"/>
                <w:sz w:val="21"/>
                <w:szCs w:val="21"/>
                <w:highlight w:val="none"/>
                <w:shd w:val="clear"/>
              </w:rPr>
              <w:t>IS65-50-160</w:t>
            </w:r>
          </w:p>
        </w:tc>
        <w:tc>
          <w:tcPr>
            <w:tcW w:w="465" w:type="pct"/>
            <w:tcBorders>
              <w:tl2br w:val="nil"/>
              <w:tr2bl w:val="nil"/>
            </w:tcBorders>
            <w:noWrap w:val="0"/>
            <w:vAlign w:val="center"/>
          </w:tcPr>
          <w:p w14:paraId="0D653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394.14</w:t>
            </w:r>
          </w:p>
        </w:tc>
        <w:tc>
          <w:tcPr>
            <w:tcW w:w="568" w:type="pct"/>
            <w:tcBorders>
              <w:tl2br w:val="nil"/>
              <w:tr2bl w:val="nil"/>
            </w:tcBorders>
            <w:noWrap w:val="0"/>
            <w:vAlign w:val="center"/>
          </w:tcPr>
          <w:p w14:paraId="30313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-1244.85</w:t>
            </w:r>
          </w:p>
        </w:tc>
        <w:tc>
          <w:tcPr>
            <w:tcW w:w="209" w:type="pct"/>
            <w:tcBorders>
              <w:tl2br w:val="nil"/>
              <w:tr2bl w:val="nil"/>
            </w:tcBorders>
            <w:noWrap w:val="0"/>
            <w:vAlign w:val="center"/>
          </w:tcPr>
          <w:p w14:paraId="6F14F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180A7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518" w:type="pct"/>
            <w:tcBorders>
              <w:tl2br w:val="nil"/>
              <w:tr2bl w:val="nil"/>
            </w:tcBorders>
            <w:noWrap w:val="0"/>
            <w:vAlign w:val="center"/>
          </w:tcPr>
          <w:p w14:paraId="2547B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pacing w:val="-2"/>
                <w:sz w:val="21"/>
                <w:szCs w:val="21"/>
                <w:highlight w:val="none"/>
                <w:lang w:val="en-US" w:eastAsia="zh-CN"/>
              </w:rPr>
              <w:t>52</w:t>
            </w:r>
          </w:p>
        </w:tc>
        <w:tc>
          <w:tcPr>
            <w:tcW w:w="1043" w:type="pct"/>
            <w:tcBorders>
              <w:tl2br w:val="nil"/>
              <w:tr2bl w:val="nil"/>
            </w:tcBorders>
            <w:noWrap w:val="0"/>
            <w:vAlign w:val="center"/>
          </w:tcPr>
          <w:p w14:paraId="7C918CF2">
            <w:pPr>
              <w:widowControl/>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38EB5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6EB4D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19A1F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napToGrid/>
                <w:color w:val="auto"/>
                <w:kern w:val="0"/>
                <w:sz w:val="24"/>
                <w:szCs w:val="28"/>
                <w:highlight w:val="none"/>
                <w:lang w:val="en-US" w:eastAsia="zh-CN" w:bidi="ar-SA"/>
              </w:rPr>
            </w:pPr>
            <w:r>
              <w:rPr>
                <w:rFonts w:hint="default" w:cs="Times New Roman"/>
                <w:color w:val="auto"/>
                <w:highlight w:val="none"/>
                <w:lang w:val="en-US" w:eastAsia="zh-CN"/>
              </w:rPr>
              <w:t>10</w:t>
            </w:r>
          </w:p>
        </w:tc>
        <w:tc>
          <w:tcPr>
            <w:tcW w:w="465" w:type="pct"/>
            <w:tcBorders>
              <w:tl2br w:val="nil"/>
              <w:tr2bl w:val="nil"/>
            </w:tcBorders>
            <w:shd w:val="clear" w:color="auto" w:fill="auto"/>
            <w:noWrap w:val="0"/>
            <w:vAlign w:val="center"/>
          </w:tcPr>
          <w:p w14:paraId="6F11E15C">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浓密机</w:t>
            </w:r>
          </w:p>
        </w:tc>
        <w:tc>
          <w:tcPr>
            <w:tcW w:w="749" w:type="pct"/>
            <w:tcBorders>
              <w:tl2br w:val="nil"/>
              <w:tr2bl w:val="nil"/>
            </w:tcBorders>
            <w:shd w:val="clear" w:color="auto" w:fill="auto"/>
            <w:noWrap w:val="0"/>
            <w:vAlign w:val="center"/>
          </w:tcPr>
          <w:p w14:paraId="67F7FD3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NXZ-12</w:t>
            </w:r>
          </w:p>
        </w:tc>
        <w:tc>
          <w:tcPr>
            <w:tcW w:w="465" w:type="pct"/>
            <w:tcBorders>
              <w:tl2br w:val="nil"/>
              <w:tr2bl w:val="nil"/>
            </w:tcBorders>
            <w:noWrap w:val="0"/>
            <w:vAlign w:val="center"/>
          </w:tcPr>
          <w:p w14:paraId="13C9E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467.99</w:t>
            </w:r>
          </w:p>
        </w:tc>
        <w:tc>
          <w:tcPr>
            <w:tcW w:w="568" w:type="pct"/>
            <w:tcBorders>
              <w:tl2br w:val="nil"/>
              <w:tr2bl w:val="nil"/>
            </w:tcBorders>
            <w:noWrap w:val="0"/>
            <w:vAlign w:val="center"/>
          </w:tcPr>
          <w:p w14:paraId="68D98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-1269.97</w:t>
            </w:r>
          </w:p>
        </w:tc>
        <w:tc>
          <w:tcPr>
            <w:tcW w:w="209" w:type="pct"/>
            <w:tcBorders>
              <w:tl2br w:val="nil"/>
              <w:tr2bl w:val="nil"/>
            </w:tcBorders>
            <w:noWrap w:val="0"/>
            <w:vAlign w:val="center"/>
          </w:tcPr>
          <w:p w14:paraId="4B2F5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49579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518" w:type="pct"/>
            <w:tcBorders>
              <w:tl2br w:val="nil"/>
              <w:tr2bl w:val="nil"/>
            </w:tcBorders>
            <w:noWrap w:val="0"/>
            <w:vAlign w:val="center"/>
          </w:tcPr>
          <w:p w14:paraId="7EA80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65</w:t>
            </w:r>
          </w:p>
        </w:tc>
        <w:tc>
          <w:tcPr>
            <w:tcW w:w="1043" w:type="pct"/>
            <w:tcBorders>
              <w:tl2br w:val="nil"/>
              <w:tr2bl w:val="nil"/>
            </w:tcBorders>
            <w:noWrap w:val="0"/>
            <w:vAlign w:val="center"/>
          </w:tcPr>
          <w:p w14:paraId="330EFA28">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15E3E45C">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65193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074CB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s="Times New Roman"/>
                <w:color w:val="auto"/>
                <w:highlight w:val="none"/>
                <w:lang w:val="en-US" w:eastAsia="zh-CN"/>
              </w:rPr>
              <w:t>11</w:t>
            </w:r>
          </w:p>
        </w:tc>
        <w:tc>
          <w:tcPr>
            <w:tcW w:w="465" w:type="pct"/>
            <w:tcBorders>
              <w:tl2br w:val="nil"/>
              <w:tr2bl w:val="nil"/>
            </w:tcBorders>
            <w:shd w:val="clear" w:color="auto" w:fill="auto"/>
            <w:noWrap w:val="0"/>
            <w:vAlign w:val="center"/>
          </w:tcPr>
          <w:p w14:paraId="658C39C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尾矿回水泵</w:t>
            </w:r>
          </w:p>
        </w:tc>
        <w:tc>
          <w:tcPr>
            <w:tcW w:w="749" w:type="pct"/>
            <w:tcBorders>
              <w:tl2br w:val="nil"/>
              <w:tr2bl w:val="nil"/>
            </w:tcBorders>
            <w:noWrap w:val="0"/>
            <w:vAlign w:val="center"/>
          </w:tcPr>
          <w:p w14:paraId="04A03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shd w:val="clear"/>
                <w:lang w:eastAsia="zh-CN"/>
              </w:rPr>
            </w:pPr>
            <w:r>
              <w:rPr>
                <w:rFonts w:hint="default" w:cs="Times New Roman"/>
                <w:b w:val="0"/>
                <w:bCs w:val="0"/>
                <w:i w:val="0"/>
                <w:iCs w:val="0"/>
                <w:caps w:val="0"/>
                <w:color w:val="auto"/>
                <w:spacing w:val="0"/>
                <w:sz w:val="21"/>
                <w:szCs w:val="21"/>
                <w:highlight w:val="none"/>
                <w:shd w:val="clear"/>
                <w:lang w:val="en-US" w:eastAsia="zh-CN"/>
              </w:rPr>
              <w:t>/</w:t>
            </w:r>
          </w:p>
        </w:tc>
        <w:tc>
          <w:tcPr>
            <w:tcW w:w="465" w:type="pct"/>
            <w:tcBorders>
              <w:tl2br w:val="nil"/>
              <w:tr2bl w:val="nil"/>
            </w:tcBorders>
            <w:noWrap w:val="0"/>
            <w:vAlign w:val="center"/>
          </w:tcPr>
          <w:p w14:paraId="79D0F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0.9</w:t>
            </w:r>
          </w:p>
        </w:tc>
        <w:tc>
          <w:tcPr>
            <w:tcW w:w="568" w:type="pct"/>
            <w:tcBorders>
              <w:tl2br w:val="nil"/>
              <w:tr2bl w:val="nil"/>
            </w:tcBorders>
            <w:noWrap w:val="0"/>
            <w:vAlign w:val="center"/>
          </w:tcPr>
          <w:p w14:paraId="7D1D8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-45.16</w:t>
            </w:r>
          </w:p>
        </w:tc>
        <w:tc>
          <w:tcPr>
            <w:tcW w:w="209" w:type="pct"/>
            <w:tcBorders>
              <w:tl2br w:val="nil"/>
              <w:tr2bl w:val="nil"/>
            </w:tcBorders>
            <w:noWrap w:val="0"/>
            <w:vAlign w:val="center"/>
          </w:tcPr>
          <w:p w14:paraId="5FA99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4835A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518" w:type="pct"/>
            <w:tcBorders>
              <w:tl2br w:val="nil"/>
              <w:tr2bl w:val="nil"/>
            </w:tcBorders>
            <w:noWrap w:val="0"/>
            <w:vAlign w:val="center"/>
          </w:tcPr>
          <w:p w14:paraId="73A1F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72</w:t>
            </w:r>
          </w:p>
        </w:tc>
        <w:tc>
          <w:tcPr>
            <w:tcW w:w="1043" w:type="pct"/>
            <w:tcBorders>
              <w:tl2br w:val="nil"/>
              <w:tr2bl w:val="nil"/>
            </w:tcBorders>
            <w:noWrap w:val="0"/>
            <w:vAlign w:val="center"/>
          </w:tcPr>
          <w:p w14:paraId="7A8BC735">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选用低噪声型、设备基座减振</w:t>
            </w:r>
          </w:p>
        </w:tc>
        <w:tc>
          <w:tcPr>
            <w:tcW w:w="380" w:type="pct"/>
            <w:tcBorders>
              <w:tl2br w:val="nil"/>
              <w:tr2bl w:val="nil"/>
            </w:tcBorders>
            <w:noWrap w:val="0"/>
            <w:vAlign w:val="center"/>
          </w:tcPr>
          <w:p w14:paraId="5119D3FE">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14FA7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tcBorders>
              <w:tl2br w:val="nil"/>
              <w:tr2bl w:val="nil"/>
            </w:tcBorders>
            <w:shd w:val="clear" w:color="auto" w:fill="auto"/>
            <w:noWrap w:val="0"/>
            <w:vAlign w:val="center"/>
          </w:tcPr>
          <w:p w14:paraId="18741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s="Times New Roman"/>
                <w:color w:val="auto"/>
                <w:highlight w:val="none"/>
                <w:lang w:val="en-US" w:eastAsia="zh-CN"/>
              </w:rPr>
              <w:t>12</w:t>
            </w:r>
          </w:p>
        </w:tc>
        <w:tc>
          <w:tcPr>
            <w:tcW w:w="465" w:type="pct"/>
            <w:tcBorders>
              <w:tl2br w:val="nil"/>
              <w:tr2bl w:val="nil"/>
            </w:tcBorders>
            <w:shd w:val="clear" w:color="auto" w:fill="auto"/>
            <w:noWrap w:val="0"/>
            <w:vAlign w:val="center"/>
          </w:tcPr>
          <w:p w14:paraId="1C661F74">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浮选机</w:t>
            </w:r>
          </w:p>
        </w:tc>
        <w:tc>
          <w:tcPr>
            <w:tcW w:w="749" w:type="pct"/>
            <w:tcBorders>
              <w:tl2br w:val="nil"/>
              <w:tr2bl w:val="nil"/>
            </w:tcBorders>
            <w:shd w:val="clear" w:color="auto" w:fill="auto"/>
            <w:noWrap w:val="0"/>
            <w:vAlign w:val="center"/>
          </w:tcPr>
          <w:p w14:paraId="68F72B6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XCF-8</w:t>
            </w:r>
          </w:p>
        </w:tc>
        <w:tc>
          <w:tcPr>
            <w:tcW w:w="465" w:type="pct"/>
            <w:tcBorders>
              <w:tl2br w:val="nil"/>
              <w:tr2bl w:val="nil"/>
            </w:tcBorders>
            <w:noWrap w:val="0"/>
            <w:vAlign w:val="center"/>
          </w:tcPr>
          <w:p w14:paraId="398D5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447.43</w:t>
            </w:r>
          </w:p>
        </w:tc>
        <w:tc>
          <w:tcPr>
            <w:tcW w:w="568" w:type="pct"/>
            <w:tcBorders>
              <w:tl2br w:val="nil"/>
              <w:tr2bl w:val="nil"/>
            </w:tcBorders>
            <w:noWrap w:val="0"/>
            <w:vAlign w:val="center"/>
          </w:tcPr>
          <w:p w14:paraId="30C62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-1269.21</w:t>
            </w:r>
          </w:p>
        </w:tc>
        <w:tc>
          <w:tcPr>
            <w:tcW w:w="209" w:type="pct"/>
            <w:tcBorders>
              <w:tl2br w:val="nil"/>
              <w:tr2bl w:val="nil"/>
            </w:tcBorders>
            <w:noWrap w:val="0"/>
            <w:vAlign w:val="center"/>
          </w:tcPr>
          <w:p w14:paraId="45034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tcBorders>
              <w:tl2br w:val="nil"/>
              <w:tr2bl w:val="nil"/>
            </w:tcBorders>
            <w:noWrap w:val="0"/>
            <w:vAlign w:val="center"/>
          </w:tcPr>
          <w:p w14:paraId="75202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518" w:type="pct"/>
            <w:tcBorders>
              <w:tl2br w:val="nil"/>
              <w:tr2bl w:val="nil"/>
            </w:tcBorders>
            <w:noWrap w:val="0"/>
            <w:vAlign w:val="center"/>
          </w:tcPr>
          <w:p w14:paraId="3E0E0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55</w:t>
            </w:r>
          </w:p>
        </w:tc>
        <w:tc>
          <w:tcPr>
            <w:tcW w:w="1043" w:type="pct"/>
            <w:tcBorders>
              <w:tl2br w:val="nil"/>
              <w:tr2bl w:val="nil"/>
            </w:tcBorders>
            <w:noWrap w:val="0"/>
            <w:vAlign w:val="center"/>
          </w:tcPr>
          <w:p w14:paraId="148F917D">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tcBorders>
              <w:tl2br w:val="nil"/>
              <w:tr2bl w:val="nil"/>
            </w:tcBorders>
            <w:noWrap w:val="0"/>
            <w:vAlign w:val="center"/>
          </w:tcPr>
          <w:p w14:paraId="37D0F553">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5979C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shd w:val="clear" w:color="auto" w:fill="auto"/>
            <w:vAlign w:val="center"/>
          </w:tcPr>
          <w:p w14:paraId="464EA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s="Times New Roman"/>
                <w:color w:val="auto"/>
                <w:highlight w:val="none"/>
                <w:lang w:val="en-US" w:eastAsia="zh-CN"/>
              </w:rPr>
              <w:t>13</w:t>
            </w:r>
          </w:p>
        </w:tc>
        <w:tc>
          <w:tcPr>
            <w:tcW w:w="465" w:type="pct"/>
            <w:shd w:val="clear" w:color="auto" w:fill="auto"/>
            <w:vAlign w:val="center"/>
          </w:tcPr>
          <w:p w14:paraId="3102DCD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浮选机2</w:t>
            </w:r>
          </w:p>
        </w:tc>
        <w:tc>
          <w:tcPr>
            <w:tcW w:w="749" w:type="pct"/>
            <w:shd w:val="clear" w:color="auto" w:fill="auto"/>
            <w:vAlign w:val="center"/>
          </w:tcPr>
          <w:p w14:paraId="235A0E8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KYF-8</w:t>
            </w:r>
          </w:p>
        </w:tc>
        <w:tc>
          <w:tcPr>
            <w:tcW w:w="465" w:type="pct"/>
            <w:vAlign w:val="center"/>
          </w:tcPr>
          <w:p w14:paraId="6ACA5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447.63</w:t>
            </w:r>
          </w:p>
        </w:tc>
        <w:tc>
          <w:tcPr>
            <w:tcW w:w="568" w:type="pct"/>
            <w:vAlign w:val="center"/>
          </w:tcPr>
          <w:p w14:paraId="02C23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-1275.36</w:t>
            </w:r>
          </w:p>
        </w:tc>
        <w:tc>
          <w:tcPr>
            <w:tcW w:w="209" w:type="pct"/>
            <w:vAlign w:val="center"/>
          </w:tcPr>
          <w:p w14:paraId="32AB6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vAlign w:val="center"/>
          </w:tcPr>
          <w:p w14:paraId="5FC07D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518" w:type="pct"/>
            <w:vAlign w:val="center"/>
          </w:tcPr>
          <w:p w14:paraId="2A11E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55</w:t>
            </w:r>
          </w:p>
        </w:tc>
        <w:tc>
          <w:tcPr>
            <w:tcW w:w="1043" w:type="pct"/>
            <w:vAlign w:val="center"/>
          </w:tcPr>
          <w:p w14:paraId="0772ECC4">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vAlign w:val="center"/>
          </w:tcPr>
          <w:p w14:paraId="663E1648">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771FC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shd w:val="clear" w:color="auto" w:fill="auto"/>
            <w:vAlign w:val="center"/>
          </w:tcPr>
          <w:p w14:paraId="6690F6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cs="Times New Roman"/>
                <w:color w:val="auto"/>
                <w:highlight w:val="none"/>
                <w:lang w:val="en-US" w:eastAsia="zh-CN"/>
              </w:rPr>
              <w:t>14</w:t>
            </w:r>
          </w:p>
        </w:tc>
        <w:tc>
          <w:tcPr>
            <w:tcW w:w="465" w:type="pct"/>
            <w:shd w:val="clear" w:color="auto" w:fill="auto"/>
            <w:vAlign w:val="center"/>
          </w:tcPr>
          <w:p w14:paraId="7D5540EE">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浮选机3</w:t>
            </w:r>
          </w:p>
        </w:tc>
        <w:tc>
          <w:tcPr>
            <w:tcW w:w="749" w:type="pct"/>
            <w:shd w:val="clear" w:color="auto" w:fill="auto"/>
            <w:vAlign w:val="center"/>
          </w:tcPr>
          <w:p w14:paraId="7C9B6C66">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XCF-8</w:t>
            </w:r>
          </w:p>
        </w:tc>
        <w:tc>
          <w:tcPr>
            <w:tcW w:w="465" w:type="pct"/>
            <w:vAlign w:val="center"/>
          </w:tcPr>
          <w:p w14:paraId="61C1D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447.74</w:t>
            </w:r>
          </w:p>
        </w:tc>
        <w:tc>
          <w:tcPr>
            <w:tcW w:w="568" w:type="pct"/>
            <w:vAlign w:val="center"/>
          </w:tcPr>
          <w:p w14:paraId="44B31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-1281.64</w:t>
            </w:r>
          </w:p>
        </w:tc>
        <w:tc>
          <w:tcPr>
            <w:tcW w:w="209" w:type="pct"/>
            <w:vAlign w:val="center"/>
          </w:tcPr>
          <w:p w14:paraId="0EB1F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vAlign w:val="center"/>
          </w:tcPr>
          <w:p w14:paraId="0F6F3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518" w:type="pct"/>
            <w:vAlign w:val="center"/>
          </w:tcPr>
          <w:p w14:paraId="150C8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55</w:t>
            </w:r>
          </w:p>
        </w:tc>
        <w:tc>
          <w:tcPr>
            <w:tcW w:w="1043" w:type="pct"/>
            <w:vAlign w:val="center"/>
          </w:tcPr>
          <w:p w14:paraId="656C19A7">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vAlign w:val="center"/>
          </w:tcPr>
          <w:p w14:paraId="2DBD70E1">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119AB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vAlign w:val="center"/>
          </w:tcPr>
          <w:p w14:paraId="7D1F9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15</w:t>
            </w:r>
          </w:p>
        </w:tc>
        <w:tc>
          <w:tcPr>
            <w:tcW w:w="465" w:type="pct"/>
            <w:shd w:val="clear" w:color="auto" w:fill="auto"/>
            <w:vAlign w:val="center"/>
          </w:tcPr>
          <w:p w14:paraId="432C456A">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浮选机4</w:t>
            </w:r>
          </w:p>
        </w:tc>
        <w:tc>
          <w:tcPr>
            <w:tcW w:w="749" w:type="pct"/>
            <w:shd w:val="clear" w:color="auto" w:fill="auto"/>
            <w:vAlign w:val="center"/>
          </w:tcPr>
          <w:p w14:paraId="40627BDB">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KYF-8</w:t>
            </w:r>
          </w:p>
        </w:tc>
        <w:tc>
          <w:tcPr>
            <w:tcW w:w="465" w:type="pct"/>
            <w:vAlign w:val="center"/>
          </w:tcPr>
          <w:p w14:paraId="2984C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447.98</w:t>
            </w:r>
          </w:p>
        </w:tc>
        <w:tc>
          <w:tcPr>
            <w:tcW w:w="568" w:type="pct"/>
            <w:vAlign w:val="center"/>
          </w:tcPr>
          <w:p w14:paraId="565EF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-1288.03</w:t>
            </w:r>
          </w:p>
        </w:tc>
        <w:tc>
          <w:tcPr>
            <w:tcW w:w="209" w:type="pct"/>
            <w:vAlign w:val="center"/>
          </w:tcPr>
          <w:p w14:paraId="62BAA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vAlign w:val="center"/>
          </w:tcPr>
          <w:p w14:paraId="213C5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518" w:type="pct"/>
            <w:vAlign w:val="center"/>
          </w:tcPr>
          <w:p w14:paraId="6B01A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55</w:t>
            </w:r>
          </w:p>
        </w:tc>
        <w:tc>
          <w:tcPr>
            <w:tcW w:w="1043" w:type="pct"/>
            <w:vAlign w:val="center"/>
          </w:tcPr>
          <w:p w14:paraId="5F1053E3">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vAlign w:val="center"/>
          </w:tcPr>
          <w:p w14:paraId="03962B6A">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r w14:paraId="78153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5" w:type="pct"/>
            <w:vAlign w:val="center"/>
          </w:tcPr>
          <w:p w14:paraId="170F4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16</w:t>
            </w:r>
          </w:p>
        </w:tc>
        <w:tc>
          <w:tcPr>
            <w:tcW w:w="465" w:type="pct"/>
            <w:shd w:val="clear" w:color="auto" w:fill="auto"/>
            <w:vAlign w:val="center"/>
          </w:tcPr>
          <w:p w14:paraId="42C19D73">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浮选机5</w:t>
            </w:r>
          </w:p>
        </w:tc>
        <w:tc>
          <w:tcPr>
            <w:tcW w:w="749" w:type="pct"/>
            <w:shd w:val="clear" w:color="auto" w:fill="auto"/>
            <w:vAlign w:val="center"/>
          </w:tcPr>
          <w:p w14:paraId="2E4EBCAF">
            <w:pPr>
              <w:pStyle w:val="51"/>
              <w:widowControl w:val="0"/>
              <w:overflowPunct w:val="0"/>
              <w:topLinePunct/>
              <w:spacing w:after="0" w:line="360" w:lineRule="exact"/>
              <w:ind w:firstLine="0" w:firstLineChars="0"/>
              <w:jc w:val="center"/>
              <w:outlineLvl w:val="9"/>
              <w:rPr>
                <w:rFonts w:hint="default" w:ascii="Times New Roman" w:hAnsi="Times New Roman" w:eastAsia="宋体" w:cs="Times New Roman"/>
                <w:b w:val="0"/>
                <w:color w:val="auto"/>
                <w:kern w:val="0"/>
                <w:sz w:val="21"/>
                <w:szCs w:val="21"/>
                <w:highlight w:val="none"/>
                <w:lang w:val="en-US" w:eastAsia="zh-CN" w:bidi="en-US"/>
              </w:rPr>
            </w:pPr>
            <w:r>
              <w:rPr>
                <w:rFonts w:hint="default" w:ascii="Times New Roman" w:hAnsi="Times New Roman" w:eastAsia="宋体" w:cs="Times New Roman"/>
                <w:b w:val="0"/>
                <w:color w:val="auto"/>
                <w:sz w:val="21"/>
                <w:highlight w:val="none"/>
                <w:lang w:val="en-US" w:eastAsia="zh-CN"/>
              </w:rPr>
              <w:t>SF-2.8</w:t>
            </w:r>
          </w:p>
        </w:tc>
        <w:tc>
          <w:tcPr>
            <w:tcW w:w="465" w:type="pct"/>
            <w:vAlign w:val="center"/>
          </w:tcPr>
          <w:p w14:paraId="501015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448.33</w:t>
            </w:r>
          </w:p>
        </w:tc>
        <w:tc>
          <w:tcPr>
            <w:tcW w:w="568" w:type="pct"/>
            <w:vAlign w:val="center"/>
          </w:tcPr>
          <w:p w14:paraId="159F00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-1294.3</w:t>
            </w:r>
          </w:p>
        </w:tc>
        <w:tc>
          <w:tcPr>
            <w:tcW w:w="209" w:type="pct"/>
            <w:vAlign w:val="center"/>
          </w:tcPr>
          <w:p w14:paraId="69A6C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293" w:type="pct"/>
            <w:vAlign w:val="center"/>
          </w:tcPr>
          <w:p w14:paraId="46220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w:t>
            </w:r>
          </w:p>
        </w:tc>
        <w:tc>
          <w:tcPr>
            <w:tcW w:w="518" w:type="pct"/>
            <w:vAlign w:val="center"/>
          </w:tcPr>
          <w:p w14:paraId="4DA3D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55</w:t>
            </w:r>
          </w:p>
        </w:tc>
        <w:tc>
          <w:tcPr>
            <w:tcW w:w="1043" w:type="pct"/>
            <w:vAlign w:val="center"/>
          </w:tcPr>
          <w:p w14:paraId="41CDDEDC">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80" w:type="pct"/>
            <w:vAlign w:val="center"/>
          </w:tcPr>
          <w:p w14:paraId="41595368">
            <w:pPr>
              <w:widowControl/>
              <w:spacing w:line="36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w:t>
            </w:r>
          </w:p>
        </w:tc>
      </w:tr>
    </w:tbl>
    <w:p w14:paraId="7CF1D145">
      <w:pPr>
        <w:pStyle w:val="32"/>
        <w:rPr>
          <w:rFonts w:hint="default"/>
          <w:color w:val="auto"/>
          <w:highlight w:val="none"/>
          <w:lang w:val="zh-CN"/>
        </w:rPr>
      </w:pPr>
    </w:p>
    <w:p w14:paraId="485399B9">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4、</w:t>
      </w:r>
      <w:r>
        <w:rPr>
          <w:rFonts w:hint="default" w:ascii="Times New Roman" w:hAnsi="Times New Roman" w:cs="Times New Roman"/>
          <w:color w:val="auto"/>
          <w:kern w:val="0"/>
          <w:highlight w:val="none"/>
          <w:lang w:val="zh-CN"/>
        </w:rPr>
        <w:t>预测结果</w:t>
      </w:r>
    </w:p>
    <w:p w14:paraId="68307DC6">
      <w:pPr>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kern w:val="0"/>
          <w:highlight w:val="none"/>
          <w:lang w:val="zh-CN"/>
        </w:rPr>
        <w:t>根据上述预测模式和参数，噪声预测结果见表</w:t>
      </w:r>
      <w:r>
        <w:rPr>
          <w:rFonts w:hint="default" w:ascii="Times New Roman" w:hAnsi="Times New Roman" w:cs="Times New Roman"/>
          <w:color w:val="auto"/>
          <w:kern w:val="0"/>
          <w:highlight w:val="none"/>
        </w:rPr>
        <w:t>5.2-19</w:t>
      </w:r>
      <w:r>
        <w:rPr>
          <w:rFonts w:hint="default" w:ascii="Times New Roman" w:hAnsi="Times New Roman" w:cs="Times New Roman"/>
          <w:color w:val="auto"/>
          <w:kern w:val="0"/>
          <w:highlight w:val="none"/>
          <w:lang w:val="zh-CN"/>
        </w:rPr>
        <w:t>。</w:t>
      </w:r>
      <w:r>
        <w:rPr>
          <w:rFonts w:hint="default" w:cs="Times New Roman"/>
          <w:color w:val="auto"/>
          <w:kern w:val="0"/>
          <w:highlight w:val="none"/>
          <w:lang w:val="en-US" w:eastAsia="zh-CN"/>
        </w:rPr>
        <w:t>预测声级线见图5.2-5。</w:t>
      </w:r>
    </w:p>
    <w:p w14:paraId="32E1D5F4">
      <w:pPr>
        <w:pStyle w:val="47"/>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rPr>
        <w:t xml:space="preserve">5.2-19   </w:t>
      </w:r>
      <w:r>
        <w:rPr>
          <w:rFonts w:hint="default" w:ascii="Times New Roman" w:hAnsi="Times New Roman" w:cs="Times New Roman"/>
          <w:color w:val="auto"/>
          <w:highlight w:val="none"/>
          <w:lang w:val="zh-CN"/>
        </w:rPr>
        <w:t xml:space="preserve"> 项目噪声预测结果</w:t>
      </w:r>
      <w:r>
        <w:rPr>
          <w:rFonts w:hint="default" w:ascii="Times New Roman" w:hAnsi="Times New Roman" w:cs="Times New Roman"/>
          <w:color w:val="auto"/>
          <w:highlight w:val="none"/>
        </w:rPr>
        <w:t xml:space="preserve">   单位：dB(A)</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597"/>
        <w:gridCol w:w="1621"/>
        <w:gridCol w:w="1928"/>
        <w:gridCol w:w="1118"/>
        <w:gridCol w:w="1626"/>
      </w:tblGrid>
      <w:tr w14:paraId="73DF8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blHeader/>
          <w:jc w:val="center"/>
        </w:trPr>
        <w:tc>
          <w:tcPr>
            <w:tcW w:w="2257" w:type="pct"/>
            <w:gridSpan w:val="3"/>
            <w:tcBorders>
              <w:tl2br w:val="nil"/>
              <w:tr2bl w:val="nil"/>
            </w:tcBorders>
            <w:vAlign w:val="center"/>
          </w:tcPr>
          <w:p w14:paraId="5E9D0C3B">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预测点位</w:t>
            </w:r>
          </w:p>
        </w:tc>
        <w:tc>
          <w:tcPr>
            <w:tcW w:w="1131" w:type="pct"/>
            <w:tcBorders>
              <w:tl2br w:val="nil"/>
              <w:tr2bl w:val="nil"/>
            </w:tcBorders>
            <w:vAlign w:val="center"/>
          </w:tcPr>
          <w:p w14:paraId="0C393D74">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贡献值</w:t>
            </w:r>
          </w:p>
        </w:tc>
        <w:tc>
          <w:tcPr>
            <w:tcW w:w="656" w:type="pct"/>
            <w:tcBorders>
              <w:tl2br w:val="nil"/>
              <w:tr2bl w:val="nil"/>
            </w:tcBorders>
            <w:vAlign w:val="center"/>
          </w:tcPr>
          <w:p w14:paraId="4345A08B">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标准值</w:t>
            </w:r>
          </w:p>
        </w:tc>
        <w:tc>
          <w:tcPr>
            <w:tcW w:w="954" w:type="pct"/>
            <w:tcBorders>
              <w:tl2br w:val="nil"/>
              <w:tr2bl w:val="nil"/>
            </w:tcBorders>
            <w:vAlign w:val="center"/>
          </w:tcPr>
          <w:p w14:paraId="1B163559">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达标情况</w:t>
            </w:r>
          </w:p>
        </w:tc>
      </w:tr>
      <w:tr w14:paraId="277A2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restart"/>
            <w:tcBorders>
              <w:tl2br w:val="nil"/>
              <w:tr2bl w:val="nil"/>
            </w:tcBorders>
            <w:vAlign w:val="center"/>
          </w:tcPr>
          <w:p w14:paraId="42CBFC3A">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zh-CN"/>
              </w:rPr>
              <w:t>选矿厂</w:t>
            </w:r>
          </w:p>
        </w:tc>
        <w:tc>
          <w:tcPr>
            <w:tcW w:w="937" w:type="pct"/>
            <w:vMerge w:val="restart"/>
            <w:tcBorders>
              <w:tl2br w:val="nil"/>
              <w:tr2bl w:val="nil"/>
            </w:tcBorders>
            <w:vAlign w:val="center"/>
          </w:tcPr>
          <w:p w14:paraId="38716DD8">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东厂界</w:t>
            </w:r>
          </w:p>
        </w:tc>
        <w:tc>
          <w:tcPr>
            <w:tcW w:w="951" w:type="pct"/>
            <w:tcBorders>
              <w:tl2br w:val="nil"/>
              <w:tr2bl w:val="nil"/>
            </w:tcBorders>
            <w:vAlign w:val="center"/>
          </w:tcPr>
          <w:p w14:paraId="38B3996A">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928" w:type="dxa"/>
            <w:tcBorders>
              <w:tl2br w:val="nil"/>
              <w:tr2bl w:val="nil"/>
            </w:tcBorders>
            <w:vAlign w:val="center"/>
          </w:tcPr>
          <w:p w14:paraId="3016C199">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default" w:cs="Times New Roman"/>
                <w:color w:val="auto"/>
                <w:highlight w:val="none"/>
                <w:lang w:val="en-US" w:eastAsia="zh-CN"/>
              </w:rPr>
              <w:t>25.33</w:t>
            </w:r>
          </w:p>
        </w:tc>
        <w:tc>
          <w:tcPr>
            <w:tcW w:w="656" w:type="pct"/>
            <w:tcBorders>
              <w:tl2br w:val="nil"/>
              <w:tr2bl w:val="nil"/>
            </w:tcBorders>
            <w:vAlign w:val="center"/>
          </w:tcPr>
          <w:p w14:paraId="570AB864">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60</w:t>
            </w:r>
          </w:p>
        </w:tc>
        <w:tc>
          <w:tcPr>
            <w:tcW w:w="954" w:type="pct"/>
            <w:tcBorders>
              <w:tl2br w:val="nil"/>
              <w:tr2bl w:val="nil"/>
            </w:tcBorders>
            <w:vAlign w:val="center"/>
          </w:tcPr>
          <w:p w14:paraId="2E5E596F">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01E55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76E7983E">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0498A73D">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3A1D93C8">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928" w:type="dxa"/>
            <w:tcBorders>
              <w:tl2br w:val="nil"/>
              <w:tr2bl w:val="nil"/>
            </w:tcBorders>
            <w:vAlign w:val="center"/>
          </w:tcPr>
          <w:p w14:paraId="66D6823C">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cs="Times New Roman"/>
                <w:color w:val="auto"/>
                <w:highlight w:val="none"/>
                <w:lang w:val="en-US" w:eastAsia="zh-CN"/>
              </w:rPr>
              <w:t>25.33</w:t>
            </w:r>
          </w:p>
        </w:tc>
        <w:tc>
          <w:tcPr>
            <w:tcW w:w="656" w:type="pct"/>
            <w:tcBorders>
              <w:tl2br w:val="nil"/>
              <w:tr2bl w:val="nil"/>
            </w:tcBorders>
            <w:vAlign w:val="center"/>
          </w:tcPr>
          <w:p w14:paraId="05F31C27">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50</w:t>
            </w:r>
          </w:p>
        </w:tc>
        <w:tc>
          <w:tcPr>
            <w:tcW w:w="954" w:type="pct"/>
            <w:tcBorders>
              <w:tl2br w:val="nil"/>
              <w:tr2bl w:val="nil"/>
            </w:tcBorders>
            <w:vAlign w:val="center"/>
          </w:tcPr>
          <w:p w14:paraId="7D6C397B">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10AEE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369" w:type="pct"/>
            <w:vMerge w:val="continue"/>
            <w:tcBorders>
              <w:tl2br w:val="nil"/>
              <w:tr2bl w:val="nil"/>
            </w:tcBorders>
            <w:vAlign w:val="center"/>
          </w:tcPr>
          <w:p w14:paraId="0E6F3F8F">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tcBorders>
              <w:tl2br w:val="nil"/>
              <w:tr2bl w:val="nil"/>
            </w:tcBorders>
            <w:vAlign w:val="center"/>
          </w:tcPr>
          <w:p w14:paraId="19A0E61C">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南厂界</w:t>
            </w:r>
          </w:p>
        </w:tc>
        <w:tc>
          <w:tcPr>
            <w:tcW w:w="951" w:type="pct"/>
            <w:tcBorders>
              <w:tl2br w:val="nil"/>
              <w:tr2bl w:val="nil"/>
            </w:tcBorders>
            <w:vAlign w:val="center"/>
          </w:tcPr>
          <w:p w14:paraId="2CD359C2">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928" w:type="dxa"/>
            <w:tcBorders>
              <w:tl2br w:val="nil"/>
              <w:tr2bl w:val="nil"/>
            </w:tcBorders>
            <w:vAlign w:val="center"/>
          </w:tcPr>
          <w:p w14:paraId="30479A57">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default" w:cs="Times New Roman"/>
                <w:color w:val="auto"/>
                <w:highlight w:val="none"/>
                <w:lang w:val="en-US" w:eastAsia="zh-CN"/>
              </w:rPr>
              <w:t>23.72</w:t>
            </w:r>
          </w:p>
        </w:tc>
        <w:tc>
          <w:tcPr>
            <w:tcW w:w="656" w:type="pct"/>
            <w:tcBorders>
              <w:tl2br w:val="nil"/>
              <w:tr2bl w:val="nil"/>
            </w:tcBorders>
            <w:vAlign w:val="center"/>
          </w:tcPr>
          <w:p w14:paraId="14B0718D">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60</w:t>
            </w:r>
          </w:p>
        </w:tc>
        <w:tc>
          <w:tcPr>
            <w:tcW w:w="954" w:type="pct"/>
            <w:tcBorders>
              <w:tl2br w:val="nil"/>
              <w:tr2bl w:val="nil"/>
            </w:tcBorders>
            <w:vAlign w:val="center"/>
          </w:tcPr>
          <w:p w14:paraId="13C281A8">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31251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52CAEC95">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31CC3C55">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4EB68182">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928" w:type="dxa"/>
            <w:tcBorders>
              <w:tl2br w:val="nil"/>
              <w:tr2bl w:val="nil"/>
            </w:tcBorders>
            <w:vAlign w:val="center"/>
          </w:tcPr>
          <w:p w14:paraId="77E12711">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cs="Times New Roman"/>
                <w:color w:val="auto"/>
                <w:highlight w:val="none"/>
                <w:lang w:val="en-US" w:eastAsia="zh-CN"/>
              </w:rPr>
              <w:t>23.72</w:t>
            </w:r>
          </w:p>
        </w:tc>
        <w:tc>
          <w:tcPr>
            <w:tcW w:w="656" w:type="pct"/>
            <w:tcBorders>
              <w:tl2br w:val="nil"/>
              <w:tr2bl w:val="nil"/>
            </w:tcBorders>
            <w:vAlign w:val="center"/>
          </w:tcPr>
          <w:p w14:paraId="44CDAAF7">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50</w:t>
            </w:r>
          </w:p>
        </w:tc>
        <w:tc>
          <w:tcPr>
            <w:tcW w:w="954" w:type="pct"/>
            <w:tcBorders>
              <w:tl2br w:val="nil"/>
              <w:tr2bl w:val="nil"/>
            </w:tcBorders>
            <w:vAlign w:val="center"/>
          </w:tcPr>
          <w:p w14:paraId="2C3F16F5">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06834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1E5F72EB">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tcBorders>
              <w:tl2br w:val="nil"/>
              <w:tr2bl w:val="nil"/>
            </w:tcBorders>
            <w:vAlign w:val="center"/>
          </w:tcPr>
          <w:p w14:paraId="266C254C">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西厂界</w:t>
            </w:r>
          </w:p>
        </w:tc>
        <w:tc>
          <w:tcPr>
            <w:tcW w:w="951" w:type="pct"/>
            <w:tcBorders>
              <w:tl2br w:val="nil"/>
              <w:tr2bl w:val="nil"/>
            </w:tcBorders>
            <w:vAlign w:val="center"/>
          </w:tcPr>
          <w:p w14:paraId="3B24456B">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928" w:type="dxa"/>
            <w:tcBorders>
              <w:tl2br w:val="nil"/>
              <w:tr2bl w:val="nil"/>
            </w:tcBorders>
            <w:vAlign w:val="center"/>
          </w:tcPr>
          <w:p w14:paraId="2FFD7535">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default" w:cs="Times New Roman"/>
                <w:color w:val="auto"/>
                <w:highlight w:val="none"/>
                <w:lang w:val="en-US" w:eastAsia="zh-CN"/>
              </w:rPr>
              <w:t>28.12</w:t>
            </w:r>
          </w:p>
        </w:tc>
        <w:tc>
          <w:tcPr>
            <w:tcW w:w="656" w:type="pct"/>
            <w:tcBorders>
              <w:tl2br w:val="nil"/>
              <w:tr2bl w:val="nil"/>
            </w:tcBorders>
            <w:vAlign w:val="center"/>
          </w:tcPr>
          <w:p w14:paraId="69E85BDE">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60</w:t>
            </w:r>
          </w:p>
        </w:tc>
        <w:tc>
          <w:tcPr>
            <w:tcW w:w="954" w:type="pct"/>
            <w:tcBorders>
              <w:tl2br w:val="nil"/>
              <w:tr2bl w:val="nil"/>
            </w:tcBorders>
            <w:vAlign w:val="center"/>
          </w:tcPr>
          <w:p w14:paraId="35037650">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524DB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22443B8F">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1DA219E6">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5096BFBE">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928" w:type="dxa"/>
            <w:tcBorders>
              <w:tl2br w:val="nil"/>
              <w:tr2bl w:val="nil"/>
            </w:tcBorders>
            <w:vAlign w:val="center"/>
          </w:tcPr>
          <w:p w14:paraId="3C383B1B">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cs="Times New Roman"/>
                <w:color w:val="auto"/>
                <w:highlight w:val="none"/>
                <w:lang w:val="en-US" w:eastAsia="zh-CN"/>
              </w:rPr>
              <w:t>28.12</w:t>
            </w:r>
          </w:p>
        </w:tc>
        <w:tc>
          <w:tcPr>
            <w:tcW w:w="656" w:type="pct"/>
            <w:tcBorders>
              <w:tl2br w:val="nil"/>
              <w:tr2bl w:val="nil"/>
            </w:tcBorders>
            <w:vAlign w:val="center"/>
          </w:tcPr>
          <w:p w14:paraId="3CA306EF">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50</w:t>
            </w:r>
          </w:p>
        </w:tc>
        <w:tc>
          <w:tcPr>
            <w:tcW w:w="954" w:type="pct"/>
            <w:tcBorders>
              <w:tl2br w:val="nil"/>
              <w:tr2bl w:val="nil"/>
            </w:tcBorders>
            <w:vAlign w:val="center"/>
          </w:tcPr>
          <w:p w14:paraId="6958A66D">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43D48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1DF9F6EF">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tcBorders>
              <w:tl2br w:val="nil"/>
              <w:tr2bl w:val="nil"/>
            </w:tcBorders>
            <w:vAlign w:val="center"/>
          </w:tcPr>
          <w:p w14:paraId="2EA911B6">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北厂界</w:t>
            </w:r>
          </w:p>
        </w:tc>
        <w:tc>
          <w:tcPr>
            <w:tcW w:w="951" w:type="pct"/>
            <w:tcBorders>
              <w:tl2br w:val="nil"/>
              <w:tr2bl w:val="nil"/>
            </w:tcBorders>
            <w:vAlign w:val="center"/>
          </w:tcPr>
          <w:p w14:paraId="31644FA3">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928" w:type="dxa"/>
            <w:tcBorders>
              <w:tl2br w:val="nil"/>
              <w:tr2bl w:val="nil"/>
            </w:tcBorders>
            <w:vAlign w:val="center"/>
          </w:tcPr>
          <w:p w14:paraId="700C8440">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default" w:cs="Times New Roman"/>
                <w:color w:val="auto"/>
                <w:highlight w:val="none"/>
                <w:lang w:val="en-US" w:eastAsia="zh-CN"/>
              </w:rPr>
              <w:t>31.94</w:t>
            </w:r>
          </w:p>
        </w:tc>
        <w:tc>
          <w:tcPr>
            <w:tcW w:w="656" w:type="pct"/>
            <w:tcBorders>
              <w:tl2br w:val="nil"/>
              <w:tr2bl w:val="nil"/>
            </w:tcBorders>
            <w:vAlign w:val="center"/>
          </w:tcPr>
          <w:p w14:paraId="199BBCD6">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60</w:t>
            </w:r>
          </w:p>
        </w:tc>
        <w:tc>
          <w:tcPr>
            <w:tcW w:w="954" w:type="pct"/>
            <w:tcBorders>
              <w:tl2br w:val="nil"/>
              <w:tr2bl w:val="nil"/>
            </w:tcBorders>
            <w:vAlign w:val="center"/>
          </w:tcPr>
          <w:p w14:paraId="1BC2E23C">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04BFB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17063C7E">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0C7530DA">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7EB72C10">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928" w:type="dxa"/>
            <w:tcBorders>
              <w:tl2br w:val="nil"/>
              <w:tr2bl w:val="nil"/>
            </w:tcBorders>
            <w:vAlign w:val="center"/>
          </w:tcPr>
          <w:p w14:paraId="5E413429">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cs="Times New Roman"/>
                <w:color w:val="auto"/>
                <w:highlight w:val="none"/>
                <w:lang w:val="en-US" w:eastAsia="zh-CN"/>
              </w:rPr>
              <w:t>31.94</w:t>
            </w:r>
          </w:p>
        </w:tc>
        <w:tc>
          <w:tcPr>
            <w:tcW w:w="656" w:type="pct"/>
            <w:tcBorders>
              <w:tl2br w:val="nil"/>
              <w:tr2bl w:val="nil"/>
            </w:tcBorders>
            <w:vAlign w:val="center"/>
          </w:tcPr>
          <w:p w14:paraId="08117911">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50</w:t>
            </w:r>
          </w:p>
        </w:tc>
        <w:tc>
          <w:tcPr>
            <w:tcW w:w="954" w:type="pct"/>
            <w:tcBorders>
              <w:tl2br w:val="nil"/>
              <w:tr2bl w:val="nil"/>
            </w:tcBorders>
            <w:vAlign w:val="center"/>
          </w:tcPr>
          <w:p w14:paraId="24D33D7F">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34CBF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restart"/>
            <w:tcBorders>
              <w:tl2br w:val="nil"/>
              <w:tr2bl w:val="nil"/>
            </w:tcBorders>
            <w:shd w:val="clear" w:color="auto" w:fill="auto"/>
            <w:vAlign w:val="center"/>
          </w:tcPr>
          <w:p w14:paraId="5CD4031F">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尾矿库</w:t>
            </w:r>
          </w:p>
        </w:tc>
        <w:tc>
          <w:tcPr>
            <w:tcW w:w="937" w:type="pct"/>
            <w:vMerge w:val="restart"/>
            <w:tcBorders>
              <w:tl2br w:val="nil"/>
              <w:tr2bl w:val="nil"/>
            </w:tcBorders>
            <w:shd w:val="clear" w:color="auto" w:fill="auto"/>
            <w:vAlign w:val="center"/>
          </w:tcPr>
          <w:p w14:paraId="01F61DC9">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东厂界</w:t>
            </w:r>
          </w:p>
        </w:tc>
        <w:tc>
          <w:tcPr>
            <w:tcW w:w="951" w:type="pct"/>
            <w:tcBorders>
              <w:tl2br w:val="nil"/>
              <w:tr2bl w:val="nil"/>
            </w:tcBorders>
            <w:shd w:val="clear" w:color="auto" w:fill="auto"/>
            <w:vAlign w:val="center"/>
          </w:tcPr>
          <w:p w14:paraId="1F5883F6">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昼间</w:t>
            </w:r>
          </w:p>
        </w:tc>
        <w:tc>
          <w:tcPr>
            <w:tcW w:w="1928" w:type="dxa"/>
            <w:tcBorders>
              <w:tl2br w:val="nil"/>
              <w:tr2bl w:val="nil"/>
            </w:tcBorders>
            <w:shd w:val="clear" w:color="auto" w:fill="auto"/>
            <w:vAlign w:val="center"/>
          </w:tcPr>
          <w:p w14:paraId="448BB33E">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20.83</w:t>
            </w:r>
          </w:p>
        </w:tc>
        <w:tc>
          <w:tcPr>
            <w:tcW w:w="656" w:type="pct"/>
            <w:tcBorders>
              <w:tl2br w:val="nil"/>
              <w:tr2bl w:val="nil"/>
            </w:tcBorders>
            <w:shd w:val="clear" w:color="auto" w:fill="auto"/>
            <w:vAlign w:val="center"/>
          </w:tcPr>
          <w:p w14:paraId="2898C11D">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60</w:t>
            </w:r>
          </w:p>
        </w:tc>
        <w:tc>
          <w:tcPr>
            <w:tcW w:w="954" w:type="pct"/>
            <w:tcBorders>
              <w:tl2br w:val="nil"/>
              <w:tr2bl w:val="nil"/>
            </w:tcBorders>
            <w:shd w:val="clear" w:color="auto" w:fill="auto"/>
            <w:vAlign w:val="center"/>
          </w:tcPr>
          <w:p w14:paraId="481E9E1D">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r w14:paraId="1739A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4D6876BD">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0C90ECC8">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shd w:val="clear" w:color="auto" w:fill="auto"/>
            <w:vAlign w:val="center"/>
          </w:tcPr>
          <w:p w14:paraId="7FC2D348">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夜间</w:t>
            </w:r>
          </w:p>
        </w:tc>
        <w:tc>
          <w:tcPr>
            <w:tcW w:w="1928" w:type="dxa"/>
            <w:tcBorders>
              <w:tl2br w:val="nil"/>
              <w:tr2bl w:val="nil"/>
            </w:tcBorders>
            <w:shd w:val="clear" w:color="auto" w:fill="auto"/>
            <w:vAlign w:val="center"/>
          </w:tcPr>
          <w:p w14:paraId="46B43E23">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20.83</w:t>
            </w:r>
          </w:p>
        </w:tc>
        <w:tc>
          <w:tcPr>
            <w:tcW w:w="656" w:type="pct"/>
            <w:tcBorders>
              <w:tl2br w:val="nil"/>
              <w:tr2bl w:val="nil"/>
            </w:tcBorders>
            <w:shd w:val="clear" w:color="auto" w:fill="auto"/>
            <w:vAlign w:val="center"/>
          </w:tcPr>
          <w:p w14:paraId="157E7B54">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50</w:t>
            </w:r>
          </w:p>
        </w:tc>
        <w:tc>
          <w:tcPr>
            <w:tcW w:w="954" w:type="pct"/>
            <w:tcBorders>
              <w:tl2br w:val="nil"/>
              <w:tr2bl w:val="nil"/>
            </w:tcBorders>
            <w:shd w:val="clear" w:color="auto" w:fill="auto"/>
            <w:vAlign w:val="center"/>
          </w:tcPr>
          <w:p w14:paraId="6325D37E">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r w14:paraId="35307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586E125E">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tcBorders>
              <w:tl2br w:val="nil"/>
              <w:tr2bl w:val="nil"/>
            </w:tcBorders>
            <w:shd w:val="clear" w:color="auto" w:fill="auto"/>
            <w:vAlign w:val="center"/>
          </w:tcPr>
          <w:p w14:paraId="0CF697D6">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南厂界</w:t>
            </w:r>
          </w:p>
        </w:tc>
        <w:tc>
          <w:tcPr>
            <w:tcW w:w="951" w:type="pct"/>
            <w:tcBorders>
              <w:tl2br w:val="nil"/>
              <w:tr2bl w:val="nil"/>
            </w:tcBorders>
            <w:shd w:val="clear" w:color="auto" w:fill="auto"/>
            <w:vAlign w:val="center"/>
          </w:tcPr>
          <w:p w14:paraId="26C2138A">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昼间</w:t>
            </w:r>
          </w:p>
        </w:tc>
        <w:tc>
          <w:tcPr>
            <w:tcW w:w="1928" w:type="dxa"/>
            <w:tcBorders>
              <w:tl2br w:val="nil"/>
              <w:tr2bl w:val="nil"/>
            </w:tcBorders>
            <w:shd w:val="clear" w:color="auto" w:fill="auto"/>
            <w:vAlign w:val="center"/>
          </w:tcPr>
          <w:p w14:paraId="212F4C73">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15.32</w:t>
            </w:r>
          </w:p>
        </w:tc>
        <w:tc>
          <w:tcPr>
            <w:tcW w:w="656" w:type="pct"/>
            <w:tcBorders>
              <w:tl2br w:val="nil"/>
              <w:tr2bl w:val="nil"/>
            </w:tcBorders>
            <w:shd w:val="clear" w:color="auto" w:fill="auto"/>
            <w:vAlign w:val="center"/>
          </w:tcPr>
          <w:p w14:paraId="4115B2F9">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60</w:t>
            </w:r>
          </w:p>
        </w:tc>
        <w:tc>
          <w:tcPr>
            <w:tcW w:w="954" w:type="pct"/>
            <w:tcBorders>
              <w:tl2br w:val="nil"/>
              <w:tr2bl w:val="nil"/>
            </w:tcBorders>
            <w:shd w:val="clear" w:color="auto" w:fill="auto"/>
            <w:vAlign w:val="center"/>
          </w:tcPr>
          <w:p w14:paraId="0401E3FA">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r w14:paraId="18D86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Borders>
              <w:tl2br w:val="nil"/>
              <w:tr2bl w:val="nil"/>
            </w:tcBorders>
            <w:vAlign w:val="center"/>
          </w:tcPr>
          <w:p w14:paraId="243A3F05">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1E54F20D">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shd w:val="clear" w:color="auto" w:fill="auto"/>
            <w:vAlign w:val="center"/>
          </w:tcPr>
          <w:p w14:paraId="4F74D30D">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夜间</w:t>
            </w:r>
          </w:p>
        </w:tc>
        <w:tc>
          <w:tcPr>
            <w:tcW w:w="1928" w:type="dxa"/>
            <w:tcBorders>
              <w:tl2br w:val="nil"/>
              <w:tr2bl w:val="nil"/>
            </w:tcBorders>
            <w:shd w:val="clear" w:color="auto" w:fill="auto"/>
            <w:vAlign w:val="center"/>
          </w:tcPr>
          <w:p w14:paraId="7F779BA0">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15.32</w:t>
            </w:r>
          </w:p>
        </w:tc>
        <w:tc>
          <w:tcPr>
            <w:tcW w:w="656" w:type="pct"/>
            <w:tcBorders>
              <w:tl2br w:val="nil"/>
              <w:tr2bl w:val="nil"/>
            </w:tcBorders>
            <w:shd w:val="clear" w:color="auto" w:fill="auto"/>
            <w:vAlign w:val="center"/>
          </w:tcPr>
          <w:p w14:paraId="43446DBD">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50</w:t>
            </w:r>
          </w:p>
        </w:tc>
        <w:tc>
          <w:tcPr>
            <w:tcW w:w="954" w:type="pct"/>
            <w:tcBorders>
              <w:tl2br w:val="nil"/>
              <w:tr2bl w:val="nil"/>
            </w:tcBorders>
            <w:shd w:val="clear" w:color="auto" w:fill="auto"/>
            <w:vAlign w:val="center"/>
          </w:tcPr>
          <w:p w14:paraId="7BD2C27A">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r w14:paraId="74F96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Pr>
          <w:p w14:paraId="390CC9F1">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shd w:val="clear" w:color="auto" w:fill="auto"/>
            <w:vAlign w:val="center"/>
          </w:tcPr>
          <w:p w14:paraId="009F3307">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西厂界</w:t>
            </w:r>
          </w:p>
        </w:tc>
        <w:tc>
          <w:tcPr>
            <w:tcW w:w="951" w:type="pct"/>
            <w:shd w:val="clear" w:color="auto" w:fill="auto"/>
            <w:vAlign w:val="center"/>
          </w:tcPr>
          <w:p w14:paraId="55A7ADFE">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昼间</w:t>
            </w:r>
          </w:p>
        </w:tc>
        <w:tc>
          <w:tcPr>
            <w:tcW w:w="1928" w:type="dxa"/>
            <w:shd w:val="clear" w:color="auto" w:fill="auto"/>
            <w:vAlign w:val="center"/>
          </w:tcPr>
          <w:p w14:paraId="1759F8DF">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12.09</w:t>
            </w:r>
          </w:p>
        </w:tc>
        <w:tc>
          <w:tcPr>
            <w:tcW w:w="656" w:type="pct"/>
            <w:shd w:val="clear" w:color="auto" w:fill="auto"/>
            <w:vAlign w:val="center"/>
          </w:tcPr>
          <w:p w14:paraId="59F39F7C">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60</w:t>
            </w:r>
          </w:p>
        </w:tc>
        <w:tc>
          <w:tcPr>
            <w:tcW w:w="954" w:type="pct"/>
            <w:shd w:val="clear" w:color="auto" w:fill="auto"/>
            <w:vAlign w:val="center"/>
          </w:tcPr>
          <w:p w14:paraId="5E54F97C">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r w14:paraId="1007B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Pr>
          <w:p w14:paraId="0CD987A2">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shd w:val="clear" w:color="auto" w:fill="auto"/>
            <w:vAlign w:val="center"/>
          </w:tcPr>
          <w:p w14:paraId="4A87BE02">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51" w:type="pct"/>
            <w:shd w:val="clear" w:color="auto" w:fill="auto"/>
            <w:vAlign w:val="center"/>
          </w:tcPr>
          <w:p w14:paraId="3F6749FF">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夜间</w:t>
            </w:r>
          </w:p>
        </w:tc>
        <w:tc>
          <w:tcPr>
            <w:tcW w:w="1928" w:type="dxa"/>
            <w:shd w:val="clear" w:color="auto" w:fill="auto"/>
            <w:vAlign w:val="center"/>
          </w:tcPr>
          <w:p w14:paraId="2A40D09A">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12.09</w:t>
            </w:r>
          </w:p>
        </w:tc>
        <w:tc>
          <w:tcPr>
            <w:tcW w:w="656" w:type="pct"/>
            <w:shd w:val="clear" w:color="auto" w:fill="auto"/>
            <w:vAlign w:val="center"/>
          </w:tcPr>
          <w:p w14:paraId="4E5F7632">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50</w:t>
            </w:r>
          </w:p>
        </w:tc>
        <w:tc>
          <w:tcPr>
            <w:tcW w:w="954" w:type="pct"/>
            <w:shd w:val="clear" w:color="auto" w:fill="auto"/>
            <w:vAlign w:val="center"/>
          </w:tcPr>
          <w:p w14:paraId="6B2F8F47">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r w14:paraId="3E446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Pr>
          <w:p w14:paraId="6BE2F499">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shd w:val="clear" w:color="auto" w:fill="auto"/>
            <w:vAlign w:val="center"/>
          </w:tcPr>
          <w:p w14:paraId="19770E3B">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北厂界</w:t>
            </w:r>
          </w:p>
        </w:tc>
        <w:tc>
          <w:tcPr>
            <w:tcW w:w="951" w:type="pct"/>
            <w:shd w:val="clear" w:color="auto" w:fill="auto"/>
            <w:vAlign w:val="center"/>
          </w:tcPr>
          <w:p w14:paraId="7EB71476">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昼间</w:t>
            </w:r>
          </w:p>
        </w:tc>
        <w:tc>
          <w:tcPr>
            <w:tcW w:w="1928" w:type="dxa"/>
            <w:shd w:val="clear" w:color="auto" w:fill="auto"/>
            <w:vAlign w:val="center"/>
          </w:tcPr>
          <w:p w14:paraId="590D869C">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17.5</w:t>
            </w:r>
          </w:p>
        </w:tc>
        <w:tc>
          <w:tcPr>
            <w:tcW w:w="656" w:type="pct"/>
            <w:shd w:val="clear" w:color="auto" w:fill="auto"/>
            <w:vAlign w:val="center"/>
          </w:tcPr>
          <w:p w14:paraId="0E66E4EA">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60</w:t>
            </w:r>
          </w:p>
        </w:tc>
        <w:tc>
          <w:tcPr>
            <w:tcW w:w="954" w:type="pct"/>
            <w:shd w:val="clear" w:color="auto" w:fill="auto"/>
            <w:vAlign w:val="center"/>
          </w:tcPr>
          <w:p w14:paraId="42A2C589">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r w14:paraId="1E19D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69" w:type="pct"/>
            <w:vMerge w:val="continue"/>
          </w:tcPr>
          <w:p w14:paraId="74AC4A09">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Pr>
          <w:p w14:paraId="3B836C72">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shd w:val="clear" w:color="auto" w:fill="auto"/>
            <w:vAlign w:val="center"/>
          </w:tcPr>
          <w:p w14:paraId="2BCC18FF">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夜间</w:t>
            </w:r>
          </w:p>
        </w:tc>
        <w:tc>
          <w:tcPr>
            <w:tcW w:w="1928" w:type="dxa"/>
            <w:shd w:val="clear" w:color="auto" w:fill="auto"/>
            <w:vAlign w:val="center"/>
          </w:tcPr>
          <w:p w14:paraId="423A0407">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kern w:val="2"/>
                <w:sz w:val="21"/>
                <w:szCs w:val="24"/>
                <w:highlight w:val="none"/>
                <w:lang w:val="en-US" w:eastAsia="zh-CN" w:bidi="ar-SA"/>
              </w:rPr>
              <w:t>17.5</w:t>
            </w:r>
          </w:p>
        </w:tc>
        <w:tc>
          <w:tcPr>
            <w:tcW w:w="656" w:type="pct"/>
            <w:shd w:val="clear" w:color="auto" w:fill="auto"/>
            <w:vAlign w:val="center"/>
          </w:tcPr>
          <w:p w14:paraId="09804F3E">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50</w:t>
            </w:r>
          </w:p>
        </w:tc>
        <w:tc>
          <w:tcPr>
            <w:tcW w:w="954" w:type="pct"/>
            <w:shd w:val="clear" w:color="auto" w:fill="auto"/>
            <w:vAlign w:val="center"/>
          </w:tcPr>
          <w:p w14:paraId="7C0034B4">
            <w:pPr>
              <w:pStyle w:val="32"/>
              <w:spacing w:after="0" w:line="360" w:lineRule="exact"/>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达标</w:t>
            </w:r>
          </w:p>
        </w:tc>
      </w:tr>
    </w:tbl>
    <w:p w14:paraId="5E83F3A4">
      <w:pPr>
        <w:pStyle w:val="41"/>
        <w:overflowPunct w:val="0"/>
        <w:topLinePunct/>
        <w:spacing w:line="480" w:lineRule="exact"/>
        <w:ind w:firstLine="480"/>
        <w:jc w:val="center"/>
        <w:rPr>
          <w:rFonts w:hint="default" w:ascii="Times New Roman" w:hAnsi="Times New Roman" w:cs="Times New Roman"/>
          <w:b/>
          <w:bCs/>
          <w:color w:val="auto"/>
          <w:kern w:val="0"/>
          <w:szCs w:val="24"/>
          <w:highlight w:val="none"/>
          <w:lang w:val="en-US" w:eastAsia="zh-CN"/>
        </w:rPr>
      </w:pPr>
      <w:r>
        <w:rPr>
          <w:rFonts w:hint="default" w:ascii="Times New Roman" w:hAnsi="Times New Roman" w:cs="Times New Roman"/>
          <w:color w:val="auto"/>
          <w:kern w:val="0"/>
          <w:szCs w:val="24"/>
          <w:highlight w:val="none"/>
          <w:lang w:val="zh-CN"/>
        </w:rPr>
        <w:drawing>
          <wp:anchor distT="0" distB="0" distL="114300" distR="114300" simplePos="0" relativeHeight="251721728" behindDoc="0" locked="0" layoutInCell="1" allowOverlap="1">
            <wp:simplePos x="0" y="0"/>
            <wp:positionH relativeFrom="column">
              <wp:posOffset>32385</wp:posOffset>
            </wp:positionH>
            <wp:positionV relativeFrom="paragraph">
              <wp:posOffset>116840</wp:posOffset>
            </wp:positionV>
            <wp:extent cx="5266690" cy="3053715"/>
            <wp:effectExtent l="9525" t="9525" r="19685" b="22860"/>
            <wp:wrapTopAndBottom/>
            <wp:docPr id="7" name="图片 7" descr="选尾声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选尾声级图"/>
                    <pic:cNvPicPr>
                      <a:picLocks noChangeAspect="1"/>
                    </pic:cNvPicPr>
                  </pic:nvPicPr>
                  <pic:blipFill>
                    <a:blip r:embed="rId78"/>
                    <a:stretch>
                      <a:fillRect/>
                    </a:stretch>
                  </pic:blipFill>
                  <pic:spPr>
                    <a:xfrm>
                      <a:off x="0" y="0"/>
                      <a:ext cx="5266690" cy="3053715"/>
                    </a:xfrm>
                    <a:prstGeom prst="rect">
                      <a:avLst/>
                    </a:prstGeom>
                    <a:ln>
                      <a:solidFill>
                        <a:schemeClr val="tx1"/>
                      </a:solidFill>
                    </a:ln>
                  </pic:spPr>
                </pic:pic>
              </a:graphicData>
            </a:graphic>
          </wp:anchor>
        </w:drawing>
      </w:r>
      <w:r>
        <w:rPr>
          <w:rFonts w:hint="default" w:ascii="Times New Roman" w:hAnsi="Times New Roman" w:cs="Times New Roman"/>
          <w:b/>
          <w:bCs/>
          <w:color w:val="auto"/>
          <w:kern w:val="0"/>
          <w:szCs w:val="24"/>
          <w:highlight w:val="none"/>
          <w:lang w:val="en-US" w:eastAsia="zh-CN"/>
        </w:rPr>
        <w:t>图</w:t>
      </w:r>
      <w:r>
        <w:rPr>
          <w:rFonts w:hint="default" w:cs="Times New Roman"/>
          <w:b/>
          <w:bCs/>
          <w:color w:val="auto"/>
          <w:kern w:val="0"/>
          <w:szCs w:val="24"/>
          <w:highlight w:val="none"/>
          <w:lang w:val="en-US" w:eastAsia="zh-CN"/>
        </w:rPr>
        <w:t>5.2-5    预测等声级线图</w:t>
      </w:r>
    </w:p>
    <w:p w14:paraId="2F2BA67F">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5.2.4.2</w:t>
      </w:r>
      <w:r>
        <w:rPr>
          <w:rFonts w:hint="default" w:ascii="Times New Roman" w:hAnsi="Times New Roman" w:cs="Times New Roman"/>
          <w:color w:val="auto"/>
          <w:kern w:val="0"/>
          <w:highlight w:val="none"/>
          <w:lang w:val="zh-CN"/>
        </w:rPr>
        <w:t>预测结果分析</w:t>
      </w:r>
    </w:p>
    <w:p w14:paraId="3DA7379A">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lang w:val="zh-CN"/>
        </w:rPr>
        <w:t>由预测结果可知，项目运营后，噪声源厂界</w:t>
      </w:r>
      <w:r>
        <w:rPr>
          <w:rFonts w:hint="default" w:ascii="Times New Roman" w:hAnsi="Times New Roman" w:cs="Times New Roman"/>
          <w:color w:val="auto"/>
          <w:kern w:val="0"/>
          <w:szCs w:val="24"/>
          <w:highlight w:val="none"/>
        </w:rPr>
        <w:t>昼间</w:t>
      </w:r>
      <w:r>
        <w:rPr>
          <w:rFonts w:hint="default" w:ascii="Times New Roman" w:hAnsi="Times New Roman" w:cs="Times New Roman"/>
          <w:color w:val="auto"/>
          <w:kern w:val="0"/>
          <w:szCs w:val="24"/>
          <w:highlight w:val="none"/>
          <w:lang w:val="zh-CN"/>
        </w:rPr>
        <w:t>噪声</w:t>
      </w:r>
      <w:r>
        <w:rPr>
          <w:rFonts w:hint="default" w:ascii="Times New Roman" w:hAnsi="Times New Roman" w:cs="Times New Roman"/>
          <w:color w:val="auto"/>
          <w:kern w:val="0"/>
          <w:szCs w:val="24"/>
          <w:highlight w:val="none"/>
        </w:rPr>
        <w:t>预测</w:t>
      </w:r>
      <w:r>
        <w:rPr>
          <w:rFonts w:hint="default" w:ascii="Times New Roman" w:hAnsi="Times New Roman" w:cs="Times New Roman"/>
          <w:color w:val="auto"/>
          <w:kern w:val="0"/>
          <w:szCs w:val="24"/>
          <w:highlight w:val="none"/>
          <w:lang w:val="zh-CN"/>
        </w:rPr>
        <w:t>值为</w:t>
      </w:r>
      <w:r>
        <w:rPr>
          <w:rFonts w:hint="default" w:cs="Times New Roman"/>
          <w:color w:val="auto"/>
          <w:kern w:val="0"/>
          <w:szCs w:val="24"/>
          <w:highlight w:val="none"/>
          <w:lang w:val="en-US" w:eastAsia="zh-CN"/>
        </w:rPr>
        <w:t>12.09</w:t>
      </w:r>
      <w:r>
        <w:rPr>
          <w:rFonts w:hint="default" w:ascii="Times New Roman" w:hAnsi="Times New Roman" w:cs="Times New Roman"/>
          <w:color w:val="auto"/>
          <w:kern w:val="0"/>
          <w:szCs w:val="24"/>
          <w:highlight w:val="none"/>
          <w:lang w:val="zh-CN"/>
        </w:rPr>
        <w:t>dB（A）～</w:t>
      </w:r>
      <w:r>
        <w:rPr>
          <w:rFonts w:hint="default" w:cs="Times New Roman"/>
          <w:color w:val="auto"/>
          <w:kern w:val="0"/>
          <w:szCs w:val="24"/>
          <w:highlight w:val="none"/>
          <w:lang w:val="en-US" w:eastAsia="zh-CN"/>
        </w:rPr>
        <w:t>31.94</w:t>
      </w:r>
      <w:r>
        <w:rPr>
          <w:rFonts w:hint="default" w:ascii="Times New Roman" w:hAnsi="Times New Roman" w:cs="Times New Roman"/>
          <w:color w:val="auto"/>
          <w:kern w:val="0"/>
          <w:szCs w:val="24"/>
          <w:highlight w:val="none"/>
          <w:lang w:val="zh-CN"/>
        </w:rPr>
        <w:t>dB（A），</w:t>
      </w:r>
      <w:r>
        <w:rPr>
          <w:rFonts w:hint="default" w:ascii="Times New Roman" w:hAnsi="Times New Roman" w:cs="Times New Roman"/>
          <w:color w:val="auto"/>
          <w:kern w:val="0"/>
          <w:szCs w:val="24"/>
          <w:highlight w:val="none"/>
        </w:rPr>
        <w:t>夜间噪声预测值为</w:t>
      </w:r>
      <w:r>
        <w:rPr>
          <w:rFonts w:hint="default" w:cs="Times New Roman"/>
          <w:color w:val="auto"/>
          <w:kern w:val="0"/>
          <w:szCs w:val="24"/>
          <w:highlight w:val="none"/>
          <w:lang w:val="en-US" w:eastAsia="zh-CN"/>
        </w:rPr>
        <w:t>12.09</w:t>
      </w:r>
      <w:r>
        <w:rPr>
          <w:rFonts w:hint="default" w:ascii="Times New Roman" w:hAnsi="Times New Roman" w:cs="Times New Roman"/>
          <w:color w:val="auto"/>
          <w:kern w:val="0"/>
          <w:szCs w:val="24"/>
          <w:highlight w:val="none"/>
          <w:lang w:val="zh-CN"/>
        </w:rPr>
        <w:t>dB（A）～</w:t>
      </w:r>
      <w:r>
        <w:rPr>
          <w:rFonts w:hint="default" w:cs="Times New Roman"/>
          <w:color w:val="auto"/>
          <w:kern w:val="0"/>
          <w:szCs w:val="24"/>
          <w:highlight w:val="none"/>
          <w:lang w:val="en-US" w:eastAsia="zh-CN"/>
        </w:rPr>
        <w:t>31.94</w:t>
      </w:r>
      <w:r>
        <w:rPr>
          <w:rFonts w:hint="default" w:ascii="Times New Roman" w:hAnsi="Times New Roman" w:cs="Times New Roman"/>
          <w:color w:val="auto"/>
          <w:kern w:val="0"/>
          <w:szCs w:val="24"/>
          <w:highlight w:val="none"/>
          <w:lang w:val="zh-CN"/>
        </w:rPr>
        <w:t>dB（A）</w:t>
      </w:r>
      <w:r>
        <w:rPr>
          <w:rFonts w:hint="default" w:ascii="Times New Roman" w:hAnsi="Times New Roman" w:cs="Times New Roman"/>
          <w:color w:val="auto"/>
          <w:kern w:val="0"/>
          <w:szCs w:val="24"/>
          <w:highlight w:val="none"/>
        </w:rPr>
        <w:t>，</w:t>
      </w:r>
      <w:r>
        <w:rPr>
          <w:rFonts w:hint="default" w:ascii="Times New Roman" w:hAnsi="Times New Roman" w:cs="Times New Roman"/>
          <w:color w:val="auto"/>
          <w:kern w:val="0"/>
          <w:szCs w:val="24"/>
          <w:highlight w:val="none"/>
          <w:lang w:val="zh-CN"/>
        </w:rPr>
        <w:t>可满足《工业企业厂界环境噪声排放标准》（GB12348-2008）中</w:t>
      </w:r>
      <w:r>
        <w:rPr>
          <w:rFonts w:hint="default" w:ascii="Times New Roman" w:hAnsi="Times New Roman" w:cs="Times New Roman"/>
          <w:color w:val="auto"/>
          <w:kern w:val="0"/>
          <w:szCs w:val="24"/>
          <w:highlight w:val="none"/>
        </w:rPr>
        <w:t>2</w:t>
      </w:r>
      <w:r>
        <w:rPr>
          <w:rFonts w:hint="default" w:ascii="Times New Roman" w:hAnsi="Times New Roman" w:cs="Times New Roman"/>
          <w:color w:val="auto"/>
          <w:kern w:val="0"/>
          <w:szCs w:val="24"/>
          <w:highlight w:val="none"/>
          <w:lang w:val="zh-CN"/>
        </w:rPr>
        <w:t>类排放标准要求，环评建议建设单位</w:t>
      </w:r>
      <w:r>
        <w:rPr>
          <w:rFonts w:hint="default" w:cs="Times New Roman"/>
          <w:color w:val="auto"/>
          <w:kern w:val="0"/>
          <w:szCs w:val="24"/>
          <w:highlight w:val="none"/>
          <w:lang w:val="en-US" w:eastAsia="zh-CN"/>
        </w:rPr>
        <w:t>应优先</w:t>
      </w:r>
      <w:r>
        <w:rPr>
          <w:rFonts w:hint="default" w:ascii="Times New Roman" w:hAnsi="Times New Roman" w:cs="Times New Roman"/>
          <w:color w:val="auto"/>
          <w:kern w:val="0"/>
          <w:szCs w:val="24"/>
          <w:highlight w:val="none"/>
          <w:lang w:val="zh-CN"/>
        </w:rPr>
        <w:t>选用低噪声设备。选矿厂附近200m范围内无居民区等声环境敏感点，经采取隔声、减震等措施后，运营期选矿厂噪声对周围声环境影响较小</w:t>
      </w:r>
      <w:r>
        <w:rPr>
          <w:rFonts w:hint="default" w:ascii="Times New Roman" w:hAnsi="Times New Roman" w:cs="Times New Roman"/>
          <w:color w:val="auto"/>
          <w:kern w:val="0"/>
          <w:highlight w:val="none"/>
          <w:lang w:val="zh-CN"/>
        </w:rPr>
        <w:t>。</w:t>
      </w:r>
    </w:p>
    <w:p w14:paraId="63F9B870">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5.2.5运营期固体废物环境影响分析</w:t>
      </w:r>
      <w:bookmarkEnd w:id="759"/>
      <w:bookmarkEnd w:id="760"/>
      <w:bookmarkEnd w:id="761"/>
    </w:p>
    <w:p w14:paraId="2900C9A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本项目运营期固体废物主要来源于选矿工序产生的尾矿砂、除尘灰（除尘器收集的粉尘）、废药剂及包装物、炉渣及脱硫石膏、废离子交换树脂、生活</w:t>
      </w:r>
      <w:r>
        <w:rPr>
          <w:rFonts w:hint="default" w:ascii="Times New Roman" w:hAnsi="Times New Roman" w:cs="Times New Roman"/>
          <w:color w:val="auto"/>
          <w:highlight w:val="none"/>
        </w:rPr>
        <w:t>污水处理设施底泥、</w:t>
      </w:r>
      <w:r>
        <w:rPr>
          <w:rFonts w:hint="default" w:ascii="Times New Roman" w:hAnsi="Times New Roman" w:cs="Times New Roman"/>
          <w:color w:val="auto"/>
          <w:kern w:val="0"/>
          <w:highlight w:val="none"/>
        </w:rPr>
        <w:t>废布袋、循环水池底泥、生活垃圾及少量废机油、废油桶、化验废液等。</w:t>
      </w:r>
    </w:p>
    <w:p w14:paraId="1911DE5D">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（1）尾矿砂</w:t>
      </w:r>
    </w:p>
    <w:p w14:paraId="3EEEED6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本项目尾矿主要为磨矿选别过程中产生的尾矿砂。</w:t>
      </w:r>
    </w:p>
    <w:p w14:paraId="38DE33EA">
      <w:pPr>
        <w:overflowPunct w:val="0"/>
        <w:topLinePunct/>
        <w:ind w:firstLine="480"/>
        <w:rPr>
          <w:rFonts w:hint="default" w:ascii="Times New Roman" w:hAnsi="Times New Roman" w:cs="Times New Roman"/>
          <w:color w:val="auto"/>
          <w:kern w:val="0"/>
          <w:highlight w:val="none"/>
        </w:rPr>
      </w:pPr>
      <w:r>
        <w:rPr>
          <w:rFonts w:hint="default" w:cs="Times New Roman"/>
          <w:color w:val="auto"/>
          <w:kern w:val="0"/>
          <w:highlight w:val="none"/>
          <w:lang w:val="en-US" w:eastAsia="zh-CN"/>
        </w:rPr>
        <w:t>根据项目可研描述，</w:t>
      </w:r>
      <w:r>
        <w:rPr>
          <w:rFonts w:hint="default" w:ascii="Times New Roman" w:hAnsi="Times New Roman" w:cs="Times New Roman"/>
          <w:color w:val="auto"/>
          <w:kern w:val="0"/>
          <w:highlight w:val="none"/>
        </w:rPr>
        <w:t>为了解尾矿砂的性质，建设单位于202</w:t>
      </w:r>
      <w:r>
        <w:rPr>
          <w:rFonts w:hint="default" w:cs="Times New Roman"/>
          <w:color w:val="auto"/>
          <w:kern w:val="0"/>
          <w:highlight w:val="none"/>
          <w:lang w:val="en-US" w:eastAsia="zh-CN"/>
        </w:rPr>
        <w:t>5</w:t>
      </w:r>
      <w:r>
        <w:rPr>
          <w:rFonts w:hint="default" w:ascii="Times New Roman" w:hAnsi="Times New Roman" w:cs="Times New Roman"/>
          <w:color w:val="auto"/>
          <w:kern w:val="0"/>
          <w:highlight w:val="none"/>
        </w:rPr>
        <w:t>年</w:t>
      </w:r>
      <w:r>
        <w:rPr>
          <w:rFonts w:hint="default" w:cs="Times New Roman"/>
          <w:color w:val="auto"/>
          <w:kern w:val="0"/>
          <w:highlight w:val="none"/>
          <w:lang w:val="en-US" w:eastAsia="zh-CN"/>
        </w:rPr>
        <w:t>10月</w:t>
      </w:r>
      <w:r>
        <w:rPr>
          <w:rFonts w:hint="default" w:ascii="Times New Roman" w:hAnsi="Times New Roman" w:cs="Times New Roman"/>
          <w:color w:val="auto"/>
          <w:kern w:val="0"/>
          <w:highlight w:val="none"/>
        </w:rPr>
        <w:t>按本项目最终确定的选矿工艺进行</w:t>
      </w:r>
      <w:r>
        <w:rPr>
          <w:rFonts w:hint="default" w:cs="Times New Roman"/>
          <w:color w:val="auto"/>
          <w:kern w:val="0"/>
          <w:highlight w:val="none"/>
          <w:lang w:val="en-US" w:eastAsia="zh-CN"/>
        </w:rPr>
        <w:t>了</w:t>
      </w:r>
      <w:r>
        <w:rPr>
          <w:rFonts w:hint="default" w:ascii="Times New Roman" w:hAnsi="Times New Roman" w:cs="Times New Roman"/>
          <w:color w:val="auto"/>
          <w:kern w:val="0"/>
          <w:highlight w:val="none"/>
        </w:rPr>
        <w:t>选矿试验，</w:t>
      </w:r>
      <w:r>
        <w:rPr>
          <w:rFonts w:hint="default" w:cs="Times New Roman"/>
          <w:color w:val="auto"/>
          <w:kern w:val="0"/>
          <w:highlight w:val="none"/>
          <w:lang w:val="en-US" w:eastAsia="zh-CN"/>
        </w:rPr>
        <w:t>本次环评采用</w:t>
      </w:r>
      <w:r>
        <w:rPr>
          <w:rFonts w:hint="default" w:ascii="Times New Roman" w:hAnsi="Times New Roman" w:cs="Times New Roman"/>
          <w:color w:val="auto"/>
          <w:kern w:val="0"/>
          <w:highlight w:val="none"/>
        </w:rPr>
        <w:t>本次选矿试验阶段</w:t>
      </w:r>
      <w:r>
        <w:rPr>
          <w:rFonts w:hint="default" w:cs="Times New Roman"/>
          <w:color w:val="auto"/>
          <w:kern w:val="0"/>
          <w:highlight w:val="none"/>
          <w:lang w:val="en-US" w:eastAsia="zh-CN"/>
        </w:rPr>
        <w:t>产生的</w:t>
      </w:r>
      <w:r>
        <w:rPr>
          <w:rFonts w:hint="default" w:ascii="Times New Roman" w:hAnsi="Times New Roman" w:cs="Times New Roman"/>
          <w:color w:val="auto"/>
          <w:kern w:val="0"/>
          <w:highlight w:val="none"/>
        </w:rPr>
        <w:t>尾矿砂进行浸出毒性鉴别分析（浸出毒性检测报告见附件）。根据该分析结果，对照《危险废物鉴别标准 浸出毒性鉴别》（GB5085.3-2007）及《固体废物浸出毒性测定方法》（GB5086.1-1997）中的鉴别标准进行分析判断尾矿砂的性质，对照《污水综合排放标准》（GB8978-1996）中最高允许排放浓度来确定固体废物类别，具体分析详见表5.2-20。</w:t>
      </w:r>
    </w:p>
    <w:p w14:paraId="6948D613">
      <w:pPr>
        <w:pStyle w:val="47"/>
        <w:widowControl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表5.2-20    尾矿砂浸出试验结果</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641"/>
        <w:gridCol w:w="1576"/>
        <w:gridCol w:w="1305"/>
        <w:gridCol w:w="2922"/>
        <w:gridCol w:w="2071"/>
      </w:tblGrid>
      <w:tr w14:paraId="2C7227A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376" w:type="pct"/>
            <w:noWrap w:val="0"/>
            <w:vAlign w:val="center"/>
          </w:tcPr>
          <w:p w14:paraId="03C2DC69">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序号</w:t>
            </w:r>
          </w:p>
        </w:tc>
        <w:tc>
          <w:tcPr>
            <w:tcW w:w="925" w:type="pct"/>
            <w:noWrap w:val="0"/>
            <w:vAlign w:val="center"/>
          </w:tcPr>
          <w:p w14:paraId="2D324DC4">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监测项目</w:t>
            </w:r>
          </w:p>
        </w:tc>
        <w:tc>
          <w:tcPr>
            <w:tcW w:w="766" w:type="pct"/>
            <w:noWrap w:val="0"/>
            <w:vAlign w:val="center"/>
          </w:tcPr>
          <w:p w14:paraId="54702A7B">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监测值</w:t>
            </w:r>
          </w:p>
        </w:tc>
        <w:tc>
          <w:tcPr>
            <w:tcW w:w="1715" w:type="pct"/>
            <w:noWrap w:val="0"/>
            <w:vAlign w:val="center"/>
          </w:tcPr>
          <w:p w14:paraId="1BCD9693">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《危险废物鉴别标准</w:t>
            </w:r>
            <w:r>
              <w:rPr>
                <w:rFonts w:hint="default" w:cs="Times New Roman"/>
                <w:b/>
                <w:snapToGrid w:val="0"/>
                <w:color w:val="auto"/>
                <w:kern w:val="0"/>
                <w:sz w:val="21"/>
                <w:highlight w:val="none"/>
                <w:lang w:val="en-US" w:eastAsia="zh-CN" w:bidi="ar"/>
              </w:rPr>
              <w:t xml:space="preserve"> </w:t>
            </w:r>
            <w:r>
              <w:rPr>
                <w:rFonts w:hint="default" w:ascii="Times New Roman" w:hAnsi="Times New Roman" w:cs="Times New Roman"/>
                <w:b/>
                <w:snapToGrid w:val="0"/>
                <w:color w:val="auto"/>
                <w:kern w:val="0"/>
                <w:sz w:val="21"/>
                <w:highlight w:val="none"/>
                <w:lang w:bidi="ar"/>
              </w:rPr>
              <w:t>浸出毒性鉴别》（GB5085.3-2007）</w:t>
            </w:r>
          </w:p>
        </w:tc>
        <w:tc>
          <w:tcPr>
            <w:tcW w:w="1215" w:type="pct"/>
            <w:noWrap w:val="0"/>
            <w:vAlign w:val="center"/>
          </w:tcPr>
          <w:p w14:paraId="362514DD">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《污水综合排放标准》（GB8978-1996）</w:t>
            </w:r>
          </w:p>
        </w:tc>
      </w:tr>
      <w:tr w14:paraId="0B16EC7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34FA341C">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w:t>
            </w:r>
          </w:p>
        </w:tc>
        <w:tc>
          <w:tcPr>
            <w:tcW w:w="925" w:type="pct"/>
            <w:noWrap w:val="0"/>
            <w:vAlign w:val="center"/>
          </w:tcPr>
          <w:p w14:paraId="3211B5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p>
        </w:tc>
        <w:tc>
          <w:tcPr>
            <w:tcW w:w="766" w:type="pct"/>
            <w:noWrap w:val="0"/>
            <w:vAlign w:val="center"/>
          </w:tcPr>
          <w:p w14:paraId="30F0D1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7.6</w:t>
            </w:r>
          </w:p>
        </w:tc>
        <w:tc>
          <w:tcPr>
            <w:tcW w:w="1715" w:type="pct"/>
            <w:noWrap w:val="0"/>
            <w:vAlign w:val="center"/>
          </w:tcPr>
          <w:p w14:paraId="4C5B41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15" w:type="pct"/>
            <w:noWrap w:val="0"/>
            <w:vAlign w:val="center"/>
          </w:tcPr>
          <w:p w14:paraId="6F97B2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FEB103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FE983E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2</w:t>
            </w:r>
          </w:p>
        </w:tc>
        <w:tc>
          <w:tcPr>
            <w:tcW w:w="925" w:type="pct"/>
            <w:noWrap w:val="0"/>
            <w:vAlign w:val="center"/>
          </w:tcPr>
          <w:p w14:paraId="580AA5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汞</w:t>
            </w:r>
          </w:p>
        </w:tc>
        <w:tc>
          <w:tcPr>
            <w:tcW w:w="766" w:type="pct"/>
            <w:noWrap w:val="0"/>
            <w:vAlign w:val="center"/>
          </w:tcPr>
          <w:p w14:paraId="3CAE2C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0.00039</w:t>
            </w:r>
          </w:p>
        </w:tc>
        <w:tc>
          <w:tcPr>
            <w:tcW w:w="1715" w:type="pct"/>
            <w:noWrap w:val="0"/>
            <w:vAlign w:val="center"/>
          </w:tcPr>
          <w:p w14:paraId="7816C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0.1</w:t>
            </w:r>
          </w:p>
        </w:tc>
        <w:tc>
          <w:tcPr>
            <w:tcW w:w="1215" w:type="pct"/>
            <w:noWrap w:val="0"/>
            <w:vAlign w:val="center"/>
          </w:tcPr>
          <w:p w14:paraId="62777A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0.05</w:t>
            </w:r>
          </w:p>
        </w:tc>
      </w:tr>
      <w:tr w14:paraId="3022BED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0673A16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3</w:t>
            </w:r>
          </w:p>
        </w:tc>
        <w:tc>
          <w:tcPr>
            <w:tcW w:w="925" w:type="pct"/>
            <w:noWrap w:val="0"/>
            <w:vAlign w:val="center"/>
          </w:tcPr>
          <w:p w14:paraId="4613A3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砷</w:t>
            </w:r>
          </w:p>
        </w:tc>
        <w:tc>
          <w:tcPr>
            <w:tcW w:w="766" w:type="pct"/>
            <w:noWrap w:val="0"/>
            <w:vAlign w:val="center"/>
          </w:tcPr>
          <w:p w14:paraId="020C5C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0.00034</w:t>
            </w:r>
          </w:p>
        </w:tc>
        <w:tc>
          <w:tcPr>
            <w:tcW w:w="1715" w:type="pct"/>
            <w:noWrap w:val="0"/>
            <w:vAlign w:val="center"/>
          </w:tcPr>
          <w:p w14:paraId="237DC0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681A33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r>
      <w:tr w14:paraId="4D28FA4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4740BA2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4</w:t>
            </w:r>
          </w:p>
        </w:tc>
        <w:tc>
          <w:tcPr>
            <w:tcW w:w="925" w:type="pct"/>
            <w:noWrap w:val="0"/>
            <w:vAlign w:val="center"/>
          </w:tcPr>
          <w:p w14:paraId="7CB865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镍</w:t>
            </w:r>
          </w:p>
        </w:tc>
        <w:tc>
          <w:tcPr>
            <w:tcW w:w="766" w:type="pct"/>
            <w:noWrap w:val="0"/>
            <w:vAlign w:val="center"/>
          </w:tcPr>
          <w:p w14:paraId="3DEFF7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0.33</w:t>
            </w:r>
          </w:p>
        </w:tc>
        <w:tc>
          <w:tcPr>
            <w:tcW w:w="1715" w:type="pct"/>
            <w:noWrap w:val="0"/>
            <w:vAlign w:val="center"/>
          </w:tcPr>
          <w:p w14:paraId="08B633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349721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5AF6E30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3AD0CE5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5</w:t>
            </w:r>
          </w:p>
        </w:tc>
        <w:tc>
          <w:tcPr>
            <w:tcW w:w="925" w:type="pct"/>
            <w:noWrap w:val="0"/>
            <w:vAlign w:val="center"/>
          </w:tcPr>
          <w:p w14:paraId="2C3C2F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eastAsia="zh-CN"/>
              </w:rPr>
              <w:t>铬</w:t>
            </w:r>
          </w:p>
        </w:tc>
        <w:tc>
          <w:tcPr>
            <w:tcW w:w="766" w:type="pct"/>
            <w:noWrap w:val="0"/>
            <w:vAlign w:val="center"/>
          </w:tcPr>
          <w:p w14:paraId="39AE09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6.0</w:t>
            </w:r>
          </w:p>
        </w:tc>
        <w:tc>
          <w:tcPr>
            <w:tcW w:w="1715" w:type="pct"/>
            <w:noWrap w:val="0"/>
            <w:vAlign w:val="center"/>
          </w:tcPr>
          <w:p w14:paraId="7E25BB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1215" w:type="pct"/>
            <w:noWrap w:val="0"/>
            <w:vAlign w:val="center"/>
          </w:tcPr>
          <w:p w14:paraId="2751FF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1.5</w:t>
            </w:r>
          </w:p>
        </w:tc>
      </w:tr>
      <w:tr w14:paraId="68780EA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0313884F">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6</w:t>
            </w:r>
          </w:p>
        </w:tc>
        <w:tc>
          <w:tcPr>
            <w:tcW w:w="925" w:type="pct"/>
            <w:noWrap w:val="0"/>
            <w:vAlign w:val="center"/>
          </w:tcPr>
          <w:p w14:paraId="51185C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六价铬</w:t>
            </w:r>
          </w:p>
        </w:tc>
        <w:tc>
          <w:tcPr>
            <w:tcW w:w="766" w:type="pct"/>
            <w:noWrap w:val="0"/>
            <w:vAlign w:val="center"/>
          </w:tcPr>
          <w:p w14:paraId="585E87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715" w:type="pct"/>
            <w:noWrap w:val="0"/>
            <w:vAlign w:val="center"/>
          </w:tcPr>
          <w:p w14:paraId="3F241B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3A5A96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r>
      <w:tr w14:paraId="4ADECBB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31A1DCDE">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7</w:t>
            </w:r>
          </w:p>
        </w:tc>
        <w:tc>
          <w:tcPr>
            <w:tcW w:w="925" w:type="pct"/>
            <w:noWrap w:val="0"/>
            <w:vAlign w:val="center"/>
          </w:tcPr>
          <w:p w14:paraId="6A2303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锌</w:t>
            </w:r>
          </w:p>
        </w:tc>
        <w:tc>
          <w:tcPr>
            <w:tcW w:w="766" w:type="pct"/>
            <w:noWrap w:val="0"/>
            <w:vAlign w:val="center"/>
          </w:tcPr>
          <w:p w14:paraId="724F17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2.5</w:t>
            </w:r>
          </w:p>
        </w:tc>
        <w:tc>
          <w:tcPr>
            <w:tcW w:w="1715" w:type="pct"/>
            <w:noWrap w:val="0"/>
            <w:vAlign w:val="center"/>
          </w:tcPr>
          <w:p w14:paraId="1AFEEB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1215" w:type="pct"/>
            <w:noWrap w:val="0"/>
            <w:vAlign w:val="center"/>
          </w:tcPr>
          <w:p w14:paraId="30E61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2.0</w:t>
            </w:r>
          </w:p>
        </w:tc>
      </w:tr>
      <w:tr w14:paraId="49AC2B1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1F0DA276">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8</w:t>
            </w:r>
          </w:p>
        </w:tc>
        <w:tc>
          <w:tcPr>
            <w:tcW w:w="925" w:type="pct"/>
            <w:noWrap w:val="0"/>
            <w:vAlign w:val="center"/>
          </w:tcPr>
          <w:p w14:paraId="6E4C6C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镉</w:t>
            </w:r>
          </w:p>
        </w:tc>
        <w:tc>
          <w:tcPr>
            <w:tcW w:w="766" w:type="pct"/>
            <w:noWrap w:val="0"/>
            <w:vAlign w:val="center"/>
          </w:tcPr>
          <w:p w14:paraId="318BD2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715" w:type="pct"/>
            <w:noWrap w:val="0"/>
            <w:vAlign w:val="center"/>
          </w:tcPr>
          <w:p w14:paraId="5BC878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215" w:type="pct"/>
            <w:noWrap w:val="0"/>
            <w:vAlign w:val="center"/>
          </w:tcPr>
          <w:p w14:paraId="414608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14:paraId="3EB30E7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3EEB431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9</w:t>
            </w:r>
          </w:p>
        </w:tc>
        <w:tc>
          <w:tcPr>
            <w:tcW w:w="925" w:type="pct"/>
            <w:noWrap w:val="0"/>
            <w:vAlign w:val="center"/>
          </w:tcPr>
          <w:p w14:paraId="248FA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c>
          <w:tcPr>
            <w:tcW w:w="766" w:type="pct"/>
            <w:noWrap w:val="0"/>
            <w:vAlign w:val="top"/>
          </w:tcPr>
          <w:p w14:paraId="4F6F96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3.6</w:t>
            </w:r>
          </w:p>
        </w:tc>
        <w:tc>
          <w:tcPr>
            <w:tcW w:w="1715" w:type="pct"/>
            <w:noWrap w:val="0"/>
            <w:vAlign w:val="center"/>
          </w:tcPr>
          <w:p w14:paraId="2651CE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331AA4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1.0</w:t>
            </w:r>
          </w:p>
        </w:tc>
      </w:tr>
      <w:tr w14:paraId="43CC9E3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6F00A8C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10</w:t>
            </w:r>
          </w:p>
        </w:tc>
        <w:tc>
          <w:tcPr>
            <w:tcW w:w="925" w:type="pct"/>
            <w:noWrap w:val="0"/>
            <w:vAlign w:val="center"/>
          </w:tcPr>
          <w:p w14:paraId="2FD5CE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铍</w:t>
            </w:r>
          </w:p>
        </w:tc>
        <w:tc>
          <w:tcPr>
            <w:tcW w:w="766" w:type="pct"/>
            <w:noWrap w:val="0"/>
            <w:vAlign w:val="top"/>
          </w:tcPr>
          <w:p w14:paraId="1E4F01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ND</w:t>
            </w:r>
          </w:p>
        </w:tc>
        <w:tc>
          <w:tcPr>
            <w:tcW w:w="1715" w:type="pct"/>
            <w:noWrap w:val="0"/>
            <w:vAlign w:val="center"/>
          </w:tcPr>
          <w:p w14:paraId="1117F7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0.02</w:t>
            </w:r>
          </w:p>
        </w:tc>
        <w:tc>
          <w:tcPr>
            <w:tcW w:w="1215" w:type="pct"/>
            <w:noWrap w:val="0"/>
            <w:vAlign w:val="center"/>
          </w:tcPr>
          <w:p w14:paraId="603A3A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0.005</w:t>
            </w:r>
          </w:p>
        </w:tc>
      </w:tr>
      <w:tr w14:paraId="073AF8F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1B156A9C">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11</w:t>
            </w:r>
          </w:p>
        </w:tc>
        <w:tc>
          <w:tcPr>
            <w:tcW w:w="925" w:type="pct"/>
            <w:noWrap w:val="0"/>
            <w:vAlign w:val="center"/>
          </w:tcPr>
          <w:p w14:paraId="7DC69E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银</w:t>
            </w:r>
          </w:p>
        </w:tc>
        <w:tc>
          <w:tcPr>
            <w:tcW w:w="766" w:type="pct"/>
            <w:noWrap w:val="0"/>
            <w:vAlign w:val="top"/>
          </w:tcPr>
          <w:p w14:paraId="6C0A4A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48215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1215" w:type="pct"/>
            <w:noWrap w:val="0"/>
            <w:vAlign w:val="center"/>
          </w:tcPr>
          <w:p w14:paraId="4C0C4F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p>
        </w:tc>
      </w:tr>
      <w:tr w14:paraId="247D944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26DFF1F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12</w:t>
            </w:r>
          </w:p>
        </w:tc>
        <w:tc>
          <w:tcPr>
            <w:tcW w:w="925" w:type="pct"/>
            <w:noWrap w:val="0"/>
            <w:vAlign w:val="center"/>
          </w:tcPr>
          <w:p w14:paraId="3F3436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铜</w:t>
            </w:r>
          </w:p>
        </w:tc>
        <w:tc>
          <w:tcPr>
            <w:tcW w:w="766" w:type="pct"/>
            <w:noWrap w:val="0"/>
            <w:vAlign w:val="top"/>
          </w:tcPr>
          <w:p w14:paraId="2A87C1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0.26</w:t>
            </w:r>
          </w:p>
        </w:tc>
        <w:tc>
          <w:tcPr>
            <w:tcW w:w="1715" w:type="pct"/>
            <w:noWrap w:val="0"/>
            <w:vAlign w:val="center"/>
          </w:tcPr>
          <w:p w14:paraId="0D24BB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w:t>
            </w:r>
          </w:p>
        </w:tc>
        <w:tc>
          <w:tcPr>
            <w:tcW w:w="1215" w:type="pct"/>
            <w:noWrap w:val="0"/>
            <w:vAlign w:val="center"/>
          </w:tcPr>
          <w:p w14:paraId="6C4429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p>
        </w:tc>
      </w:tr>
      <w:tr w14:paraId="74A219A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2BC3253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13</w:t>
            </w:r>
          </w:p>
        </w:tc>
        <w:tc>
          <w:tcPr>
            <w:tcW w:w="925" w:type="pct"/>
            <w:noWrap w:val="0"/>
            <w:vAlign w:val="center"/>
          </w:tcPr>
          <w:p w14:paraId="2FC2A1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钡</w:t>
            </w:r>
          </w:p>
        </w:tc>
        <w:tc>
          <w:tcPr>
            <w:tcW w:w="766" w:type="pct"/>
            <w:noWrap w:val="0"/>
            <w:vAlign w:val="top"/>
          </w:tcPr>
          <w:p w14:paraId="5F383E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0.00267</w:t>
            </w:r>
          </w:p>
        </w:tc>
        <w:tc>
          <w:tcPr>
            <w:tcW w:w="1715" w:type="pct"/>
            <w:noWrap w:val="0"/>
            <w:vAlign w:val="center"/>
          </w:tcPr>
          <w:p w14:paraId="059F75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w:t>
            </w:r>
          </w:p>
        </w:tc>
        <w:tc>
          <w:tcPr>
            <w:tcW w:w="1215" w:type="pct"/>
            <w:noWrap w:val="0"/>
            <w:vAlign w:val="center"/>
          </w:tcPr>
          <w:p w14:paraId="0A7E84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r w14:paraId="5FBB689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1F85734C">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14</w:t>
            </w:r>
          </w:p>
        </w:tc>
        <w:tc>
          <w:tcPr>
            <w:tcW w:w="925" w:type="pct"/>
            <w:noWrap w:val="0"/>
            <w:vAlign w:val="center"/>
          </w:tcPr>
          <w:p w14:paraId="2EF9FC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硒</w:t>
            </w:r>
          </w:p>
        </w:tc>
        <w:tc>
          <w:tcPr>
            <w:tcW w:w="766" w:type="pct"/>
            <w:noWrap w:val="0"/>
            <w:vAlign w:val="top"/>
          </w:tcPr>
          <w:p w14:paraId="19C415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7F03FA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1215" w:type="pct"/>
            <w:noWrap w:val="0"/>
            <w:vAlign w:val="center"/>
          </w:tcPr>
          <w:p w14:paraId="748B3A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w:t>
            </w:r>
          </w:p>
        </w:tc>
      </w:tr>
      <w:tr w14:paraId="6E9880D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376" w:type="pct"/>
            <w:noWrap w:val="0"/>
            <w:vAlign w:val="top"/>
          </w:tcPr>
          <w:p w14:paraId="080B2B7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15</w:t>
            </w:r>
          </w:p>
        </w:tc>
        <w:tc>
          <w:tcPr>
            <w:tcW w:w="925" w:type="pct"/>
            <w:noWrap w:val="0"/>
            <w:vAlign w:val="center"/>
          </w:tcPr>
          <w:p w14:paraId="13778C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氰化物</w:t>
            </w:r>
          </w:p>
        </w:tc>
        <w:tc>
          <w:tcPr>
            <w:tcW w:w="766" w:type="pct"/>
            <w:noWrap w:val="0"/>
            <w:vAlign w:val="top"/>
          </w:tcPr>
          <w:p w14:paraId="353C6A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457037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w:t>
            </w:r>
          </w:p>
        </w:tc>
        <w:tc>
          <w:tcPr>
            <w:tcW w:w="1215" w:type="pct"/>
            <w:noWrap w:val="0"/>
            <w:vAlign w:val="center"/>
          </w:tcPr>
          <w:p w14:paraId="622D60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w:t>
            </w:r>
          </w:p>
        </w:tc>
      </w:tr>
      <w:tr w14:paraId="559D7B9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06C0FFB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16</w:t>
            </w:r>
          </w:p>
        </w:tc>
        <w:tc>
          <w:tcPr>
            <w:tcW w:w="925" w:type="pct"/>
            <w:shd w:val="clear" w:color="auto" w:fill="auto"/>
            <w:noWrap w:val="0"/>
            <w:vAlign w:val="center"/>
          </w:tcPr>
          <w:p w14:paraId="395DA2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氟化物</w:t>
            </w:r>
          </w:p>
        </w:tc>
        <w:tc>
          <w:tcPr>
            <w:tcW w:w="766" w:type="pct"/>
            <w:shd w:val="clear" w:color="auto" w:fill="auto"/>
            <w:noWrap w:val="0"/>
            <w:vAlign w:val="top"/>
          </w:tcPr>
          <w:p w14:paraId="52DEED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0.17</w:t>
            </w:r>
          </w:p>
        </w:tc>
        <w:tc>
          <w:tcPr>
            <w:tcW w:w="1715" w:type="pct"/>
            <w:shd w:val="clear" w:color="auto" w:fill="auto"/>
            <w:noWrap w:val="0"/>
            <w:vAlign w:val="center"/>
          </w:tcPr>
          <w:p w14:paraId="2C2A3F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2722CB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r>
      <w:tr w14:paraId="15D3A28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2C39CD0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17</w:t>
            </w:r>
          </w:p>
        </w:tc>
        <w:tc>
          <w:tcPr>
            <w:tcW w:w="925" w:type="pct"/>
            <w:shd w:val="clear" w:color="auto" w:fill="auto"/>
            <w:noWrap w:val="0"/>
            <w:vAlign w:val="center"/>
          </w:tcPr>
          <w:p w14:paraId="6CCDF0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石油类</w:t>
            </w:r>
          </w:p>
        </w:tc>
        <w:tc>
          <w:tcPr>
            <w:tcW w:w="766" w:type="pct"/>
            <w:shd w:val="clear" w:color="auto" w:fill="auto"/>
            <w:noWrap w:val="0"/>
            <w:vAlign w:val="top"/>
          </w:tcPr>
          <w:p w14:paraId="68297D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0.53</w:t>
            </w:r>
          </w:p>
        </w:tc>
        <w:tc>
          <w:tcPr>
            <w:tcW w:w="1715" w:type="pct"/>
            <w:shd w:val="clear" w:color="auto" w:fill="auto"/>
            <w:noWrap w:val="0"/>
            <w:vAlign w:val="center"/>
          </w:tcPr>
          <w:p w14:paraId="41067C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60A54D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r>
      <w:tr w14:paraId="6F26F46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19AAEE3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18</w:t>
            </w:r>
          </w:p>
        </w:tc>
        <w:tc>
          <w:tcPr>
            <w:tcW w:w="925" w:type="pct"/>
            <w:shd w:val="clear" w:color="auto" w:fill="auto"/>
            <w:noWrap w:val="0"/>
            <w:vAlign w:val="center"/>
          </w:tcPr>
          <w:p w14:paraId="373FA4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挥发酚</w:t>
            </w:r>
          </w:p>
        </w:tc>
        <w:tc>
          <w:tcPr>
            <w:tcW w:w="766" w:type="pct"/>
            <w:shd w:val="clear" w:color="auto" w:fill="auto"/>
            <w:noWrap w:val="0"/>
            <w:vAlign w:val="top"/>
          </w:tcPr>
          <w:p w14:paraId="75D50A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0.02</w:t>
            </w:r>
          </w:p>
        </w:tc>
        <w:tc>
          <w:tcPr>
            <w:tcW w:w="1715" w:type="pct"/>
            <w:shd w:val="clear" w:color="auto" w:fill="auto"/>
            <w:noWrap w:val="0"/>
            <w:vAlign w:val="center"/>
          </w:tcPr>
          <w:p w14:paraId="101E1C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5733C6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0.5</w:t>
            </w:r>
          </w:p>
        </w:tc>
      </w:tr>
      <w:tr w14:paraId="0DEA090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6E2090E9">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19</w:t>
            </w:r>
          </w:p>
        </w:tc>
        <w:tc>
          <w:tcPr>
            <w:tcW w:w="925" w:type="pct"/>
            <w:shd w:val="clear" w:color="auto" w:fill="auto"/>
            <w:noWrap w:val="0"/>
            <w:vAlign w:val="center"/>
          </w:tcPr>
          <w:p w14:paraId="10B12C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硫化物</w:t>
            </w:r>
          </w:p>
        </w:tc>
        <w:tc>
          <w:tcPr>
            <w:tcW w:w="766" w:type="pct"/>
            <w:shd w:val="clear" w:color="auto" w:fill="auto"/>
            <w:noWrap w:val="0"/>
            <w:vAlign w:val="top"/>
          </w:tcPr>
          <w:p w14:paraId="59CC0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715" w:type="pct"/>
            <w:shd w:val="clear" w:color="auto" w:fill="auto"/>
            <w:noWrap w:val="0"/>
            <w:vAlign w:val="center"/>
          </w:tcPr>
          <w:p w14:paraId="134A5A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2A1A31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1.0</w:t>
            </w:r>
          </w:p>
        </w:tc>
      </w:tr>
      <w:tr w14:paraId="5DB6A57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0F822073">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20</w:t>
            </w:r>
          </w:p>
        </w:tc>
        <w:tc>
          <w:tcPr>
            <w:tcW w:w="925" w:type="pct"/>
            <w:shd w:val="clear" w:color="auto" w:fill="auto"/>
            <w:noWrap w:val="0"/>
            <w:vAlign w:val="center"/>
          </w:tcPr>
          <w:p w14:paraId="03EBE3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氨氮</w:t>
            </w:r>
          </w:p>
        </w:tc>
        <w:tc>
          <w:tcPr>
            <w:tcW w:w="766" w:type="pct"/>
            <w:shd w:val="clear" w:color="auto" w:fill="auto"/>
            <w:noWrap w:val="0"/>
            <w:vAlign w:val="top"/>
          </w:tcPr>
          <w:p w14:paraId="5A0409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0.396</w:t>
            </w:r>
          </w:p>
        </w:tc>
        <w:tc>
          <w:tcPr>
            <w:tcW w:w="1715" w:type="pct"/>
            <w:shd w:val="clear" w:color="auto" w:fill="auto"/>
            <w:noWrap w:val="0"/>
            <w:vAlign w:val="center"/>
          </w:tcPr>
          <w:p w14:paraId="242403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0A76AA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15</w:t>
            </w:r>
          </w:p>
        </w:tc>
      </w:tr>
      <w:tr w14:paraId="4B8FA79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3C137C4E">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21</w:t>
            </w:r>
          </w:p>
        </w:tc>
        <w:tc>
          <w:tcPr>
            <w:tcW w:w="925" w:type="pct"/>
            <w:shd w:val="clear" w:color="auto" w:fill="auto"/>
            <w:noWrap w:val="0"/>
            <w:vAlign w:val="center"/>
          </w:tcPr>
          <w:p w14:paraId="4236D3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锰</w:t>
            </w:r>
          </w:p>
        </w:tc>
        <w:tc>
          <w:tcPr>
            <w:tcW w:w="766" w:type="pct"/>
            <w:shd w:val="clear" w:color="auto" w:fill="auto"/>
            <w:noWrap w:val="0"/>
            <w:vAlign w:val="top"/>
          </w:tcPr>
          <w:p w14:paraId="5138B1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715" w:type="pct"/>
            <w:shd w:val="clear" w:color="auto" w:fill="auto"/>
            <w:noWrap w:val="0"/>
            <w:vAlign w:val="center"/>
          </w:tcPr>
          <w:p w14:paraId="6C14C0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5" w:type="pct"/>
            <w:shd w:val="clear" w:color="auto" w:fill="auto"/>
            <w:noWrap w:val="0"/>
            <w:vAlign w:val="center"/>
          </w:tcPr>
          <w:p w14:paraId="5B1BAF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2.0</w:t>
            </w:r>
          </w:p>
        </w:tc>
      </w:tr>
    </w:tbl>
    <w:p w14:paraId="380DBB46">
      <w:pPr>
        <w:rPr>
          <w:rFonts w:hint="default"/>
          <w:color w:val="auto"/>
          <w:highlight w:val="none"/>
          <w:lang w:val="zh-CN"/>
        </w:rPr>
      </w:pPr>
    </w:p>
    <w:p w14:paraId="55C40C74">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通过对本项目选矿试验尾矿砂样品分析结果可知，该尾矿砂样品不属于有浸出毒性特征的危险废物，属于《一般工业固体废物贮存和填埋污染控制标准》（GB18599-2020）中规定的</w:t>
      </w:r>
      <w:r>
        <w:rPr>
          <w:rFonts w:hint="default" w:cs="Times New Roman"/>
          <w:color w:val="auto"/>
          <w:kern w:val="0"/>
          <w:highlight w:val="none"/>
          <w:lang w:val="en-US" w:eastAsia="zh-CN"/>
        </w:rPr>
        <w:t>第Ⅱ</w:t>
      </w:r>
      <w:r>
        <w:rPr>
          <w:rFonts w:hint="default" w:ascii="Times New Roman" w:hAnsi="Times New Roman" w:cs="Times New Roman"/>
          <w:color w:val="auto"/>
          <w:kern w:val="0"/>
          <w:highlight w:val="none"/>
        </w:rPr>
        <w:t>类一般工业固体废物。</w:t>
      </w:r>
    </w:p>
    <w:p w14:paraId="3490F4FC">
      <w:pPr>
        <w:keepNext w:val="0"/>
        <w:keepLines w:val="0"/>
        <w:widowControl/>
        <w:suppressLineNumbers w:val="0"/>
        <w:jc w:val="left"/>
        <w:rPr>
          <w:color w:val="auto"/>
        </w:rPr>
      </w:pPr>
      <w:r>
        <w:rPr>
          <w:rFonts w:hint="default" w:ascii="Times New Roman" w:hAnsi="Times New Roman" w:cs="Times New Roman"/>
          <w:color w:val="auto"/>
          <w:highlight w:val="none"/>
        </w:rPr>
        <w:t>选矿厂年产尾砂量14.5</w:t>
      </w:r>
      <w:r>
        <w:rPr>
          <w:rFonts w:hint="default" w:cs="Times New Roman"/>
          <w:color w:val="auto"/>
          <w:highlight w:val="none"/>
          <w:lang w:val="en-US" w:eastAsia="zh-CN"/>
        </w:rPr>
        <w:t>8</w:t>
      </w:r>
      <w:r>
        <w:rPr>
          <w:rFonts w:hint="default" w:ascii="Times New Roman" w:hAnsi="Times New Roman" w:cs="Times New Roman"/>
          <w:color w:val="auto"/>
          <w:highlight w:val="none"/>
        </w:rPr>
        <w:t>万t/a；选矿厂排出的尾砂部分用于井下充填，充填量</w:t>
      </w:r>
      <w:r>
        <w:rPr>
          <w:rFonts w:hint="default" w:cs="Times New Roman"/>
          <w:color w:val="auto"/>
          <w:highlight w:val="none"/>
          <w:lang w:val="en-US" w:eastAsia="zh-CN"/>
        </w:rPr>
        <w:t>8.88</w:t>
      </w:r>
      <w:r>
        <w:rPr>
          <w:rFonts w:hint="default" w:ascii="Times New Roman" w:hAnsi="Times New Roman" w:cs="Times New Roman"/>
          <w:color w:val="auto"/>
          <w:highlight w:val="none"/>
        </w:rPr>
        <w:t>万t/a；剩余输送至尾矿库堆存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入库尾砂量</w:t>
      </w:r>
      <w:r>
        <w:rPr>
          <w:rFonts w:hint="default" w:cs="Times New Roman"/>
          <w:color w:val="auto"/>
          <w:highlight w:val="none"/>
          <w:lang w:val="en-US" w:eastAsia="zh-CN"/>
        </w:rPr>
        <w:t>5.7</w:t>
      </w:r>
      <w:r>
        <w:rPr>
          <w:rFonts w:hint="default" w:ascii="Times New Roman" w:hAnsi="Times New Roman" w:cs="Times New Roman"/>
          <w:color w:val="auto"/>
          <w:highlight w:val="none"/>
        </w:rPr>
        <w:t>万t/a</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本项目尾矿库属于</w:t>
      </w:r>
      <w:r>
        <w:rPr>
          <w:rFonts w:hint="default" w:cs="Times New Roman"/>
          <w:color w:val="auto"/>
          <w:kern w:val="0"/>
          <w:highlight w:val="none"/>
          <w:lang w:val="en-US" w:eastAsia="zh-CN"/>
        </w:rPr>
        <w:t>四</w:t>
      </w:r>
      <w:r>
        <w:rPr>
          <w:rFonts w:hint="default" w:ascii="Times New Roman" w:hAnsi="Times New Roman" w:cs="Times New Roman"/>
          <w:color w:val="auto"/>
          <w:kern w:val="0"/>
          <w:highlight w:val="none"/>
        </w:rPr>
        <w:t>等库，</w:t>
      </w:r>
      <w:r>
        <w:rPr>
          <w:rFonts w:hint="default" w:ascii="Times New Roman" w:hAnsi="Times New Roman" w:cs="Times New Roman"/>
          <w:color w:val="auto"/>
          <w:highlight w:val="none"/>
        </w:rPr>
        <w:t>总库容为1</w:t>
      </w:r>
      <w:r>
        <w:rPr>
          <w:rFonts w:hint="default" w:cs="Times New Roman"/>
          <w:color w:val="auto"/>
          <w:highlight w:val="none"/>
          <w:lang w:val="en-US" w:eastAsia="zh-CN"/>
        </w:rPr>
        <w:t>30.5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有效库容</w:t>
      </w:r>
      <w:r>
        <w:rPr>
          <w:rFonts w:hint="default" w:cs="Times New Roman"/>
          <w:color w:val="auto"/>
          <w:highlight w:val="none"/>
          <w:lang w:val="en-US" w:eastAsia="zh-CN"/>
        </w:rPr>
        <w:t>104.4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kern w:val="0"/>
          <w:highlight w:val="none"/>
        </w:rPr>
        <w:t>，</w:t>
      </w:r>
      <w:r>
        <w:rPr>
          <w:rFonts w:hint="default" w:ascii="Times New Roman" w:hAnsi="Times New Roman" w:cs="Times New Roman"/>
          <w:color w:val="auto"/>
          <w:szCs w:val="21"/>
          <w:highlight w:val="none"/>
          <w:lang w:bidi="ar"/>
        </w:rPr>
        <w:t>采用湿式排放，均匀分散排矿。</w:t>
      </w:r>
      <w:r>
        <w:rPr>
          <w:rFonts w:hint="default" w:cs="Times New Roman"/>
          <w:color w:val="auto"/>
          <w:szCs w:val="21"/>
          <w:highlight w:val="none"/>
          <w:lang w:val="en-US" w:eastAsia="zh-CN" w:bidi="ar"/>
        </w:rPr>
        <w:t>根据设计方案，本次</w:t>
      </w:r>
      <w:r>
        <w:rPr>
          <w:rFonts w:hint="default" w:ascii="Times New Roman" w:hAnsi="Times New Roman" w:cs="Times New Roman"/>
          <w:color w:val="auto"/>
          <w:szCs w:val="21"/>
          <w:highlight w:val="none"/>
          <w:lang w:bidi="ar"/>
        </w:rPr>
        <w:t>尾矿库</w:t>
      </w:r>
      <w:r>
        <w:rPr>
          <w:rFonts w:hint="default" w:cs="Times New Roman"/>
          <w:color w:val="auto"/>
          <w:szCs w:val="21"/>
          <w:highlight w:val="none"/>
          <w:lang w:val="en-US" w:eastAsia="zh-CN" w:bidi="ar"/>
        </w:rPr>
        <w:t>已</w:t>
      </w:r>
      <w:r>
        <w:rPr>
          <w:rFonts w:hint="default" w:ascii="Times New Roman" w:hAnsi="Times New Roman" w:cs="Times New Roman"/>
          <w:color w:val="auto"/>
          <w:szCs w:val="21"/>
          <w:highlight w:val="none"/>
          <w:lang w:bidi="ar"/>
        </w:rPr>
        <w:t>按照第</w:t>
      </w:r>
      <w:r>
        <w:rPr>
          <w:rFonts w:hint="default" w:ascii="Times New Roman" w:hAnsi="Times New Roman" w:cs="Times New Roman"/>
          <w:color w:val="auto"/>
          <w:kern w:val="0"/>
          <w:highlight w:val="none"/>
        </w:rPr>
        <w:t>Ⅱ类</w:t>
      </w:r>
      <w:r>
        <w:rPr>
          <w:rFonts w:hint="default" w:ascii="Times New Roman" w:hAnsi="Times New Roman" w:cs="Times New Roman"/>
          <w:color w:val="auto"/>
          <w:kern w:val="0"/>
          <w:highlight w:val="none"/>
          <w:lang w:bidi="ar"/>
        </w:rPr>
        <w:t>一般工业固体废物处置场设计，</w:t>
      </w:r>
      <w:r>
        <w:rPr>
          <w:rFonts w:hint="default" w:cs="Times New Roman"/>
          <w:color w:val="auto"/>
          <w:kern w:val="0"/>
          <w:highlight w:val="none"/>
          <w:lang w:val="en-US" w:eastAsia="zh-CN" w:bidi="ar"/>
        </w:rPr>
        <w:t>因此后期</w:t>
      </w:r>
      <w:r>
        <w:rPr>
          <w:rFonts w:hint="default" w:ascii="Times New Roman" w:hAnsi="Times New Roman" w:cs="Times New Roman"/>
          <w:color w:val="auto"/>
          <w:kern w:val="0"/>
          <w:highlight w:val="none"/>
          <w:lang w:bidi="ar"/>
        </w:rPr>
        <w:t>对尾矿砂贮存、处置</w:t>
      </w:r>
      <w:r>
        <w:rPr>
          <w:rFonts w:hint="default" w:cs="Times New Roman"/>
          <w:color w:val="auto"/>
          <w:kern w:val="0"/>
          <w:highlight w:val="none"/>
          <w:lang w:val="en-US" w:eastAsia="zh-CN" w:bidi="ar"/>
        </w:rPr>
        <w:t>应</w:t>
      </w:r>
      <w:r>
        <w:rPr>
          <w:rFonts w:hint="default" w:ascii="Times New Roman" w:hAnsi="Times New Roman" w:cs="Times New Roman"/>
          <w:color w:val="auto"/>
          <w:kern w:val="0"/>
          <w:highlight w:val="none"/>
          <w:lang w:bidi="ar"/>
        </w:rPr>
        <w:t>按照第</w:t>
      </w:r>
      <w:r>
        <w:rPr>
          <w:rFonts w:hint="default" w:ascii="Times New Roman" w:hAnsi="Times New Roman" w:cs="Times New Roman"/>
          <w:color w:val="auto"/>
          <w:kern w:val="0"/>
          <w:highlight w:val="none"/>
        </w:rPr>
        <w:t>Ⅱ</w:t>
      </w:r>
      <w:r>
        <w:rPr>
          <w:rFonts w:hint="default" w:ascii="Times New Roman" w:hAnsi="Times New Roman" w:cs="Times New Roman"/>
          <w:color w:val="auto"/>
          <w:kern w:val="0"/>
          <w:highlight w:val="none"/>
          <w:lang w:bidi="ar"/>
        </w:rPr>
        <w:t>类一般工业固体废物的要求进行。</w:t>
      </w:r>
      <w:r>
        <w:rPr>
          <w:rFonts w:hint="eastAsia" w:ascii="Times New Roman" w:hAnsi="Times New Roman" w:cs="Times New Roman"/>
          <w:color w:val="auto"/>
          <w:kern w:val="0"/>
          <w:highlight w:val="none"/>
          <w:lang w:val="en-US" w:eastAsia="zh-CN" w:bidi="ar"/>
        </w:rPr>
        <w:t>另外根据</w:t>
      </w:r>
      <w:r>
        <w:rPr>
          <w:rFonts w:hint="default" w:ascii="Times New Roman" w:hAnsi="Times New Roman" w:cs="Times New Roman"/>
          <w:color w:val="auto"/>
          <w:kern w:val="0"/>
          <w:highlight w:val="none"/>
          <w:lang w:bidi="ar"/>
        </w:rPr>
        <w:t>《一般工业固体废物贮存和填埋污染控制标准》（GB18599-2020）的要</w:t>
      </w:r>
      <w:r>
        <w:rPr>
          <w:rFonts w:hint="eastAsia" w:ascii="Times New Roman" w:hAnsi="Times New Roman" w:cs="Times New Roman"/>
          <w:color w:val="auto"/>
          <w:kern w:val="0"/>
          <w:highlight w:val="none"/>
          <w:lang w:eastAsia="zh-CN" w:bidi="ar"/>
        </w:rPr>
        <w:t>，</w:t>
      </w:r>
      <w:r>
        <w:rPr>
          <w:rFonts w:hint="eastAsia" w:ascii="Times New Roman" w:hAnsi="Times New Roman" w:cs="Times New Roman"/>
          <w:color w:val="auto"/>
          <w:kern w:val="0"/>
          <w:highlight w:val="none"/>
          <w:lang w:val="en-US" w:eastAsia="zh-CN" w:bidi="ar"/>
        </w:rPr>
        <w:t>第</w:t>
      </w:r>
      <w:r>
        <w:rPr>
          <w:rFonts w:hint="default" w:ascii="Times New Roman" w:hAnsi="Times New Roman" w:cs="Times New Roman"/>
          <w:color w:val="auto"/>
          <w:kern w:val="0"/>
          <w:highlight w:val="none"/>
          <w:lang w:val="en-US" w:eastAsia="zh-CN" w:bidi="ar"/>
        </w:rPr>
        <w:t>II</w:t>
      </w:r>
      <w:r>
        <w:rPr>
          <w:rFonts w:hint="eastAsia" w:ascii="Times New Roman" w:hAnsi="Times New Roman" w:cs="Times New Roman"/>
          <w:color w:val="auto"/>
          <w:kern w:val="0"/>
          <w:highlight w:val="none"/>
          <w:lang w:val="en-US" w:eastAsia="zh-CN" w:bidi="ar"/>
        </w:rPr>
        <w:t>类一般工业固体废物，其充填或回填活动前应开展环境本底调查，并按照</w:t>
      </w:r>
      <w:r>
        <w:rPr>
          <w:rFonts w:hint="default" w:ascii="Times New Roman" w:hAnsi="Times New Roman" w:cs="Times New Roman"/>
          <w:color w:val="auto"/>
          <w:kern w:val="0"/>
          <w:highlight w:val="none"/>
          <w:lang w:val="en-US" w:eastAsia="zh-CN" w:bidi="ar"/>
        </w:rPr>
        <w:t>HJ 25.3</w:t>
      </w:r>
      <w:r>
        <w:rPr>
          <w:rFonts w:hint="eastAsia" w:ascii="Times New Roman" w:hAnsi="Times New Roman" w:cs="Times New Roman"/>
          <w:color w:val="auto"/>
          <w:kern w:val="0"/>
          <w:highlight w:val="none"/>
          <w:lang w:val="en-US" w:eastAsia="zh-CN" w:bidi="ar"/>
        </w:rPr>
        <w:t>等相关标准进行环境风险评估，重点评估对地下水、地表水及周边土壤的环境污染风险，确保环境风险可以接受。充填或回填活动结束后，应根据风险评估结果对可能受到影响的土壤、地表水及地下水开展长期监测，监测频次至少每年1次。</w:t>
      </w:r>
    </w:p>
    <w:p w14:paraId="3F68DC2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本项目尾矿处置措施符合《一般工业固体废物贮存和填埋污染控制标准》（GB18599-2020）的要求。</w:t>
      </w:r>
    </w:p>
    <w:p w14:paraId="20AF6C39">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（2）除尘灰</w:t>
      </w:r>
    </w:p>
    <w:p w14:paraId="74DC1210">
      <w:pPr>
        <w:autoSpaceDE w:val="0"/>
        <w:autoSpaceDN w:val="0"/>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8"/>
          <w:highlight w:val="none"/>
        </w:rPr>
        <w:t>本项目</w:t>
      </w:r>
      <w:r>
        <w:rPr>
          <w:rFonts w:hint="default" w:ascii="Times New Roman" w:hAnsi="Times New Roman" w:eastAsia="宋体" w:cs="Times New Roman"/>
          <w:color w:val="auto"/>
          <w:sz w:val="24"/>
          <w:highlight w:val="none"/>
          <w:lang w:val="en-US" w:eastAsia="zh-CN"/>
        </w:rPr>
        <w:t>破碎、</w:t>
      </w:r>
      <w:r>
        <w:rPr>
          <w:rFonts w:hint="default" w:ascii="Times New Roman" w:hAnsi="Times New Roman" w:cs="Times New Roman"/>
          <w:color w:val="auto"/>
          <w:sz w:val="24"/>
          <w:highlight w:val="none"/>
          <w:lang w:val="en-US" w:eastAsia="zh-CN"/>
        </w:rPr>
        <w:t>筛分工段</w:t>
      </w:r>
      <w:r>
        <w:rPr>
          <w:rFonts w:hint="default" w:ascii="Times New Roman" w:hAnsi="Times New Roman" w:eastAsia="宋体" w:cs="Times New Roman"/>
          <w:color w:val="auto"/>
          <w:sz w:val="24"/>
          <w:szCs w:val="28"/>
          <w:highlight w:val="none"/>
        </w:rPr>
        <w:t>配套除尘器</w:t>
      </w:r>
      <w:r>
        <w:rPr>
          <w:rFonts w:hint="default" w:ascii="Times New Roman" w:hAnsi="Times New Roman" w:eastAsia="宋体" w:cs="Times New Roman"/>
          <w:color w:val="auto"/>
          <w:sz w:val="24"/>
          <w:szCs w:val="28"/>
          <w:highlight w:val="none"/>
          <w:lang w:eastAsia="zh-CN"/>
        </w:rPr>
        <w:t>组</w:t>
      </w:r>
      <w:r>
        <w:rPr>
          <w:rFonts w:hint="default" w:ascii="Times New Roman" w:hAnsi="Times New Roman" w:eastAsia="宋体" w:cs="Times New Roman"/>
          <w:color w:val="auto"/>
          <w:sz w:val="24"/>
          <w:szCs w:val="28"/>
          <w:highlight w:val="none"/>
        </w:rPr>
        <w:t>收集的粉尘</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cs="Times New Roman"/>
          <w:color w:val="auto"/>
          <w:szCs w:val="22"/>
          <w:highlight w:val="none"/>
        </w:rPr>
        <w:t>该部分固废属于</w:t>
      </w:r>
      <w:r>
        <w:rPr>
          <w:rFonts w:hint="default" w:ascii="Times New Roman" w:hAnsi="Times New Roman" w:eastAsia="宋体" w:cs="Times New Roman"/>
          <w:color w:val="auto"/>
          <w:sz w:val="24"/>
          <w:szCs w:val="28"/>
          <w:highlight w:val="none"/>
          <w:lang w:eastAsia="zh-CN"/>
        </w:rPr>
        <w:t>一般工业固体废物</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代码：SW59</w:t>
      </w:r>
      <w:r>
        <w:rPr>
          <w:rFonts w:hint="default" w:ascii="Times New Roman" w:hAnsi="Times New Roman" w:eastAsia="宋体" w:cs="Times New Roman"/>
          <w:color w:val="auto"/>
          <w:sz w:val="24"/>
          <w:szCs w:val="28"/>
          <w:highlight w:val="none"/>
          <w:lang w:val="en-US" w:eastAsia="zh-CN"/>
        </w:rPr>
        <w:t xml:space="preserve"> 900-099-S59</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产生量为</w:t>
      </w:r>
      <w:r>
        <w:rPr>
          <w:rFonts w:hint="default" w:cs="Times New Roman"/>
          <w:color w:val="auto"/>
          <w:sz w:val="24"/>
          <w:szCs w:val="28"/>
          <w:highlight w:val="none"/>
          <w:lang w:val="en-US" w:eastAsia="zh-CN"/>
        </w:rPr>
        <w:t>33.41</w:t>
      </w:r>
      <w:r>
        <w:rPr>
          <w:rFonts w:hint="default" w:ascii="Times New Roman" w:hAnsi="Times New Roman" w:eastAsia="宋体" w:cs="Times New Roman"/>
          <w:color w:val="auto"/>
          <w:sz w:val="24"/>
          <w:szCs w:val="28"/>
          <w:highlight w:val="none"/>
        </w:rPr>
        <w:t>t/a</w:t>
      </w:r>
      <w:r>
        <w:rPr>
          <w:rFonts w:hint="default" w:ascii="Times New Roman" w:hAnsi="Times New Roman" w:cs="Times New Roman"/>
          <w:color w:val="auto"/>
          <w:highlight w:val="none"/>
        </w:rPr>
        <w:t>，通过除尘器灰斗收集后回用于选矿生产，不外排。</w:t>
      </w:r>
    </w:p>
    <w:p w14:paraId="4B0A0C64">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生产回水池底泥</w:t>
      </w:r>
    </w:p>
    <w:p w14:paraId="024D3A93">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highlight w:val="none"/>
          <w:lang w:val="en-US" w:eastAsia="zh-CN"/>
        </w:rPr>
        <w:t>年选金矿15万吨/年</w:t>
      </w:r>
      <w:r>
        <w:rPr>
          <w:rFonts w:hint="default" w:ascii="Times New Roman" w:hAnsi="Times New Roman" w:cs="Times New Roman"/>
          <w:color w:val="auto"/>
          <w:sz w:val="24"/>
          <w:szCs w:val="24"/>
          <w:highlight w:val="none"/>
          <w:lang w:val="en-US" w:eastAsia="zh-CN"/>
        </w:rPr>
        <w:t>，因此本项目生产回水池底泥</w:t>
      </w:r>
      <w:r>
        <w:rPr>
          <w:rFonts w:hint="default" w:ascii="Times New Roman" w:hAnsi="Times New Roman" w:eastAsia="宋体" w:cs="Times New Roman"/>
          <w:color w:val="auto"/>
          <w:sz w:val="24"/>
          <w:szCs w:val="28"/>
          <w:highlight w:val="none"/>
          <w:lang w:eastAsia="zh-CN"/>
        </w:rPr>
        <w:t>（代码：SW</w:t>
      </w:r>
      <w:r>
        <w:rPr>
          <w:rFonts w:hint="default" w:ascii="Times New Roman" w:hAnsi="Times New Roman" w:eastAsia="宋体" w:cs="Times New Roman"/>
          <w:color w:val="auto"/>
          <w:sz w:val="24"/>
          <w:szCs w:val="28"/>
          <w:highlight w:val="none"/>
          <w:lang w:val="en-US" w:eastAsia="zh-CN"/>
        </w:rPr>
        <w:t>07 900-099-S07</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cs="Times New Roman"/>
          <w:color w:val="auto"/>
          <w:sz w:val="24"/>
          <w:szCs w:val="24"/>
          <w:highlight w:val="none"/>
          <w:lang w:val="en-US" w:eastAsia="zh-CN"/>
        </w:rPr>
        <w:t>约</w:t>
      </w:r>
      <w:r>
        <w:rPr>
          <w:rFonts w:hint="default" w:cs="Times New Roman"/>
          <w:color w:val="auto"/>
          <w:sz w:val="24"/>
          <w:szCs w:val="24"/>
          <w:highlight w:val="none"/>
          <w:lang w:val="en-US" w:eastAsia="zh-CN"/>
        </w:rPr>
        <w:t>62.5</w:t>
      </w:r>
      <w:r>
        <w:rPr>
          <w:rFonts w:hint="default" w:ascii="Times New Roman" w:hAnsi="Times New Roman" w:cs="Times New Roman"/>
          <w:color w:val="auto"/>
          <w:sz w:val="24"/>
          <w:szCs w:val="24"/>
          <w:highlight w:val="none"/>
          <w:lang w:val="en-US" w:eastAsia="zh-CN"/>
        </w:rPr>
        <w:t>t/a，生产回水池底泥</w:t>
      </w:r>
      <w:r>
        <w:rPr>
          <w:rFonts w:hint="default" w:ascii="Times New Roman" w:hAnsi="Times New Roman" w:cs="Times New Roman"/>
          <w:color w:val="auto"/>
          <w:highlight w:val="none"/>
        </w:rPr>
        <w:t>定期清理，返回生产工序</w:t>
      </w:r>
      <w:r>
        <w:rPr>
          <w:rFonts w:hint="default" w:ascii="Times New Roman" w:hAnsi="Times New Roman" w:eastAsia="宋体" w:cs="Times New Roman"/>
          <w:color w:val="auto"/>
          <w:sz w:val="24"/>
          <w:szCs w:val="28"/>
          <w:highlight w:val="none"/>
          <w:lang w:eastAsia="zh-CN"/>
        </w:rPr>
        <w:t>，后期用于土地复垦</w:t>
      </w:r>
      <w:r>
        <w:rPr>
          <w:rFonts w:hint="default" w:ascii="Times New Roman" w:hAnsi="Times New Roman" w:cs="Times New Roman"/>
          <w:color w:val="auto"/>
          <w:highlight w:val="none"/>
        </w:rPr>
        <w:t>。</w:t>
      </w:r>
    </w:p>
    <w:p w14:paraId="702B6D6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）生活污水处理设施底泥</w:t>
      </w:r>
    </w:p>
    <w:p w14:paraId="0B2ED6A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运营期生活污水处理设施底泥产生量为</w:t>
      </w:r>
      <w:r>
        <w:rPr>
          <w:rFonts w:hint="default" w:cs="Times New Roman"/>
          <w:color w:val="auto"/>
          <w:highlight w:val="none"/>
          <w:lang w:val="en-US" w:eastAsia="zh-CN"/>
        </w:rPr>
        <w:t>5.46</w:t>
      </w:r>
      <w:r>
        <w:rPr>
          <w:rFonts w:hint="default" w:ascii="Times New Roman" w:hAnsi="Times New Roman" w:cs="Times New Roman"/>
          <w:color w:val="auto"/>
          <w:highlight w:val="none"/>
        </w:rPr>
        <w:t>t/a，</w:t>
      </w:r>
      <w:r>
        <w:rPr>
          <w:rFonts w:hint="default" w:ascii="Times New Roman" w:hAnsi="Times New Roman" w:eastAsia="宋体" w:cs="Times New Roman"/>
          <w:color w:val="auto"/>
          <w:sz w:val="24"/>
          <w:szCs w:val="28"/>
          <w:highlight w:val="none"/>
          <w:lang w:val="en-US" w:eastAsia="zh-CN"/>
        </w:rPr>
        <w:t>生活污水处理设施底泥</w:t>
      </w:r>
      <w:r>
        <w:rPr>
          <w:rFonts w:hint="default" w:ascii="Times New Roman" w:hAnsi="Times New Roman" w:eastAsia="宋体" w:cs="Times New Roman"/>
          <w:color w:val="auto"/>
          <w:sz w:val="24"/>
          <w:szCs w:val="28"/>
          <w:highlight w:val="none"/>
          <w:lang w:eastAsia="zh-CN"/>
        </w:rPr>
        <w:t>（代码：SW</w:t>
      </w:r>
      <w:r>
        <w:rPr>
          <w:rFonts w:hint="default" w:ascii="Times New Roman" w:hAnsi="Times New Roman" w:eastAsia="宋体" w:cs="Times New Roman"/>
          <w:color w:val="auto"/>
          <w:sz w:val="24"/>
          <w:szCs w:val="28"/>
          <w:highlight w:val="none"/>
          <w:lang w:val="en-US" w:eastAsia="zh-CN"/>
        </w:rPr>
        <w:t>07 900-099-S07</w:t>
      </w:r>
      <w:r>
        <w:rPr>
          <w:rFonts w:hint="default" w:ascii="Times New Roman" w:hAnsi="Times New Roman" w:eastAsia="宋体" w:cs="Times New Roman"/>
          <w:color w:val="auto"/>
          <w:sz w:val="24"/>
          <w:szCs w:val="28"/>
          <w:highlight w:val="none"/>
          <w:lang w:eastAsia="zh-CN"/>
        </w:rPr>
        <w:t>）</w:t>
      </w:r>
      <w:r>
        <w:rPr>
          <w:rFonts w:hint="default" w:cs="Times New Roman"/>
          <w:color w:val="auto"/>
          <w:sz w:val="24"/>
          <w:szCs w:val="28"/>
          <w:highlight w:val="none"/>
          <w:lang w:val="en-US" w:eastAsia="zh-CN"/>
        </w:rPr>
        <w:t>经干化后</w:t>
      </w:r>
      <w:r>
        <w:rPr>
          <w:rFonts w:hint="default" w:ascii="Times New Roman" w:hAnsi="Times New Roman" w:cs="Times New Roman"/>
          <w:color w:val="auto"/>
          <w:highlight w:val="none"/>
        </w:rPr>
        <w:t>定期拉运至</w:t>
      </w:r>
      <w:r>
        <w:rPr>
          <w:rFonts w:hint="default" w:cs="Times New Roman"/>
          <w:color w:val="auto"/>
          <w:highlight w:val="none"/>
          <w:lang w:val="en-US" w:eastAsia="zh-CN"/>
        </w:rPr>
        <w:t>富蕴县杜热镇生活垃圾填埋场</w:t>
      </w:r>
      <w:r>
        <w:rPr>
          <w:rFonts w:hint="default" w:ascii="Times New Roman" w:hAnsi="Times New Roman" w:cs="Times New Roman"/>
          <w:color w:val="auto"/>
          <w:highlight w:val="none"/>
          <w:lang w:val="en-US" w:eastAsia="zh-CN"/>
        </w:rPr>
        <w:t>处置</w:t>
      </w:r>
      <w:r>
        <w:rPr>
          <w:rFonts w:hint="default" w:ascii="Times New Roman" w:hAnsi="Times New Roman" w:cs="Times New Roman"/>
          <w:color w:val="auto"/>
          <w:highlight w:val="none"/>
          <w:lang w:eastAsia="zh-CN"/>
        </w:rPr>
        <w:t>。</w:t>
      </w:r>
    </w:p>
    <w:p w14:paraId="5DF57DF6">
      <w:pPr>
        <w:keepNext w:val="0"/>
        <w:keepLines w:val="0"/>
        <w:pageBreakBefore w:val="0"/>
        <w:widowControl w:val="0"/>
        <w:numPr>
          <w:ilvl w:val="0"/>
          <w:numId w:val="0"/>
        </w:numPr>
        <w:kinsoku/>
        <w:wordWrap/>
        <w:overflowPunct/>
        <w:topLinePunct w:val="0"/>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w:t>
      </w:r>
    </w:p>
    <w:p w14:paraId="723FF508">
      <w:pPr>
        <w:keepNext w:val="0"/>
        <w:keepLines w:val="0"/>
        <w:pageBreakBefore w:val="0"/>
        <w:widowControl w:val="0"/>
        <w:kinsoku/>
        <w:wordWrap/>
        <w:overflowPunct/>
        <w:topLinePunct w:val="0"/>
        <w:autoSpaceDE w:val="0"/>
        <w:autoSpaceDN w:val="0"/>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①废矿物油</w:t>
      </w:r>
      <w:r>
        <w:rPr>
          <w:rFonts w:hint="default" w:ascii="Times New Roman" w:hAnsi="Times New Roman" w:cs="Times New Roman"/>
          <w:color w:val="auto"/>
          <w:highlight w:val="none"/>
          <w:lang w:val="en-US" w:eastAsia="zh-CN"/>
        </w:rPr>
        <w:t>及废油桶</w:t>
      </w:r>
    </w:p>
    <w:p w14:paraId="332F8BC0">
      <w:pPr>
        <w:keepNext w:val="0"/>
        <w:keepLines w:val="0"/>
        <w:pageBreakBefore w:val="0"/>
        <w:widowControl w:val="0"/>
        <w:kinsoku/>
        <w:wordWrap/>
        <w:overflowPunct/>
        <w:topLinePunct w:val="0"/>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根据设计单位提供资料，废</w:t>
      </w:r>
      <w:r>
        <w:rPr>
          <w:rFonts w:hint="default" w:ascii="Times New Roman" w:hAnsi="Times New Roman" w:cs="Times New Roman"/>
          <w:color w:val="auto"/>
          <w:highlight w:val="none"/>
          <w:lang w:eastAsia="zh-CN"/>
        </w:rPr>
        <w:t>矿物油</w:t>
      </w:r>
      <w:r>
        <w:rPr>
          <w:rFonts w:hint="default" w:ascii="Times New Roman" w:hAnsi="Times New Roman" w:cs="Times New Roman"/>
          <w:color w:val="auto"/>
          <w:highlight w:val="none"/>
        </w:rPr>
        <w:t>的产生量</w:t>
      </w:r>
      <w:r>
        <w:rPr>
          <w:rFonts w:hint="default" w:ascii="Times New Roman" w:hAnsi="Times New Roman" w:cs="Times New Roman"/>
          <w:color w:val="auto"/>
          <w:highlight w:val="none"/>
          <w:lang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0.5</w:t>
      </w:r>
      <w:r>
        <w:rPr>
          <w:rFonts w:hint="default" w:ascii="Times New Roman" w:hAnsi="Times New Roman" w:cs="Times New Roman"/>
          <w:color w:val="auto"/>
          <w:highlight w:val="none"/>
        </w:rPr>
        <w:t>t/a，废油桶产生量</w:t>
      </w:r>
      <w:r>
        <w:rPr>
          <w:rFonts w:hint="default" w:ascii="Times New Roman" w:hAnsi="Times New Roman" w:cs="Times New Roman"/>
          <w:color w:val="auto"/>
          <w:highlight w:val="none"/>
          <w:lang w:val="en-US" w:eastAsia="zh-CN"/>
        </w:rPr>
        <w:t>约2</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eastAsia="zh-CN"/>
        </w:rPr>
        <w:t>个</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a</w:t>
      </w:r>
      <w:r>
        <w:rPr>
          <w:rFonts w:hint="default" w:ascii="Times New Roman" w:hAnsi="Times New Roman" w:eastAsia="宋体" w:cs="Times New Roman"/>
          <w:color w:val="auto"/>
          <w:sz w:val="24"/>
          <w:szCs w:val="28"/>
          <w:highlight w:val="none"/>
        </w:rPr>
        <w:t>（约</w:t>
      </w:r>
      <w:r>
        <w:rPr>
          <w:rFonts w:hint="default" w:ascii="Times New Roman" w:hAnsi="Times New Roman" w:cs="Times New Roman"/>
          <w:color w:val="auto"/>
          <w:sz w:val="24"/>
          <w:szCs w:val="28"/>
          <w:highlight w:val="none"/>
          <w:lang w:val="en-US" w:eastAsia="zh-CN"/>
        </w:rPr>
        <w:t>0.6</w:t>
      </w:r>
      <w:r>
        <w:rPr>
          <w:rFonts w:hint="default" w:ascii="Times New Roman" w:hAnsi="Times New Roman" w:eastAsia="宋体" w:cs="Times New Roman"/>
          <w:color w:val="auto"/>
          <w:sz w:val="24"/>
          <w:szCs w:val="28"/>
          <w:highlight w:val="none"/>
        </w:rPr>
        <w:t>t/a）</w:t>
      </w:r>
      <w:r>
        <w:rPr>
          <w:rFonts w:hint="default" w:ascii="Times New Roman" w:hAnsi="Times New Roman" w:cs="Times New Roman"/>
          <w:color w:val="auto"/>
          <w:highlight w:val="none"/>
        </w:rPr>
        <w:t>，环评要求按照</w:t>
      </w:r>
      <w:r>
        <w:rPr>
          <w:rFonts w:hint="default" w:ascii="Times New Roman" w:hAnsi="Times New Roman" w:cs="Times New Roman"/>
          <w:color w:val="auto"/>
          <w:highlight w:val="none"/>
          <w:lang w:eastAsia="zh-CN"/>
        </w:rPr>
        <w:t>《危险废物贮存污染控制标准》（GB18597-2023），统一收集至防渗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716F81A1">
      <w:pPr>
        <w:keepNext w:val="0"/>
        <w:keepLines w:val="0"/>
        <w:pageBreakBefore w:val="0"/>
        <w:widowControl w:val="0"/>
        <w:kinsoku/>
        <w:wordWrap/>
        <w:overflowPunct/>
        <w:topLinePunct w:val="0"/>
        <w:bidi w:val="0"/>
        <w:adjustRightInd/>
        <w:snapToGrid/>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②沾染毒性废弃包装物</w:t>
      </w:r>
      <w:r>
        <w:rPr>
          <w:rFonts w:hint="default" w:ascii="Times New Roman" w:hAnsi="Times New Roman" w:cs="Times New Roman"/>
          <w:color w:val="auto"/>
          <w:highlight w:val="none"/>
          <w:lang w:val="en-US" w:eastAsia="zh-CN"/>
        </w:rPr>
        <w:t>及废药剂</w:t>
      </w:r>
    </w:p>
    <w:p w14:paraId="6624FCDE">
      <w:pPr>
        <w:widowControl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eastAsia="宋体" w:cs="Times New Roman"/>
          <w:color w:val="auto"/>
          <w:sz w:val="24"/>
          <w:szCs w:val="28"/>
          <w:highlight w:val="none"/>
          <w:lang w:eastAsia="zh-CN"/>
        </w:rPr>
        <w:t>产生废包装袋</w:t>
      </w:r>
      <w:r>
        <w:rPr>
          <w:rFonts w:hint="default" w:ascii="Times New Roman" w:hAnsi="Times New Roman" w:eastAsia="宋体" w:cs="Times New Roman"/>
          <w:color w:val="auto"/>
          <w:sz w:val="24"/>
          <w:szCs w:val="28"/>
          <w:highlight w:val="none"/>
          <w:lang w:val="en-US" w:eastAsia="zh-CN"/>
        </w:rPr>
        <w:t>约</w:t>
      </w:r>
      <w:r>
        <w:rPr>
          <w:rFonts w:hint="default" w:ascii="Times New Roman" w:hAnsi="Times New Roman" w:cs="Times New Roman"/>
          <w:color w:val="auto"/>
          <w:sz w:val="24"/>
          <w:szCs w:val="28"/>
          <w:highlight w:val="none"/>
          <w:lang w:val="en-US" w:eastAsia="zh-CN"/>
        </w:rPr>
        <w:t>0.636</w:t>
      </w:r>
      <w:r>
        <w:rPr>
          <w:rFonts w:hint="default" w:ascii="Times New Roman" w:hAnsi="Times New Roman" w:eastAsia="宋体" w:cs="Times New Roman"/>
          <w:color w:val="auto"/>
          <w:sz w:val="24"/>
          <w:szCs w:val="28"/>
          <w:highlight w:val="none"/>
          <w:lang w:eastAsia="zh-CN"/>
        </w:rPr>
        <w:t>t/a，废包装桶</w:t>
      </w:r>
      <w:r>
        <w:rPr>
          <w:rFonts w:hint="default" w:ascii="Times New Roman" w:hAnsi="Times New Roman" w:eastAsia="宋体" w:cs="Times New Roman"/>
          <w:color w:val="auto"/>
          <w:sz w:val="24"/>
          <w:szCs w:val="28"/>
          <w:highlight w:val="none"/>
          <w:lang w:val="en-US" w:eastAsia="zh-CN"/>
        </w:rPr>
        <w:t>/瓶约</w:t>
      </w:r>
      <w:r>
        <w:rPr>
          <w:rFonts w:hint="default" w:ascii="Times New Roman" w:hAnsi="Times New Roman" w:cs="Times New Roman"/>
          <w:color w:val="auto"/>
          <w:sz w:val="24"/>
          <w:szCs w:val="28"/>
          <w:highlight w:val="none"/>
          <w:lang w:val="en-US" w:eastAsia="zh-CN"/>
        </w:rPr>
        <w:t>0.05</w:t>
      </w:r>
      <w:r>
        <w:rPr>
          <w:rFonts w:hint="default" w:ascii="Times New Roman" w:hAnsi="Times New Roman" w:eastAsia="宋体" w:cs="Times New Roman"/>
          <w:color w:val="auto"/>
          <w:sz w:val="24"/>
          <w:szCs w:val="28"/>
          <w:highlight w:val="none"/>
          <w:lang w:eastAsia="zh-CN"/>
        </w:rPr>
        <w:t>t/a，共计</w:t>
      </w:r>
      <w:r>
        <w:rPr>
          <w:rFonts w:hint="default" w:ascii="Times New Roman" w:hAnsi="Times New Roman" w:cs="Times New Roman"/>
          <w:color w:val="auto"/>
          <w:highlight w:val="none"/>
        </w:rPr>
        <w:t>产生沾染毒性</w:t>
      </w:r>
      <w:r>
        <w:rPr>
          <w:rFonts w:hint="default" w:ascii="Times New Roman" w:hAnsi="Times New Roman" w:cs="Times New Roman"/>
          <w:color w:val="auto"/>
          <w:highlight w:val="none"/>
          <w:lang w:val="en-US" w:eastAsia="zh-CN"/>
        </w:rPr>
        <w:t>废弃</w:t>
      </w:r>
      <w:r>
        <w:rPr>
          <w:rFonts w:hint="default" w:ascii="Times New Roman" w:hAnsi="Times New Roman" w:cs="Times New Roman"/>
          <w:color w:val="auto"/>
          <w:highlight w:val="none"/>
        </w:rPr>
        <w:t>包装</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sz w:val="24"/>
          <w:szCs w:val="28"/>
          <w:highlight w:val="none"/>
          <w:lang w:val="en-US" w:eastAsia="zh-CN"/>
        </w:rPr>
        <w:t>0.686</w:t>
      </w:r>
      <w:r>
        <w:rPr>
          <w:rFonts w:hint="default" w:ascii="Times New Roman" w:hAnsi="Times New Roman" w:eastAsia="宋体" w:cs="Times New Roman"/>
          <w:color w:val="auto"/>
          <w:sz w:val="24"/>
          <w:szCs w:val="28"/>
          <w:highlight w:val="none"/>
          <w:lang w:eastAsia="zh-CN"/>
        </w:rPr>
        <w:t>t/a</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废药剂</w:t>
      </w:r>
      <w:r>
        <w:rPr>
          <w:rFonts w:hint="default" w:ascii="Times New Roman" w:hAnsi="Times New Roman" w:cs="Times New Roman"/>
          <w:color w:val="auto"/>
          <w:highlight w:val="none"/>
          <w:lang w:val="en-US" w:eastAsia="zh-CN"/>
        </w:rPr>
        <w:t>约0.05</w:t>
      </w:r>
      <w:r>
        <w:rPr>
          <w:rFonts w:hint="default" w:ascii="Times New Roman" w:hAnsi="Times New Roman" w:cs="Times New Roman"/>
          <w:color w:val="auto"/>
          <w:highlight w:val="none"/>
        </w:rPr>
        <w:t>t/a，共</w:t>
      </w:r>
      <w:r>
        <w:rPr>
          <w:rFonts w:hint="default" w:ascii="Times New Roman" w:hAnsi="Times New Roman" w:cs="Times New Roman"/>
          <w:color w:val="auto"/>
          <w:highlight w:val="none"/>
          <w:lang w:val="en-US" w:eastAsia="zh-CN"/>
        </w:rPr>
        <w:t>0.736</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eastAsia="zh-CN"/>
        </w:rPr>
        <w:t>沾染毒性废弃包装物</w:t>
      </w:r>
      <w:r>
        <w:rPr>
          <w:rFonts w:hint="default" w:ascii="Times New Roman" w:hAnsi="Times New Roman" w:eastAsia="宋体" w:cs="Times New Roman"/>
          <w:color w:val="auto"/>
          <w:sz w:val="24"/>
          <w:szCs w:val="28"/>
          <w:highlight w:val="none"/>
          <w:lang w:val="en-US" w:eastAsia="zh-CN"/>
        </w:rPr>
        <w:t>及废药剂</w:t>
      </w:r>
      <w:r>
        <w:rPr>
          <w:rFonts w:hint="default" w:ascii="Times New Roman" w:hAnsi="Times New Roman" w:cs="Times New Roman"/>
          <w:color w:val="auto"/>
          <w:highlight w:val="none"/>
        </w:rPr>
        <w:t>属于危险废物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val="en-US" w:eastAsia="zh-CN"/>
        </w:rPr>
        <w:t>危险废物代码为</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49 </w:t>
      </w:r>
      <w:r>
        <w:rPr>
          <w:rFonts w:hint="default" w:ascii="Times New Roman" w:hAnsi="Times New Roman" w:eastAsia="宋体" w:cs="Times New Roman"/>
          <w:color w:val="auto"/>
          <w:sz w:val="24"/>
          <w:szCs w:val="28"/>
          <w:highlight w:val="none"/>
        </w:rPr>
        <w:t>900-</w:t>
      </w:r>
      <w:r>
        <w:rPr>
          <w:rFonts w:hint="default" w:ascii="Times New Roman" w:hAnsi="Times New Roman" w:eastAsia="宋体" w:cs="Times New Roman"/>
          <w:color w:val="auto"/>
          <w:sz w:val="24"/>
          <w:szCs w:val="28"/>
          <w:highlight w:val="none"/>
          <w:lang w:val="en-US" w:eastAsia="zh-CN"/>
        </w:rPr>
        <w:t>041</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49和</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03 </w:t>
      </w:r>
      <w:r>
        <w:rPr>
          <w:rFonts w:hint="default" w:ascii="Times New Roman" w:hAnsi="Times New Roman" w:eastAsia="宋体" w:cs="Times New Roman"/>
          <w:color w:val="auto"/>
          <w:sz w:val="24"/>
          <w:szCs w:val="28"/>
          <w:highlight w:val="none"/>
        </w:rPr>
        <w:t>900-</w:t>
      </w:r>
      <w:r>
        <w:rPr>
          <w:rFonts w:hint="default" w:ascii="Times New Roman" w:hAnsi="Times New Roman" w:eastAsia="宋体" w:cs="Times New Roman"/>
          <w:color w:val="auto"/>
          <w:sz w:val="24"/>
          <w:szCs w:val="28"/>
          <w:highlight w:val="none"/>
          <w:lang w:val="en-US" w:eastAsia="zh-CN"/>
        </w:rPr>
        <w:t>002</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03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731A8407">
      <w:pPr>
        <w:widowControl w:val="0"/>
        <w:ind w:firstLine="480"/>
        <w:rPr>
          <w:rFonts w:hint="default" w:cs="Times New Roman"/>
          <w:color w:val="auto"/>
          <w:highlight w:val="none"/>
          <w:lang w:val="en-US" w:eastAsia="zh-CN"/>
        </w:rPr>
      </w:pPr>
      <w:r>
        <w:rPr>
          <w:rFonts w:hint="default" w:cs="Times New Roman"/>
          <w:color w:val="auto"/>
          <w:highlight w:val="none"/>
          <w:lang w:val="en-US" w:eastAsia="zh-CN"/>
        </w:rPr>
        <w:t>③试验废液</w:t>
      </w:r>
    </w:p>
    <w:p w14:paraId="7208E1AD">
      <w:pPr>
        <w:widowControl w:val="0"/>
        <w:ind w:firstLine="480"/>
        <w:rPr>
          <w:rFonts w:hint="default" w:cs="Times New Roman"/>
          <w:color w:val="auto"/>
          <w:highlight w:val="none"/>
          <w:lang w:val="en-US" w:eastAsia="zh-CN"/>
        </w:rPr>
      </w:pPr>
      <w:r>
        <w:rPr>
          <w:rFonts w:hint="default" w:cs="Times New Roman"/>
          <w:color w:val="auto"/>
          <w:highlight w:val="none"/>
          <w:lang w:val="en-US" w:eastAsia="zh-CN"/>
        </w:rPr>
        <w:t>本项目设置实验室会产生试验废液，根据同类型项目类比，本项目试验废液产生量约为0.24t/a，试验废液属于危险废物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val="en-US" w:eastAsia="zh-CN"/>
        </w:rPr>
        <w:t>危险废物代码为</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49 </w:t>
      </w:r>
      <w:r>
        <w:rPr>
          <w:rFonts w:hint="default"/>
          <w:color w:val="auto"/>
          <w:szCs w:val="28"/>
          <w:highlight w:val="none"/>
        </w:rPr>
        <w:t>900-047-49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316F6A4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）生活垃圾</w:t>
      </w:r>
    </w:p>
    <w:p w14:paraId="01335AE4">
      <w:pPr>
        <w:autoSpaceDE w:val="0"/>
        <w:autoSpaceDN w:val="0"/>
        <w:ind w:firstLine="480"/>
        <w:rPr>
          <w:rFonts w:hint="default" w:ascii="Times New Roman" w:hAnsi="Times New Roman" w:eastAsia="宋体" w:cs="Times New Roman"/>
          <w:color w:val="auto"/>
          <w:sz w:val="24"/>
          <w:szCs w:val="28"/>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生活垃圾产生量为</w:t>
      </w:r>
      <w:r>
        <w:rPr>
          <w:rFonts w:hint="default" w:ascii="Times New Roman" w:hAnsi="Times New Roman" w:cs="Times New Roman"/>
          <w:color w:val="auto"/>
          <w:highlight w:val="none"/>
          <w:lang w:val="en-US" w:eastAsia="zh-CN"/>
        </w:rPr>
        <w:t>51.5</w:t>
      </w:r>
      <w:r>
        <w:rPr>
          <w:rFonts w:hint="default" w:ascii="Times New Roman" w:hAnsi="Times New Roman" w:cs="Times New Roman"/>
          <w:color w:val="auto"/>
          <w:highlight w:val="none"/>
        </w:rPr>
        <w:t>kg/d（</w:t>
      </w:r>
      <w:r>
        <w:rPr>
          <w:rFonts w:hint="default" w:ascii="Times New Roman" w:hAnsi="Times New Roman" w:cs="Times New Roman"/>
          <w:color w:val="auto"/>
          <w:highlight w:val="none"/>
          <w:lang w:val="en-US" w:eastAsia="zh-CN"/>
        </w:rPr>
        <w:t>12.36</w:t>
      </w:r>
      <w:r>
        <w:rPr>
          <w:rFonts w:hint="default" w:ascii="Times New Roman" w:hAnsi="Times New Roman" w:cs="Times New Roman"/>
          <w:color w:val="auto"/>
          <w:highlight w:val="none"/>
        </w:rPr>
        <w:t>t/a），</w:t>
      </w:r>
      <w:r>
        <w:rPr>
          <w:rFonts w:hint="default" w:ascii="Times New Roman" w:hAnsi="Times New Roman" w:eastAsia="宋体" w:cs="Times New Roman"/>
          <w:color w:val="auto"/>
          <w:sz w:val="24"/>
          <w:szCs w:val="28"/>
          <w:highlight w:val="none"/>
        </w:rPr>
        <w:t>生活垃圾集中收集，定期拉运至</w:t>
      </w:r>
      <w:r>
        <w:rPr>
          <w:rFonts w:hint="default" w:cs="Times New Roman"/>
          <w:color w:val="auto"/>
          <w:highlight w:val="none"/>
          <w:lang w:val="en-US" w:eastAsia="zh-CN"/>
        </w:rPr>
        <w:t>富蕴县杜热镇生活垃圾填埋场</w:t>
      </w:r>
      <w:r>
        <w:rPr>
          <w:rFonts w:hint="default" w:ascii="Times New Roman" w:hAnsi="Times New Roman" w:eastAsia="宋体" w:cs="Times New Roman"/>
          <w:color w:val="auto"/>
          <w:sz w:val="24"/>
          <w:szCs w:val="24"/>
          <w:highlight w:val="none"/>
          <w:lang w:val="en-US" w:eastAsia="zh-CN"/>
        </w:rPr>
        <w:t>处置</w:t>
      </w:r>
      <w:r>
        <w:rPr>
          <w:rFonts w:hint="default" w:ascii="Times New Roman" w:hAnsi="Times New Roman" w:eastAsia="宋体" w:cs="Times New Roman"/>
          <w:color w:val="auto"/>
          <w:sz w:val="24"/>
          <w:szCs w:val="28"/>
          <w:highlight w:val="none"/>
        </w:rPr>
        <w:t>。</w:t>
      </w:r>
    </w:p>
    <w:p w14:paraId="201F4C7A">
      <w:pPr>
        <w:ind w:firstLine="480"/>
        <w:rPr>
          <w:rFonts w:hint="eastAsia" w:cs="Times New Roman"/>
          <w:color w:val="auto"/>
          <w:sz w:val="24"/>
          <w:szCs w:val="28"/>
          <w:highlight w:val="none"/>
          <w:lang w:val="en-US" w:eastAsia="zh-CN"/>
        </w:rPr>
      </w:pPr>
      <w:r>
        <w:rPr>
          <w:rFonts w:hint="eastAsia" w:cs="Times New Roman"/>
          <w:color w:val="auto"/>
          <w:sz w:val="24"/>
          <w:szCs w:val="28"/>
          <w:highlight w:val="none"/>
          <w:lang w:eastAsia="zh-CN"/>
        </w:rPr>
        <w:t>（</w:t>
      </w:r>
      <w:r>
        <w:rPr>
          <w:rFonts w:hint="eastAsia" w:cs="Times New Roman"/>
          <w:color w:val="auto"/>
          <w:sz w:val="24"/>
          <w:szCs w:val="28"/>
          <w:highlight w:val="none"/>
          <w:lang w:val="en-US" w:eastAsia="zh-CN"/>
        </w:rPr>
        <w:t>7）废布袋</w:t>
      </w:r>
    </w:p>
    <w:p w14:paraId="35C6F8CF">
      <w:pPr>
        <w:autoSpaceDE w:val="0"/>
        <w:autoSpaceDN w:val="0"/>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本项目布袋除尘器会产生废布袋（代码：</w:t>
      </w:r>
      <w:r>
        <w:rPr>
          <w:rFonts w:hint="eastAsia" w:ascii="Times New Roman" w:hAnsi="Times New Roman" w:eastAsia="宋体" w:cs="Times New Roman"/>
          <w:color w:val="auto"/>
          <w:highlight w:val="none"/>
        </w:rPr>
        <w:t>900-099-S59</w:t>
      </w:r>
      <w:r>
        <w:rPr>
          <w:rFonts w:hint="eastAsia" w:ascii="Times New Roman" w:hAnsi="Times New Roman" w:eastAsia="宋体" w:cs="Times New Roman"/>
          <w:color w:val="auto"/>
          <w:highlight w:val="none"/>
          <w:lang w:val="en-US" w:eastAsia="zh-CN"/>
        </w:rPr>
        <w:t>），产生量约为0.5t/a，</w:t>
      </w:r>
      <w:r>
        <w:rPr>
          <w:rFonts w:hint="default" w:ascii="Times New Roman" w:hAnsi="Times New Roman" w:eastAsia="宋体" w:cs="Times New Roman"/>
          <w:color w:val="auto"/>
          <w:highlight w:val="none"/>
          <w:lang w:val="en-US" w:eastAsia="zh-CN"/>
        </w:rPr>
        <w:t>统一收集</w:t>
      </w:r>
      <w:r>
        <w:rPr>
          <w:rFonts w:hint="eastAsia" w:ascii="Times New Roman" w:hAnsi="Times New Roman" w:eastAsia="宋体" w:cs="Times New Roman"/>
          <w:color w:val="auto"/>
          <w:highlight w:val="none"/>
          <w:lang w:val="en-US" w:eastAsia="zh-CN"/>
        </w:rPr>
        <w:t>后外售综合利用。</w:t>
      </w:r>
    </w:p>
    <w:p w14:paraId="4AE06EA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综上，本项目各项固体废物均得到妥善处置，在满足以上要求的前提下，本项目各项固体废物对项目区及周边环境影响较小。</w:t>
      </w:r>
    </w:p>
    <w:p w14:paraId="46B70B35">
      <w:pPr>
        <w:pStyle w:val="4"/>
        <w:rPr>
          <w:rFonts w:hint="default" w:ascii="Times New Roman" w:hAnsi="Times New Roman" w:cs="Times New Roman"/>
          <w:color w:val="auto"/>
          <w:highlight w:val="none"/>
        </w:rPr>
      </w:pPr>
      <w:bookmarkStart w:id="766" w:name="_Toc30610"/>
      <w:bookmarkStart w:id="767" w:name="_Toc28226"/>
      <w:bookmarkStart w:id="768" w:name="_Toc23050"/>
      <w:r>
        <w:rPr>
          <w:rFonts w:hint="default" w:ascii="Times New Roman" w:hAnsi="Times New Roman" w:cs="Times New Roman"/>
          <w:color w:val="auto"/>
          <w:highlight w:val="none"/>
        </w:rPr>
        <w:t>5.2.6运营期土壤环境影响分析</w:t>
      </w:r>
      <w:bookmarkEnd w:id="766"/>
      <w:bookmarkEnd w:id="767"/>
      <w:bookmarkEnd w:id="768"/>
    </w:p>
    <w:p w14:paraId="4EE0BC9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5.2.6.1土壤环境的影响识别</w:t>
      </w:r>
    </w:p>
    <w:p w14:paraId="130B978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（1）建设项目所属行业识别</w:t>
      </w:r>
    </w:p>
    <w:p w14:paraId="137EAD4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w:t>
      </w:r>
      <w:r>
        <w:rPr>
          <w:rFonts w:hint="default" w:cs="Times New Roman"/>
          <w:color w:val="auto"/>
          <w:highlight w:val="none"/>
          <w:lang w:val="en-US" w:eastAsia="zh-CN"/>
        </w:rPr>
        <w:t>金矿选矿厂及尾矿库项目</w:t>
      </w: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zh-CN"/>
        </w:rPr>
        <w:t xml:space="preserve">《环境影响评价技术导则 </w:t>
      </w:r>
      <w:r>
        <w:rPr>
          <w:rFonts w:hint="default" w:ascii="Times New Roman" w:hAnsi="Times New Roman" w:cs="Times New Roman"/>
          <w:color w:val="auto"/>
          <w:highlight w:val="none"/>
        </w:rPr>
        <w:t>土壤环境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val="zh-CN"/>
        </w:rPr>
        <w:t>）》（HJ</w:t>
      </w:r>
      <w:r>
        <w:rPr>
          <w:rFonts w:hint="default" w:ascii="Times New Roman" w:hAnsi="Times New Roman" w:cs="Times New Roman"/>
          <w:color w:val="auto"/>
          <w:highlight w:val="none"/>
        </w:rPr>
        <w:t>964-2018</w:t>
      </w:r>
      <w:r>
        <w:rPr>
          <w:rFonts w:hint="default" w:ascii="Times New Roman" w:hAnsi="Times New Roman" w:cs="Times New Roman"/>
          <w:color w:val="auto"/>
          <w:highlight w:val="none"/>
          <w:lang w:val="zh-CN"/>
        </w:rPr>
        <w:t>）附录A，</w:t>
      </w:r>
      <w:r>
        <w:rPr>
          <w:rFonts w:hint="default" w:ascii="Times New Roman" w:hAnsi="Times New Roman" w:cs="Times New Roman"/>
          <w:color w:val="auto"/>
          <w:highlight w:val="none"/>
        </w:rPr>
        <w:t>为</w:t>
      </w:r>
      <w:r>
        <w:rPr>
          <w:rFonts w:hint="eastAsia" w:cs="Times New Roman"/>
          <w:color w:val="auto"/>
          <w:highlight w:val="none"/>
          <w:lang w:eastAsia="zh-CN"/>
        </w:rPr>
        <w:t>Ⅱ类</w:t>
      </w:r>
      <w:r>
        <w:rPr>
          <w:rFonts w:hint="default" w:ascii="Times New Roman" w:hAnsi="Times New Roman" w:cs="Times New Roman"/>
          <w:color w:val="auto"/>
          <w:highlight w:val="none"/>
        </w:rPr>
        <w:t>项目。本项目环境影响类型为污染影响型，土壤环境影响评价工作等级为一级。</w:t>
      </w:r>
    </w:p>
    <w:p w14:paraId="105C70B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（2）土壤环境影响类型、影响途径、影响源与影响因子识别</w:t>
      </w:r>
    </w:p>
    <w:p w14:paraId="0D054F3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施工期环境影响识别主要针对施工过程中施工机械在使用过程中，固体废物在临时储存过程中对土壤产生的影响等。</w:t>
      </w:r>
    </w:p>
    <w:p w14:paraId="787052A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运营期环境影响识别主要针对排放的大气污染物、废水污染物等，本项目主要包括选矿厂、尾矿库等生产运营过程中对土壤产生的影响。</w:t>
      </w:r>
    </w:p>
    <w:p w14:paraId="6221539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本项目对土壤的影响类型和途径及影响因子见表5.2-21、5.2-22。</w:t>
      </w:r>
    </w:p>
    <w:p w14:paraId="490CAADB">
      <w:pPr>
        <w:tabs>
          <w:tab w:val="left" w:pos="1214"/>
        </w:tabs>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表5.2-21    土壤环境影响类型与影响途径表</w:t>
      </w:r>
    </w:p>
    <w:tbl>
      <w:tblPr>
        <w:tblStyle w:val="33"/>
        <w:tblW w:w="83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81"/>
        <w:gridCol w:w="1940"/>
        <w:gridCol w:w="1212"/>
        <w:gridCol w:w="1048"/>
        <w:gridCol w:w="945"/>
        <w:gridCol w:w="610"/>
        <w:gridCol w:w="502"/>
        <w:gridCol w:w="590"/>
        <w:gridCol w:w="650"/>
        <w:gridCol w:w="555"/>
      </w:tblGrid>
      <w:tr w14:paraId="6685AD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blHeader/>
          <w:jc w:val="center"/>
        </w:trPr>
        <w:tc>
          <w:tcPr>
            <w:tcW w:w="2221" w:type="dxa"/>
            <w:gridSpan w:val="2"/>
            <w:vMerge w:val="restart"/>
            <w:tcBorders>
              <w:tl2br w:val="nil"/>
              <w:tr2bl w:val="nil"/>
            </w:tcBorders>
            <w:vAlign w:val="center"/>
          </w:tcPr>
          <w:p w14:paraId="1DB72885">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不同时段</w:t>
            </w:r>
          </w:p>
        </w:tc>
        <w:tc>
          <w:tcPr>
            <w:tcW w:w="3815" w:type="dxa"/>
            <w:gridSpan w:val="4"/>
            <w:tcBorders>
              <w:tl2br w:val="nil"/>
              <w:tr2bl w:val="nil"/>
            </w:tcBorders>
            <w:vAlign w:val="center"/>
          </w:tcPr>
          <w:p w14:paraId="2B6A619E">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污染影响型</w:t>
            </w:r>
          </w:p>
        </w:tc>
        <w:tc>
          <w:tcPr>
            <w:tcW w:w="2297" w:type="dxa"/>
            <w:gridSpan w:val="4"/>
            <w:tcBorders>
              <w:tl2br w:val="nil"/>
              <w:tr2bl w:val="nil"/>
            </w:tcBorders>
            <w:vAlign w:val="center"/>
          </w:tcPr>
          <w:p w14:paraId="124A5D54">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生态影响型</w:t>
            </w:r>
          </w:p>
        </w:tc>
      </w:tr>
      <w:tr w14:paraId="5B0123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blHeader/>
          <w:jc w:val="center"/>
        </w:trPr>
        <w:tc>
          <w:tcPr>
            <w:tcW w:w="2221" w:type="dxa"/>
            <w:gridSpan w:val="2"/>
            <w:vMerge w:val="continue"/>
            <w:tcBorders>
              <w:tl2br w:val="nil"/>
              <w:tr2bl w:val="nil"/>
            </w:tcBorders>
            <w:vAlign w:val="center"/>
          </w:tcPr>
          <w:p w14:paraId="7E0387B1">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p>
        </w:tc>
        <w:tc>
          <w:tcPr>
            <w:tcW w:w="1212" w:type="dxa"/>
            <w:tcBorders>
              <w:tl2br w:val="nil"/>
              <w:tr2bl w:val="nil"/>
            </w:tcBorders>
            <w:vAlign w:val="center"/>
          </w:tcPr>
          <w:p w14:paraId="2BC2E0AB">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大气沉降</w:t>
            </w:r>
          </w:p>
        </w:tc>
        <w:tc>
          <w:tcPr>
            <w:tcW w:w="1048" w:type="dxa"/>
            <w:tcBorders>
              <w:tl2br w:val="nil"/>
              <w:tr2bl w:val="nil"/>
            </w:tcBorders>
            <w:vAlign w:val="center"/>
          </w:tcPr>
          <w:p w14:paraId="766F687D">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地面漫流</w:t>
            </w:r>
          </w:p>
        </w:tc>
        <w:tc>
          <w:tcPr>
            <w:tcW w:w="945" w:type="dxa"/>
            <w:tcBorders>
              <w:tl2br w:val="nil"/>
              <w:tr2bl w:val="nil"/>
            </w:tcBorders>
            <w:vAlign w:val="center"/>
          </w:tcPr>
          <w:p w14:paraId="44F557B7">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垂直入渗</w:t>
            </w:r>
          </w:p>
        </w:tc>
        <w:tc>
          <w:tcPr>
            <w:tcW w:w="610" w:type="dxa"/>
            <w:tcBorders>
              <w:tl2br w:val="nil"/>
              <w:tr2bl w:val="nil"/>
            </w:tcBorders>
            <w:vAlign w:val="center"/>
          </w:tcPr>
          <w:p w14:paraId="4915FBE6">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其他</w:t>
            </w:r>
          </w:p>
        </w:tc>
        <w:tc>
          <w:tcPr>
            <w:tcW w:w="502" w:type="dxa"/>
            <w:tcBorders>
              <w:tl2br w:val="nil"/>
              <w:tr2bl w:val="nil"/>
            </w:tcBorders>
            <w:vAlign w:val="center"/>
          </w:tcPr>
          <w:p w14:paraId="79426696">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盐化</w:t>
            </w:r>
          </w:p>
        </w:tc>
        <w:tc>
          <w:tcPr>
            <w:tcW w:w="590" w:type="dxa"/>
            <w:tcBorders>
              <w:tl2br w:val="nil"/>
              <w:tr2bl w:val="nil"/>
            </w:tcBorders>
            <w:vAlign w:val="center"/>
          </w:tcPr>
          <w:p w14:paraId="43E3A31C">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碱化</w:t>
            </w:r>
          </w:p>
        </w:tc>
        <w:tc>
          <w:tcPr>
            <w:tcW w:w="650" w:type="dxa"/>
            <w:tcBorders>
              <w:tl2br w:val="nil"/>
              <w:tr2bl w:val="nil"/>
            </w:tcBorders>
            <w:vAlign w:val="center"/>
          </w:tcPr>
          <w:p w14:paraId="1336F42E">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酸化</w:t>
            </w:r>
          </w:p>
        </w:tc>
        <w:tc>
          <w:tcPr>
            <w:tcW w:w="555" w:type="dxa"/>
            <w:tcBorders>
              <w:tl2br w:val="nil"/>
              <w:tr2bl w:val="nil"/>
            </w:tcBorders>
            <w:vAlign w:val="center"/>
          </w:tcPr>
          <w:p w14:paraId="41BD77E9">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其他</w:t>
            </w:r>
          </w:p>
        </w:tc>
      </w:tr>
      <w:tr w14:paraId="33B1BD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2221" w:type="dxa"/>
            <w:gridSpan w:val="2"/>
            <w:tcBorders>
              <w:tl2br w:val="nil"/>
              <w:tr2bl w:val="nil"/>
            </w:tcBorders>
            <w:vAlign w:val="center"/>
          </w:tcPr>
          <w:p w14:paraId="7906E834">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建设期</w:t>
            </w:r>
          </w:p>
        </w:tc>
        <w:tc>
          <w:tcPr>
            <w:tcW w:w="1212" w:type="dxa"/>
            <w:tcBorders>
              <w:tl2br w:val="nil"/>
              <w:tr2bl w:val="nil"/>
            </w:tcBorders>
            <w:vAlign w:val="center"/>
          </w:tcPr>
          <w:p w14:paraId="0DE7C230">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48" w:type="dxa"/>
            <w:tcBorders>
              <w:tl2br w:val="nil"/>
              <w:tr2bl w:val="nil"/>
            </w:tcBorders>
            <w:vAlign w:val="center"/>
          </w:tcPr>
          <w:p w14:paraId="3E89C768">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945" w:type="dxa"/>
            <w:tcBorders>
              <w:tl2br w:val="nil"/>
              <w:tr2bl w:val="nil"/>
            </w:tcBorders>
            <w:vAlign w:val="center"/>
          </w:tcPr>
          <w:p w14:paraId="1CA563B6">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10" w:type="dxa"/>
            <w:tcBorders>
              <w:tl2br w:val="nil"/>
              <w:tr2bl w:val="nil"/>
            </w:tcBorders>
            <w:vAlign w:val="center"/>
          </w:tcPr>
          <w:p w14:paraId="23E34D45">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02" w:type="dxa"/>
            <w:tcBorders>
              <w:tl2br w:val="nil"/>
              <w:tr2bl w:val="nil"/>
            </w:tcBorders>
            <w:vAlign w:val="center"/>
          </w:tcPr>
          <w:p w14:paraId="72465228">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90" w:type="dxa"/>
            <w:tcBorders>
              <w:tl2br w:val="nil"/>
              <w:tr2bl w:val="nil"/>
            </w:tcBorders>
            <w:vAlign w:val="center"/>
          </w:tcPr>
          <w:p w14:paraId="5C07C6CD">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650" w:type="dxa"/>
            <w:tcBorders>
              <w:tl2br w:val="nil"/>
              <w:tr2bl w:val="nil"/>
            </w:tcBorders>
            <w:vAlign w:val="center"/>
          </w:tcPr>
          <w:p w14:paraId="15CD7885">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55" w:type="dxa"/>
            <w:tcBorders>
              <w:tl2br w:val="nil"/>
              <w:tr2bl w:val="nil"/>
            </w:tcBorders>
            <w:vAlign w:val="center"/>
          </w:tcPr>
          <w:p w14:paraId="61BBDBB3">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r>
      <w:tr w14:paraId="2FCDC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281" w:type="dxa"/>
            <w:vMerge w:val="restart"/>
            <w:tcBorders>
              <w:tl2br w:val="nil"/>
              <w:tr2bl w:val="nil"/>
            </w:tcBorders>
            <w:vAlign w:val="center"/>
          </w:tcPr>
          <w:p w14:paraId="6F375619">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1940" w:type="dxa"/>
            <w:tcBorders>
              <w:tl2br w:val="nil"/>
              <w:tr2bl w:val="nil"/>
            </w:tcBorders>
            <w:vAlign w:val="center"/>
          </w:tcPr>
          <w:p w14:paraId="564B32DD">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w:t>
            </w:r>
          </w:p>
        </w:tc>
        <w:tc>
          <w:tcPr>
            <w:tcW w:w="1212" w:type="dxa"/>
            <w:tcBorders>
              <w:tl2br w:val="nil"/>
              <w:tr2bl w:val="nil"/>
            </w:tcBorders>
            <w:vAlign w:val="center"/>
          </w:tcPr>
          <w:p w14:paraId="47505D34">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1048" w:type="dxa"/>
            <w:tcBorders>
              <w:tl2br w:val="nil"/>
              <w:tr2bl w:val="nil"/>
            </w:tcBorders>
            <w:vAlign w:val="center"/>
          </w:tcPr>
          <w:p w14:paraId="55262A1A">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945" w:type="dxa"/>
            <w:tcBorders>
              <w:tl2br w:val="nil"/>
              <w:tr2bl w:val="nil"/>
            </w:tcBorders>
            <w:vAlign w:val="center"/>
          </w:tcPr>
          <w:p w14:paraId="5D717E59">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10" w:type="dxa"/>
            <w:tcBorders>
              <w:tl2br w:val="nil"/>
              <w:tr2bl w:val="nil"/>
            </w:tcBorders>
            <w:vAlign w:val="center"/>
          </w:tcPr>
          <w:p w14:paraId="13752690">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02" w:type="dxa"/>
            <w:tcBorders>
              <w:tl2br w:val="nil"/>
              <w:tr2bl w:val="nil"/>
            </w:tcBorders>
            <w:vAlign w:val="center"/>
          </w:tcPr>
          <w:p w14:paraId="14C0A456">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90" w:type="dxa"/>
            <w:tcBorders>
              <w:tl2br w:val="nil"/>
              <w:tr2bl w:val="nil"/>
            </w:tcBorders>
            <w:vAlign w:val="center"/>
          </w:tcPr>
          <w:p w14:paraId="30B7B542">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650" w:type="dxa"/>
            <w:tcBorders>
              <w:tl2br w:val="nil"/>
              <w:tr2bl w:val="nil"/>
            </w:tcBorders>
            <w:vAlign w:val="center"/>
          </w:tcPr>
          <w:p w14:paraId="4D2FF23C">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55" w:type="dxa"/>
            <w:tcBorders>
              <w:tl2br w:val="nil"/>
              <w:tr2bl w:val="nil"/>
            </w:tcBorders>
            <w:vAlign w:val="center"/>
          </w:tcPr>
          <w:p w14:paraId="21BD4D9A">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r>
      <w:tr w14:paraId="3AC851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281" w:type="dxa"/>
            <w:vMerge w:val="continue"/>
            <w:tcBorders>
              <w:tl2br w:val="nil"/>
              <w:tr2bl w:val="nil"/>
            </w:tcBorders>
            <w:vAlign w:val="center"/>
          </w:tcPr>
          <w:p w14:paraId="019C325E">
            <w:pPr>
              <w:spacing w:line="360" w:lineRule="exact"/>
              <w:ind w:firstLine="0" w:firstLineChars="0"/>
              <w:jc w:val="center"/>
              <w:rPr>
                <w:rFonts w:hint="default" w:ascii="Times New Roman" w:hAnsi="Times New Roman" w:cs="Times New Roman"/>
                <w:color w:val="auto"/>
                <w:kern w:val="0"/>
                <w:highlight w:val="none"/>
              </w:rPr>
            </w:pPr>
          </w:p>
        </w:tc>
        <w:tc>
          <w:tcPr>
            <w:tcW w:w="1940" w:type="dxa"/>
            <w:tcBorders>
              <w:tl2br w:val="nil"/>
              <w:tr2bl w:val="nil"/>
            </w:tcBorders>
            <w:vAlign w:val="center"/>
          </w:tcPr>
          <w:p w14:paraId="242175CF">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1212" w:type="dxa"/>
            <w:tcBorders>
              <w:tl2br w:val="nil"/>
              <w:tr2bl w:val="nil"/>
            </w:tcBorders>
            <w:vAlign w:val="center"/>
          </w:tcPr>
          <w:p w14:paraId="4EFFEC16">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48" w:type="dxa"/>
            <w:tcBorders>
              <w:tl2br w:val="nil"/>
              <w:tr2bl w:val="nil"/>
            </w:tcBorders>
            <w:vAlign w:val="center"/>
          </w:tcPr>
          <w:p w14:paraId="040A158B">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45" w:type="dxa"/>
            <w:tcBorders>
              <w:tl2br w:val="nil"/>
              <w:tr2bl w:val="nil"/>
            </w:tcBorders>
            <w:vAlign w:val="center"/>
          </w:tcPr>
          <w:p w14:paraId="28B6E982">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10" w:type="dxa"/>
            <w:tcBorders>
              <w:tl2br w:val="nil"/>
              <w:tr2bl w:val="nil"/>
            </w:tcBorders>
            <w:vAlign w:val="center"/>
          </w:tcPr>
          <w:p w14:paraId="58386FF7">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02" w:type="dxa"/>
            <w:tcBorders>
              <w:tl2br w:val="nil"/>
              <w:tr2bl w:val="nil"/>
            </w:tcBorders>
            <w:vAlign w:val="center"/>
          </w:tcPr>
          <w:p w14:paraId="44893C1F">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90" w:type="dxa"/>
            <w:tcBorders>
              <w:tl2br w:val="nil"/>
              <w:tr2bl w:val="nil"/>
            </w:tcBorders>
            <w:vAlign w:val="center"/>
          </w:tcPr>
          <w:p w14:paraId="2A8BDD7B">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650" w:type="dxa"/>
            <w:tcBorders>
              <w:tl2br w:val="nil"/>
              <w:tr2bl w:val="nil"/>
            </w:tcBorders>
            <w:vAlign w:val="center"/>
          </w:tcPr>
          <w:p w14:paraId="680054FD">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c>
          <w:tcPr>
            <w:tcW w:w="555" w:type="dxa"/>
            <w:tcBorders>
              <w:tl2br w:val="nil"/>
              <w:tr2bl w:val="nil"/>
            </w:tcBorders>
            <w:vAlign w:val="center"/>
          </w:tcPr>
          <w:p w14:paraId="0B8BCDC9">
            <w:pPr>
              <w:pStyle w:val="45"/>
              <w:spacing w:before="0" w:line="360" w:lineRule="exact"/>
              <w:ind w:firstLine="0" w:firstLineChars="0"/>
              <w:jc w:val="center"/>
              <w:rPr>
                <w:rFonts w:hint="default" w:ascii="Times New Roman" w:hAnsi="Times New Roman" w:cs="Times New Roman"/>
                <w:color w:val="auto"/>
                <w:sz w:val="21"/>
                <w:szCs w:val="21"/>
                <w:highlight w:val="none"/>
              </w:rPr>
            </w:pPr>
          </w:p>
        </w:tc>
      </w:tr>
      <w:tr w14:paraId="1FB147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8333" w:type="dxa"/>
            <w:gridSpan w:val="10"/>
            <w:tcBorders>
              <w:tl2br w:val="nil"/>
              <w:tr2bl w:val="nil"/>
            </w:tcBorders>
            <w:vAlign w:val="center"/>
          </w:tcPr>
          <w:p w14:paraId="00F1888B">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注：在可能产生的土壤环境影响类型处打“√”</w:t>
            </w:r>
          </w:p>
        </w:tc>
      </w:tr>
    </w:tbl>
    <w:p w14:paraId="7C82B1E5">
      <w:pPr>
        <w:tabs>
          <w:tab w:val="left" w:pos="1214"/>
        </w:tabs>
        <w:ind w:firstLine="0" w:firstLineChars="0"/>
        <w:jc w:val="center"/>
        <w:rPr>
          <w:rFonts w:hint="default" w:ascii="Times New Roman" w:hAnsi="Times New Roman" w:eastAsia="宋体" w:cs="Times New Roman"/>
          <w:b/>
          <w:color w:val="auto"/>
          <w:highlight w:val="none"/>
          <w:lang w:eastAsia="zh-CN"/>
        </w:rPr>
      </w:pPr>
      <w:r>
        <w:rPr>
          <w:rFonts w:hint="default" w:ascii="Times New Roman" w:hAnsi="Times New Roman" w:cs="Times New Roman"/>
          <w:b/>
          <w:bCs/>
          <w:color w:val="auto"/>
          <w:highlight w:val="none"/>
        </w:rPr>
        <w:t>表5.2-</w:t>
      </w:r>
      <w:r>
        <w:rPr>
          <w:rFonts w:hint="default" w:ascii="Times New Roman" w:hAnsi="Times New Roman" w:cs="Times New Roman"/>
          <w:b/>
          <w:bCs/>
          <w:color w:val="auto"/>
          <w:highlight w:val="none"/>
          <w:lang w:val="en-US" w:eastAsia="zh-CN"/>
        </w:rPr>
        <w:t>22</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土壤</w:t>
      </w:r>
      <w:r>
        <w:rPr>
          <w:rFonts w:hint="default" w:ascii="Times New Roman" w:hAnsi="Times New Roman" w:cs="Times New Roman"/>
          <w:b/>
          <w:bCs/>
          <w:color w:val="auto"/>
          <w:highlight w:val="none"/>
        </w:rPr>
        <w:t>污染物标准指数核算结果表</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mg/l</w:t>
      </w:r>
      <w:r>
        <w:rPr>
          <w:rFonts w:hint="default" w:ascii="Times New Roman" w:hAnsi="Times New Roman" w:cs="Times New Roman"/>
          <w:b/>
          <w:bCs/>
          <w:color w:val="auto"/>
          <w:highlight w:val="none"/>
          <w:lang w:eastAsia="zh-CN"/>
        </w:rPr>
        <w:t>）</w:t>
      </w:r>
    </w:p>
    <w:tbl>
      <w:tblPr>
        <w:tblStyle w:val="3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640"/>
        <w:gridCol w:w="1575"/>
        <w:gridCol w:w="1305"/>
        <w:gridCol w:w="2921"/>
        <w:gridCol w:w="2072"/>
      </w:tblGrid>
      <w:tr w14:paraId="7CBB9DB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376" w:type="pct"/>
            <w:noWrap w:val="0"/>
            <w:vAlign w:val="center"/>
          </w:tcPr>
          <w:p w14:paraId="59229010">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序号</w:t>
            </w:r>
          </w:p>
        </w:tc>
        <w:tc>
          <w:tcPr>
            <w:tcW w:w="925" w:type="pct"/>
            <w:noWrap w:val="0"/>
            <w:vAlign w:val="center"/>
          </w:tcPr>
          <w:p w14:paraId="518A7410">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监测项目</w:t>
            </w:r>
          </w:p>
        </w:tc>
        <w:tc>
          <w:tcPr>
            <w:tcW w:w="766" w:type="pct"/>
            <w:noWrap w:val="0"/>
            <w:vAlign w:val="center"/>
          </w:tcPr>
          <w:p w14:paraId="52E01853">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监测值</w:t>
            </w:r>
          </w:p>
        </w:tc>
        <w:tc>
          <w:tcPr>
            <w:tcW w:w="1715" w:type="pct"/>
            <w:shd w:val="clear" w:color="auto" w:fill="auto"/>
            <w:noWrap w:val="0"/>
            <w:vAlign w:val="center"/>
          </w:tcPr>
          <w:p w14:paraId="30527D3C">
            <w:pPr>
              <w:tabs>
                <w:tab w:val="left" w:pos="576"/>
              </w:tabs>
              <w:spacing w:line="360" w:lineRule="exact"/>
              <w:ind w:left="-72" w:leftChars="-30" w:right="-72" w:rightChars="-30" w:firstLine="0" w:firstLineChars="0"/>
              <w:jc w:val="center"/>
              <w:rPr>
                <w:rFonts w:hint="default" w:ascii="Times New Roman" w:hAnsi="Times New Roman" w:eastAsia="宋体" w:cs="Times New Roman"/>
                <w:b/>
                <w:snapToGrid w:val="0"/>
                <w:color w:val="auto"/>
                <w:kern w:val="0"/>
                <w:sz w:val="21"/>
                <w:szCs w:val="24"/>
                <w:highlight w:val="none"/>
                <w:lang w:val="en-US" w:eastAsia="zh-CN" w:bidi="ar"/>
              </w:rPr>
            </w:pPr>
            <w:r>
              <w:rPr>
                <w:rFonts w:hint="default" w:ascii="Times New Roman" w:hAnsi="Times New Roman" w:cs="Times New Roman"/>
                <w:b/>
                <w:snapToGrid w:val="0"/>
                <w:color w:val="auto"/>
                <w:kern w:val="0"/>
                <w:sz w:val="21"/>
                <w:highlight w:val="none"/>
              </w:rPr>
              <w:t>标准</w:t>
            </w:r>
          </w:p>
        </w:tc>
        <w:tc>
          <w:tcPr>
            <w:tcW w:w="1216" w:type="pct"/>
            <w:shd w:val="clear" w:color="auto" w:fill="auto"/>
            <w:noWrap w:val="0"/>
            <w:vAlign w:val="center"/>
          </w:tcPr>
          <w:p w14:paraId="18382838">
            <w:pPr>
              <w:tabs>
                <w:tab w:val="left" w:pos="576"/>
              </w:tabs>
              <w:spacing w:line="360" w:lineRule="exact"/>
              <w:ind w:left="-72" w:leftChars="-30" w:right="-72" w:rightChars="-30" w:firstLine="0" w:firstLineChars="0"/>
              <w:jc w:val="center"/>
              <w:rPr>
                <w:rFonts w:hint="default" w:ascii="Times New Roman" w:hAnsi="Times New Roman" w:eastAsia="宋体" w:cs="Times New Roman"/>
                <w:b/>
                <w:snapToGrid w:val="0"/>
                <w:color w:val="auto"/>
                <w:kern w:val="0"/>
                <w:sz w:val="21"/>
                <w:szCs w:val="24"/>
                <w:highlight w:val="none"/>
                <w:lang w:val="en-US" w:eastAsia="zh-CN" w:bidi="ar-SA"/>
              </w:rPr>
            </w:pPr>
            <w:r>
              <w:rPr>
                <w:rFonts w:hint="default" w:ascii="Times New Roman" w:hAnsi="Times New Roman" w:cs="Times New Roman"/>
                <w:b/>
                <w:snapToGrid w:val="0"/>
                <w:color w:val="auto"/>
                <w:kern w:val="0"/>
                <w:sz w:val="21"/>
                <w:highlight w:val="none"/>
                <w:lang w:bidi="ar"/>
              </w:rPr>
              <w:t>Pi</w:t>
            </w:r>
          </w:p>
        </w:tc>
      </w:tr>
      <w:tr w14:paraId="2B53146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C4B405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w:t>
            </w:r>
          </w:p>
        </w:tc>
        <w:tc>
          <w:tcPr>
            <w:tcW w:w="925" w:type="pct"/>
            <w:noWrap w:val="0"/>
            <w:vAlign w:val="center"/>
          </w:tcPr>
          <w:p w14:paraId="55A6AA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p>
        </w:tc>
        <w:tc>
          <w:tcPr>
            <w:tcW w:w="766" w:type="pct"/>
            <w:noWrap w:val="0"/>
            <w:vAlign w:val="center"/>
          </w:tcPr>
          <w:p w14:paraId="538CE1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7.6</w:t>
            </w:r>
          </w:p>
        </w:tc>
        <w:tc>
          <w:tcPr>
            <w:tcW w:w="1715" w:type="pct"/>
            <w:noWrap w:val="0"/>
            <w:vAlign w:val="center"/>
          </w:tcPr>
          <w:p w14:paraId="5A07E7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16" w:type="pct"/>
            <w:noWrap w:val="0"/>
            <w:vAlign w:val="center"/>
          </w:tcPr>
          <w:p w14:paraId="6D662A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0F8023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4F56781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2</w:t>
            </w:r>
          </w:p>
        </w:tc>
        <w:tc>
          <w:tcPr>
            <w:tcW w:w="925" w:type="pct"/>
            <w:noWrap w:val="0"/>
            <w:vAlign w:val="center"/>
          </w:tcPr>
          <w:p w14:paraId="518333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汞</w:t>
            </w:r>
          </w:p>
        </w:tc>
        <w:tc>
          <w:tcPr>
            <w:tcW w:w="766" w:type="pct"/>
            <w:noWrap w:val="0"/>
            <w:vAlign w:val="center"/>
          </w:tcPr>
          <w:p w14:paraId="534D42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0.00039</w:t>
            </w:r>
          </w:p>
        </w:tc>
        <w:tc>
          <w:tcPr>
            <w:tcW w:w="1715" w:type="pct"/>
            <w:noWrap w:val="0"/>
            <w:vAlign w:val="center"/>
          </w:tcPr>
          <w:p w14:paraId="3426BE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w:t>
            </w:r>
          </w:p>
        </w:tc>
        <w:tc>
          <w:tcPr>
            <w:tcW w:w="1216" w:type="pct"/>
            <w:noWrap w:val="0"/>
            <w:vAlign w:val="center"/>
          </w:tcPr>
          <w:p w14:paraId="6D98A8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0.00001</w:t>
            </w:r>
          </w:p>
        </w:tc>
      </w:tr>
      <w:tr w14:paraId="33E5FFA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69FE77C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3</w:t>
            </w:r>
          </w:p>
        </w:tc>
        <w:tc>
          <w:tcPr>
            <w:tcW w:w="925" w:type="pct"/>
            <w:noWrap w:val="0"/>
            <w:vAlign w:val="center"/>
          </w:tcPr>
          <w:p w14:paraId="399059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砷</w:t>
            </w:r>
          </w:p>
        </w:tc>
        <w:tc>
          <w:tcPr>
            <w:tcW w:w="766" w:type="pct"/>
            <w:noWrap w:val="0"/>
            <w:vAlign w:val="center"/>
          </w:tcPr>
          <w:p w14:paraId="068A7B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0.00034</w:t>
            </w:r>
          </w:p>
        </w:tc>
        <w:tc>
          <w:tcPr>
            <w:tcW w:w="1715" w:type="pct"/>
            <w:noWrap w:val="0"/>
            <w:vAlign w:val="center"/>
          </w:tcPr>
          <w:p w14:paraId="097B34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1216" w:type="pct"/>
            <w:noWrap w:val="0"/>
            <w:vAlign w:val="center"/>
          </w:tcPr>
          <w:p w14:paraId="060719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0.0000057</w:t>
            </w:r>
          </w:p>
        </w:tc>
      </w:tr>
      <w:tr w14:paraId="58A4ED5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161DDE4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4</w:t>
            </w:r>
          </w:p>
        </w:tc>
        <w:tc>
          <w:tcPr>
            <w:tcW w:w="925" w:type="pct"/>
            <w:noWrap w:val="0"/>
            <w:vAlign w:val="center"/>
          </w:tcPr>
          <w:p w14:paraId="15C1FE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镍</w:t>
            </w:r>
          </w:p>
        </w:tc>
        <w:tc>
          <w:tcPr>
            <w:tcW w:w="766" w:type="pct"/>
            <w:noWrap w:val="0"/>
            <w:vAlign w:val="center"/>
          </w:tcPr>
          <w:p w14:paraId="28332F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0.33</w:t>
            </w:r>
          </w:p>
        </w:tc>
        <w:tc>
          <w:tcPr>
            <w:tcW w:w="1715" w:type="pct"/>
            <w:noWrap w:val="0"/>
            <w:vAlign w:val="center"/>
          </w:tcPr>
          <w:p w14:paraId="4F149E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c>
          <w:tcPr>
            <w:tcW w:w="1216" w:type="pct"/>
            <w:noWrap w:val="0"/>
            <w:vAlign w:val="center"/>
          </w:tcPr>
          <w:p w14:paraId="734339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0.00037</w:t>
            </w:r>
          </w:p>
        </w:tc>
      </w:tr>
      <w:tr w14:paraId="64D3FBB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3548C71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5</w:t>
            </w:r>
          </w:p>
        </w:tc>
        <w:tc>
          <w:tcPr>
            <w:tcW w:w="925" w:type="pct"/>
            <w:noWrap w:val="0"/>
            <w:vAlign w:val="center"/>
          </w:tcPr>
          <w:p w14:paraId="5F3E91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eastAsia="zh-CN"/>
              </w:rPr>
              <w:t>铬</w:t>
            </w:r>
          </w:p>
        </w:tc>
        <w:tc>
          <w:tcPr>
            <w:tcW w:w="766" w:type="pct"/>
            <w:noWrap w:val="0"/>
            <w:vAlign w:val="center"/>
          </w:tcPr>
          <w:p w14:paraId="0C5527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6.0</w:t>
            </w:r>
          </w:p>
        </w:tc>
        <w:tc>
          <w:tcPr>
            <w:tcW w:w="1715" w:type="pct"/>
            <w:noWrap w:val="0"/>
            <w:vAlign w:val="center"/>
          </w:tcPr>
          <w:p w14:paraId="51E859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16" w:type="pct"/>
            <w:noWrap w:val="0"/>
            <w:vAlign w:val="center"/>
          </w:tcPr>
          <w:p w14:paraId="6BF1A0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C047B0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6232C0F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6</w:t>
            </w:r>
          </w:p>
        </w:tc>
        <w:tc>
          <w:tcPr>
            <w:tcW w:w="925" w:type="pct"/>
            <w:noWrap w:val="0"/>
            <w:vAlign w:val="center"/>
          </w:tcPr>
          <w:p w14:paraId="26FE45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六价铬</w:t>
            </w:r>
          </w:p>
        </w:tc>
        <w:tc>
          <w:tcPr>
            <w:tcW w:w="766" w:type="pct"/>
            <w:noWrap w:val="0"/>
            <w:vAlign w:val="center"/>
          </w:tcPr>
          <w:p w14:paraId="7AF5AF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715" w:type="pct"/>
            <w:noWrap w:val="0"/>
            <w:vAlign w:val="center"/>
          </w:tcPr>
          <w:p w14:paraId="0BA961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w:t>
            </w:r>
          </w:p>
        </w:tc>
        <w:tc>
          <w:tcPr>
            <w:tcW w:w="1216" w:type="pct"/>
            <w:noWrap w:val="0"/>
            <w:vAlign w:val="center"/>
          </w:tcPr>
          <w:p w14:paraId="49AD50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BDC817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4D9BFB5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7</w:t>
            </w:r>
          </w:p>
        </w:tc>
        <w:tc>
          <w:tcPr>
            <w:tcW w:w="925" w:type="pct"/>
            <w:noWrap w:val="0"/>
            <w:vAlign w:val="center"/>
          </w:tcPr>
          <w:p w14:paraId="63F651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锌</w:t>
            </w:r>
          </w:p>
        </w:tc>
        <w:tc>
          <w:tcPr>
            <w:tcW w:w="766" w:type="pct"/>
            <w:noWrap w:val="0"/>
            <w:vAlign w:val="center"/>
          </w:tcPr>
          <w:p w14:paraId="0D0614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2.5</w:t>
            </w:r>
          </w:p>
        </w:tc>
        <w:tc>
          <w:tcPr>
            <w:tcW w:w="1715" w:type="pct"/>
            <w:noWrap w:val="0"/>
            <w:vAlign w:val="center"/>
          </w:tcPr>
          <w:p w14:paraId="07FE3F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16" w:type="pct"/>
            <w:noWrap w:val="0"/>
            <w:vAlign w:val="center"/>
          </w:tcPr>
          <w:p w14:paraId="42CBB9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739566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097268F8">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8</w:t>
            </w:r>
          </w:p>
        </w:tc>
        <w:tc>
          <w:tcPr>
            <w:tcW w:w="925" w:type="pct"/>
            <w:noWrap w:val="0"/>
            <w:vAlign w:val="center"/>
          </w:tcPr>
          <w:p w14:paraId="7FE6E1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镉</w:t>
            </w:r>
          </w:p>
        </w:tc>
        <w:tc>
          <w:tcPr>
            <w:tcW w:w="766" w:type="pct"/>
            <w:noWrap w:val="0"/>
            <w:vAlign w:val="center"/>
          </w:tcPr>
          <w:p w14:paraId="6109E1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ND</w:t>
            </w:r>
          </w:p>
        </w:tc>
        <w:tc>
          <w:tcPr>
            <w:tcW w:w="1715" w:type="pct"/>
            <w:noWrap w:val="0"/>
            <w:vAlign w:val="center"/>
          </w:tcPr>
          <w:p w14:paraId="1327B2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1216" w:type="pct"/>
            <w:noWrap w:val="0"/>
            <w:vAlign w:val="center"/>
          </w:tcPr>
          <w:p w14:paraId="4BA577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8977E1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682C5CE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9</w:t>
            </w:r>
          </w:p>
        </w:tc>
        <w:tc>
          <w:tcPr>
            <w:tcW w:w="925" w:type="pct"/>
            <w:noWrap w:val="0"/>
            <w:vAlign w:val="center"/>
          </w:tcPr>
          <w:p w14:paraId="200A57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c>
          <w:tcPr>
            <w:tcW w:w="766" w:type="pct"/>
            <w:noWrap w:val="0"/>
            <w:vAlign w:val="top"/>
          </w:tcPr>
          <w:p w14:paraId="6AB3FD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napToGrid w:val="0"/>
                <w:color w:val="auto"/>
                <w:kern w:val="0"/>
                <w:sz w:val="21"/>
                <w:highlight w:val="none"/>
                <w:lang w:val="en-US" w:eastAsia="zh-CN"/>
              </w:rPr>
            </w:pPr>
            <w:r>
              <w:rPr>
                <w:rFonts w:hint="default" w:cs="Times New Roman"/>
                <w:snapToGrid w:val="0"/>
                <w:color w:val="auto"/>
                <w:kern w:val="0"/>
                <w:sz w:val="21"/>
                <w:highlight w:val="none"/>
                <w:lang w:val="en-US" w:eastAsia="zh-CN"/>
              </w:rPr>
              <w:t>3.6</w:t>
            </w:r>
          </w:p>
        </w:tc>
        <w:tc>
          <w:tcPr>
            <w:tcW w:w="1715" w:type="pct"/>
            <w:noWrap w:val="0"/>
            <w:vAlign w:val="center"/>
          </w:tcPr>
          <w:p w14:paraId="03D22A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800</w:t>
            </w:r>
          </w:p>
        </w:tc>
        <w:tc>
          <w:tcPr>
            <w:tcW w:w="1216" w:type="pct"/>
            <w:noWrap w:val="0"/>
            <w:vAlign w:val="center"/>
          </w:tcPr>
          <w:p w14:paraId="405ED3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0.0045</w:t>
            </w:r>
          </w:p>
        </w:tc>
      </w:tr>
      <w:tr w14:paraId="0DCD6AA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5C52F0D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10</w:t>
            </w:r>
          </w:p>
        </w:tc>
        <w:tc>
          <w:tcPr>
            <w:tcW w:w="925" w:type="pct"/>
            <w:noWrap w:val="0"/>
            <w:vAlign w:val="center"/>
          </w:tcPr>
          <w:p w14:paraId="76CDCE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铍</w:t>
            </w:r>
          </w:p>
        </w:tc>
        <w:tc>
          <w:tcPr>
            <w:tcW w:w="766" w:type="pct"/>
            <w:noWrap w:val="0"/>
            <w:vAlign w:val="top"/>
          </w:tcPr>
          <w:p w14:paraId="237FDB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ND</w:t>
            </w:r>
          </w:p>
        </w:tc>
        <w:tc>
          <w:tcPr>
            <w:tcW w:w="1715" w:type="pct"/>
            <w:noWrap w:val="0"/>
            <w:vAlign w:val="center"/>
          </w:tcPr>
          <w:p w14:paraId="7934BA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29</w:t>
            </w:r>
          </w:p>
        </w:tc>
        <w:tc>
          <w:tcPr>
            <w:tcW w:w="1216" w:type="pct"/>
            <w:noWrap w:val="0"/>
            <w:vAlign w:val="center"/>
          </w:tcPr>
          <w:p w14:paraId="4D89FA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129E825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65C32018">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11</w:t>
            </w:r>
          </w:p>
        </w:tc>
        <w:tc>
          <w:tcPr>
            <w:tcW w:w="925" w:type="pct"/>
            <w:noWrap w:val="0"/>
            <w:vAlign w:val="center"/>
          </w:tcPr>
          <w:p w14:paraId="4A34BE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银</w:t>
            </w:r>
          </w:p>
        </w:tc>
        <w:tc>
          <w:tcPr>
            <w:tcW w:w="766" w:type="pct"/>
            <w:noWrap w:val="0"/>
            <w:vAlign w:val="top"/>
          </w:tcPr>
          <w:p w14:paraId="184A27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3D7766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216" w:type="pct"/>
            <w:noWrap w:val="0"/>
            <w:vAlign w:val="center"/>
          </w:tcPr>
          <w:p w14:paraId="17B0C8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53A43D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36D22E0F">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12</w:t>
            </w:r>
          </w:p>
        </w:tc>
        <w:tc>
          <w:tcPr>
            <w:tcW w:w="925" w:type="pct"/>
            <w:noWrap w:val="0"/>
            <w:vAlign w:val="center"/>
          </w:tcPr>
          <w:p w14:paraId="16FA59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铜</w:t>
            </w:r>
          </w:p>
        </w:tc>
        <w:tc>
          <w:tcPr>
            <w:tcW w:w="766" w:type="pct"/>
            <w:noWrap w:val="0"/>
            <w:vAlign w:val="top"/>
          </w:tcPr>
          <w:p w14:paraId="2CEE23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0.26</w:t>
            </w:r>
          </w:p>
        </w:tc>
        <w:tc>
          <w:tcPr>
            <w:tcW w:w="1715" w:type="pct"/>
            <w:noWrap w:val="0"/>
            <w:vAlign w:val="center"/>
          </w:tcPr>
          <w:p w14:paraId="47DDED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18000</w:t>
            </w:r>
          </w:p>
        </w:tc>
        <w:tc>
          <w:tcPr>
            <w:tcW w:w="1216" w:type="pct"/>
            <w:noWrap w:val="0"/>
            <w:vAlign w:val="center"/>
          </w:tcPr>
          <w:p w14:paraId="385508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0.000014</w:t>
            </w:r>
          </w:p>
        </w:tc>
      </w:tr>
      <w:tr w14:paraId="14C0BA4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042E9B6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13</w:t>
            </w:r>
          </w:p>
        </w:tc>
        <w:tc>
          <w:tcPr>
            <w:tcW w:w="925" w:type="pct"/>
            <w:noWrap w:val="0"/>
            <w:vAlign w:val="center"/>
          </w:tcPr>
          <w:p w14:paraId="499282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钡</w:t>
            </w:r>
          </w:p>
        </w:tc>
        <w:tc>
          <w:tcPr>
            <w:tcW w:w="766" w:type="pct"/>
            <w:noWrap w:val="0"/>
            <w:vAlign w:val="top"/>
          </w:tcPr>
          <w:p w14:paraId="30049F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szCs w:val="21"/>
                <w:highlight w:val="none"/>
                <w:lang w:val="en-US" w:eastAsia="zh-CN" w:bidi="ar-SA"/>
              </w:rPr>
              <w:t>0.00267</w:t>
            </w:r>
          </w:p>
        </w:tc>
        <w:tc>
          <w:tcPr>
            <w:tcW w:w="1715" w:type="pct"/>
            <w:noWrap w:val="0"/>
            <w:vAlign w:val="center"/>
          </w:tcPr>
          <w:p w14:paraId="41BD74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216" w:type="pct"/>
            <w:noWrap w:val="0"/>
            <w:vAlign w:val="center"/>
          </w:tcPr>
          <w:p w14:paraId="2B28E1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4566219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565F879B">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14</w:t>
            </w:r>
          </w:p>
        </w:tc>
        <w:tc>
          <w:tcPr>
            <w:tcW w:w="925" w:type="pct"/>
            <w:noWrap w:val="0"/>
            <w:vAlign w:val="center"/>
          </w:tcPr>
          <w:p w14:paraId="1B381F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硒</w:t>
            </w:r>
          </w:p>
        </w:tc>
        <w:tc>
          <w:tcPr>
            <w:tcW w:w="766" w:type="pct"/>
            <w:noWrap w:val="0"/>
            <w:vAlign w:val="top"/>
          </w:tcPr>
          <w:p w14:paraId="5AE4AE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140E58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216" w:type="pct"/>
            <w:noWrap w:val="0"/>
            <w:vAlign w:val="center"/>
          </w:tcPr>
          <w:p w14:paraId="3A5A03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76CD882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376" w:type="pct"/>
            <w:noWrap w:val="0"/>
            <w:vAlign w:val="top"/>
          </w:tcPr>
          <w:p w14:paraId="17AEA97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15</w:t>
            </w:r>
          </w:p>
        </w:tc>
        <w:tc>
          <w:tcPr>
            <w:tcW w:w="925" w:type="pct"/>
            <w:noWrap w:val="0"/>
            <w:vAlign w:val="center"/>
          </w:tcPr>
          <w:p w14:paraId="5F4316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氰化物</w:t>
            </w:r>
          </w:p>
        </w:tc>
        <w:tc>
          <w:tcPr>
            <w:tcW w:w="766" w:type="pct"/>
            <w:noWrap w:val="0"/>
            <w:vAlign w:val="top"/>
          </w:tcPr>
          <w:p w14:paraId="082964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cs="Times New Roman"/>
                <w:snapToGrid w:val="0"/>
                <w:color w:val="auto"/>
                <w:kern w:val="0"/>
                <w:sz w:val="21"/>
                <w:highlight w:val="none"/>
                <w:lang w:val="en-US" w:eastAsia="zh-CN"/>
              </w:rPr>
              <w:t>ND</w:t>
            </w:r>
          </w:p>
        </w:tc>
        <w:tc>
          <w:tcPr>
            <w:tcW w:w="1715" w:type="pct"/>
            <w:noWrap w:val="0"/>
            <w:vAlign w:val="center"/>
          </w:tcPr>
          <w:p w14:paraId="2E94EC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135</w:t>
            </w:r>
          </w:p>
        </w:tc>
        <w:tc>
          <w:tcPr>
            <w:tcW w:w="1216" w:type="pct"/>
            <w:noWrap w:val="0"/>
            <w:vAlign w:val="center"/>
          </w:tcPr>
          <w:p w14:paraId="121A86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14:paraId="172D515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78795B66">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16</w:t>
            </w:r>
          </w:p>
        </w:tc>
        <w:tc>
          <w:tcPr>
            <w:tcW w:w="925" w:type="pct"/>
            <w:shd w:val="clear" w:color="auto" w:fill="auto"/>
            <w:noWrap w:val="0"/>
            <w:vAlign w:val="center"/>
          </w:tcPr>
          <w:p w14:paraId="5226ED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氟化物</w:t>
            </w:r>
          </w:p>
        </w:tc>
        <w:tc>
          <w:tcPr>
            <w:tcW w:w="766" w:type="pct"/>
            <w:shd w:val="clear" w:color="auto" w:fill="auto"/>
            <w:noWrap w:val="0"/>
            <w:vAlign w:val="top"/>
          </w:tcPr>
          <w:p w14:paraId="50820D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0.17</w:t>
            </w:r>
          </w:p>
        </w:tc>
        <w:tc>
          <w:tcPr>
            <w:tcW w:w="1715" w:type="pct"/>
            <w:shd w:val="clear" w:color="auto" w:fill="auto"/>
            <w:noWrap w:val="0"/>
            <w:vAlign w:val="center"/>
          </w:tcPr>
          <w:p w14:paraId="370840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6" w:type="pct"/>
            <w:shd w:val="clear" w:color="auto" w:fill="auto"/>
            <w:noWrap w:val="0"/>
            <w:vAlign w:val="center"/>
          </w:tcPr>
          <w:p w14:paraId="15D673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r>
      <w:tr w14:paraId="59CA441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7B59583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17</w:t>
            </w:r>
          </w:p>
        </w:tc>
        <w:tc>
          <w:tcPr>
            <w:tcW w:w="925" w:type="pct"/>
            <w:shd w:val="clear" w:color="auto" w:fill="auto"/>
            <w:noWrap w:val="0"/>
            <w:vAlign w:val="center"/>
          </w:tcPr>
          <w:p w14:paraId="046ADD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石油类</w:t>
            </w:r>
          </w:p>
        </w:tc>
        <w:tc>
          <w:tcPr>
            <w:tcW w:w="766" w:type="pct"/>
            <w:shd w:val="clear" w:color="auto" w:fill="auto"/>
            <w:noWrap w:val="0"/>
            <w:vAlign w:val="top"/>
          </w:tcPr>
          <w:p w14:paraId="6E000A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0.53</w:t>
            </w:r>
          </w:p>
        </w:tc>
        <w:tc>
          <w:tcPr>
            <w:tcW w:w="1715" w:type="pct"/>
            <w:shd w:val="clear" w:color="auto" w:fill="auto"/>
            <w:noWrap w:val="0"/>
            <w:vAlign w:val="center"/>
          </w:tcPr>
          <w:p w14:paraId="21659D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6" w:type="pct"/>
            <w:shd w:val="clear" w:color="auto" w:fill="auto"/>
            <w:noWrap w:val="0"/>
            <w:vAlign w:val="center"/>
          </w:tcPr>
          <w:p w14:paraId="2EA28B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r>
      <w:tr w14:paraId="769AC78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3FC64329">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18</w:t>
            </w:r>
          </w:p>
        </w:tc>
        <w:tc>
          <w:tcPr>
            <w:tcW w:w="925" w:type="pct"/>
            <w:shd w:val="clear" w:color="auto" w:fill="auto"/>
            <w:noWrap w:val="0"/>
            <w:vAlign w:val="center"/>
          </w:tcPr>
          <w:p w14:paraId="7F0B72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挥发酚</w:t>
            </w:r>
          </w:p>
        </w:tc>
        <w:tc>
          <w:tcPr>
            <w:tcW w:w="766" w:type="pct"/>
            <w:shd w:val="clear" w:color="auto" w:fill="auto"/>
            <w:noWrap w:val="0"/>
            <w:vAlign w:val="top"/>
          </w:tcPr>
          <w:p w14:paraId="273C96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0.02</w:t>
            </w:r>
          </w:p>
        </w:tc>
        <w:tc>
          <w:tcPr>
            <w:tcW w:w="1715" w:type="pct"/>
            <w:shd w:val="clear" w:color="auto" w:fill="auto"/>
            <w:noWrap w:val="0"/>
            <w:vAlign w:val="center"/>
          </w:tcPr>
          <w:p w14:paraId="17D0CF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6" w:type="pct"/>
            <w:shd w:val="clear" w:color="auto" w:fill="auto"/>
            <w:noWrap w:val="0"/>
            <w:vAlign w:val="center"/>
          </w:tcPr>
          <w:p w14:paraId="158DA4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r>
      <w:tr w14:paraId="54217C0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1310F62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19</w:t>
            </w:r>
          </w:p>
        </w:tc>
        <w:tc>
          <w:tcPr>
            <w:tcW w:w="925" w:type="pct"/>
            <w:shd w:val="clear" w:color="auto" w:fill="auto"/>
            <w:noWrap w:val="0"/>
            <w:vAlign w:val="center"/>
          </w:tcPr>
          <w:p w14:paraId="34488A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硫化物</w:t>
            </w:r>
          </w:p>
        </w:tc>
        <w:tc>
          <w:tcPr>
            <w:tcW w:w="766" w:type="pct"/>
            <w:shd w:val="clear" w:color="auto" w:fill="auto"/>
            <w:noWrap w:val="0"/>
            <w:vAlign w:val="top"/>
          </w:tcPr>
          <w:p w14:paraId="61C4BF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715" w:type="pct"/>
            <w:shd w:val="clear" w:color="auto" w:fill="auto"/>
            <w:noWrap w:val="0"/>
            <w:vAlign w:val="center"/>
          </w:tcPr>
          <w:p w14:paraId="6F470C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6" w:type="pct"/>
            <w:shd w:val="clear" w:color="auto" w:fill="auto"/>
            <w:noWrap w:val="0"/>
            <w:vAlign w:val="center"/>
          </w:tcPr>
          <w:p w14:paraId="19E8BB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r>
      <w:tr w14:paraId="4C880A3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6463FA09">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20</w:t>
            </w:r>
          </w:p>
        </w:tc>
        <w:tc>
          <w:tcPr>
            <w:tcW w:w="925" w:type="pct"/>
            <w:shd w:val="clear" w:color="auto" w:fill="auto"/>
            <w:noWrap w:val="0"/>
            <w:vAlign w:val="center"/>
          </w:tcPr>
          <w:p w14:paraId="057FEE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氨氮</w:t>
            </w:r>
          </w:p>
        </w:tc>
        <w:tc>
          <w:tcPr>
            <w:tcW w:w="766" w:type="pct"/>
            <w:shd w:val="clear" w:color="auto" w:fill="auto"/>
            <w:noWrap w:val="0"/>
            <w:vAlign w:val="top"/>
          </w:tcPr>
          <w:p w14:paraId="19B64C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0.396</w:t>
            </w:r>
          </w:p>
        </w:tc>
        <w:tc>
          <w:tcPr>
            <w:tcW w:w="1715" w:type="pct"/>
            <w:shd w:val="clear" w:color="auto" w:fill="auto"/>
            <w:noWrap w:val="0"/>
            <w:vAlign w:val="center"/>
          </w:tcPr>
          <w:p w14:paraId="00F087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6" w:type="pct"/>
            <w:shd w:val="clear" w:color="auto" w:fill="auto"/>
            <w:noWrap w:val="0"/>
            <w:vAlign w:val="center"/>
          </w:tcPr>
          <w:p w14:paraId="3E228F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r>
      <w:tr w14:paraId="1760A2B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top"/>
          </w:tcPr>
          <w:p w14:paraId="5DC90013">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cs="Times New Roman"/>
                <w:snapToGrid w:val="0"/>
                <w:color w:val="auto"/>
                <w:kern w:val="0"/>
                <w:sz w:val="21"/>
                <w:szCs w:val="21"/>
                <w:highlight w:val="none"/>
                <w:lang w:val="en-US" w:eastAsia="zh-CN" w:bidi="ar"/>
              </w:rPr>
              <w:t>21</w:t>
            </w:r>
          </w:p>
        </w:tc>
        <w:tc>
          <w:tcPr>
            <w:tcW w:w="925" w:type="pct"/>
            <w:shd w:val="clear" w:color="auto" w:fill="auto"/>
            <w:noWrap w:val="0"/>
            <w:vAlign w:val="center"/>
          </w:tcPr>
          <w:p w14:paraId="1EB0A7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锰</w:t>
            </w:r>
          </w:p>
        </w:tc>
        <w:tc>
          <w:tcPr>
            <w:tcW w:w="766" w:type="pct"/>
            <w:shd w:val="clear" w:color="auto" w:fill="auto"/>
            <w:noWrap w:val="0"/>
            <w:vAlign w:val="top"/>
          </w:tcPr>
          <w:p w14:paraId="4CD9E6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4"/>
                <w:highlight w:val="none"/>
                <w:lang w:val="en-US" w:eastAsia="zh-CN" w:bidi="ar-SA"/>
              </w:rPr>
            </w:pPr>
            <w:r>
              <w:rPr>
                <w:rFonts w:hint="default" w:cs="Times New Roman"/>
                <w:snapToGrid w:val="0"/>
                <w:color w:val="auto"/>
                <w:kern w:val="0"/>
                <w:sz w:val="21"/>
                <w:highlight w:val="none"/>
                <w:lang w:val="en-US" w:eastAsia="zh-CN"/>
              </w:rPr>
              <w:t>ND</w:t>
            </w:r>
          </w:p>
        </w:tc>
        <w:tc>
          <w:tcPr>
            <w:tcW w:w="1715" w:type="pct"/>
            <w:shd w:val="clear" w:color="auto" w:fill="auto"/>
            <w:noWrap w:val="0"/>
            <w:vAlign w:val="center"/>
          </w:tcPr>
          <w:p w14:paraId="7E4234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c>
          <w:tcPr>
            <w:tcW w:w="1216" w:type="pct"/>
            <w:shd w:val="clear" w:color="auto" w:fill="auto"/>
            <w:noWrap w:val="0"/>
            <w:vAlign w:val="center"/>
          </w:tcPr>
          <w:p w14:paraId="4416A3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w:t>
            </w:r>
          </w:p>
        </w:tc>
      </w:tr>
    </w:tbl>
    <w:p w14:paraId="303F1AF8">
      <w:pPr>
        <w:tabs>
          <w:tab w:val="left" w:pos="1214"/>
        </w:tabs>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表5.2-2</w:t>
      </w:r>
      <w:r>
        <w:rPr>
          <w:rFonts w:hint="default" w:cs="Times New Roman"/>
          <w:b/>
          <w:color w:val="auto"/>
          <w:highlight w:val="none"/>
          <w:lang w:val="en-US" w:eastAsia="zh-CN"/>
        </w:rPr>
        <w:t>3</w:t>
      </w:r>
      <w:r>
        <w:rPr>
          <w:rFonts w:hint="default" w:ascii="Times New Roman" w:hAnsi="Times New Roman" w:cs="Times New Roman"/>
          <w:b/>
          <w:color w:val="auto"/>
          <w:highlight w:val="none"/>
        </w:rPr>
        <w:t xml:space="preserve">    污染影响型建设项目土壤影响源及影响因子识别表</w:t>
      </w:r>
    </w:p>
    <w:tbl>
      <w:tblPr>
        <w:tblStyle w:val="33"/>
        <w:tblW w:w="83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83"/>
        <w:gridCol w:w="1789"/>
        <w:gridCol w:w="1022"/>
        <w:gridCol w:w="2996"/>
        <w:gridCol w:w="924"/>
        <w:gridCol w:w="522"/>
      </w:tblGrid>
      <w:tr w14:paraId="3D03FF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083" w:type="dxa"/>
            <w:tcBorders>
              <w:tl2br w:val="nil"/>
              <w:tr2bl w:val="nil"/>
            </w:tcBorders>
            <w:vAlign w:val="center"/>
          </w:tcPr>
          <w:p w14:paraId="005D059C">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789" w:type="dxa"/>
            <w:tcBorders>
              <w:tl2br w:val="nil"/>
              <w:tr2bl w:val="nil"/>
            </w:tcBorders>
            <w:vAlign w:val="center"/>
          </w:tcPr>
          <w:p w14:paraId="6E5F4B79">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工艺流程/节点</w:t>
            </w:r>
          </w:p>
        </w:tc>
        <w:tc>
          <w:tcPr>
            <w:tcW w:w="1022" w:type="dxa"/>
            <w:tcBorders>
              <w:tl2br w:val="nil"/>
              <w:tr2bl w:val="nil"/>
            </w:tcBorders>
            <w:vAlign w:val="center"/>
          </w:tcPr>
          <w:p w14:paraId="28C61F9C">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污染途径</w:t>
            </w:r>
          </w:p>
        </w:tc>
        <w:tc>
          <w:tcPr>
            <w:tcW w:w="2996" w:type="dxa"/>
            <w:tcBorders>
              <w:tl2br w:val="nil"/>
              <w:tr2bl w:val="nil"/>
            </w:tcBorders>
            <w:vAlign w:val="center"/>
          </w:tcPr>
          <w:p w14:paraId="77408D0B">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全部污染物指标</w:t>
            </w:r>
          </w:p>
        </w:tc>
        <w:tc>
          <w:tcPr>
            <w:tcW w:w="924" w:type="dxa"/>
            <w:tcBorders>
              <w:tl2br w:val="nil"/>
              <w:tr2bl w:val="nil"/>
            </w:tcBorders>
            <w:vAlign w:val="center"/>
          </w:tcPr>
          <w:p w14:paraId="01A7C2D4">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特征因子</w:t>
            </w:r>
          </w:p>
        </w:tc>
        <w:tc>
          <w:tcPr>
            <w:tcW w:w="522" w:type="dxa"/>
            <w:tcBorders>
              <w:tl2br w:val="nil"/>
              <w:tr2bl w:val="nil"/>
            </w:tcBorders>
            <w:vAlign w:val="center"/>
          </w:tcPr>
          <w:p w14:paraId="35B9BBD5">
            <w:pPr>
              <w:pStyle w:val="45"/>
              <w:spacing w:before="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1BC05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3" w:type="dxa"/>
            <w:tcBorders>
              <w:tl2br w:val="nil"/>
              <w:tr2bl w:val="nil"/>
            </w:tcBorders>
            <w:vAlign w:val="center"/>
          </w:tcPr>
          <w:p w14:paraId="525A2CCB">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w:t>
            </w:r>
          </w:p>
        </w:tc>
        <w:tc>
          <w:tcPr>
            <w:tcW w:w="1789" w:type="dxa"/>
            <w:tcBorders>
              <w:tl2br w:val="nil"/>
              <w:tr2bl w:val="nil"/>
            </w:tcBorders>
            <w:vAlign w:val="center"/>
          </w:tcPr>
          <w:p w14:paraId="4203E4CB">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废水管线泄漏</w:t>
            </w:r>
          </w:p>
        </w:tc>
        <w:tc>
          <w:tcPr>
            <w:tcW w:w="1022" w:type="dxa"/>
            <w:tcBorders>
              <w:tl2br w:val="nil"/>
              <w:tr2bl w:val="nil"/>
            </w:tcBorders>
            <w:vAlign w:val="center"/>
          </w:tcPr>
          <w:p w14:paraId="7876EC26">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垂直入渗</w:t>
            </w:r>
          </w:p>
        </w:tc>
        <w:tc>
          <w:tcPr>
            <w:tcW w:w="2996" w:type="dxa"/>
            <w:tcBorders>
              <w:tl2br w:val="nil"/>
              <w:tr2bl w:val="nil"/>
            </w:tcBorders>
            <w:vAlign w:val="center"/>
          </w:tcPr>
          <w:p w14:paraId="650E8E77">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pH、砷、镉、六价铬、铜、铅、汞、镍、锌</w:t>
            </w:r>
          </w:p>
        </w:tc>
        <w:tc>
          <w:tcPr>
            <w:tcW w:w="924" w:type="dxa"/>
            <w:tcBorders>
              <w:tl2br w:val="nil"/>
              <w:tr2bl w:val="nil"/>
            </w:tcBorders>
            <w:vAlign w:val="center"/>
          </w:tcPr>
          <w:p w14:paraId="61198939">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铅</w:t>
            </w:r>
          </w:p>
        </w:tc>
        <w:tc>
          <w:tcPr>
            <w:tcW w:w="522" w:type="dxa"/>
            <w:tcBorders>
              <w:tl2br w:val="nil"/>
              <w:tr2bl w:val="nil"/>
            </w:tcBorders>
            <w:vAlign w:val="center"/>
          </w:tcPr>
          <w:p w14:paraId="7C6DB1F8">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42423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3" w:type="dxa"/>
            <w:tcBorders>
              <w:tl2br w:val="nil"/>
              <w:tr2bl w:val="nil"/>
            </w:tcBorders>
            <w:vAlign w:val="center"/>
          </w:tcPr>
          <w:p w14:paraId="1D69BE4E">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1789" w:type="dxa"/>
            <w:tcBorders>
              <w:tl2br w:val="nil"/>
              <w:tr2bl w:val="nil"/>
            </w:tcBorders>
            <w:vAlign w:val="center"/>
          </w:tcPr>
          <w:p w14:paraId="3140CB21">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尾矿库溃坝</w:t>
            </w:r>
          </w:p>
        </w:tc>
        <w:tc>
          <w:tcPr>
            <w:tcW w:w="1022" w:type="dxa"/>
            <w:tcBorders>
              <w:tl2br w:val="nil"/>
              <w:tr2bl w:val="nil"/>
            </w:tcBorders>
            <w:vAlign w:val="center"/>
          </w:tcPr>
          <w:p w14:paraId="56AB5A56">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地面漫流</w:t>
            </w:r>
          </w:p>
        </w:tc>
        <w:tc>
          <w:tcPr>
            <w:tcW w:w="2996" w:type="dxa"/>
            <w:tcBorders>
              <w:tl2br w:val="nil"/>
              <w:tr2bl w:val="nil"/>
            </w:tcBorders>
            <w:vAlign w:val="center"/>
          </w:tcPr>
          <w:p w14:paraId="0DB2BE6C">
            <w:pPr>
              <w:pStyle w:val="45"/>
              <w:spacing w:before="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pH、砷、镉、六价铬、铜、铅、汞、镍、锌</w:t>
            </w:r>
          </w:p>
        </w:tc>
        <w:tc>
          <w:tcPr>
            <w:tcW w:w="924" w:type="dxa"/>
            <w:tcBorders>
              <w:tl2br w:val="nil"/>
              <w:tr2bl w:val="nil"/>
            </w:tcBorders>
            <w:vAlign w:val="center"/>
          </w:tcPr>
          <w:p w14:paraId="7E1D7C3E">
            <w:pPr>
              <w:pStyle w:val="45"/>
              <w:spacing w:before="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铅</w:t>
            </w:r>
          </w:p>
        </w:tc>
        <w:tc>
          <w:tcPr>
            <w:tcW w:w="522" w:type="dxa"/>
            <w:tcBorders>
              <w:tl2br w:val="nil"/>
              <w:tr2bl w:val="nil"/>
            </w:tcBorders>
            <w:vAlign w:val="center"/>
          </w:tcPr>
          <w:p w14:paraId="73B3F551">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079D17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3" w:type="dxa"/>
            <w:tcBorders>
              <w:tl2br w:val="nil"/>
              <w:tr2bl w:val="nil"/>
            </w:tcBorders>
            <w:vAlign w:val="center"/>
          </w:tcPr>
          <w:p w14:paraId="14AB428F">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1789" w:type="dxa"/>
            <w:tcBorders>
              <w:tl2br w:val="nil"/>
              <w:tr2bl w:val="nil"/>
            </w:tcBorders>
            <w:vAlign w:val="center"/>
          </w:tcPr>
          <w:p w14:paraId="79E4DA13">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渗滤液下渗</w:t>
            </w:r>
          </w:p>
        </w:tc>
        <w:tc>
          <w:tcPr>
            <w:tcW w:w="1022" w:type="dxa"/>
            <w:tcBorders>
              <w:tl2br w:val="nil"/>
              <w:tr2bl w:val="nil"/>
            </w:tcBorders>
            <w:vAlign w:val="center"/>
          </w:tcPr>
          <w:p w14:paraId="59BCEE93">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垂直入渗</w:t>
            </w:r>
          </w:p>
        </w:tc>
        <w:tc>
          <w:tcPr>
            <w:tcW w:w="2996" w:type="dxa"/>
            <w:tcBorders>
              <w:tl2br w:val="nil"/>
              <w:tr2bl w:val="nil"/>
            </w:tcBorders>
            <w:vAlign w:val="center"/>
          </w:tcPr>
          <w:p w14:paraId="5AD2B434">
            <w:pPr>
              <w:pStyle w:val="45"/>
              <w:spacing w:before="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pH、砷、镉、六价铬、铜、铅、汞、镍、锌</w:t>
            </w:r>
          </w:p>
        </w:tc>
        <w:tc>
          <w:tcPr>
            <w:tcW w:w="924" w:type="dxa"/>
            <w:tcBorders>
              <w:tl2br w:val="nil"/>
              <w:tr2bl w:val="nil"/>
            </w:tcBorders>
            <w:vAlign w:val="center"/>
          </w:tcPr>
          <w:p w14:paraId="58308E26">
            <w:pPr>
              <w:pStyle w:val="45"/>
              <w:spacing w:before="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铅</w:t>
            </w:r>
          </w:p>
        </w:tc>
        <w:tc>
          <w:tcPr>
            <w:tcW w:w="522" w:type="dxa"/>
            <w:tcBorders>
              <w:tl2br w:val="nil"/>
              <w:tr2bl w:val="nil"/>
            </w:tcBorders>
            <w:vAlign w:val="center"/>
          </w:tcPr>
          <w:p w14:paraId="00E07734">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F7D71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3" w:type="dxa"/>
            <w:tcBorders>
              <w:tl2br w:val="nil"/>
              <w:tr2bl w:val="nil"/>
            </w:tcBorders>
            <w:vAlign w:val="center"/>
          </w:tcPr>
          <w:p w14:paraId="56F4F00A">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1789" w:type="dxa"/>
            <w:tcBorders>
              <w:tl2br w:val="nil"/>
              <w:tr2bl w:val="nil"/>
            </w:tcBorders>
            <w:vAlign w:val="center"/>
          </w:tcPr>
          <w:p w14:paraId="3F445085">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尾矿库扬尘</w:t>
            </w:r>
          </w:p>
        </w:tc>
        <w:tc>
          <w:tcPr>
            <w:tcW w:w="1022" w:type="dxa"/>
            <w:tcBorders>
              <w:tl2br w:val="nil"/>
              <w:tr2bl w:val="nil"/>
            </w:tcBorders>
            <w:vAlign w:val="center"/>
          </w:tcPr>
          <w:p w14:paraId="38DDB241">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大气沉降</w:t>
            </w:r>
          </w:p>
        </w:tc>
        <w:tc>
          <w:tcPr>
            <w:tcW w:w="2996" w:type="dxa"/>
            <w:tcBorders>
              <w:tl2br w:val="nil"/>
              <w:tr2bl w:val="nil"/>
            </w:tcBorders>
            <w:vAlign w:val="center"/>
          </w:tcPr>
          <w:p w14:paraId="37AE02C3">
            <w:pPr>
              <w:pStyle w:val="45"/>
              <w:spacing w:before="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颗粒物</w:t>
            </w:r>
          </w:p>
        </w:tc>
        <w:tc>
          <w:tcPr>
            <w:tcW w:w="924" w:type="dxa"/>
            <w:tcBorders>
              <w:tl2br w:val="nil"/>
              <w:tr2bl w:val="nil"/>
            </w:tcBorders>
            <w:vAlign w:val="center"/>
          </w:tcPr>
          <w:p w14:paraId="5EDC15A0">
            <w:pPr>
              <w:pStyle w:val="45"/>
              <w:spacing w:before="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颗粒物</w:t>
            </w:r>
          </w:p>
        </w:tc>
        <w:tc>
          <w:tcPr>
            <w:tcW w:w="522" w:type="dxa"/>
            <w:tcBorders>
              <w:tl2br w:val="nil"/>
              <w:tr2bl w:val="nil"/>
            </w:tcBorders>
            <w:vAlign w:val="center"/>
          </w:tcPr>
          <w:p w14:paraId="18224A2C">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14:paraId="231A73F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5.2.6.2预测评价范围、时段和预测情景设置</w:t>
      </w:r>
    </w:p>
    <w:p w14:paraId="1E8FC63B">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项目的预测评价范围与调查评价范围一致，详情如下：</w:t>
      </w:r>
    </w:p>
    <w:p w14:paraId="67FA5368">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本项目选矿工业场地土壤评价范围为项目区选矿工业场地内全部及项目区选矿工业场地外1km范围内。</w:t>
      </w:r>
    </w:p>
    <w:p w14:paraId="528C39C3">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本项目重点分析运营期选矿厂废水管线</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的废水对周边区域土壤环境的影响。本次评价重点考虑尾矿砂中重金属等物质通过入渗的形式渗入周边土壤的土壤污染途径、大气污染物沉降污染途径。</w:t>
      </w:r>
    </w:p>
    <w:p w14:paraId="19882808">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表5.2-23    土壤污染途径分析表</w:t>
      </w:r>
    </w:p>
    <w:tbl>
      <w:tblPr>
        <w:tblStyle w:val="34"/>
        <w:tblW w:w="85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499"/>
        <w:gridCol w:w="4593"/>
        <w:gridCol w:w="1324"/>
      </w:tblGrid>
      <w:tr w14:paraId="2FC9C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6FD4253F">
            <w:pPr>
              <w:pStyle w:val="45"/>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污染源</w:t>
            </w:r>
          </w:p>
        </w:tc>
        <w:tc>
          <w:tcPr>
            <w:tcW w:w="1499" w:type="dxa"/>
            <w:tcBorders>
              <w:tl2br w:val="nil"/>
              <w:tr2bl w:val="nil"/>
            </w:tcBorders>
            <w:vAlign w:val="center"/>
          </w:tcPr>
          <w:p w14:paraId="6DA070EF">
            <w:pPr>
              <w:pStyle w:val="45"/>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非正常工况</w:t>
            </w:r>
          </w:p>
        </w:tc>
        <w:tc>
          <w:tcPr>
            <w:tcW w:w="4593" w:type="dxa"/>
            <w:tcBorders>
              <w:tl2br w:val="nil"/>
              <w:tr2bl w:val="nil"/>
            </w:tcBorders>
            <w:vAlign w:val="center"/>
          </w:tcPr>
          <w:p w14:paraId="42C686B2">
            <w:pPr>
              <w:pStyle w:val="45"/>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潜在污染途径</w:t>
            </w:r>
          </w:p>
        </w:tc>
        <w:tc>
          <w:tcPr>
            <w:tcW w:w="1324" w:type="dxa"/>
            <w:tcBorders>
              <w:tl2br w:val="nil"/>
              <w:tr2bl w:val="nil"/>
            </w:tcBorders>
            <w:vAlign w:val="center"/>
          </w:tcPr>
          <w:p w14:paraId="004DA2C3">
            <w:pPr>
              <w:pStyle w:val="45"/>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主要污染物</w:t>
            </w:r>
          </w:p>
        </w:tc>
      </w:tr>
      <w:tr w14:paraId="1F3B3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157C6BEE">
            <w:pPr>
              <w:pStyle w:val="45"/>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选矿厂</w:t>
            </w:r>
          </w:p>
        </w:tc>
        <w:tc>
          <w:tcPr>
            <w:tcW w:w="1499" w:type="dxa"/>
            <w:tcBorders>
              <w:tl2br w:val="nil"/>
              <w:tr2bl w:val="nil"/>
            </w:tcBorders>
            <w:vAlign w:val="center"/>
          </w:tcPr>
          <w:p w14:paraId="3D625528">
            <w:pPr>
              <w:pStyle w:val="45"/>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选矿废水输送管线破裂</w:t>
            </w:r>
          </w:p>
        </w:tc>
        <w:tc>
          <w:tcPr>
            <w:tcW w:w="4593" w:type="dxa"/>
            <w:tcBorders>
              <w:tl2br w:val="nil"/>
              <w:tr2bl w:val="nil"/>
            </w:tcBorders>
            <w:vAlign w:val="center"/>
          </w:tcPr>
          <w:p w14:paraId="7D0BDC82">
            <w:pPr>
              <w:pStyle w:val="45"/>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选矿废水输送管线破裂，造成污染物</w:t>
            </w:r>
            <w:r>
              <w:rPr>
                <w:rFonts w:hint="default" w:cs="Times New Roman"/>
                <w:color w:val="auto"/>
                <w:spacing w:val="-1"/>
                <w:sz w:val="21"/>
                <w:szCs w:val="21"/>
                <w:highlight w:val="none"/>
                <w:lang w:eastAsia="zh-CN"/>
              </w:rPr>
              <w:t>泄漏</w:t>
            </w:r>
            <w:r>
              <w:rPr>
                <w:rFonts w:hint="default" w:ascii="Times New Roman" w:hAnsi="Times New Roman" w:cs="Times New Roman"/>
                <w:color w:val="auto"/>
                <w:spacing w:val="-1"/>
                <w:sz w:val="21"/>
                <w:szCs w:val="21"/>
                <w:highlight w:val="none"/>
              </w:rPr>
              <w:t>通过入渗途径进入周边土壤环境造成污染</w:t>
            </w:r>
          </w:p>
        </w:tc>
        <w:tc>
          <w:tcPr>
            <w:tcW w:w="1324" w:type="dxa"/>
            <w:tcBorders>
              <w:tl2br w:val="nil"/>
              <w:tr2bl w:val="nil"/>
            </w:tcBorders>
            <w:shd w:val="clear" w:color="auto" w:fill="auto"/>
            <w:vAlign w:val="center"/>
          </w:tcPr>
          <w:p w14:paraId="3A3DC7B2">
            <w:pPr>
              <w:pStyle w:val="45"/>
              <w:spacing w:before="0"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r>
      <w:tr w14:paraId="6B08F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6769BAEE">
            <w:pPr>
              <w:pStyle w:val="45"/>
              <w:spacing w:before="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尾矿库</w:t>
            </w:r>
          </w:p>
        </w:tc>
        <w:tc>
          <w:tcPr>
            <w:tcW w:w="1499" w:type="dxa"/>
            <w:tcBorders>
              <w:tl2br w:val="nil"/>
              <w:tr2bl w:val="nil"/>
            </w:tcBorders>
            <w:vAlign w:val="center"/>
          </w:tcPr>
          <w:p w14:paraId="44718492">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尾矿库溃坝</w:t>
            </w:r>
          </w:p>
        </w:tc>
        <w:tc>
          <w:tcPr>
            <w:tcW w:w="4593" w:type="dxa"/>
            <w:tcBorders>
              <w:tl2br w:val="nil"/>
              <w:tr2bl w:val="nil"/>
            </w:tcBorders>
            <w:vAlign w:val="center"/>
          </w:tcPr>
          <w:p w14:paraId="70962691">
            <w:pPr>
              <w:pStyle w:val="45"/>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尾矿库溃坝，造成污染物经地面径流进入周围土壤环境造成污染</w:t>
            </w:r>
          </w:p>
        </w:tc>
        <w:tc>
          <w:tcPr>
            <w:tcW w:w="1324" w:type="dxa"/>
            <w:tcBorders>
              <w:tl2br w:val="nil"/>
              <w:tr2bl w:val="nil"/>
            </w:tcBorders>
            <w:shd w:val="clear" w:color="auto" w:fill="auto"/>
            <w:vAlign w:val="center"/>
          </w:tcPr>
          <w:p w14:paraId="23FAD182">
            <w:pPr>
              <w:pStyle w:val="45"/>
              <w:spacing w:before="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r>
      <w:tr w14:paraId="192A1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73F0176C">
            <w:pPr>
              <w:pStyle w:val="45"/>
              <w:spacing w:before="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尾矿库</w:t>
            </w:r>
          </w:p>
        </w:tc>
        <w:tc>
          <w:tcPr>
            <w:tcW w:w="1499" w:type="dxa"/>
            <w:tcBorders>
              <w:tl2br w:val="nil"/>
              <w:tr2bl w:val="nil"/>
            </w:tcBorders>
            <w:vAlign w:val="center"/>
          </w:tcPr>
          <w:p w14:paraId="47738DAF">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防渗膜破裂</w:t>
            </w:r>
          </w:p>
        </w:tc>
        <w:tc>
          <w:tcPr>
            <w:tcW w:w="4593" w:type="dxa"/>
            <w:tcBorders>
              <w:tl2br w:val="nil"/>
              <w:tr2bl w:val="nil"/>
            </w:tcBorders>
            <w:vAlign w:val="center"/>
          </w:tcPr>
          <w:p w14:paraId="1ABED31F">
            <w:pPr>
              <w:pStyle w:val="45"/>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尾矿库防渗膜破裂，造成污染物通过裂缝下渗，进入土壤，造成污染</w:t>
            </w:r>
          </w:p>
        </w:tc>
        <w:tc>
          <w:tcPr>
            <w:tcW w:w="1324" w:type="dxa"/>
            <w:tcBorders>
              <w:tl2br w:val="nil"/>
              <w:tr2bl w:val="nil"/>
            </w:tcBorders>
            <w:shd w:val="clear" w:color="auto" w:fill="auto"/>
            <w:vAlign w:val="center"/>
          </w:tcPr>
          <w:p w14:paraId="44F7C645">
            <w:pPr>
              <w:pStyle w:val="45"/>
              <w:spacing w:before="0"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r>
      <w:tr w14:paraId="78168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1C211842">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1499" w:type="dxa"/>
            <w:tcBorders>
              <w:tl2br w:val="nil"/>
              <w:tr2bl w:val="nil"/>
            </w:tcBorders>
            <w:vAlign w:val="center"/>
          </w:tcPr>
          <w:p w14:paraId="0A3BD407">
            <w:pPr>
              <w:pStyle w:val="45"/>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尾矿库扬尘</w:t>
            </w:r>
          </w:p>
        </w:tc>
        <w:tc>
          <w:tcPr>
            <w:tcW w:w="4593" w:type="dxa"/>
            <w:tcBorders>
              <w:tl2br w:val="nil"/>
              <w:tr2bl w:val="nil"/>
            </w:tcBorders>
            <w:vAlign w:val="center"/>
          </w:tcPr>
          <w:p w14:paraId="1306246A">
            <w:pPr>
              <w:pStyle w:val="45"/>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通过大气沉降飘入表层土壤，造成表层土壤污染</w:t>
            </w:r>
          </w:p>
        </w:tc>
        <w:tc>
          <w:tcPr>
            <w:tcW w:w="1324" w:type="dxa"/>
            <w:tcBorders>
              <w:tl2br w:val="nil"/>
              <w:tr2bl w:val="nil"/>
            </w:tcBorders>
            <w:vAlign w:val="center"/>
          </w:tcPr>
          <w:p w14:paraId="6CFE4A55">
            <w:pPr>
              <w:pStyle w:val="45"/>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颗粒物</w:t>
            </w:r>
          </w:p>
        </w:tc>
      </w:tr>
    </w:tbl>
    <w:p w14:paraId="22690226">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5.2.6.3预测评价因子及标准</w:t>
      </w:r>
    </w:p>
    <w:p w14:paraId="0E0AEBC4">
      <w:pPr>
        <w:pStyle w:val="41"/>
        <w:overflowPunct w:val="0"/>
        <w:topLinePunct/>
        <w:spacing w:line="480" w:lineRule="exact"/>
        <w:ind w:firstLine="480"/>
        <w:rPr>
          <w:rFonts w:hint="default" w:ascii="Times New Roman" w:hAnsi="Times New Roman" w:cs="Times New Roman"/>
          <w:bCs/>
          <w:color w:val="auto"/>
          <w:szCs w:val="24"/>
          <w:highlight w:val="none"/>
        </w:rPr>
      </w:pPr>
      <w:r>
        <w:rPr>
          <w:rFonts w:hint="default" w:ascii="Times New Roman" w:hAnsi="Times New Roman" w:cs="Times New Roman"/>
          <w:color w:val="auto"/>
          <w:szCs w:val="24"/>
          <w:highlight w:val="none"/>
        </w:rPr>
        <w:t>预测因子：本项目选矿厂土壤污染以垂直入渗为主，</w:t>
      </w:r>
      <w:r>
        <w:rPr>
          <w:rFonts w:hint="default" w:ascii="Times New Roman" w:hAnsi="Times New Roman" w:cs="Times New Roman"/>
          <w:color w:val="auto"/>
          <w:highlight w:val="none"/>
        </w:rPr>
        <w:t>项目潜在污染源对土壤环境的影响最大为</w:t>
      </w:r>
      <w:r>
        <w:rPr>
          <w:rFonts w:hint="default" w:ascii="Times New Roman" w:hAnsi="Times New Roman" w:cs="Times New Roman"/>
          <w:color w:val="auto"/>
          <w:szCs w:val="24"/>
          <w:highlight w:val="none"/>
          <w:lang w:val="en-US" w:eastAsia="zh-CN"/>
        </w:rPr>
        <w:t>铅</w:t>
      </w:r>
      <w:r>
        <w:rPr>
          <w:rFonts w:hint="default" w:ascii="Times New Roman" w:hAnsi="Times New Roman" w:cs="Times New Roman"/>
          <w:color w:val="auto"/>
          <w:szCs w:val="24"/>
          <w:highlight w:val="none"/>
        </w:rPr>
        <w:t>，因此非正常工况下，项目潜在污染源对土壤环境的影响最大为</w:t>
      </w:r>
      <w:r>
        <w:rPr>
          <w:rFonts w:hint="default" w:ascii="Times New Roman" w:hAnsi="Times New Roman" w:cs="Times New Roman"/>
          <w:color w:val="auto"/>
          <w:szCs w:val="24"/>
          <w:highlight w:val="none"/>
          <w:lang w:val="en-US" w:eastAsia="zh-CN"/>
        </w:rPr>
        <w:t>铅</w:t>
      </w:r>
      <w:r>
        <w:rPr>
          <w:rFonts w:hint="default" w:ascii="Times New Roman" w:hAnsi="Times New Roman" w:cs="Times New Roman"/>
          <w:color w:val="auto"/>
          <w:szCs w:val="24"/>
          <w:highlight w:val="none"/>
        </w:rPr>
        <w:t>，因此选取</w:t>
      </w:r>
      <w:r>
        <w:rPr>
          <w:rFonts w:hint="default" w:ascii="Times New Roman" w:hAnsi="Times New Roman" w:cs="Times New Roman"/>
          <w:color w:val="auto"/>
          <w:szCs w:val="24"/>
          <w:highlight w:val="none"/>
          <w:lang w:val="en-US" w:eastAsia="zh-CN"/>
        </w:rPr>
        <w:t>铅</w:t>
      </w:r>
      <w:r>
        <w:rPr>
          <w:rFonts w:hint="default" w:ascii="Times New Roman" w:hAnsi="Times New Roman" w:cs="Times New Roman"/>
          <w:color w:val="auto"/>
          <w:szCs w:val="24"/>
          <w:highlight w:val="none"/>
        </w:rPr>
        <w:t>作为预测评价因子，预测源强为</w:t>
      </w:r>
      <w:r>
        <w:rPr>
          <w:rFonts w:hint="default" w:cs="Times New Roman"/>
          <w:color w:val="auto"/>
          <w:szCs w:val="24"/>
          <w:highlight w:val="none"/>
          <w:lang w:val="en-US" w:eastAsia="zh-CN"/>
        </w:rPr>
        <w:t>3.6m</w:t>
      </w:r>
      <w:r>
        <w:rPr>
          <w:rFonts w:hint="default" w:ascii="Times New Roman" w:hAnsi="Times New Roman" w:cs="Times New Roman"/>
          <w:color w:val="auto"/>
          <w:szCs w:val="24"/>
          <w:highlight w:val="none"/>
        </w:rPr>
        <w:t>g/L。</w:t>
      </w:r>
    </w:p>
    <w:p w14:paraId="1CF3685A">
      <w:pPr>
        <w:pStyle w:val="41"/>
        <w:overflowPunct w:val="0"/>
        <w:topLinePunct/>
        <w:spacing w:line="480" w:lineRule="exact"/>
        <w:ind w:firstLine="480"/>
        <w:rPr>
          <w:rFonts w:hint="default" w:ascii="Times New Roman" w:hAnsi="Times New Roman" w:cs="Times New Roman"/>
          <w:bCs/>
          <w:color w:val="auto"/>
          <w:szCs w:val="24"/>
          <w:highlight w:val="none"/>
        </w:rPr>
      </w:pPr>
      <w:r>
        <w:rPr>
          <w:rFonts w:hint="default" w:ascii="Times New Roman" w:hAnsi="Times New Roman" w:cs="Times New Roman"/>
          <w:color w:val="auto"/>
          <w:szCs w:val="24"/>
          <w:highlight w:val="none"/>
        </w:rPr>
        <w:t>评价标准：本项目区域为建设用地中的第二类用地，</w:t>
      </w:r>
      <w:r>
        <w:rPr>
          <w:rFonts w:hint="default" w:ascii="Times New Roman" w:hAnsi="Times New Roman" w:cs="Times New Roman"/>
          <w:color w:val="auto"/>
          <w:spacing w:val="-1"/>
          <w:kern w:val="0"/>
          <w:highlight w:val="none"/>
          <w:lang w:bidi="ar"/>
        </w:rPr>
        <w:t>《土壤环境质量 建设用地土壤污染风险管控标准（试行）》（GB36600-2018）第二类用地</w:t>
      </w:r>
      <w:r>
        <w:rPr>
          <w:rFonts w:hint="default" w:ascii="Times New Roman" w:hAnsi="Times New Roman" w:cs="Times New Roman"/>
          <w:color w:val="auto"/>
          <w:highlight w:val="none"/>
        </w:rPr>
        <w:t>筛选值标准及《土壤环境质量 农用地土壤污染风险管控标准（试行）》（GB15618-2018）中表1农用地土壤污染风险筛选值</w:t>
      </w:r>
      <w:r>
        <w:rPr>
          <w:rFonts w:hint="default" w:ascii="Times New Roman" w:hAnsi="Times New Roman" w:cs="Times New Roman"/>
          <w:color w:val="auto"/>
          <w:szCs w:val="24"/>
          <w:highlight w:val="none"/>
        </w:rPr>
        <w:t>进行土壤污染风险筛查。</w:t>
      </w:r>
    </w:p>
    <w:p w14:paraId="1EB374B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5.2.6.4预测与评价方法</w:t>
      </w:r>
    </w:p>
    <w:p w14:paraId="65BE031D">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1、</w:t>
      </w:r>
      <w:r>
        <w:rPr>
          <w:rFonts w:hint="default" w:ascii="Times New Roman" w:hAnsi="Times New Roman" w:cs="Times New Roman"/>
          <w:color w:val="auto"/>
          <w:highlight w:val="none"/>
        </w:rPr>
        <w:t>方法选取</w:t>
      </w:r>
    </w:p>
    <w:p w14:paraId="3EBAD85D">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土壤污染影响型建设项目，评价工作等级为一级，本次评价选取（HJ964-2018）附录E推荐土壤环境影响预测方法一，该方法适用于某种物质可概化为以面源形式进入土壤环境的影响预测，包括大气沉降、地面漫流以及盐、酸、碱类等物质进入土壤环境引起的影响，较为符合本项目可能发生的土壤污染途径分析结果。具体方法如下：</w:t>
      </w:r>
    </w:p>
    <w:p w14:paraId="066907BE">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（1）单位质量土壤中某种物质的增量可用下式计算：</w:t>
      </w:r>
    </w:p>
    <w:p w14:paraId="1CA1F230">
      <w:pPr>
        <w:pStyle w:val="11"/>
        <w:widowControl w:val="0"/>
        <w:overflowPunct w:val="0"/>
        <w:topLinePunct/>
        <w:spacing w:after="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35" o:spt="75" type="#_x0000_t75" style="height:18.75pt;width:243.7pt;" o:ole="t" filled="f" o:preferrelative="t" stroked="f" coordsize="21600,21600">
            <v:path/>
            <v:fill on="f" focussize="0,0"/>
            <v:stroke on="f"/>
            <v:imagedata r:id="rId80" o:title=""/>
            <o:lock v:ext="edit" aspectratio="t"/>
            <w10:wrap type="none"/>
            <w10:anchorlock/>
          </v:shape>
          <o:OLEObject Type="Embed" ProgID="Equation.3" ShapeID="_x0000_i1035" DrawAspect="Content" ObjectID="_1468075737" r:id="rId79">
            <o:LockedField>false</o:LockedField>
          </o:OLEObject>
        </w:object>
      </w:r>
      <w:r>
        <w:rPr>
          <w:rFonts w:hint="default" w:ascii="Times New Roman" w:hAnsi="Times New Roman" w:cs="Times New Roman"/>
          <w:color w:val="auto"/>
          <w:highlight w:val="none"/>
        </w:rPr>
        <w:t xml:space="preserve">            （式1）</w:t>
      </w:r>
    </w:p>
    <w:p w14:paraId="461B965C">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i/>
          <w:iCs/>
          <w:color w:val="auto"/>
          <w:highlight w:val="none"/>
        </w:rPr>
        <w:t>S</w:t>
      </w:r>
      <w:r>
        <w:rPr>
          <w:rFonts w:hint="default" w:ascii="Times New Roman" w:hAnsi="Times New Roman" w:cs="Times New Roman"/>
          <w:color w:val="auto"/>
          <w:highlight w:val="none"/>
        </w:rPr>
        <w:t>——单位质量表层土壤中某种物质的增量，g/kg；</w:t>
      </w:r>
    </w:p>
    <w:p w14:paraId="1A30F5DF">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36" o:spt="75" type="#_x0000_t75" style="height:12pt;width:12pt;" o:ole="t" filled="f" o:preferrelative="t" stroked="f" coordsize="21600,21600">
            <v:path/>
            <v:fill on="f" focussize="0,0"/>
            <v:stroke on="f" joinstyle="miter"/>
            <v:imagedata r:id="rId82" o:title=""/>
            <o:lock v:ext="edit" aspectratio="t"/>
            <w10:wrap type="none"/>
            <w10:anchorlock/>
          </v:shape>
          <o:OLEObject Type="Embed" ProgID="Equation.3" ShapeID="_x0000_i1036" DrawAspect="Content" ObjectID="_1468075738" r:id="rId81">
            <o:LockedField>false</o:LockedField>
          </o:OLEObject>
        </w:object>
      </w:r>
      <w:r>
        <w:rPr>
          <w:rFonts w:hint="default" w:ascii="Times New Roman" w:hAnsi="Times New Roman" w:cs="Times New Roman"/>
          <w:color w:val="auto"/>
          <w:highlight w:val="none"/>
        </w:rPr>
        <w:t>——预测评价范围内单位年份表层土壤中某种物质的输入量，g；</w:t>
      </w:r>
    </w:p>
    <w:p w14:paraId="33D72855">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37" o:spt="75" type="#_x0000_t75" style="height:12pt;width:12pt;" o:ole="t" filled="f" o:preferrelative="t" stroked="f" coordsize="21600,21600">
            <v:path/>
            <v:fill on="f" focussize="0,0"/>
            <v:stroke on="f" joinstyle="miter"/>
            <v:imagedata r:id="rId84" o:title=""/>
            <o:lock v:ext="edit" aspectratio="t"/>
            <w10:wrap type="none"/>
            <w10:anchorlock/>
          </v:shape>
          <o:OLEObject Type="Embed" ProgID="Equation.3" ShapeID="_x0000_i1037" DrawAspect="Content" ObjectID="_1468075739" r:id="rId83">
            <o:LockedField>false</o:LockedField>
          </o:OLEObject>
        </w:object>
      </w:r>
      <w:r>
        <w:rPr>
          <w:rFonts w:hint="default" w:ascii="Times New Roman" w:hAnsi="Times New Roman" w:cs="Times New Roman"/>
          <w:color w:val="auto"/>
          <w:highlight w:val="none"/>
        </w:rPr>
        <w:t>——</w:t>
      </w:r>
      <w:r>
        <w:rPr>
          <w:rFonts w:hint="default" w:ascii="Times New Roman" w:hAnsi="Times New Roman" w:cs="Times New Roman"/>
          <w:color w:val="auto"/>
          <w:spacing w:val="-11"/>
          <w:highlight w:val="none"/>
        </w:rPr>
        <w:t>预测评价范围内单位年份表层土壤中某种物质经淋溶排出的量，g；</w:t>
      </w:r>
    </w:p>
    <w:p w14:paraId="0489FBBA">
      <w:pPr>
        <w:pStyle w:val="11"/>
        <w:widowControl w:val="0"/>
        <w:overflowPunct w:val="0"/>
        <w:topLinePunct/>
        <w:spacing w:after="0"/>
        <w:ind w:firstLine="480"/>
        <w:rPr>
          <w:rFonts w:hint="default" w:ascii="Times New Roman" w:hAnsi="Times New Roman" w:cs="Times New Roman"/>
          <w:color w:val="auto"/>
          <w:spacing w:val="-11"/>
          <w:highlight w:val="none"/>
        </w:rPr>
      </w:pPr>
      <w:r>
        <w:rPr>
          <w:rFonts w:hint="default" w:ascii="Times New Roman" w:hAnsi="Times New Roman" w:cs="Times New Roman"/>
          <w:color w:val="auto"/>
          <w:position w:val="-12"/>
          <w:highlight w:val="none"/>
        </w:rPr>
        <w:object>
          <v:shape id="_x0000_i1038" o:spt="75" type="#_x0000_t75" style="height:12pt;width:12pt;" o:ole="t" filled="f" o:preferrelative="t" stroked="f" coordsize="21600,21600">
            <v:path/>
            <v:fill on="f" focussize="0,0"/>
            <v:stroke on="f" joinstyle="miter"/>
            <v:imagedata r:id="rId86" o:title=""/>
            <o:lock v:ext="edit" aspectratio="t"/>
            <w10:wrap type="none"/>
            <w10:anchorlock/>
          </v:shape>
          <o:OLEObject Type="Embed" ProgID="Equation.3" ShapeID="_x0000_i1038" DrawAspect="Content" ObjectID="_1468075740" r:id="rId85">
            <o:LockedField>false</o:LockedField>
          </o:OLEObject>
        </w:object>
      </w:r>
      <w:r>
        <w:rPr>
          <w:rFonts w:hint="default" w:ascii="Times New Roman" w:hAnsi="Times New Roman" w:cs="Times New Roman"/>
          <w:color w:val="auto"/>
          <w:highlight w:val="none"/>
        </w:rPr>
        <w:t>——</w:t>
      </w:r>
      <w:r>
        <w:rPr>
          <w:rFonts w:hint="default" w:ascii="Times New Roman" w:hAnsi="Times New Roman" w:cs="Times New Roman"/>
          <w:color w:val="auto"/>
          <w:spacing w:val="-11"/>
          <w:highlight w:val="none"/>
        </w:rPr>
        <w:t>预测评价范围内单位年份表层土壤中某种物质经径流排出的量，g；</w:t>
      </w:r>
    </w:p>
    <w:p w14:paraId="6F51CD66">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39" o:spt="75" type="#_x0000_t75" style="height:12pt;width:12pt;" o:ole="t" filled="f" o:preferrelative="t" stroked="f" coordsize="21600,21600">
            <v:path/>
            <v:fill on="f" focussize="0,0"/>
            <v:stroke on="f" joinstyle="miter"/>
            <v:imagedata r:id="rId88" o:title=""/>
            <o:lock v:ext="edit" aspectratio="t"/>
            <w10:wrap type="none"/>
            <w10:anchorlock/>
          </v:shape>
          <o:OLEObject Type="Embed" ProgID="Equation.3" ShapeID="_x0000_i1039" DrawAspect="Content" ObjectID="_1468075741" r:id="rId87">
            <o:LockedField>false</o:LockedField>
          </o:OLEObject>
        </w:object>
      </w:r>
      <w:r>
        <w:rPr>
          <w:rFonts w:hint="default" w:ascii="Times New Roman" w:hAnsi="Times New Roman" w:cs="Times New Roman"/>
          <w:color w:val="auto"/>
          <w:highlight w:val="none"/>
        </w:rPr>
        <w:t>——表层土壤容重，kg/m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04E82E8B">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A——预测评价范围，m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7708CCC8">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D——表层土壤深度，一般取0.2m，可根据实际情况适当调整；</w:t>
      </w:r>
    </w:p>
    <w:p w14:paraId="25B86A01">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6"/>
          <w:highlight w:val="none"/>
        </w:rPr>
        <w:object>
          <v:shape id="_x0000_i1040" o:spt="75" type="#_x0000_t75" style="height:12pt;width:6pt;" o:ole="t" filled="f" o:preferrelative="t" stroked="f" coordsize="21600,21600">
            <v:path/>
            <v:fill on="f" focussize="0,0"/>
            <v:stroke on="f" joinstyle="miter"/>
            <v:imagedata r:id="rId90" o:title=""/>
            <o:lock v:ext="edit" aspectratio="t"/>
            <w10:wrap type="none"/>
            <w10:anchorlock/>
          </v:shape>
          <o:OLEObject Type="Embed" ProgID="Equation.3" ShapeID="_x0000_i1040" DrawAspect="Content" ObjectID="_1468075742" r:id="rId89">
            <o:LockedField>false</o:LockedField>
          </o:OLEObject>
        </w:object>
      </w:r>
      <w:r>
        <w:rPr>
          <w:rFonts w:hint="default" w:ascii="Times New Roman" w:hAnsi="Times New Roman" w:cs="Times New Roman"/>
          <w:color w:val="auto"/>
          <w:highlight w:val="none"/>
        </w:rPr>
        <w:t>——持续年份，a。</w:t>
      </w:r>
    </w:p>
    <w:p w14:paraId="26378686">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（2）单位质量土壤中某种物质的预测值可根据其增量叠加现状值进行计算：</w:t>
      </w:r>
    </w:p>
    <w:p w14:paraId="5D483715">
      <w:pPr>
        <w:pStyle w:val="11"/>
        <w:widowControl w:val="0"/>
        <w:overflowPunct w:val="0"/>
        <w:topLinePunct/>
        <w:spacing w:after="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41" o:spt="75" type="#_x0000_t75" style="height:17.25pt;width:86.2pt;" o:ole="t" filled="f" o:preferrelative="t" stroked="f" coordsize="21600,21600">
            <v:path/>
            <v:fill on="f" focussize="0,0"/>
            <v:stroke on="f"/>
            <v:imagedata r:id="rId92" o:title=""/>
            <o:lock v:ext="edit" aspectratio="t"/>
            <w10:wrap type="none"/>
            <w10:anchorlock/>
          </v:shape>
          <o:OLEObject Type="Embed" ProgID="Equation.3" ShapeID="_x0000_i1041" DrawAspect="Content" ObjectID="_1468075743" r:id="rId91">
            <o:LockedField>false</o:LockedField>
          </o:OLEObject>
        </w:object>
      </w:r>
      <w:r>
        <w:rPr>
          <w:rFonts w:hint="default" w:ascii="Times New Roman" w:hAnsi="Times New Roman" w:cs="Times New Roman"/>
          <w:color w:val="auto"/>
          <w:highlight w:val="none"/>
        </w:rPr>
        <w:t xml:space="preserve">                 （式2）</w:t>
      </w:r>
    </w:p>
    <w:p w14:paraId="36C75170">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i/>
          <w:iCs/>
          <w:color w:val="auto"/>
          <w:highlight w:val="none"/>
        </w:rPr>
        <w:t>S</w:t>
      </w:r>
      <w:r>
        <w:rPr>
          <w:rFonts w:hint="default" w:ascii="Times New Roman" w:hAnsi="Times New Roman" w:cs="Times New Roman"/>
          <w:i/>
          <w:iCs/>
          <w:color w:val="auto"/>
          <w:highlight w:val="none"/>
          <w:vertAlign w:val="subscript"/>
        </w:rPr>
        <w:t>b</w:t>
      </w:r>
      <w:r>
        <w:rPr>
          <w:rFonts w:hint="default" w:ascii="Times New Roman" w:hAnsi="Times New Roman" w:cs="Times New Roman"/>
          <w:color w:val="auto"/>
          <w:highlight w:val="none"/>
        </w:rPr>
        <w:t>——单位质量土壤中某种物质的现状值，g/kg；</w:t>
      </w:r>
    </w:p>
    <w:p w14:paraId="0EEE8CEC">
      <w:pPr>
        <w:pStyle w:val="11"/>
        <w:widowControl w:val="0"/>
        <w:overflowPunct w:val="0"/>
        <w:topLinePunct/>
        <w:spacing w:after="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S</w:t>
      </w:r>
      <w:r>
        <w:rPr>
          <w:rFonts w:hint="default" w:ascii="Times New Roman" w:hAnsi="Times New Roman" w:cs="Times New Roman"/>
          <w:color w:val="auto"/>
          <w:highlight w:val="none"/>
        </w:rPr>
        <w:t>——单位质量土壤中某种物质的预测值，g/kg。</w:t>
      </w:r>
    </w:p>
    <w:p w14:paraId="22D1CFE9">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2、</w:t>
      </w:r>
      <w:r>
        <w:rPr>
          <w:rFonts w:hint="default" w:ascii="Times New Roman" w:hAnsi="Times New Roman" w:cs="Times New Roman"/>
          <w:color w:val="auto"/>
          <w:highlight w:val="none"/>
        </w:rPr>
        <w:t>参数选取</w:t>
      </w:r>
    </w:p>
    <w:p w14:paraId="28A7596A">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表5.2-24    土壤环境影响预测参数选择</w:t>
      </w:r>
    </w:p>
    <w:tbl>
      <w:tblPr>
        <w:tblStyle w:val="34"/>
        <w:tblW w:w="8294"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78"/>
        <w:gridCol w:w="718"/>
        <w:gridCol w:w="1106"/>
        <w:gridCol w:w="4956"/>
      </w:tblGrid>
      <w:tr w14:paraId="23BEC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5D29A647">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序号</w:t>
            </w:r>
          </w:p>
        </w:tc>
        <w:tc>
          <w:tcPr>
            <w:tcW w:w="778" w:type="dxa"/>
            <w:tcBorders>
              <w:tl2br w:val="nil"/>
              <w:tr2bl w:val="nil"/>
            </w:tcBorders>
            <w:vAlign w:val="center"/>
          </w:tcPr>
          <w:p w14:paraId="0FE7D37E">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参数</w:t>
            </w:r>
          </w:p>
        </w:tc>
        <w:tc>
          <w:tcPr>
            <w:tcW w:w="718" w:type="dxa"/>
            <w:tcBorders>
              <w:tl2br w:val="nil"/>
              <w:tr2bl w:val="nil"/>
            </w:tcBorders>
            <w:vAlign w:val="center"/>
          </w:tcPr>
          <w:p w14:paraId="531EB0E4">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单位</w:t>
            </w:r>
          </w:p>
        </w:tc>
        <w:tc>
          <w:tcPr>
            <w:tcW w:w="1106" w:type="dxa"/>
            <w:tcBorders>
              <w:tl2br w:val="nil"/>
              <w:tr2bl w:val="nil"/>
            </w:tcBorders>
            <w:vAlign w:val="center"/>
          </w:tcPr>
          <w:p w14:paraId="19D145C6">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取值</w:t>
            </w:r>
          </w:p>
        </w:tc>
        <w:tc>
          <w:tcPr>
            <w:tcW w:w="4956" w:type="dxa"/>
            <w:tcBorders>
              <w:tl2br w:val="nil"/>
              <w:tr2bl w:val="nil"/>
            </w:tcBorders>
            <w:vAlign w:val="center"/>
          </w:tcPr>
          <w:p w14:paraId="35918B97">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来源</w:t>
            </w:r>
          </w:p>
        </w:tc>
      </w:tr>
      <w:tr w14:paraId="2F350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1BB6A36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778" w:type="dxa"/>
            <w:tcBorders>
              <w:tl2br w:val="nil"/>
              <w:tr2bl w:val="nil"/>
            </w:tcBorders>
            <w:vAlign w:val="center"/>
          </w:tcPr>
          <w:p w14:paraId="59B7AC1C">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I</w:t>
            </w:r>
            <w:r>
              <w:rPr>
                <w:rFonts w:hint="default" w:ascii="Times New Roman" w:hAnsi="Times New Roman" w:cs="Times New Roman"/>
                <w:i/>
                <w:iCs/>
                <w:color w:val="auto"/>
                <w:spacing w:val="-1"/>
                <w:sz w:val="21"/>
                <w:szCs w:val="21"/>
                <w:highlight w:val="none"/>
                <w:vertAlign w:val="subscript"/>
              </w:rPr>
              <w:t>S</w:t>
            </w:r>
          </w:p>
        </w:tc>
        <w:tc>
          <w:tcPr>
            <w:tcW w:w="718" w:type="dxa"/>
            <w:tcBorders>
              <w:tl2br w:val="nil"/>
              <w:tr2bl w:val="nil"/>
            </w:tcBorders>
            <w:vAlign w:val="center"/>
          </w:tcPr>
          <w:p w14:paraId="6A8B481E">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w:t>
            </w:r>
          </w:p>
        </w:tc>
        <w:tc>
          <w:tcPr>
            <w:tcW w:w="1106" w:type="dxa"/>
            <w:tcBorders>
              <w:tl2br w:val="nil"/>
              <w:tr2bl w:val="nil"/>
            </w:tcBorders>
            <w:vAlign w:val="center"/>
          </w:tcPr>
          <w:p w14:paraId="7E91F93F">
            <w:pPr>
              <w:pStyle w:val="45"/>
              <w:spacing w:before="0" w:beforeAutospacing="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70.7</w:t>
            </w:r>
          </w:p>
        </w:tc>
        <w:tc>
          <w:tcPr>
            <w:tcW w:w="4956" w:type="dxa"/>
            <w:tcBorders>
              <w:tl2br w:val="nil"/>
              <w:tr2bl w:val="nil"/>
            </w:tcBorders>
            <w:vAlign w:val="center"/>
          </w:tcPr>
          <w:p w14:paraId="11003B78">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尾矿中</w:t>
            </w:r>
            <w:r>
              <w:rPr>
                <w:rFonts w:hint="default" w:ascii="Times New Roman" w:hAnsi="Times New Roman" w:cs="Times New Roman"/>
                <w:color w:val="auto"/>
                <w:szCs w:val="24"/>
                <w:highlight w:val="none"/>
                <w:lang w:val="en-US" w:eastAsia="zh-CN"/>
              </w:rPr>
              <w:t>铅</w:t>
            </w:r>
            <w:r>
              <w:rPr>
                <w:rFonts w:hint="default" w:ascii="Times New Roman" w:hAnsi="Times New Roman" w:cs="Times New Roman"/>
                <w:color w:val="auto"/>
                <w:spacing w:val="-1"/>
                <w:sz w:val="21"/>
                <w:szCs w:val="21"/>
                <w:highlight w:val="none"/>
              </w:rPr>
              <w:t>含量*预测范围单位年份渗透量尾矿中</w:t>
            </w:r>
            <w:r>
              <w:rPr>
                <w:rFonts w:hint="default" w:ascii="Times New Roman" w:hAnsi="Times New Roman" w:cs="Times New Roman"/>
                <w:color w:val="auto"/>
                <w:szCs w:val="24"/>
                <w:highlight w:val="none"/>
                <w:lang w:val="en-US" w:eastAsia="zh-CN"/>
              </w:rPr>
              <w:t>铅</w:t>
            </w:r>
            <w:r>
              <w:rPr>
                <w:rFonts w:hint="default" w:ascii="Times New Roman" w:hAnsi="Times New Roman" w:cs="Times New Roman"/>
                <w:color w:val="auto"/>
                <w:spacing w:val="-1"/>
                <w:sz w:val="21"/>
                <w:szCs w:val="21"/>
                <w:highlight w:val="none"/>
              </w:rPr>
              <w:t>含量</w:t>
            </w:r>
            <w:r>
              <w:rPr>
                <w:rFonts w:hint="default" w:cs="Times New Roman"/>
                <w:color w:val="auto"/>
                <w:spacing w:val="-1"/>
                <w:sz w:val="21"/>
                <w:szCs w:val="21"/>
                <w:highlight w:val="none"/>
                <w:lang w:val="en-US" w:eastAsia="zh-CN"/>
              </w:rPr>
              <w:t>0.01</w:t>
            </w:r>
            <w:r>
              <w:rPr>
                <w:rFonts w:hint="default" w:ascii="Times New Roman" w:hAnsi="Times New Roman" w:cs="Times New Roman"/>
                <w:color w:val="auto"/>
                <w:spacing w:val="-1"/>
                <w:sz w:val="21"/>
                <w:szCs w:val="21"/>
                <w:highlight w:val="none"/>
              </w:rPr>
              <w:t>mg/L，每日渗水量按废水量的5%损耗率计算</w:t>
            </w:r>
          </w:p>
        </w:tc>
      </w:tr>
      <w:tr w14:paraId="39079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53916650">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w:t>
            </w:r>
          </w:p>
        </w:tc>
        <w:tc>
          <w:tcPr>
            <w:tcW w:w="778" w:type="dxa"/>
            <w:tcBorders>
              <w:tl2br w:val="nil"/>
              <w:tr2bl w:val="nil"/>
            </w:tcBorders>
            <w:vAlign w:val="center"/>
          </w:tcPr>
          <w:p w14:paraId="598920E5">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L</w:t>
            </w:r>
            <w:r>
              <w:rPr>
                <w:rFonts w:hint="default" w:ascii="Times New Roman" w:hAnsi="Times New Roman" w:cs="Times New Roman"/>
                <w:i/>
                <w:iCs/>
                <w:color w:val="auto"/>
                <w:spacing w:val="-1"/>
                <w:sz w:val="21"/>
                <w:szCs w:val="21"/>
                <w:highlight w:val="none"/>
                <w:vertAlign w:val="subscript"/>
              </w:rPr>
              <w:t>S</w:t>
            </w:r>
          </w:p>
        </w:tc>
        <w:tc>
          <w:tcPr>
            <w:tcW w:w="718" w:type="dxa"/>
            <w:tcBorders>
              <w:tl2br w:val="nil"/>
              <w:tr2bl w:val="nil"/>
            </w:tcBorders>
            <w:vAlign w:val="center"/>
          </w:tcPr>
          <w:p w14:paraId="56A1C72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w:t>
            </w:r>
          </w:p>
        </w:tc>
        <w:tc>
          <w:tcPr>
            <w:tcW w:w="1106" w:type="dxa"/>
            <w:tcBorders>
              <w:tl2br w:val="nil"/>
              <w:tr2bl w:val="nil"/>
            </w:tcBorders>
            <w:vAlign w:val="center"/>
          </w:tcPr>
          <w:p w14:paraId="27EE28D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w:t>
            </w:r>
          </w:p>
        </w:tc>
        <w:tc>
          <w:tcPr>
            <w:tcW w:w="4956" w:type="dxa"/>
            <w:tcBorders>
              <w:tl2br w:val="nil"/>
              <w:tr2bl w:val="nil"/>
            </w:tcBorders>
            <w:vAlign w:val="center"/>
          </w:tcPr>
          <w:p w14:paraId="118FA625">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按最不利情景，不考虑排出量</w:t>
            </w:r>
          </w:p>
        </w:tc>
      </w:tr>
      <w:tr w14:paraId="108A1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0424020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w:t>
            </w:r>
          </w:p>
        </w:tc>
        <w:tc>
          <w:tcPr>
            <w:tcW w:w="778" w:type="dxa"/>
            <w:tcBorders>
              <w:tl2br w:val="nil"/>
              <w:tr2bl w:val="nil"/>
            </w:tcBorders>
            <w:vAlign w:val="center"/>
          </w:tcPr>
          <w:p w14:paraId="4E41738F">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R</w:t>
            </w:r>
            <w:r>
              <w:rPr>
                <w:rFonts w:hint="default" w:ascii="Times New Roman" w:hAnsi="Times New Roman" w:cs="Times New Roman"/>
                <w:i/>
                <w:iCs/>
                <w:color w:val="auto"/>
                <w:spacing w:val="-1"/>
                <w:sz w:val="21"/>
                <w:szCs w:val="21"/>
                <w:highlight w:val="none"/>
                <w:vertAlign w:val="subscript"/>
              </w:rPr>
              <w:t>S</w:t>
            </w:r>
          </w:p>
        </w:tc>
        <w:tc>
          <w:tcPr>
            <w:tcW w:w="718" w:type="dxa"/>
            <w:tcBorders>
              <w:tl2br w:val="nil"/>
              <w:tr2bl w:val="nil"/>
            </w:tcBorders>
            <w:vAlign w:val="center"/>
          </w:tcPr>
          <w:p w14:paraId="6A271DE5">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w:t>
            </w:r>
          </w:p>
        </w:tc>
        <w:tc>
          <w:tcPr>
            <w:tcW w:w="1106" w:type="dxa"/>
            <w:tcBorders>
              <w:tl2br w:val="nil"/>
              <w:tr2bl w:val="nil"/>
            </w:tcBorders>
            <w:vAlign w:val="center"/>
          </w:tcPr>
          <w:p w14:paraId="4B64B23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w:t>
            </w:r>
          </w:p>
        </w:tc>
        <w:tc>
          <w:tcPr>
            <w:tcW w:w="4956" w:type="dxa"/>
            <w:tcBorders>
              <w:tl2br w:val="nil"/>
              <w:tr2bl w:val="nil"/>
            </w:tcBorders>
            <w:vAlign w:val="center"/>
          </w:tcPr>
          <w:p w14:paraId="7B96FB0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按最不利情景，不考虑排出量</w:t>
            </w:r>
          </w:p>
        </w:tc>
      </w:tr>
      <w:tr w14:paraId="25B9D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58DE692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w:t>
            </w:r>
          </w:p>
        </w:tc>
        <w:tc>
          <w:tcPr>
            <w:tcW w:w="778" w:type="dxa"/>
            <w:tcBorders>
              <w:tl2br w:val="nil"/>
              <w:tr2bl w:val="nil"/>
            </w:tcBorders>
            <w:vAlign w:val="center"/>
          </w:tcPr>
          <w:p w14:paraId="6ACABAA4">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ρ</w:t>
            </w:r>
            <w:r>
              <w:rPr>
                <w:rFonts w:hint="default" w:ascii="Times New Roman" w:hAnsi="Times New Roman" w:cs="Times New Roman"/>
                <w:i/>
                <w:iCs/>
                <w:color w:val="auto"/>
                <w:spacing w:val="-1"/>
                <w:sz w:val="21"/>
                <w:szCs w:val="21"/>
                <w:highlight w:val="none"/>
                <w:vertAlign w:val="subscript"/>
              </w:rPr>
              <w:t>b</w:t>
            </w:r>
          </w:p>
        </w:tc>
        <w:tc>
          <w:tcPr>
            <w:tcW w:w="718" w:type="dxa"/>
            <w:tcBorders>
              <w:tl2br w:val="nil"/>
              <w:tr2bl w:val="nil"/>
            </w:tcBorders>
            <w:vAlign w:val="center"/>
          </w:tcPr>
          <w:p w14:paraId="1BE24CB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kg/m</w:t>
            </w:r>
            <w:r>
              <w:rPr>
                <w:rFonts w:hint="default" w:ascii="Times New Roman" w:hAnsi="Times New Roman" w:cs="Times New Roman"/>
                <w:color w:val="auto"/>
                <w:sz w:val="21"/>
                <w:szCs w:val="21"/>
                <w:highlight w:val="none"/>
                <w:vertAlign w:val="superscript"/>
              </w:rPr>
              <w:t>3</w:t>
            </w:r>
          </w:p>
        </w:tc>
        <w:tc>
          <w:tcPr>
            <w:tcW w:w="1106" w:type="dxa"/>
            <w:tcBorders>
              <w:tl2br w:val="nil"/>
              <w:tr2bl w:val="nil"/>
            </w:tcBorders>
            <w:vAlign w:val="center"/>
          </w:tcPr>
          <w:p w14:paraId="620C0F18">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1400</w:t>
            </w:r>
          </w:p>
        </w:tc>
        <w:tc>
          <w:tcPr>
            <w:tcW w:w="4956" w:type="dxa"/>
            <w:tcBorders>
              <w:tl2br w:val="nil"/>
              <w:tr2bl w:val="nil"/>
            </w:tcBorders>
            <w:vAlign w:val="center"/>
          </w:tcPr>
          <w:p w14:paraId="5CDCC00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新疆盐渍化土壤容重在1.3-1.4g/cm</w:t>
            </w:r>
            <w:r>
              <w:rPr>
                <w:rFonts w:hint="default" w:ascii="Times New Roman" w:hAnsi="Times New Roman" w:cs="Times New Roman"/>
                <w:color w:val="auto"/>
                <w:spacing w:val="-1"/>
                <w:sz w:val="21"/>
                <w:szCs w:val="21"/>
                <w:highlight w:val="none"/>
                <w:vertAlign w:val="superscript"/>
              </w:rPr>
              <w:t>3</w:t>
            </w:r>
          </w:p>
        </w:tc>
      </w:tr>
      <w:tr w14:paraId="08845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3CD67C13">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5</w:t>
            </w:r>
          </w:p>
        </w:tc>
        <w:tc>
          <w:tcPr>
            <w:tcW w:w="778" w:type="dxa"/>
            <w:tcBorders>
              <w:tl2br w:val="nil"/>
              <w:tr2bl w:val="nil"/>
            </w:tcBorders>
            <w:vAlign w:val="center"/>
          </w:tcPr>
          <w:p w14:paraId="6F225B41">
            <w:pPr>
              <w:pStyle w:val="45"/>
              <w:spacing w:before="0" w:beforeAutospacing="0" w:line="360" w:lineRule="exact"/>
              <w:ind w:firstLine="0" w:firstLineChars="0"/>
              <w:jc w:val="center"/>
              <w:rPr>
                <w:rFonts w:hint="default" w:ascii="Times New Roman" w:hAnsi="Times New Roman" w:cs="Times New Roman"/>
                <w:i/>
                <w:iCs/>
                <w:color w:val="auto"/>
                <w:spacing w:val="-1"/>
                <w:sz w:val="21"/>
                <w:szCs w:val="21"/>
                <w:highlight w:val="none"/>
              </w:rPr>
            </w:pPr>
            <w:r>
              <w:rPr>
                <w:rFonts w:hint="default" w:ascii="Times New Roman" w:hAnsi="Times New Roman" w:cs="Times New Roman"/>
                <w:i/>
                <w:iCs/>
                <w:color w:val="auto"/>
                <w:spacing w:val="-1"/>
                <w:sz w:val="21"/>
                <w:szCs w:val="21"/>
                <w:highlight w:val="none"/>
              </w:rPr>
              <w:t>A</w:t>
            </w:r>
          </w:p>
        </w:tc>
        <w:tc>
          <w:tcPr>
            <w:tcW w:w="718" w:type="dxa"/>
            <w:tcBorders>
              <w:tl2br w:val="nil"/>
              <w:tr2bl w:val="nil"/>
            </w:tcBorders>
            <w:vAlign w:val="center"/>
          </w:tcPr>
          <w:p w14:paraId="359D9A13">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1106" w:type="dxa"/>
            <w:tcBorders>
              <w:tl2br w:val="nil"/>
              <w:tr2bl w:val="nil"/>
            </w:tcBorders>
            <w:vAlign w:val="center"/>
          </w:tcPr>
          <w:p w14:paraId="20F1410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cs="Times New Roman"/>
                <w:color w:val="auto"/>
                <w:spacing w:val="-1"/>
                <w:sz w:val="21"/>
                <w:szCs w:val="21"/>
                <w:highlight w:val="none"/>
                <w:lang w:val="en-US" w:eastAsia="zh-CN"/>
              </w:rPr>
              <w:t>3</w:t>
            </w:r>
            <w:r>
              <w:rPr>
                <w:rFonts w:hint="eastAsia" w:cs="Times New Roman"/>
                <w:color w:val="auto"/>
                <w:spacing w:val="-1"/>
                <w:sz w:val="21"/>
                <w:szCs w:val="21"/>
                <w:highlight w:val="none"/>
                <w:lang w:val="en-US" w:eastAsia="zh-CN"/>
              </w:rPr>
              <w:t>360</w:t>
            </w:r>
            <w:r>
              <w:rPr>
                <w:rFonts w:hint="default" w:ascii="Times New Roman" w:hAnsi="Times New Roman" w:cs="Times New Roman"/>
                <w:color w:val="auto"/>
                <w:spacing w:val="-1"/>
                <w:sz w:val="21"/>
                <w:szCs w:val="21"/>
                <w:highlight w:val="none"/>
              </w:rPr>
              <w:t>00</w:t>
            </w:r>
          </w:p>
        </w:tc>
        <w:tc>
          <w:tcPr>
            <w:tcW w:w="4956" w:type="dxa"/>
            <w:tcBorders>
              <w:tl2br w:val="nil"/>
              <w:tr2bl w:val="nil"/>
            </w:tcBorders>
            <w:vAlign w:val="center"/>
          </w:tcPr>
          <w:p w14:paraId="41C1D38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工程占地范围</w:t>
            </w:r>
          </w:p>
        </w:tc>
      </w:tr>
      <w:tr w14:paraId="03107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0AFC934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6</w:t>
            </w:r>
          </w:p>
        </w:tc>
        <w:tc>
          <w:tcPr>
            <w:tcW w:w="778" w:type="dxa"/>
            <w:tcBorders>
              <w:tl2br w:val="nil"/>
              <w:tr2bl w:val="nil"/>
            </w:tcBorders>
            <w:vAlign w:val="center"/>
          </w:tcPr>
          <w:p w14:paraId="55F25DFB">
            <w:pPr>
              <w:pStyle w:val="45"/>
              <w:spacing w:before="0" w:beforeAutospacing="0" w:line="360" w:lineRule="exact"/>
              <w:ind w:firstLine="0" w:firstLineChars="0"/>
              <w:jc w:val="center"/>
              <w:rPr>
                <w:rFonts w:hint="default" w:ascii="Times New Roman" w:hAnsi="Times New Roman" w:cs="Times New Roman"/>
                <w:i/>
                <w:iCs/>
                <w:color w:val="auto"/>
                <w:spacing w:val="-1"/>
                <w:sz w:val="21"/>
                <w:szCs w:val="21"/>
                <w:highlight w:val="none"/>
              </w:rPr>
            </w:pPr>
            <w:r>
              <w:rPr>
                <w:rFonts w:hint="default" w:ascii="Times New Roman" w:hAnsi="Times New Roman" w:cs="Times New Roman"/>
                <w:i/>
                <w:iCs/>
                <w:color w:val="auto"/>
                <w:spacing w:val="-1"/>
                <w:sz w:val="21"/>
                <w:szCs w:val="21"/>
                <w:highlight w:val="none"/>
              </w:rPr>
              <w:t>D</w:t>
            </w:r>
          </w:p>
        </w:tc>
        <w:tc>
          <w:tcPr>
            <w:tcW w:w="718" w:type="dxa"/>
            <w:tcBorders>
              <w:tl2br w:val="nil"/>
              <w:tr2bl w:val="nil"/>
            </w:tcBorders>
            <w:vAlign w:val="center"/>
          </w:tcPr>
          <w:p w14:paraId="055B02E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m</w:t>
            </w:r>
          </w:p>
        </w:tc>
        <w:tc>
          <w:tcPr>
            <w:tcW w:w="1106" w:type="dxa"/>
            <w:tcBorders>
              <w:tl2br w:val="nil"/>
              <w:tr2bl w:val="nil"/>
            </w:tcBorders>
            <w:vAlign w:val="center"/>
          </w:tcPr>
          <w:p w14:paraId="33FAF5E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0.2</w:t>
            </w:r>
          </w:p>
        </w:tc>
        <w:tc>
          <w:tcPr>
            <w:tcW w:w="4956" w:type="dxa"/>
            <w:tcBorders>
              <w:tl2br w:val="nil"/>
              <w:tr2bl w:val="nil"/>
            </w:tcBorders>
            <w:vAlign w:val="center"/>
          </w:tcPr>
          <w:p w14:paraId="6E5028A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一般取值</w:t>
            </w:r>
          </w:p>
        </w:tc>
      </w:tr>
      <w:tr w14:paraId="461BF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4C2950D2">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7</w:t>
            </w:r>
          </w:p>
        </w:tc>
        <w:tc>
          <w:tcPr>
            <w:tcW w:w="778" w:type="dxa"/>
            <w:tcBorders>
              <w:tl2br w:val="nil"/>
              <w:tr2bl w:val="nil"/>
            </w:tcBorders>
            <w:vAlign w:val="center"/>
          </w:tcPr>
          <w:p w14:paraId="02AE9B7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p>
        </w:tc>
        <w:tc>
          <w:tcPr>
            <w:tcW w:w="718" w:type="dxa"/>
            <w:tcBorders>
              <w:tl2br w:val="nil"/>
              <w:tr2bl w:val="nil"/>
            </w:tcBorders>
            <w:vAlign w:val="center"/>
          </w:tcPr>
          <w:p w14:paraId="3AEA19F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g/kg</w:t>
            </w:r>
          </w:p>
        </w:tc>
        <w:tc>
          <w:tcPr>
            <w:tcW w:w="1106" w:type="dxa"/>
            <w:tcBorders>
              <w:tl2br w:val="nil"/>
              <w:tr2bl w:val="nil"/>
            </w:tcBorders>
            <w:vAlign w:val="center"/>
          </w:tcPr>
          <w:p w14:paraId="067C25CF">
            <w:pPr>
              <w:pStyle w:val="45"/>
              <w:spacing w:before="0" w:beforeAutospacing="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rPr>
              <w:t>0.03</w:t>
            </w:r>
            <w:r>
              <w:rPr>
                <w:rFonts w:hint="default" w:cs="Times New Roman"/>
                <w:color w:val="auto"/>
                <w:spacing w:val="-1"/>
                <w:sz w:val="21"/>
                <w:szCs w:val="21"/>
                <w:highlight w:val="none"/>
                <w:lang w:val="en-US" w:eastAsia="zh-CN"/>
              </w:rPr>
              <w:t>6</w:t>
            </w:r>
          </w:p>
        </w:tc>
        <w:tc>
          <w:tcPr>
            <w:tcW w:w="4956" w:type="dxa"/>
            <w:tcBorders>
              <w:tl2br w:val="nil"/>
              <w:tr2bl w:val="nil"/>
            </w:tcBorders>
            <w:vAlign w:val="center"/>
          </w:tcPr>
          <w:p w14:paraId="310C19F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w:t>
            </w:r>
          </w:p>
        </w:tc>
      </w:tr>
    </w:tbl>
    <w:p w14:paraId="2179F2CF">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bCs/>
          <w:color w:val="auto"/>
          <w:highlight w:val="none"/>
        </w:rPr>
        <w:t>3、</w:t>
      </w:r>
      <w:r>
        <w:rPr>
          <w:rFonts w:hint="default" w:ascii="Times New Roman" w:hAnsi="Times New Roman" w:cs="Times New Roman"/>
          <w:color w:val="auto"/>
          <w:highlight w:val="none"/>
        </w:rPr>
        <w:t>预测结果</w:t>
      </w:r>
    </w:p>
    <w:p w14:paraId="14181E20">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尾矿渗滤液中</w:t>
      </w:r>
      <w:r>
        <w:rPr>
          <w:rFonts w:hint="default" w:ascii="Times New Roman" w:hAnsi="Times New Roman" w:cs="Times New Roman"/>
          <w:color w:val="auto"/>
          <w:szCs w:val="24"/>
          <w:highlight w:val="none"/>
          <w:lang w:val="en-US" w:eastAsia="zh-CN"/>
        </w:rPr>
        <w:t>铅</w:t>
      </w:r>
      <w:r>
        <w:rPr>
          <w:rFonts w:hint="default" w:ascii="Times New Roman" w:hAnsi="Times New Roman" w:cs="Times New Roman"/>
          <w:color w:val="auto"/>
          <w:highlight w:val="none"/>
        </w:rPr>
        <w:t>通过入渗途径的土壤影响预测结果，见表5.2-25。</w:t>
      </w:r>
    </w:p>
    <w:p w14:paraId="2DF6A34E">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表5.2-25    预测结果</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4265"/>
        <w:gridCol w:w="3207"/>
      </w:tblGrid>
      <w:tr w14:paraId="25BEA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615" w:type="pct"/>
            <w:tcBorders>
              <w:tl2br w:val="nil"/>
              <w:tr2bl w:val="nil"/>
            </w:tcBorders>
          </w:tcPr>
          <w:p w14:paraId="3CBFE009">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年份</w:t>
            </w:r>
          </w:p>
        </w:tc>
        <w:tc>
          <w:tcPr>
            <w:tcW w:w="2503" w:type="pct"/>
            <w:tcBorders>
              <w:tl2br w:val="nil"/>
              <w:tr2bl w:val="nil"/>
            </w:tcBorders>
          </w:tcPr>
          <w:p w14:paraId="4B9F2E3E">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单位质量表层土壤中</w:t>
            </w:r>
            <w:r>
              <w:rPr>
                <w:rFonts w:hint="default" w:ascii="Times New Roman" w:hAnsi="Times New Roman" w:cs="Times New Roman"/>
                <w:b/>
                <w:bCs/>
                <w:color w:val="auto"/>
                <w:spacing w:val="-1"/>
                <w:sz w:val="21"/>
                <w:szCs w:val="21"/>
                <w:highlight w:val="none"/>
                <w:lang w:val="en-US" w:eastAsia="zh-CN"/>
              </w:rPr>
              <w:t>铅</w:t>
            </w:r>
            <w:r>
              <w:rPr>
                <w:rFonts w:hint="default" w:ascii="Times New Roman" w:hAnsi="Times New Roman" w:cs="Times New Roman"/>
                <w:b/>
                <w:bCs/>
                <w:color w:val="auto"/>
                <w:spacing w:val="-1"/>
                <w:sz w:val="21"/>
                <w:szCs w:val="21"/>
                <w:highlight w:val="none"/>
              </w:rPr>
              <w:t>的预测值（mg/kg）</w:t>
            </w:r>
          </w:p>
        </w:tc>
        <w:tc>
          <w:tcPr>
            <w:tcW w:w="1882" w:type="pct"/>
            <w:tcBorders>
              <w:tl2br w:val="nil"/>
              <w:tr2bl w:val="nil"/>
            </w:tcBorders>
          </w:tcPr>
          <w:p w14:paraId="107229A2">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预测结果（mg/kg）</w:t>
            </w:r>
          </w:p>
        </w:tc>
      </w:tr>
      <w:tr w14:paraId="3ACC2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tcPr>
          <w:p w14:paraId="3BBD68C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2503" w:type="pct"/>
            <w:tcBorders>
              <w:tl2br w:val="nil"/>
              <w:tr2bl w:val="nil"/>
            </w:tcBorders>
          </w:tcPr>
          <w:p w14:paraId="37249FC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0.03</w:t>
            </w:r>
            <w:r>
              <w:rPr>
                <w:rFonts w:hint="default" w:cs="Times New Roman"/>
                <w:color w:val="auto"/>
                <w:spacing w:val="-1"/>
                <w:sz w:val="21"/>
                <w:szCs w:val="21"/>
                <w:highlight w:val="none"/>
                <w:lang w:val="en-US" w:eastAsia="zh-CN"/>
              </w:rPr>
              <w:t>6</w:t>
            </w:r>
            <w:r>
              <w:rPr>
                <w:rFonts w:hint="default" w:ascii="Times New Roman" w:hAnsi="Times New Roman" w:cs="Times New Roman"/>
                <w:color w:val="auto"/>
                <w:spacing w:val="-1"/>
                <w:sz w:val="21"/>
                <w:szCs w:val="21"/>
                <w:highlight w:val="none"/>
              </w:rPr>
              <w:t>+△S（△S=7.85×10⁻⁷g/kg）</w:t>
            </w:r>
          </w:p>
        </w:tc>
        <w:tc>
          <w:tcPr>
            <w:tcW w:w="1882" w:type="pct"/>
            <w:tcBorders>
              <w:tl2br w:val="nil"/>
              <w:tr2bl w:val="nil"/>
            </w:tcBorders>
          </w:tcPr>
          <w:p w14:paraId="7A4E1CFC">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36.0008</w:t>
            </w:r>
          </w:p>
        </w:tc>
      </w:tr>
      <w:tr w14:paraId="583C8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tcPr>
          <w:p w14:paraId="18C50B7C">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cs="Times New Roman"/>
                <w:color w:val="auto"/>
                <w:spacing w:val="-1"/>
                <w:sz w:val="21"/>
                <w:szCs w:val="21"/>
                <w:highlight w:val="none"/>
                <w:lang w:val="en-US" w:eastAsia="zh-CN"/>
              </w:rPr>
              <w:t>5</w:t>
            </w:r>
          </w:p>
        </w:tc>
        <w:tc>
          <w:tcPr>
            <w:tcW w:w="2503" w:type="pct"/>
            <w:tcBorders>
              <w:tl2br w:val="nil"/>
              <w:tr2bl w:val="nil"/>
            </w:tcBorders>
          </w:tcPr>
          <w:p w14:paraId="2CC65C1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0.03</w:t>
            </w:r>
            <w:r>
              <w:rPr>
                <w:rFonts w:hint="default" w:cs="Times New Roman"/>
                <w:color w:val="auto"/>
                <w:spacing w:val="-1"/>
                <w:sz w:val="21"/>
                <w:szCs w:val="21"/>
                <w:highlight w:val="none"/>
                <w:lang w:val="en-US" w:eastAsia="zh-CN"/>
              </w:rPr>
              <w:t>6</w:t>
            </w:r>
            <w:r>
              <w:rPr>
                <w:rFonts w:hint="default" w:ascii="Times New Roman" w:hAnsi="Times New Roman" w:cs="Times New Roman"/>
                <w:color w:val="auto"/>
                <w:spacing w:val="-1"/>
                <w:sz w:val="21"/>
                <w:szCs w:val="21"/>
                <w:highlight w:val="none"/>
              </w:rPr>
              <w:t>+△S（△S=3.93×10⁻⁶g/kg）</w:t>
            </w:r>
          </w:p>
        </w:tc>
        <w:tc>
          <w:tcPr>
            <w:tcW w:w="1882" w:type="pct"/>
            <w:tcBorders>
              <w:tl2br w:val="nil"/>
              <w:tr2bl w:val="nil"/>
            </w:tcBorders>
          </w:tcPr>
          <w:p w14:paraId="6685C978">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36.0039</w:t>
            </w:r>
          </w:p>
        </w:tc>
      </w:tr>
      <w:tr w14:paraId="46548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pct"/>
            <w:tcBorders>
              <w:tl2br w:val="nil"/>
              <w:tr2bl w:val="nil"/>
            </w:tcBorders>
          </w:tcPr>
          <w:p w14:paraId="0AA6BD4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cs="Times New Roman"/>
                <w:color w:val="auto"/>
                <w:spacing w:val="-1"/>
                <w:sz w:val="21"/>
                <w:szCs w:val="21"/>
                <w:highlight w:val="none"/>
                <w:lang w:val="en-US" w:eastAsia="zh-CN"/>
              </w:rPr>
              <w:t>10</w:t>
            </w:r>
          </w:p>
        </w:tc>
        <w:tc>
          <w:tcPr>
            <w:tcW w:w="2503" w:type="pct"/>
            <w:tcBorders>
              <w:tl2br w:val="nil"/>
              <w:tr2bl w:val="nil"/>
            </w:tcBorders>
          </w:tcPr>
          <w:p w14:paraId="0E5B62D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0.03</w:t>
            </w:r>
            <w:r>
              <w:rPr>
                <w:rFonts w:hint="default" w:cs="Times New Roman"/>
                <w:color w:val="auto"/>
                <w:spacing w:val="-1"/>
                <w:sz w:val="21"/>
                <w:szCs w:val="21"/>
                <w:highlight w:val="none"/>
                <w:lang w:val="en-US" w:eastAsia="zh-CN"/>
              </w:rPr>
              <w:t>6</w:t>
            </w:r>
            <w:r>
              <w:rPr>
                <w:rFonts w:hint="default" w:ascii="Times New Roman" w:hAnsi="Times New Roman" w:cs="Times New Roman"/>
                <w:color w:val="auto"/>
                <w:spacing w:val="-1"/>
                <w:sz w:val="21"/>
                <w:szCs w:val="21"/>
                <w:highlight w:val="none"/>
              </w:rPr>
              <w:t>+△S（△S=7.85×10⁻⁶g/kg）</w:t>
            </w:r>
          </w:p>
        </w:tc>
        <w:tc>
          <w:tcPr>
            <w:tcW w:w="1882" w:type="pct"/>
            <w:tcBorders>
              <w:tl2br w:val="nil"/>
              <w:tr2bl w:val="nil"/>
            </w:tcBorders>
          </w:tcPr>
          <w:p w14:paraId="0FD4394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36.0079</w:t>
            </w:r>
          </w:p>
        </w:tc>
      </w:tr>
      <w:tr w14:paraId="36569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tcPr>
          <w:p w14:paraId="3203AF35">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r>
              <w:rPr>
                <w:rFonts w:hint="default" w:cs="Times New Roman"/>
                <w:color w:val="auto"/>
                <w:spacing w:val="-1"/>
                <w:sz w:val="21"/>
                <w:szCs w:val="21"/>
                <w:highlight w:val="none"/>
                <w:lang w:val="en-US" w:eastAsia="zh-CN"/>
              </w:rPr>
              <w:t>5</w:t>
            </w:r>
          </w:p>
        </w:tc>
        <w:tc>
          <w:tcPr>
            <w:tcW w:w="2503" w:type="pct"/>
            <w:tcBorders>
              <w:tl2br w:val="nil"/>
              <w:tr2bl w:val="nil"/>
            </w:tcBorders>
          </w:tcPr>
          <w:p w14:paraId="6AD66A53">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0.03</w:t>
            </w:r>
            <w:r>
              <w:rPr>
                <w:rFonts w:hint="default" w:cs="Times New Roman"/>
                <w:color w:val="auto"/>
                <w:spacing w:val="-1"/>
                <w:sz w:val="21"/>
                <w:szCs w:val="21"/>
                <w:highlight w:val="none"/>
                <w:lang w:val="en-US" w:eastAsia="zh-CN"/>
              </w:rPr>
              <w:t>6</w:t>
            </w:r>
            <w:r>
              <w:rPr>
                <w:rFonts w:hint="default" w:ascii="Times New Roman" w:hAnsi="Times New Roman" w:cs="Times New Roman"/>
                <w:color w:val="auto"/>
                <w:spacing w:val="-1"/>
                <w:sz w:val="21"/>
                <w:szCs w:val="21"/>
                <w:highlight w:val="none"/>
              </w:rPr>
              <w:t>+△S（△S=1.18×10⁻⁵g/kg）</w:t>
            </w:r>
          </w:p>
        </w:tc>
        <w:tc>
          <w:tcPr>
            <w:tcW w:w="1882" w:type="pct"/>
            <w:tcBorders>
              <w:tl2br w:val="nil"/>
              <w:tr2bl w:val="nil"/>
            </w:tcBorders>
          </w:tcPr>
          <w:p w14:paraId="36C7A39C">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36.0118</w:t>
            </w:r>
          </w:p>
        </w:tc>
      </w:tr>
      <w:tr w14:paraId="5073B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tcPr>
          <w:p w14:paraId="401C6FD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w:t>
            </w:r>
          </w:p>
        </w:tc>
        <w:tc>
          <w:tcPr>
            <w:tcW w:w="2503" w:type="pct"/>
            <w:tcBorders>
              <w:tl2br w:val="nil"/>
              <w:tr2bl w:val="nil"/>
            </w:tcBorders>
          </w:tcPr>
          <w:p w14:paraId="60DAC64E">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0.03</w:t>
            </w:r>
            <w:r>
              <w:rPr>
                <w:rFonts w:hint="default" w:cs="Times New Roman"/>
                <w:color w:val="auto"/>
                <w:spacing w:val="-1"/>
                <w:sz w:val="21"/>
                <w:szCs w:val="21"/>
                <w:highlight w:val="none"/>
                <w:lang w:val="en-US" w:eastAsia="zh-CN"/>
              </w:rPr>
              <w:t>6</w:t>
            </w:r>
            <w:r>
              <w:rPr>
                <w:rFonts w:hint="default" w:ascii="Times New Roman" w:hAnsi="Times New Roman" w:cs="Times New Roman"/>
                <w:color w:val="auto"/>
                <w:spacing w:val="-1"/>
                <w:sz w:val="21"/>
                <w:szCs w:val="21"/>
                <w:highlight w:val="none"/>
              </w:rPr>
              <w:t>+△S（△S=1.57×10⁻⁵g/kg）</w:t>
            </w:r>
          </w:p>
        </w:tc>
        <w:tc>
          <w:tcPr>
            <w:tcW w:w="1882" w:type="pct"/>
            <w:tcBorders>
              <w:tl2br w:val="nil"/>
              <w:tr2bl w:val="nil"/>
            </w:tcBorders>
          </w:tcPr>
          <w:p w14:paraId="577582B0">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36.0157</w:t>
            </w:r>
          </w:p>
        </w:tc>
      </w:tr>
      <w:tr w14:paraId="0CCA5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tcPr>
          <w:p w14:paraId="1D4CC2FD">
            <w:pPr>
              <w:pStyle w:val="45"/>
              <w:spacing w:before="0" w:beforeAutospacing="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25</w:t>
            </w:r>
          </w:p>
        </w:tc>
        <w:tc>
          <w:tcPr>
            <w:tcW w:w="2503" w:type="pct"/>
            <w:tcBorders>
              <w:tl2br w:val="nil"/>
              <w:tr2bl w:val="nil"/>
            </w:tcBorders>
          </w:tcPr>
          <w:p w14:paraId="0DF016E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0.03</w:t>
            </w:r>
            <w:r>
              <w:rPr>
                <w:rFonts w:hint="default" w:ascii="Times New Roman" w:hAnsi="Times New Roman" w:cs="Times New Roman"/>
                <w:color w:val="auto"/>
                <w:spacing w:val="-1"/>
                <w:sz w:val="21"/>
                <w:szCs w:val="21"/>
                <w:highlight w:val="none"/>
                <w:lang w:val="en-US" w:eastAsia="zh-CN"/>
              </w:rPr>
              <w:t>6</w:t>
            </w:r>
            <w:r>
              <w:rPr>
                <w:rFonts w:hint="default" w:ascii="Times New Roman" w:hAnsi="Times New Roman" w:cs="Times New Roman"/>
                <w:color w:val="auto"/>
                <w:spacing w:val="-1"/>
                <w:sz w:val="21"/>
                <w:szCs w:val="21"/>
                <w:highlight w:val="none"/>
              </w:rPr>
              <w:t>+△S（△S=1.96×10⁻⁵g/kg）</w:t>
            </w:r>
          </w:p>
        </w:tc>
        <w:tc>
          <w:tcPr>
            <w:tcW w:w="1882" w:type="pct"/>
            <w:tcBorders>
              <w:tl2br w:val="nil"/>
              <w:tr2bl w:val="nil"/>
            </w:tcBorders>
          </w:tcPr>
          <w:p w14:paraId="2BEDFBE5">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36.0196</w:t>
            </w:r>
          </w:p>
        </w:tc>
      </w:tr>
    </w:tbl>
    <w:p w14:paraId="7C0ACC5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5.2.6.5大气沉降预测</w:t>
      </w:r>
    </w:p>
    <w:p w14:paraId="390C35CB">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（1）单位质量土壤中某种物质的增量可用下式计算：</w:t>
      </w:r>
    </w:p>
    <w:p w14:paraId="3FE153E9">
      <w:pPr>
        <w:pStyle w:val="11"/>
        <w:widowControl w:val="0"/>
        <w:overflowPunct w:val="0"/>
        <w:topLinePunct/>
        <w:spacing w:after="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42" o:spt="75" type="#_x0000_t75" style="height:15.75pt;width:204.7pt;" o:ole="t" filled="f" o:preferrelative="t" stroked="f" coordsize="21600,21600">
            <v:path/>
            <v:fill on="f" focussize="0,0"/>
            <v:stroke on="f"/>
            <v:imagedata r:id="rId80" o:title=""/>
            <o:lock v:ext="edit" aspectratio="t"/>
            <w10:wrap type="none"/>
            <w10:anchorlock/>
          </v:shape>
          <o:OLEObject Type="Embed" ProgID="Equation.3" ShapeID="_x0000_i1042" DrawAspect="Content" ObjectID="_1468075744" r:id="rId93">
            <o:LockedField>false</o:LockedField>
          </o:OLEObject>
        </w:object>
      </w:r>
      <w:r>
        <w:rPr>
          <w:rFonts w:hint="default" w:ascii="Times New Roman" w:hAnsi="Times New Roman" w:cs="Times New Roman"/>
          <w:color w:val="auto"/>
          <w:highlight w:val="none"/>
        </w:rPr>
        <w:t xml:space="preserve">            （式1）</w:t>
      </w:r>
    </w:p>
    <w:p w14:paraId="60AE7B12">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i/>
          <w:iCs/>
          <w:color w:val="auto"/>
          <w:highlight w:val="none"/>
        </w:rPr>
        <w:t>S</w:t>
      </w:r>
      <w:r>
        <w:rPr>
          <w:rFonts w:hint="default" w:ascii="Times New Roman" w:hAnsi="Times New Roman" w:cs="Times New Roman"/>
          <w:color w:val="auto"/>
          <w:highlight w:val="none"/>
        </w:rPr>
        <w:t>——单位质量表层土壤中某种物质的增量，g/kg；</w:t>
      </w:r>
    </w:p>
    <w:p w14:paraId="30C60967">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43" o:spt="75" type="#_x0000_t75" style="height:12pt;width:12pt;" o:ole="t" filled="f" o:preferrelative="t" stroked="f" coordsize="21600,21600">
            <v:path/>
            <v:fill on="f" focussize="0,0"/>
            <v:stroke on="f" joinstyle="miter"/>
            <v:imagedata r:id="rId82" o:title=""/>
            <o:lock v:ext="edit" aspectratio="t"/>
            <w10:wrap type="none"/>
            <w10:anchorlock/>
          </v:shape>
          <o:OLEObject Type="Embed" ProgID="Equation.3" ShapeID="_x0000_i1043" DrawAspect="Content" ObjectID="_1468075745" r:id="rId94">
            <o:LockedField>false</o:LockedField>
          </o:OLEObject>
        </w:object>
      </w:r>
      <w:r>
        <w:rPr>
          <w:rFonts w:hint="default" w:ascii="Times New Roman" w:hAnsi="Times New Roman" w:cs="Times New Roman"/>
          <w:color w:val="auto"/>
          <w:highlight w:val="none"/>
        </w:rPr>
        <w:t>——预测评价范围内单位年份表层土壤中某种物质的输入量，g；</w:t>
      </w:r>
    </w:p>
    <w:p w14:paraId="2837ADEE">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44" o:spt="75" type="#_x0000_t75" style="height:12pt;width:12pt;" o:ole="t" filled="f" o:preferrelative="t" stroked="f" coordsize="21600,21600">
            <v:path/>
            <v:fill on="f" focussize="0,0"/>
            <v:stroke on="f" joinstyle="miter"/>
            <v:imagedata r:id="rId84" o:title=""/>
            <o:lock v:ext="edit" aspectratio="t"/>
            <w10:wrap type="none"/>
            <w10:anchorlock/>
          </v:shape>
          <o:OLEObject Type="Embed" ProgID="Equation.3" ShapeID="_x0000_i1044" DrawAspect="Content" ObjectID="_1468075746" r:id="rId95">
            <o:LockedField>false</o:LockedField>
          </o:OLEObject>
        </w:object>
      </w:r>
      <w:r>
        <w:rPr>
          <w:rFonts w:hint="default" w:ascii="Times New Roman" w:hAnsi="Times New Roman" w:cs="Times New Roman"/>
          <w:color w:val="auto"/>
          <w:highlight w:val="none"/>
        </w:rPr>
        <w:t>——</w:t>
      </w:r>
      <w:r>
        <w:rPr>
          <w:rFonts w:hint="default" w:ascii="Times New Roman" w:hAnsi="Times New Roman" w:cs="Times New Roman"/>
          <w:color w:val="auto"/>
          <w:spacing w:val="-11"/>
          <w:highlight w:val="none"/>
        </w:rPr>
        <w:t>预测评价范围内单位年份表层土壤中某种物质经淋溶排出的量，g；</w:t>
      </w:r>
    </w:p>
    <w:p w14:paraId="6CB3A827">
      <w:pPr>
        <w:pStyle w:val="11"/>
        <w:widowControl w:val="0"/>
        <w:overflowPunct w:val="0"/>
        <w:topLinePunct/>
        <w:spacing w:after="0"/>
        <w:ind w:firstLine="480"/>
        <w:rPr>
          <w:rFonts w:hint="default" w:ascii="Times New Roman" w:hAnsi="Times New Roman" w:cs="Times New Roman"/>
          <w:color w:val="auto"/>
          <w:spacing w:val="-11"/>
          <w:highlight w:val="none"/>
        </w:rPr>
      </w:pPr>
      <w:r>
        <w:rPr>
          <w:rFonts w:hint="default" w:ascii="Times New Roman" w:hAnsi="Times New Roman" w:cs="Times New Roman"/>
          <w:color w:val="auto"/>
          <w:position w:val="-12"/>
          <w:highlight w:val="none"/>
        </w:rPr>
        <w:object>
          <v:shape id="_x0000_i1045" o:spt="75" type="#_x0000_t75" style="height:12pt;width:12pt;" o:ole="t" filled="f" o:preferrelative="t" stroked="f" coordsize="21600,21600">
            <v:path/>
            <v:fill on="f" focussize="0,0"/>
            <v:stroke on="f" joinstyle="miter"/>
            <v:imagedata r:id="rId86" o:title=""/>
            <o:lock v:ext="edit" aspectratio="t"/>
            <w10:wrap type="none"/>
            <w10:anchorlock/>
          </v:shape>
          <o:OLEObject Type="Embed" ProgID="Equation.3" ShapeID="_x0000_i1045" DrawAspect="Content" ObjectID="_1468075747" r:id="rId96">
            <o:LockedField>false</o:LockedField>
          </o:OLEObject>
        </w:object>
      </w:r>
      <w:r>
        <w:rPr>
          <w:rFonts w:hint="default" w:ascii="Times New Roman" w:hAnsi="Times New Roman" w:cs="Times New Roman"/>
          <w:color w:val="auto"/>
          <w:highlight w:val="none"/>
        </w:rPr>
        <w:t>——</w:t>
      </w:r>
      <w:r>
        <w:rPr>
          <w:rFonts w:hint="default" w:ascii="Times New Roman" w:hAnsi="Times New Roman" w:cs="Times New Roman"/>
          <w:color w:val="auto"/>
          <w:spacing w:val="-11"/>
          <w:highlight w:val="none"/>
        </w:rPr>
        <w:t>预测评价范围内单位年份表层土壤中某种物质经径流排出的量，g；</w:t>
      </w:r>
    </w:p>
    <w:p w14:paraId="4A5EA732">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46" o:spt="75" type="#_x0000_t75" style="height:12pt;width:12pt;" o:ole="t" filled="f" o:preferrelative="t" stroked="f" coordsize="21600,21600">
            <v:path/>
            <v:fill on="f" focussize="0,0"/>
            <v:stroke on="f" joinstyle="miter"/>
            <v:imagedata r:id="rId88" o:title=""/>
            <o:lock v:ext="edit" aspectratio="t"/>
            <w10:wrap type="none"/>
            <w10:anchorlock/>
          </v:shape>
          <o:OLEObject Type="Embed" ProgID="Equation.3" ShapeID="_x0000_i1046" DrawAspect="Content" ObjectID="_1468075748" r:id="rId97">
            <o:LockedField>false</o:LockedField>
          </o:OLEObject>
        </w:object>
      </w:r>
      <w:r>
        <w:rPr>
          <w:rFonts w:hint="default" w:ascii="Times New Roman" w:hAnsi="Times New Roman" w:cs="Times New Roman"/>
          <w:color w:val="auto"/>
          <w:highlight w:val="none"/>
        </w:rPr>
        <w:t>——表层土壤容重，kg/m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54D76C3E">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A——预测评价范围，m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05D99362">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D——表层土壤深度，一般取0.2m，可根据实际情况适当调整；</w:t>
      </w:r>
    </w:p>
    <w:p w14:paraId="014B6A52">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position w:val="-6"/>
          <w:highlight w:val="none"/>
        </w:rPr>
        <w:object>
          <v:shape id="_x0000_i1047" o:spt="75" type="#_x0000_t75" style="height:12pt;width:6pt;" o:ole="t" filled="f" o:preferrelative="t" stroked="f" coordsize="21600,21600">
            <v:path/>
            <v:fill on="f" focussize="0,0"/>
            <v:stroke on="f" joinstyle="miter"/>
            <v:imagedata r:id="rId90" o:title=""/>
            <o:lock v:ext="edit" aspectratio="t"/>
            <w10:wrap type="none"/>
            <w10:anchorlock/>
          </v:shape>
          <o:OLEObject Type="Embed" ProgID="Equation.3" ShapeID="_x0000_i1047" DrawAspect="Content" ObjectID="_1468075749" r:id="rId98">
            <o:LockedField>false</o:LockedField>
          </o:OLEObject>
        </w:object>
      </w:r>
      <w:r>
        <w:rPr>
          <w:rFonts w:hint="default" w:ascii="Times New Roman" w:hAnsi="Times New Roman" w:cs="Times New Roman"/>
          <w:color w:val="auto"/>
          <w:highlight w:val="none"/>
        </w:rPr>
        <w:t>——持续年份，a。</w:t>
      </w:r>
    </w:p>
    <w:p w14:paraId="7F084C92">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（2）单位质量土壤中某种物质的预测值可根据其增量叠加现状值进行计算：</w:t>
      </w:r>
    </w:p>
    <w:p w14:paraId="75BAE3B0">
      <w:pPr>
        <w:pStyle w:val="11"/>
        <w:widowControl w:val="0"/>
        <w:overflowPunct w:val="0"/>
        <w:topLinePunct/>
        <w:spacing w:after="0"/>
        <w:ind w:firstLine="480"/>
        <w:jc w:val="center"/>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48" o:spt="75" type="#_x0000_t75" style="height:21pt;width:104.95pt;" o:ole="t" filled="f" o:preferrelative="t" stroked="f" coordsize="21600,21600">
            <v:path/>
            <v:fill on="f" focussize="0,0"/>
            <v:stroke on="f"/>
            <v:imagedata r:id="rId92" o:title=""/>
            <o:lock v:ext="edit" aspectratio="t"/>
            <w10:wrap type="none"/>
            <w10:anchorlock/>
          </v:shape>
          <o:OLEObject Type="Embed" ProgID="Equation.3" ShapeID="_x0000_i1048" DrawAspect="Content" ObjectID="_1468075750" r:id="rId99">
            <o:LockedField>false</o:LockedField>
          </o:OLEObject>
        </w:object>
      </w:r>
      <w:r>
        <w:rPr>
          <w:rFonts w:hint="default" w:ascii="Times New Roman" w:hAnsi="Times New Roman" w:cs="Times New Roman"/>
          <w:color w:val="auto"/>
          <w:highlight w:val="none"/>
        </w:rPr>
        <w:t xml:space="preserve">                 （式2）</w:t>
      </w:r>
    </w:p>
    <w:p w14:paraId="51F4F857">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i/>
          <w:iCs/>
          <w:color w:val="auto"/>
          <w:highlight w:val="none"/>
        </w:rPr>
        <w:t>S</w:t>
      </w:r>
      <w:r>
        <w:rPr>
          <w:rFonts w:hint="default" w:ascii="Times New Roman" w:hAnsi="Times New Roman" w:cs="Times New Roman"/>
          <w:i/>
          <w:iCs/>
          <w:color w:val="auto"/>
          <w:highlight w:val="none"/>
          <w:vertAlign w:val="subscript"/>
        </w:rPr>
        <w:t>b</w:t>
      </w:r>
      <w:r>
        <w:rPr>
          <w:rFonts w:hint="default" w:ascii="Times New Roman" w:hAnsi="Times New Roman" w:cs="Times New Roman"/>
          <w:color w:val="auto"/>
          <w:highlight w:val="none"/>
        </w:rPr>
        <w:t>——单位质量土壤中某种物质的现状值，g/kg；</w:t>
      </w:r>
    </w:p>
    <w:p w14:paraId="3180B7E5">
      <w:pPr>
        <w:pStyle w:val="11"/>
        <w:widowControl w:val="0"/>
        <w:overflowPunct w:val="0"/>
        <w:topLinePunct/>
        <w:spacing w:after="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S</w:t>
      </w:r>
      <w:r>
        <w:rPr>
          <w:rFonts w:hint="default" w:ascii="Times New Roman" w:hAnsi="Times New Roman" w:cs="Times New Roman"/>
          <w:color w:val="auto"/>
          <w:highlight w:val="none"/>
        </w:rPr>
        <w:t>——单位质量土壤中某种物质的预测值，g/kg。</w:t>
      </w:r>
    </w:p>
    <w:p w14:paraId="16F8C94D">
      <w:pPr>
        <w:pStyle w:val="11"/>
        <w:widowControl w:val="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2、</w:t>
      </w:r>
      <w:r>
        <w:rPr>
          <w:rFonts w:hint="default" w:ascii="Times New Roman" w:hAnsi="Times New Roman" w:cs="Times New Roman"/>
          <w:color w:val="auto"/>
          <w:highlight w:val="none"/>
        </w:rPr>
        <w:t>参数选取</w:t>
      </w:r>
    </w:p>
    <w:p w14:paraId="031697DC">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表5.2-26    土壤环境影响预测参数选择</w:t>
      </w:r>
    </w:p>
    <w:tbl>
      <w:tblPr>
        <w:tblStyle w:val="34"/>
        <w:tblW w:w="8294"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78"/>
        <w:gridCol w:w="718"/>
        <w:gridCol w:w="1106"/>
        <w:gridCol w:w="4956"/>
      </w:tblGrid>
      <w:tr w14:paraId="75EA0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6C3557CB">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序号</w:t>
            </w:r>
          </w:p>
        </w:tc>
        <w:tc>
          <w:tcPr>
            <w:tcW w:w="778" w:type="dxa"/>
            <w:tcBorders>
              <w:tl2br w:val="nil"/>
              <w:tr2bl w:val="nil"/>
            </w:tcBorders>
            <w:vAlign w:val="center"/>
          </w:tcPr>
          <w:p w14:paraId="07A5FDE3">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参数</w:t>
            </w:r>
          </w:p>
        </w:tc>
        <w:tc>
          <w:tcPr>
            <w:tcW w:w="718" w:type="dxa"/>
            <w:tcBorders>
              <w:tl2br w:val="nil"/>
              <w:tr2bl w:val="nil"/>
            </w:tcBorders>
            <w:vAlign w:val="center"/>
          </w:tcPr>
          <w:p w14:paraId="5FFC6DAE">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单位</w:t>
            </w:r>
          </w:p>
        </w:tc>
        <w:tc>
          <w:tcPr>
            <w:tcW w:w="1106" w:type="dxa"/>
            <w:tcBorders>
              <w:tl2br w:val="nil"/>
              <w:tr2bl w:val="nil"/>
            </w:tcBorders>
            <w:vAlign w:val="center"/>
          </w:tcPr>
          <w:p w14:paraId="68733DD6">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取值</w:t>
            </w:r>
          </w:p>
        </w:tc>
        <w:tc>
          <w:tcPr>
            <w:tcW w:w="4956" w:type="dxa"/>
            <w:tcBorders>
              <w:tl2br w:val="nil"/>
              <w:tr2bl w:val="nil"/>
            </w:tcBorders>
            <w:vAlign w:val="center"/>
          </w:tcPr>
          <w:p w14:paraId="0613F7C8">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来源</w:t>
            </w:r>
          </w:p>
        </w:tc>
      </w:tr>
      <w:tr w14:paraId="3F913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2AEFEE54">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778" w:type="dxa"/>
            <w:tcBorders>
              <w:tl2br w:val="nil"/>
              <w:tr2bl w:val="nil"/>
            </w:tcBorders>
            <w:vAlign w:val="center"/>
          </w:tcPr>
          <w:p w14:paraId="639D9DE3">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I</w:t>
            </w:r>
            <w:r>
              <w:rPr>
                <w:rFonts w:hint="default" w:ascii="Times New Roman" w:hAnsi="Times New Roman" w:cs="Times New Roman"/>
                <w:i/>
                <w:iCs/>
                <w:color w:val="auto"/>
                <w:spacing w:val="-1"/>
                <w:sz w:val="21"/>
                <w:szCs w:val="21"/>
                <w:highlight w:val="none"/>
                <w:vertAlign w:val="subscript"/>
              </w:rPr>
              <w:t>S</w:t>
            </w:r>
          </w:p>
        </w:tc>
        <w:tc>
          <w:tcPr>
            <w:tcW w:w="718" w:type="dxa"/>
            <w:tcBorders>
              <w:tl2br w:val="nil"/>
              <w:tr2bl w:val="nil"/>
            </w:tcBorders>
            <w:vAlign w:val="center"/>
          </w:tcPr>
          <w:p w14:paraId="3A587A98">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w:t>
            </w:r>
          </w:p>
        </w:tc>
        <w:tc>
          <w:tcPr>
            <w:tcW w:w="1106" w:type="dxa"/>
            <w:tcBorders>
              <w:tl2br w:val="nil"/>
              <w:tr2bl w:val="nil"/>
            </w:tcBorders>
            <w:vAlign w:val="center"/>
          </w:tcPr>
          <w:p w14:paraId="2BF804B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38000</w:t>
            </w:r>
          </w:p>
        </w:tc>
        <w:tc>
          <w:tcPr>
            <w:tcW w:w="4956" w:type="dxa"/>
            <w:tcBorders>
              <w:tl2br w:val="nil"/>
              <w:tr2bl w:val="nil"/>
            </w:tcBorders>
            <w:vAlign w:val="center"/>
          </w:tcPr>
          <w:p w14:paraId="0E8082AC">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根据大气环境影响预测章节，扬尘最大落地浓度为</w:t>
            </w:r>
            <w:r>
              <w:rPr>
                <w:rFonts w:hint="default" w:cs="Times New Roman"/>
                <w:color w:val="auto"/>
                <w:kern w:val="0"/>
                <w:sz w:val="21"/>
                <w:szCs w:val="21"/>
                <w:highlight w:val="none"/>
                <w:lang w:val="en-US" w:eastAsia="zh-CN" w:bidi="ar"/>
              </w:rPr>
              <w:t>0.028261</w:t>
            </w:r>
            <w:r>
              <w:rPr>
                <w:rFonts w:hint="default" w:ascii="Times New Roman" w:hAnsi="Times New Roman" w:cs="Times New Roman"/>
                <w:color w:val="auto"/>
                <w:spacing w:val="-1"/>
                <w:sz w:val="21"/>
                <w:szCs w:val="21"/>
                <w:highlight w:val="none"/>
              </w:rPr>
              <w:t>mg/m</w:t>
            </w:r>
            <w:r>
              <w:rPr>
                <w:rFonts w:hint="default" w:ascii="Times New Roman" w:hAnsi="Times New Roman" w:cs="Times New Roman"/>
                <w:color w:val="auto"/>
                <w:spacing w:val="-1"/>
                <w:sz w:val="21"/>
                <w:szCs w:val="21"/>
                <w:highlight w:val="none"/>
                <w:vertAlign w:val="superscript"/>
              </w:rPr>
              <w:t>3</w:t>
            </w:r>
          </w:p>
        </w:tc>
      </w:tr>
      <w:tr w14:paraId="7A7F4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37FDBED2">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w:t>
            </w:r>
          </w:p>
        </w:tc>
        <w:tc>
          <w:tcPr>
            <w:tcW w:w="778" w:type="dxa"/>
            <w:tcBorders>
              <w:tl2br w:val="nil"/>
              <w:tr2bl w:val="nil"/>
            </w:tcBorders>
            <w:vAlign w:val="center"/>
          </w:tcPr>
          <w:p w14:paraId="7E526E14">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L</w:t>
            </w:r>
            <w:r>
              <w:rPr>
                <w:rFonts w:hint="default" w:ascii="Times New Roman" w:hAnsi="Times New Roman" w:cs="Times New Roman"/>
                <w:i/>
                <w:iCs/>
                <w:color w:val="auto"/>
                <w:spacing w:val="-1"/>
                <w:sz w:val="21"/>
                <w:szCs w:val="21"/>
                <w:highlight w:val="none"/>
                <w:vertAlign w:val="subscript"/>
              </w:rPr>
              <w:t>S</w:t>
            </w:r>
          </w:p>
        </w:tc>
        <w:tc>
          <w:tcPr>
            <w:tcW w:w="718" w:type="dxa"/>
            <w:tcBorders>
              <w:tl2br w:val="nil"/>
              <w:tr2bl w:val="nil"/>
            </w:tcBorders>
            <w:vAlign w:val="center"/>
          </w:tcPr>
          <w:p w14:paraId="6CCCC268">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w:t>
            </w:r>
          </w:p>
        </w:tc>
        <w:tc>
          <w:tcPr>
            <w:tcW w:w="1106" w:type="dxa"/>
            <w:tcBorders>
              <w:tl2br w:val="nil"/>
              <w:tr2bl w:val="nil"/>
            </w:tcBorders>
            <w:vAlign w:val="center"/>
          </w:tcPr>
          <w:p w14:paraId="537D042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w:t>
            </w:r>
          </w:p>
        </w:tc>
        <w:tc>
          <w:tcPr>
            <w:tcW w:w="4956" w:type="dxa"/>
            <w:tcBorders>
              <w:tl2br w:val="nil"/>
              <w:tr2bl w:val="nil"/>
            </w:tcBorders>
            <w:vAlign w:val="center"/>
          </w:tcPr>
          <w:p w14:paraId="642B352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按照导则要求，涉及大气沉降，不考虑输出量</w:t>
            </w:r>
          </w:p>
        </w:tc>
      </w:tr>
      <w:tr w14:paraId="163E4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61D5DC82">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w:t>
            </w:r>
          </w:p>
        </w:tc>
        <w:tc>
          <w:tcPr>
            <w:tcW w:w="778" w:type="dxa"/>
            <w:tcBorders>
              <w:tl2br w:val="nil"/>
              <w:tr2bl w:val="nil"/>
            </w:tcBorders>
            <w:vAlign w:val="center"/>
          </w:tcPr>
          <w:p w14:paraId="16FB172D">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R</w:t>
            </w:r>
            <w:r>
              <w:rPr>
                <w:rFonts w:hint="default" w:ascii="Times New Roman" w:hAnsi="Times New Roman" w:cs="Times New Roman"/>
                <w:i/>
                <w:iCs/>
                <w:color w:val="auto"/>
                <w:spacing w:val="-1"/>
                <w:sz w:val="21"/>
                <w:szCs w:val="21"/>
                <w:highlight w:val="none"/>
                <w:vertAlign w:val="subscript"/>
              </w:rPr>
              <w:t>S</w:t>
            </w:r>
          </w:p>
        </w:tc>
        <w:tc>
          <w:tcPr>
            <w:tcW w:w="718" w:type="dxa"/>
            <w:tcBorders>
              <w:tl2br w:val="nil"/>
              <w:tr2bl w:val="nil"/>
            </w:tcBorders>
            <w:vAlign w:val="center"/>
          </w:tcPr>
          <w:p w14:paraId="250D992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w:t>
            </w:r>
          </w:p>
        </w:tc>
        <w:tc>
          <w:tcPr>
            <w:tcW w:w="1106" w:type="dxa"/>
            <w:tcBorders>
              <w:tl2br w:val="nil"/>
              <w:tr2bl w:val="nil"/>
            </w:tcBorders>
            <w:vAlign w:val="center"/>
          </w:tcPr>
          <w:p w14:paraId="5AA40E74">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w:t>
            </w:r>
          </w:p>
        </w:tc>
        <w:tc>
          <w:tcPr>
            <w:tcW w:w="4956" w:type="dxa"/>
            <w:tcBorders>
              <w:tl2br w:val="nil"/>
              <w:tr2bl w:val="nil"/>
            </w:tcBorders>
            <w:vAlign w:val="center"/>
          </w:tcPr>
          <w:p w14:paraId="06CE4800">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按照导则要求，涉及大气沉降，不考虑输出量</w:t>
            </w:r>
          </w:p>
        </w:tc>
      </w:tr>
      <w:tr w14:paraId="3FC64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30A2428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w:t>
            </w:r>
          </w:p>
        </w:tc>
        <w:tc>
          <w:tcPr>
            <w:tcW w:w="778" w:type="dxa"/>
            <w:tcBorders>
              <w:tl2br w:val="nil"/>
              <w:tr2bl w:val="nil"/>
            </w:tcBorders>
            <w:vAlign w:val="center"/>
          </w:tcPr>
          <w:p w14:paraId="7083FDB2">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ρ</w:t>
            </w:r>
            <w:r>
              <w:rPr>
                <w:rFonts w:hint="default" w:ascii="Times New Roman" w:hAnsi="Times New Roman" w:cs="Times New Roman"/>
                <w:i/>
                <w:iCs/>
                <w:color w:val="auto"/>
                <w:spacing w:val="-1"/>
                <w:sz w:val="21"/>
                <w:szCs w:val="21"/>
                <w:highlight w:val="none"/>
                <w:vertAlign w:val="subscript"/>
              </w:rPr>
              <w:t>b</w:t>
            </w:r>
          </w:p>
        </w:tc>
        <w:tc>
          <w:tcPr>
            <w:tcW w:w="718" w:type="dxa"/>
            <w:tcBorders>
              <w:tl2br w:val="nil"/>
              <w:tr2bl w:val="nil"/>
            </w:tcBorders>
            <w:vAlign w:val="center"/>
          </w:tcPr>
          <w:p w14:paraId="5F018F5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kg/m</w:t>
            </w:r>
            <w:r>
              <w:rPr>
                <w:rFonts w:hint="default" w:ascii="Times New Roman" w:hAnsi="Times New Roman" w:cs="Times New Roman"/>
                <w:color w:val="auto"/>
                <w:sz w:val="21"/>
                <w:szCs w:val="21"/>
                <w:highlight w:val="none"/>
                <w:vertAlign w:val="superscript"/>
              </w:rPr>
              <w:t>3</w:t>
            </w:r>
          </w:p>
        </w:tc>
        <w:tc>
          <w:tcPr>
            <w:tcW w:w="1106" w:type="dxa"/>
            <w:tcBorders>
              <w:tl2br w:val="nil"/>
              <w:tr2bl w:val="nil"/>
            </w:tcBorders>
            <w:vAlign w:val="center"/>
          </w:tcPr>
          <w:p w14:paraId="2F3644D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1400</w:t>
            </w:r>
          </w:p>
        </w:tc>
        <w:tc>
          <w:tcPr>
            <w:tcW w:w="4956" w:type="dxa"/>
            <w:tcBorders>
              <w:tl2br w:val="nil"/>
              <w:tr2bl w:val="nil"/>
            </w:tcBorders>
            <w:vAlign w:val="center"/>
          </w:tcPr>
          <w:p w14:paraId="52A0D964">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新疆盐渍化土壤容重在1.3-1.4g/cm</w:t>
            </w:r>
            <w:r>
              <w:rPr>
                <w:rFonts w:hint="default" w:ascii="Times New Roman" w:hAnsi="Times New Roman" w:cs="Times New Roman"/>
                <w:color w:val="auto"/>
                <w:spacing w:val="-1"/>
                <w:sz w:val="21"/>
                <w:szCs w:val="21"/>
                <w:highlight w:val="none"/>
                <w:vertAlign w:val="superscript"/>
              </w:rPr>
              <w:t>3</w:t>
            </w:r>
          </w:p>
        </w:tc>
      </w:tr>
      <w:tr w14:paraId="3B89D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1B53C69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5</w:t>
            </w:r>
          </w:p>
        </w:tc>
        <w:tc>
          <w:tcPr>
            <w:tcW w:w="778" w:type="dxa"/>
            <w:tcBorders>
              <w:tl2br w:val="nil"/>
              <w:tr2bl w:val="nil"/>
            </w:tcBorders>
            <w:vAlign w:val="center"/>
          </w:tcPr>
          <w:p w14:paraId="02FB41F1">
            <w:pPr>
              <w:pStyle w:val="45"/>
              <w:spacing w:before="0" w:beforeAutospacing="0" w:line="360" w:lineRule="exact"/>
              <w:ind w:firstLine="0" w:firstLineChars="0"/>
              <w:jc w:val="center"/>
              <w:rPr>
                <w:rFonts w:hint="default" w:ascii="Times New Roman" w:hAnsi="Times New Roman" w:cs="Times New Roman"/>
                <w:i/>
                <w:iCs/>
                <w:color w:val="auto"/>
                <w:spacing w:val="-1"/>
                <w:sz w:val="21"/>
                <w:szCs w:val="21"/>
                <w:highlight w:val="none"/>
              </w:rPr>
            </w:pPr>
            <w:r>
              <w:rPr>
                <w:rFonts w:hint="default" w:ascii="Times New Roman" w:hAnsi="Times New Roman" w:cs="Times New Roman"/>
                <w:i/>
                <w:iCs/>
                <w:color w:val="auto"/>
                <w:spacing w:val="-1"/>
                <w:sz w:val="21"/>
                <w:szCs w:val="21"/>
                <w:highlight w:val="none"/>
              </w:rPr>
              <w:t>A</w:t>
            </w:r>
          </w:p>
        </w:tc>
        <w:tc>
          <w:tcPr>
            <w:tcW w:w="718" w:type="dxa"/>
            <w:tcBorders>
              <w:tl2br w:val="nil"/>
              <w:tr2bl w:val="nil"/>
            </w:tcBorders>
            <w:vAlign w:val="center"/>
          </w:tcPr>
          <w:p w14:paraId="263C049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1106" w:type="dxa"/>
            <w:tcBorders>
              <w:tl2br w:val="nil"/>
              <w:tr2bl w:val="nil"/>
            </w:tcBorders>
            <w:vAlign w:val="center"/>
          </w:tcPr>
          <w:p w14:paraId="40E2588F">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cs="Times New Roman"/>
                <w:color w:val="auto"/>
                <w:spacing w:val="-1"/>
                <w:sz w:val="21"/>
                <w:szCs w:val="21"/>
                <w:highlight w:val="none"/>
                <w:lang w:val="en-US" w:eastAsia="zh-CN"/>
              </w:rPr>
              <w:t>3</w:t>
            </w:r>
            <w:r>
              <w:rPr>
                <w:rFonts w:hint="eastAsia" w:cs="Times New Roman"/>
                <w:color w:val="auto"/>
                <w:spacing w:val="-1"/>
                <w:sz w:val="21"/>
                <w:szCs w:val="21"/>
                <w:highlight w:val="none"/>
                <w:lang w:val="en-US" w:eastAsia="zh-CN"/>
              </w:rPr>
              <w:t>360</w:t>
            </w:r>
            <w:r>
              <w:rPr>
                <w:rFonts w:hint="default" w:ascii="Times New Roman" w:hAnsi="Times New Roman" w:cs="Times New Roman"/>
                <w:color w:val="auto"/>
                <w:spacing w:val="-1"/>
                <w:sz w:val="21"/>
                <w:szCs w:val="21"/>
                <w:highlight w:val="none"/>
              </w:rPr>
              <w:t>00</w:t>
            </w:r>
          </w:p>
        </w:tc>
        <w:tc>
          <w:tcPr>
            <w:tcW w:w="4956" w:type="dxa"/>
            <w:tcBorders>
              <w:tl2br w:val="nil"/>
              <w:tr2bl w:val="nil"/>
            </w:tcBorders>
            <w:vAlign w:val="center"/>
          </w:tcPr>
          <w:p w14:paraId="7E3CA53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工程占地范围</w:t>
            </w:r>
          </w:p>
        </w:tc>
      </w:tr>
      <w:tr w14:paraId="50E0D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5AA26F72">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6</w:t>
            </w:r>
          </w:p>
        </w:tc>
        <w:tc>
          <w:tcPr>
            <w:tcW w:w="778" w:type="dxa"/>
            <w:tcBorders>
              <w:tl2br w:val="nil"/>
              <w:tr2bl w:val="nil"/>
            </w:tcBorders>
            <w:vAlign w:val="center"/>
          </w:tcPr>
          <w:p w14:paraId="054B928E">
            <w:pPr>
              <w:pStyle w:val="45"/>
              <w:spacing w:before="0" w:beforeAutospacing="0" w:line="360" w:lineRule="exact"/>
              <w:ind w:firstLine="0" w:firstLineChars="0"/>
              <w:jc w:val="center"/>
              <w:rPr>
                <w:rFonts w:hint="default" w:ascii="Times New Roman" w:hAnsi="Times New Roman" w:cs="Times New Roman"/>
                <w:i/>
                <w:iCs/>
                <w:color w:val="auto"/>
                <w:spacing w:val="-1"/>
                <w:sz w:val="21"/>
                <w:szCs w:val="21"/>
                <w:highlight w:val="none"/>
              </w:rPr>
            </w:pPr>
            <w:r>
              <w:rPr>
                <w:rFonts w:hint="default" w:ascii="Times New Roman" w:hAnsi="Times New Roman" w:cs="Times New Roman"/>
                <w:i/>
                <w:iCs/>
                <w:color w:val="auto"/>
                <w:spacing w:val="-1"/>
                <w:sz w:val="21"/>
                <w:szCs w:val="21"/>
                <w:highlight w:val="none"/>
              </w:rPr>
              <w:t>D</w:t>
            </w:r>
          </w:p>
        </w:tc>
        <w:tc>
          <w:tcPr>
            <w:tcW w:w="718" w:type="dxa"/>
            <w:tcBorders>
              <w:tl2br w:val="nil"/>
              <w:tr2bl w:val="nil"/>
            </w:tcBorders>
            <w:vAlign w:val="center"/>
          </w:tcPr>
          <w:p w14:paraId="43BD52E0">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m</w:t>
            </w:r>
          </w:p>
        </w:tc>
        <w:tc>
          <w:tcPr>
            <w:tcW w:w="1106" w:type="dxa"/>
            <w:tcBorders>
              <w:tl2br w:val="nil"/>
              <w:tr2bl w:val="nil"/>
            </w:tcBorders>
            <w:vAlign w:val="center"/>
          </w:tcPr>
          <w:p w14:paraId="4E5EB11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0.2</w:t>
            </w:r>
          </w:p>
        </w:tc>
        <w:tc>
          <w:tcPr>
            <w:tcW w:w="4956" w:type="dxa"/>
            <w:tcBorders>
              <w:tl2br w:val="nil"/>
              <w:tr2bl w:val="nil"/>
            </w:tcBorders>
            <w:vAlign w:val="center"/>
          </w:tcPr>
          <w:p w14:paraId="7382AA7F">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一般取值</w:t>
            </w:r>
          </w:p>
        </w:tc>
      </w:tr>
      <w:tr w14:paraId="5CED4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vAlign w:val="center"/>
          </w:tcPr>
          <w:p w14:paraId="61EFD1D2">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7</w:t>
            </w:r>
          </w:p>
        </w:tc>
        <w:tc>
          <w:tcPr>
            <w:tcW w:w="778" w:type="dxa"/>
            <w:tcBorders>
              <w:tl2br w:val="nil"/>
              <w:tr2bl w:val="nil"/>
            </w:tcBorders>
            <w:vAlign w:val="center"/>
          </w:tcPr>
          <w:p w14:paraId="68C1FBD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p>
        </w:tc>
        <w:tc>
          <w:tcPr>
            <w:tcW w:w="718" w:type="dxa"/>
            <w:tcBorders>
              <w:tl2br w:val="nil"/>
              <w:tr2bl w:val="nil"/>
            </w:tcBorders>
            <w:vAlign w:val="center"/>
          </w:tcPr>
          <w:p w14:paraId="45BBD347">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g/kg</w:t>
            </w:r>
          </w:p>
        </w:tc>
        <w:tc>
          <w:tcPr>
            <w:tcW w:w="1106" w:type="dxa"/>
            <w:tcBorders>
              <w:tl2br w:val="nil"/>
              <w:tr2bl w:val="nil"/>
            </w:tcBorders>
            <w:vAlign w:val="center"/>
          </w:tcPr>
          <w:p w14:paraId="2FC875C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0.03</w:t>
            </w:r>
            <w:r>
              <w:rPr>
                <w:rFonts w:hint="default" w:cs="Times New Roman"/>
                <w:color w:val="auto"/>
                <w:spacing w:val="-1"/>
                <w:sz w:val="21"/>
                <w:szCs w:val="21"/>
                <w:highlight w:val="none"/>
                <w:lang w:val="en-US" w:eastAsia="zh-CN"/>
              </w:rPr>
              <w:t>6</w:t>
            </w:r>
          </w:p>
        </w:tc>
        <w:tc>
          <w:tcPr>
            <w:tcW w:w="4956" w:type="dxa"/>
            <w:tcBorders>
              <w:tl2br w:val="nil"/>
              <w:tr2bl w:val="nil"/>
            </w:tcBorders>
            <w:vAlign w:val="center"/>
          </w:tcPr>
          <w:p w14:paraId="7E162D9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w:t>
            </w:r>
          </w:p>
        </w:tc>
      </w:tr>
    </w:tbl>
    <w:p w14:paraId="4FE1E219">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bCs/>
          <w:color w:val="auto"/>
          <w:highlight w:val="none"/>
        </w:rPr>
        <w:t>3、</w:t>
      </w:r>
      <w:r>
        <w:rPr>
          <w:rFonts w:hint="default" w:ascii="Times New Roman" w:hAnsi="Times New Roman" w:cs="Times New Roman"/>
          <w:color w:val="auto"/>
          <w:highlight w:val="none"/>
        </w:rPr>
        <w:t>预测结果</w:t>
      </w:r>
    </w:p>
    <w:p w14:paraId="6D1E7F29">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尾矿库扬尘通过大气沉降途径进入土壤影响预测结果，见表5.2-27。</w:t>
      </w:r>
    </w:p>
    <w:p w14:paraId="2FE4BCB3">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表5.2-27    预测结果</w:t>
      </w:r>
    </w:p>
    <w:tbl>
      <w:tblPr>
        <w:tblStyle w:val="3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3736"/>
        <w:gridCol w:w="3736"/>
      </w:tblGrid>
      <w:tr w14:paraId="43351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615" w:type="pct"/>
            <w:tcBorders>
              <w:tl2br w:val="nil"/>
              <w:tr2bl w:val="nil"/>
            </w:tcBorders>
            <w:vAlign w:val="center"/>
          </w:tcPr>
          <w:p w14:paraId="5C27FA83">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年份</w:t>
            </w:r>
          </w:p>
        </w:tc>
        <w:tc>
          <w:tcPr>
            <w:tcW w:w="2192" w:type="pct"/>
            <w:tcBorders>
              <w:tl2br w:val="nil"/>
              <w:tr2bl w:val="nil"/>
            </w:tcBorders>
            <w:vAlign w:val="center"/>
          </w:tcPr>
          <w:p w14:paraId="39789624">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单位质量表层土壤中扬尘的预测值（mg/kg）</w:t>
            </w:r>
          </w:p>
        </w:tc>
        <w:tc>
          <w:tcPr>
            <w:tcW w:w="2192" w:type="pct"/>
            <w:tcBorders>
              <w:tl2br w:val="nil"/>
              <w:tr2bl w:val="nil"/>
            </w:tcBorders>
            <w:vAlign w:val="center"/>
          </w:tcPr>
          <w:p w14:paraId="2F840784">
            <w:pPr>
              <w:pStyle w:val="45"/>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预测结果（mg/kg）</w:t>
            </w:r>
          </w:p>
        </w:tc>
      </w:tr>
      <w:tr w14:paraId="54CC7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vAlign w:val="center"/>
          </w:tcPr>
          <w:p w14:paraId="48D38F6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2192" w:type="pct"/>
            <w:tcBorders>
              <w:tl2br w:val="nil"/>
              <w:tr2bl w:val="nil"/>
            </w:tcBorders>
            <w:vAlign w:val="center"/>
          </w:tcPr>
          <w:p w14:paraId="7FD343E6">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△S（△S=0.000422g/kg）</w:t>
            </w:r>
          </w:p>
        </w:tc>
        <w:tc>
          <w:tcPr>
            <w:tcW w:w="2192" w:type="pct"/>
            <w:tcBorders>
              <w:tl2br w:val="nil"/>
              <w:tr2bl w:val="nil"/>
            </w:tcBorders>
            <w:vAlign w:val="center"/>
          </w:tcPr>
          <w:p w14:paraId="072DCF4A">
            <w:pPr>
              <w:pStyle w:val="45"/>
              <w:spacing w:before="0" w:beforeAutospacing="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r>
              <w:rPr>
                <w:rFonts w:hint="default" w:ascii="Times New Roman" w:hAnsi="Times New Roman" w:cs="Times New Roman"/>
                <w:i/>
                <w:iCs/>
                <w:color w:val="auto"/>
                <w:spacing w:val="-1"/>
                <w:sz w:val="21"/>
                <w:szCs w:val="21"/>
                <w:highlight w:val="none"/>
                <w:vertAlign w:val="baseline"/>
                <w:lang w:val="en-US" w:eastAsia="zh-CN"/>
              </w:rPr>
              <w:t>+</w:t>
            </w:r>
            <w:r>
              <w:rPr>
                <w:rFonts w:hint="default" w:ascii="Times New Roman" w:hAnsi="Times New Roman" w:cs="Times New Roman"/>
                <w:color w:val="auto"/>
                <w:spacing w:val="-1"/>
                <w:sz w:val="21"/>
                <w:szCs w:val="21"/>
                <w:highlight w:val="none"/>
              </w:rPr>
              <w:t>△S</w:t>
            </w:r>
            <w:r>
              <w:rPr>
                <w:rFonts w:hint="default" w:ascii="Times New Roman" w:hAnsi="Times New Roman" w:cs="Times New Roman"/>
                <w:color w:val="auto"/>
                <w:spacing w:val="-1"/>
                <w:sz w:val="21"/>
                <w:szCs w:val="21"/>
                <w:highlight w:val="none"/>
                <w:lang w:val="en-US" w:eastAsia="zh-CN"/>
              </w:rPr>
              <w:t>=36.42</w:t>
            </w:r>
          </w:p>
        </w:tc>
      </w:tr>
      <w:tr w14:paraId="692EC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vAlign w:val="center"/>
          </w:tcPr>
          <w:p w14:paraId="465D3110">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cs="Times New Roman"/>
                <w:color w:val="auto"/>
                <w:spacing w:val="-1"/>
                <w:sz w:val="21"/>
                <w:szCs w:val="21"/>
                <w:highlight w:val="none"/>
                <w:lang w:val="en-US" w:eastAsia="zh-CN"/>
              </w:rPr>
              <w:t>5</w:t>
            </w:r>
          </w:p>
        </w:tc>
        <w:tc>
          <w:tcPr>
            <w:tcW w:w="2192" w:type="pct"/>
            <w:tcBorders>
              <w:tl2br w:val="nil"/>
              <w:tr2bl w:val="nil"/>
            </w:tcBorders>
            <w:vAlign w:val="center"/>
          </w:tcPr>
          <w:p w14:paraId="75D6F313">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△S（△S=0.00211g/kg）</w:t>
            </w:r>
          </w:p>
        </w:tc>
        <w:tc>
          <w:tcPr>
            <w:tcW w:w="2192" w:type="pct"/>
            <w:tcBorders>
              <w:tl2br w:val="nil"/>
              <w:tr2bl w:val="nil"/>
            </w:tcBorders>
            <w:vAlign w:val="center"/>
          </w:tcPr>
          <w:p w14:paraId="6B403781">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r>
              <w:rPr>
                <w:rFonts w:hint="default" w:ascii="Times New Roman" w:hAnsi="Times New Roman" w:cs="Times New Roman"/>
                <w:i/>
                <w:iCs/>
                <w:color w:val="auto"/>
                <w:spacing w:val="-1"/>
                <w:sz w:val="21"/>
                <w:szCs w:val="21"/>
                <w:highlight w:val="none"/>
                <w:vertAlign w:val="baseline"/>
                <w:lang w:val="en-US" w:eastAsia="zh-CN"/>
              </w:rPr>
              <w:t>+</w:t>
            </w:r>
            <w:r>
              <w:rPr>
                <w:rFonts w:hint="default" w:ascii="Times New Roman" w:hAnsi="Times New Roman" w:cs="Times New Roman"/>
                <w:color w:val="auto"/>
                <w:spacing w:val="-1"/>
                <w:sz w:val="21"/>
                <w:szCs w:val="21"/>
                <w:highlight w:val="none"/>
              </w:rPr>
              <w:t>△S</w:t>
            </w:r>
            <w:r>
              <w:rPr>
                <w:rFonts w:hint="default" w:ascii="Times New Roman" w:hAnsi="Times New Roman" w:cs="Times New Roman"/>
                <w:color w:val="auto"/>
                <w:spacing w:val="-1"/>
                <w:sz w:val="21"/>
                <w:szCs w:val="21"/>
                <w:highlight w:val="none"/>
                <w:lang w:val="en-US" w:eastAsia="zh-CN"/>
              </w:rPr>
              <w:t>=38.11</w:t>
            </w:r>
          </w:p>
        </w:tc>
      </w:tr>
      <w:tr w14:paraId="787BA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pct"/>
            <w:tcBorders>
              <w:tl2br w:val="nil"/>
              <w:tr2bl w:val="nil"/>
            </w:tcBorders>
            <w:vAlign w:val="center"/>
          </w:tcPr>
          <w:p w14:paraId="11CBDF74">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cs="Times New Roman"/>
                <w:color w:val="auto"/>
                <w:spacing w:val="-1"/>
                <w:sz w:val="21"/>
                <w:szCs w:val="21"/>
                <w:highlight w:val="none"/>
                <w:lang w:val="en-US" w:eastAsia="zh-CN"/>
              </w:rPr>
              <w:t>10</w:t>
            </w:r>
          </w:p>
        </w:tc>
        <w:tc>
          <w:tcPr>
            <w:tcW w:w="2192" w:type="pct"/>
            <w:tcBorders>
              <w:tl2br w:val="nil"/>
              <w:tr2bl w:val="nil"/>
            </w:tcBorders>
            <w:vAlign w:val="center"/>
          </w:tcPr>
          <w:p w14:paraId="2EB219B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△S（△S=0.00422g/kg）</w:t>
            </w:r>
          </w:p>
        </w:tc>
        <w:tc>
          <w:tcPr>
            <w:tcW w:w="2192" w:type="pct"/>
            <w:tcBorders>
              <w:tl2br w:val="nil"/>
              <w:tr2bl w:val="nil"/>
            </w:tcBorders>
            <w:vAlign w:val="center"/>
          </w:tcPr>
          <w:p w14:paraId="1ED3B580">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r>
              <w:rPr>
                <w:rFonts w:hint="default" w:ascii="Times New Roman" w:hAnsi="Times New Roman" w:cs="Times New Roman"/>
                <w:i/>
                <w:iCs/>
                <w:color w:val="auto"/>
                <w:spacing w:val="-1"/>
                <w:sz w:val="21"/>
                <w:szCs w:val="21"/>
                <w:highlight w:val="none"/>
                <w:vertAlign w:val="baseline"/>
                <w:lang w:val="en-US" w:eastAsia="zh-CN"/>
              </w:rPr>
              <w:t>+</w:t>
            </w:r>
            <w:r>
              <w:rPr>
                <w:rFonts w:hint="default" w:ascii="Times New Roman" w:hAnsi="Times New Roman" w:cs="Times New Roman"/>
                <w:color w:val="auto"/>
                <w:spacing w:val="-1"/>
                <w:sz w:val="21"/>
                <w:szCs w:val="21"/>
                <w:highlight w:val="none"/>
              </w:rPr>
              <w:t>△S</w:t>
            </w:r>
            <w:r>
              <w:rPr>
                <w:rFonts w:hint="default" w:ascii="Times New Roman" w:hAnsi="Times New Roman" w:cs="Times New Roman"/>
                <w:color w:val="auto"/>
                <w:spacing w:val="-1"/>
                <w:sz w:val="21"/>
                <w:szCs w:val="21"/>
                <w:highlight w:val="none"/>
                <w:lang w:val="en-US" w:eastAsia="zh-CN"/>
              </w:rPr>
              <w:t>=40.22</w:t>
            </w:r>
          </w:p>
        </w:tc>
      </w:tr>
      <w:tr w14:paraId="2CE7D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vAlign w:val="center"/>
          </w:tcPr>
          <w:p w14:paraId="431B5A7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r>
              <w:rPr>
                <w:rFonts w:hint="default" w:cs="Times New Roman"/>
                <w:color w:val="auto"/>
                <w:spacing w:val="-1"/>
                <w:sz w:val="21"/>
                <w:szCs w:val="21"/>
                <w:highlight w:val="none"/>
                <w:lang w:val="en-US" w:eastAsia="zh-CN"/>
              </w:rPr>
              <w:t>5</w:t>
            </w:r>
          </w:p>
        </w:tc>
        <w:tc>
          <w:tcPr>
            <w:tcW w:w="2192" w:type="pct"/>
            <w:tcBorders>
              <w:tl2br w:val="nil"/>
              <w:tr2bl w:val="nil"/>
            </w:tcBorders>
            <w:vAlign w:val="center"/>
          </w:tcPr>
          <w:p w14:paraId="14603782">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△S（△S=0.00633g/kg）</w:t>
            </w:r>
          </w:p>
        </w:tc>
        <w:tc>
          <w:tcPr>
            <w:tcW w:w="2192" w:type="pct"/>
            <w:tcBorders>
              <w:tl2br w:val="nil"/>
              <w:tr2bl w:val="nil"/>
            </w:tcBorders>
            <w:vAlign w:val="center"/>
          </w:tcPr>
          <w:p w14:paraId="6F204A7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r>
              <w:rPr>
                <w:rFonts w:hint="default" w:ascii="Times New Roman" w:hAnsi="Times New Roman" w:cs="Times New Roman"/>
                <w:i/>
                <w:iCs/>
                <w:color w:val="auto"/>
                <w:spacing w:val="-1"/>
                <w:sz w:val="21"/>
                <w:szCs w:val="21"/>
                <w:highlight w:val="none"/>
                <w:vertAlign w:val="baseline"/>
                <w:lang w:val="en-US" w:eastAsia="zh-CN"/>
              </w:rPr>
              <w:t>+</w:t>
            </w:r>
            <w:r>
              <w:rPr>
                <w:rFonts w:hint="default" w:ascii="Times New Roman" w:hAnsi="Times New Roman" w:cs="Times New Roman"/>
                <w:color w:val="auto"/>
                <w:spacing w:val="-1"/>
                <w:sz w:val="21"/>
                <w:szCs w:val="21"/>
                <w:highlight w:val="none"/>
              </w:rPr>
              <w:t>△S</w:t>
            </w:r>
            <w:r>
              <w:rPr>
                <w:rFonts w:hint="default" w:ascii="Times New Roman" w:hAnsi="Times New Roman" w:cs="Times New Roman"/>
                <w:color w:val="auto"/>
                <w:spacing w:val="-1"/>
                <w:sz w:val="21"/>
                <w:szCs w:val="21"/>
                <w:highlight w:val="none"/>
                <w:lang w:val="en-US" w:eastAsia="zh-CN"/>
              </w:rPr>
              <w:t>=42.33</w:t>
            </w:r>
          </w:p>
        </w:tc>
      </w:tr>
      <w:tr w14:paraId="5B8710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vAlign w:val="center"/>
          </w:tcPr>
          <w:p w14:paraId="1977498B">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w:t>
            </w:r>
          </w:p>
        </w:tc>
        <w:tc>
          <w:tcPr>
            <w:tcW w:w="2192" w:type="pct"/>
            <w:tcBorders>
              <w:tl2br w:val="nil"/>
              <w:tr2bl w:val="nil"/>
            </w:tcBorders>
            <w:vAlign w:val="center"/>
          </w:tcPr>
          <w:p w14:paraId="1B689C78">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△S（△S=0.00844g/kg）</w:t>
            </w:r>
          </w:p>
        </w:tc>
        <w:tc>
          <w:tcPr>
            <w:tcW w:w="2192" w:type="pct"/>
            <w:tcBorders>
              <w:tl2br w:val="nil"/>
              <w:tr2bl w:val="nil"/>
            </w:tcBorders>
            <w:vAlign w:val="center"/>
          </w:tcPr>
          <w:p w14:paraId="07999FFA">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r>
              <w:rPr>
                <w:rFonts w:hint="default" w:ascii="Times New Roman" w:hAnsi="Times New Roman" w:cs="Times New Roman"/>
                <w:i/>
                <w:iCs/>
                <w:color w:val="auto"/>
                <w:spacing w:val="-1"/>
                <w:sz w:val="21"/>
                <w:szCs w:val="21"/>
                <w:highlight w:val="none"/>
                <w:vertAlign w:val="baseline"/>
                <w:lang w:val="en-US" w:eastAsia="zh-CN"/>
              </w:rPr>
              <w:t>+</w:t>
            </w:r>
            <w:r>
              <w:rPr>
                <w:rFonts w:hint="default" w:ascii="Times New Roman" w:hAnsi="Times New Roman" w:cs="Times New Roman"/>
                <w:color w:val="auto"/>
                <w:spacing w:val="-1"/>
                <w:sz w:val="21"/>
                <w:szCs w:val="21"/>
                <w:highlight w:val="none"/>
              </w:rPr>
              <w:t>△S</w:t>
            </w:r>
            <w:r>
              <w:rPr>
                <w:rFonts w:hint="default" w:ascii="Times New Roman" w:hAnsi="Times New Roman" w:cs="Times New Roman"/>
                <w:color w:val="auto"/>
                <w:spacing w:val="-1"/>
                <w:sz w:val="21"/>
                <w:szCs w:val="21"/>
                <w:highlight w:val="none"/>
                <w:lang w:val="en-US" w:eastAsia="zh-CN"/>
              </w:rPr>
              <w:t>=44.44</w:t>
            </w:r>
          </w:p>
        </w:tc>
      </w:tr>
      <w:tr w14:paraId="451D0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5" w:type="pct"/>
            <w:tcBorders>
              <w:tl2br w:val="nil"/>
              <w:tr2bl w:val="nil"/>
            </w:tcBorders>
            <w:vAlign w:val="center"/>
          </w:tcPr>
          <w:p w14:paraId="307835B9">
            <w:pPr>
              <w:pStyle w:val="45"/>
              <w:spacing w:before="0" w:beforeAutospacing="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cs="Times New Roman"/>
                <w:color w:val="auto"/>
                <w:spacing w:val="-1"/>
                <w:sz w:val="21"/>
                <w:szCs w:val="21"/>
                <w:highlight w:val="none"/>
                <w:lang w:val="en-US" w:eastAsia="zh-CN"/>
              </w:rPr>
              <w:t>25</w:t>
            </w:r>
          </w:p>
        </w:tc>
        <w:tc>
          <w:tcPr>
            <w:tcW w:w="2192" w:type="pct"/>
            <w:tcBorders>
              <w:tl2br w:val="nil"/>
              <w:tr2bl w:val="nil"/>
            </w:tcBorders>
            <w:vAlign w:val="center"/>
          </w:tcPr>
          <w:p w14:paraId="759D641E">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△S（△S=0.01055g/kg）</w:t>
            </w:r>
          </w:p>
        </w:tc>
        <w:tc>
          <w:tcPr>
            <w:tcW w:w="2192" w:type="pct"/>
            <w:tcBorders>
              <w:tl2br w:val="nil"/>
              <w:tr2bl w:val="nil"/>
            </w:tcBorders>
            <w:vAlign w:val="center"/>
          </w:tcPr>
          <w:p w14:paraId="3A9711B5">
            <w:pPr>
              <w:pStyle w:val="45"/>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i/>
                <w:iCs/>
                <w:color w:val="auto"/>
                <w:spacing w:val="-1"/>
                <w:sz w:val="21"/>
                <w:szCs w:val="21"/>
                <w:highlight w:val="none"/>
              </w:rPr>
              <w:t>S</w:t>
            </w:r>
            <w:r>
              <w:rPr>
                <w:rFonts w:hint="default" w:ascii="Times New Roman" w:hAnsi="Times New Roman" w:cs="Times New Roman"/>
                <w:i/>
                <w:iCs/>
                <w:color w:val="auto"/>
                <w:spacing w:val="-1"/>
                <w:sz w:val="21"/>
                <w:szCs w:val="21"/>
                <w:highlight w:val="none"/>
                <w:vertAlign w:val="subscript"/>
              </w:rPr>
              <w:t>b</w:t>
            </w:r>
            <w:r>
              <w:rPr>
                <w:rFonts w:hint="default" w:ascii="Times New Roman" w:hAnsi="Times New Roman" w:cs="Times New Roman"/>
                <w:i/>
                <w:iCs/>
                <w:color w:val="auto"/>
                <w:spacing w:val="-1"/>
                <w:sz w:val="21"/>
                <w:szCs w:val="21"/>
                <w:highlight w:val="none"/>
                <w:vertAlign w:val="baseline"/>
                <w:lang w:val="en-US" w:eastAsia="zh-CN"/>
              </w:rPr>
              <w:t>+</w:t>
            </w:r>
            <w:r>
              <w:rPr>
                <w:rFonts w:hint="default" w:ascii="Times New Roman" w:hAnsi="Times New Roman" w:cs="Times New Roman"/>
                <w:color w:val="auto"/>
                <w:spacing w:val="-1"/>
                <w:sz w:val="21"/>
                <w:szCs w:val="21"/>
                <w:highlight w:val="none"/>
              </w:rPr>
              <w:t>△S</w:t>
            </w:r>
            <w:r>
              <w:rPr>
                <w:rFonts w:hint="default" w:ascii="Times New Roman" w:hAnsi="Times New Roman" w:cs="Times New Roman"/>
                <w:color w:val="auto"/>
                <w:spacing w:val="-1"/>
                <w:sz w:val="21"/>
                <w:szCs w:val="21"/>
                <w:highlight w:val="none"/>
                <w:lang w:val="en-US" w:eastAsia="zh-CN"/>
              </w:rPr>
              <w:t>=46.55</w:t>
            </w:r>
          </w:p>
        </w:tc>
      </w:tr>
    </w:tbl>
    <w:p w14:paraId="20E6241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5.2.6.6预测与评价结论</w:t>
      </w:r>
    </w:p>
    <w:p w14:paraId="2EFDA0EB">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（1）现状土壤环境质量监测结果表明：本项目区内各监测点土壤监测指标均不超标，低于《土壤环境质量 建设用地土壤污染风险管控标准（试行）》（GB36600-2018）第二类建设用地筛选值，项目区域土壤现状环境质量良好。</w:t>
      </w:r>
    </w:p>
    <w:p w14:paraId="5F07AE63">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（2）本项目在事故状态下尾矿渗滤液通过入渗形式进入周边土壤，可能会造成土壤环境影响。根据情景预测结果，本项目尾矿库防渗系统破裂泄漏事故如持续2</w:t>
      </w:r>
      <w:r>
        <w:rPr>
          <w:rFonts w:hint="default" w:ascii="Times New Roman" w:hAnsi="Times New Roman" w:cs="Times New Roman"/>
          <w:color w:val="auto"/>
          <w:highlight w:val="none"/>
          <w:lang w:eastAsia="zh-CN"/>
        </w:rPr>
        <w:t>5</w:t>
      </w:r>
      <w:r>
        <w:rPr>
          <w:rFonts w:hint="default" w:ascii="Times New Roman" w:hAnsi="Times New Roman" w:cs="Times New Roman"/>
          <w:color w:val="auto"/>
          <w:highlight w:val="none"/>
        </w:rPr>
        <w:t>年，则评价范围内单位质量表层中</w:t>
      </w:r>
      <w:r>
        <w:rPr>
          <w:rFonts w:hint="default" w:ascii="Times New Roman" w:hAnsi="Times New Roman" w:cs="Times New Roman"/>
          <w:color w:val="auto"/>
          <w:highlight w:val="none"/>
          <w:lang w:val="en-US" w:eastAsia="zh-CN"/>
        </w:rPr>
        <w:t>铅</w:t>
      </w:r>
      <w:r>
        <w:rPr>
          <w:rFonts w:hint="default" w:ascii="Times New Roman" w:hAnsi="Times New Roman" w:cs="Times New Roman"/>
          <w:color w:val="auto"/>
          <w:highlight w:val="none"/>
        </w:rPr>
        <w:t>的含量将基本保持本底值，总体增量较小，对区域土壤环境影响较小。</w:t>
      </w:r>
    </w:p>
    <w:p w14:paraId="73DD5051">
      <w:pPr>
        <w:pStyle w:val="11"/>
        <w:widowControl w:val="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（3）本项目尾矿库扬尘通过大气沉降形式进入周边土壤，可能会造成土壤环境影响，根据情景预测结果，评价范围内单位质量表层中</w:t>
      </w:r>
      <w:r>
        <w:rPr>
          <w:rFonts w:hint="default" w:ascii="Times New Roman" w:hAnsi="Times New Roman" w:cs="Times New Roman"/>
          <w:color w:val="auto"/>
          <w:highlight w:val="none"/>
          <w:lang w:val="en-US" w:eastAsia="zh-CN"/>
        </w:rPr>
        <w:t>铅</w:t>
      </w:r>
      <w:r>
        <w:rPr>
          <w:rFonts w:hint="default" w:ascii="Times New Roman" w:hAnsi="Times New Roman" w:cs="Times New Roman"/>
          <w:color w:val="auto"/>
          <w:highlight w:val="none"/>
        </w:rPr>
        <w:t>的含量将基本保持本底值，总体增量较小，对区域土壤环境影响较小。</w:t>
      </w:r>
    </w:p>
    <w:p w14:paraId="71B7BAF1">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5.2.6.7土壤环境影响自查表</w:t>
      </w:r>
    </w:p>
    <w:p w14:paraId="0936082E">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表5.2-28    土壤环境影响评价自查表</w:t>
      </w:r>
    </w:p>
    <w:tbl>
      <w:tblPr>
        <w:tblStyle w:val="33"/>
        <w:tblW w:w="83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83"/>
        <w:gridCol w:w="1557"/>
        <w:gridCol w:w="1216"/>
        <w:gridCol w:w="1377"/>
        <w:gridCol w:w="1457"/>
        <w:gridCol w:w="328"/>
        <w:gridCol w:w="981"/>
        <w:gridCol w:w="1035"/>
      </w:tblGrid>
      <w:tr w14:paraId="185824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blHeader/>
          <w:jc w:val="center"/>
        </w:trPr>
        <w:tc>
          <w:tcPr>
            <w:tcW w:w="1940" w:type="dxa"/>
            <w:gridSpan w:val="2"/>
            <w:vAlign w:val="center"/>
          </w:tcPr>
          <w:p w14:paraId="320BD0CB">
            <w:pPr>
              <w:autoSpaceDE w:val="0"/>
              <w:autoSpaceDN w:val="0"/>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position w:val="-1"/>
                <w:sz w:val="21"/>
                <w:szCs w:val="21"/>
                <w:highlight w:val="none"/>
              </w:rPr>
              <w:t>工作内容</w:t>
            </w:r>
          </w:p>
        </w:tc>
        <w:tc>
          <w:tcPr>
            <w:tcW w:w="5359" w:type="dxa"/>
            <w:gridSpan w:val="5"/>
            <w:vAlign w:val="center"/>
          </w:tcPr>
          <w:p w14:paraId="550F17B1">
            <w:pPr>
              <w:autoSpaceDE w:val="0"/>
              <w:autoSpaceDN w:val="0"/>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position w:val="-1"/>
                <w:sz w:val="21"/>
                <w:szCs w:val="21"/>
                <w:highlight w:val="none"/>
              </w:rPr>
              <w:t>完成情况</w:t>
            </w:r>
          </w:p>
        </w:tc>
        <w:tc>
          <w:tcPr>
            <w:tcW w:w="1035" w:type="dxa"/>
            <w:vAlign w:val="center"/>
          </w:tcPr>
          <w:p w14:paraId="39D1DBF9">
            <w:pPr>
              <w:autoSpaceDE w:val="0"/>
              <w:autoSpaceDN w:val="0"/>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position w:val="-1"/>
                <w:sz w:val="21"/>
                <w:szCs w:val="21"/>
                <w:highlight w:val="none"/>
              </w:rPr>
              <w:t>备注</w:t>
            </w:r>
          </w:p>
        </w:tc>
      </w:tr>
      <w:tr w14:paraId="6B801A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3BEBC65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影</w:t>
            </w:r>
          </w:p>
          <w:p w14:paraId="6037BA8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响 </w:t>
            </w:r>
          </w:p>
          <w:p w14:paraId="128DC0D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识</w:t>
            </w:r>
          </w:p>
          <w:p w14:paraId="5923432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别</w:t>
            </w:r>
          </w:p>
        </w:tc>
        <w:tc>
          <w:tcPr>
            <w:tcW w:w="1557" w:type="dxa"/>
            <w:vAlign w:val="center"/>
          </w:tcPr>
          <w:p w14:paraId="5DC1DAD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影响类型</w:t>
            </w:r>
          </w:p>
        </w:tc>
        <w:tc>
          <w:tcPr>
            <w:tcW w:w="5359" w:type="dxa"/>
            <w:gridSpan w:val="5"/>
            <w:vAlign w:val="center"/>
          </w:tcPr>
          <w:p w14:paraId="108CC4D4">
            <w:pPr>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污染影响型</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；生态影响型</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；两种兼有</w:t>
            </w:r>
            <w:r>
              <w:rPr>
                <w:rFonts w:hint="default" w:ascii="Times New Roman" w:hAnsi="Times New Roman" w:cs="Times New Roman"/>
                <w:color w:val="auto"/>
                <w:sz w:val="21"/>
                <w:szCs w:val="21"/>
                <w:highlight w:val="none"/>
              </w:rPr>
              <w:t>□</w:t>
            </w:r>
          </w:p>
        </w:tc>
        <w:tc>
          <w:tcPr>
            <w:tcW w:w="1035" w:type="dxa"/>
            <w:vAlign w:val="center"/>
          </w:tcPr>
          <w:p w14:paraId="3044BC8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311B9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5CCB7AE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4C80C8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土地利用类型</w:t>
            </w:r>
          </w:p>
        </w:tc>
        <w:tc>
          <w:tcPr>
            <w:tcW w:w="5359" w:type="dxa"/>
            <w:gridSpan w:val="5"/>
            <w:vAlign w:val="center"/>
          </w:tcPr>
          <w:p w14:paraId="03B01423">
            <w:pPr>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建设用地</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szCs w:val="21"/>
                <w:highlight w:val="none"/>
              </w:rPr>
              <w:t>；农用地</w:t>
            </w:r>
            <w:r>
              <w:rPr>
                <w:rFonts w:hint="default" w:cs="Times New Roman"/>
                <w:color w:val="auto"/>
                <w:sz w:val="21"/>
                <w:szCs w:val="21"/>
                <w:highlight w:val="none"/>
                <w:lang w:eastAsia="zh-CN"/>
              </w:rPr>
              <w:t>☑</w:t>
            </w:r>
            <w:r>
              <w:rPr>
                <w:rFonts w:hint="default" w:ascii="Times New Roman" w:hAnsi="Times New Roman" w:cs="Times New Roman"/>
                <w:color w:val="auto"/>
                <w:kern w:val="0"/>
                <w:sz w:val="21"/>
                <w:szCs w:val="21"/>
                <w:highlight w:val="none"/>
              </w:rPr>
              <w:t>；未利用地</w:t>
            </w:r>
            <w:r>
              <w:rPr>
                <w:rFonts w:hint="default" w:ascii="Times New Roman" w:hAnsi="Times New Roman" w:cs="Times New Roman"/>
                <w:color w:val="auto"/>
                <w:sz w:val="21"/>
                <w:szCs w:val="21"/>
                <w:highlight w:val="none"/>
              </w:rPr>
              <w:t>□</w:t>
            </w:r>
          </w:p>
        </w:tc>
        <w:tc>
          <w:tcPr>
            <w:tcW w:w="1035" w:type="dxa"/>
            <w:vAlign w:val="center"/>
          </w:tcPr>
          <w:p w14:paraId="6102A865">
            <w:pPr>
              <w:autoSpaceDE w:val="0"/>
              <w:autoSpaceDN w:val="0"/>
              <w:adjustRightInd w:val="0"/>
              <w:spacing w:line="360" w:lineRule="exact"/>
              <w:ind w:firstLine="0" w:firstLineChars="0"/>
              <w:jc w:val="center"/>
              <w:rPr>
                <w:rFonts w:hint="default" w:ascii="Times New Roman" w:hAnsi="Times New Roman" w:cs="Times New Roman"/>
                <w:color w:val="auto"/>
                <w:spacing w:val="10"/>
                <w:kern w:val="0"/>
                <w:position w:val="-1"/>
                <w:sz w:val="21"/>
                <w:szCs w:val="21"/>
                <w:highlight w:val="none"/>
              </w:rPr>
            </w:pPr>
            <w:r>
              <w:rPr>
                <w:rFonts w:hint="default" w:ascii="Times New Roman" w:hAnsi="Times New Roman" w:cs="Times New Roman"/>
                <w:color w:val="auto"/>
                <w:spacing w:val="10"/>
                <w:kern w:val="0"/>
                <w:position w:val="-1"/>
                <w:sz w:val="21"/>
                <w:szCs w:val="21"/>
                <w:highlight w:val="none"/>
              </w:rPr>
              <w:t>土</w:t>
            </w:r>
            <w:r>
              <w:rPr>
                <w:rFonts w:hint="default" w:ascii="Times New Roman" w:hAnsi="Times New Roman" w:cs="Times New Roman"/>
                <w:color w:val="auto"/>
                <w:spacing w:val="7"/>
                <w:kern w:val="0"/>
                <w:position w:val="-1"/>
                <w:sz w:val="21"/>
                <w:szCs w:val="21"/>
                <w:highlight w:val="none"/>
              </w:rPr>
              <w:t>地</w:t>
            </w:r>
            <w:r>
              <w:rPr>
                <w:rFonts w:hint="default" w:ascii="Times New Roman" w:hAnsi="Times New Roman" w:cs="Times New Roman"/>
                <w:color w:val="auto"/>
                <w:spacing w:val="10"/>
                <w:kern w:val="0"/>
                <w:position w:val="-1"/>
                <w:sz w:val="21"/>
                <w:szCs w:val="21"/>
                <w:highlight w:val="none"/>
              </w:rPr>
              <w:t>利用</w:t>
            </w:r>
          </w:p>
          <w:p w14:paraId="2782907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类</w:t>
            </w:r>
            <w:r>
              <w:rPr>
                <w:rFonts w:hint="default" w:ascii="Times New Roman" w:hAnsi="Times New Roman" w:cs="Times New Roman"/>
                <w:color w:val="auto"/>
                <w:kern w:val="0"/>
                <w:sz w:val="21"/>
                <w:szCs w:val="21"/>
                <w:highlight w:val="none"/>
              </w:rPr>
              <w:t>型图</w:t>
            </w:r>
          </w:p>
        </w:tc>
      </w:tr>
      <w:tr w14:paraId="68CA2C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3D0FD67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0088B41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占地规模</w:t>
            </w:r>
          </w:p>
        </w:tc>
        <w:tc>
          <w:tcPr>
            <w:tcW w:w="5359" w:type="dxa"/>
            <w:gridSpan w:val="5"/>
            <w:vAlign w:val="center"/>
          </w:tcPr>
          <w:p w14:paraId="518A7C69">
            <w:pPr>
              <w:tabs>
                <w:tab w:val="left" w:pos="136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w:t>
            </w:r>
            <w:r>
              <w:rPr>
                <w:rFonts w:hint="default" w:cs="Times New Roman"/>
                <w:color w:val="auto"/>
                <w:kern w:val="0"/>
                <w:position w:val="-1"/>
                <w:sz w:val="21"/>
                <w:szCs w:val="21"/>
                <w:highlight w:val="none"/>
                <w:lang w:val="en-US" w:eastAsia="zh-CN"/>
              </w:rPr>
              <w:t>3</w:t>
            </w:r>
            <w:r>
              <w:rPr>
                <w:rFonts w:hint="eastAsia" w:cs="Times New Roman"/>
                <w:color w:val="auto"/>
                <w:kern w:val="0"/>
                <w:position w:val="-1"/>
                <w:sz w:val="21"/>
                <w:szCs w:val="21"/>
                <w:highlight w:val="none"/>
                <w:lang w:val="en-US" w:eastAsia="zh-CN"/>
              </w:rPr>
              <w:t>3.6</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pacing w:val="1"/>
                <w:kern w:val="0"/>
                <w:position w:val="-1"/>
                <w:sz w:val="21"/>
                <w:szCs w:val="21"/>
                <w:highlight w:val="none"/>
              </w:rPr>
              <w:t>hm</w:t>
            </w:r>
            <w:r>
              <w:rPr>
                <w:rFonts w:hint="default" w:ascii="Times New Roman" w:hAnsi="Times New Roman" w:cs="Times New Roman"/>
                <w:color w:val="auto"/>
                <w:spacing w:val="1"/>
                <w:kern w:val="0"/>
                <w:position w:val="-1"/>
                <w:sz w:val="21"/>
                <w:szCs w:val="21"/>
                <w:highlight w:val="none"/>
                <w:vertAlign w:val="superscript"/>
              </w:rPr>
              <w:t>2</w:t>
            </w:r>
          </w:p>
        </w:tc>
        <w:tc>
          <w:tcPr>
            <w:tcW w:w="1035" w:type="dxa"/>
            <w:vAlign w:val="center"/>
          </w:tcPr>
          <w:p w14:paraId="55B9830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0"/>
                <w:kern w:val="0"/>
                <w:position w:val="-1"/>
                <w:sz w:val="21"/>
                <w:szCs w:val="21"/>
                <w:highlight w:val="none"/>
              </w:rPr>
              <w:t>新增</w:t>
            </w:r>
          </w:p>
        </w:tc>
      </w:tr>
      <w:tr w14:paraId="556741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459661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3F4A9E1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敏感目标信息</w:t>
            </w:r>
          </w:p>
        </w:tc>
        <w:tc>
          <w:tcPr>
            <w:tcW w:w="5359" w:type="dxa"/>
            <w:gridSpan w:val="5"/>
            <w:vAlign w:val="center"/>
          </w:tcPr>
          <w:p w14:paraId="56D81C28">
            <w:pPr>
              <w:tabs>
                <w:tab w:val="left" w:pos="1620"/>
                <w:tab w:val="left" w:pos="3520"/>
                <w:tab w:val="left" w:pos="5140"/>
              </w:tabs>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敏感目标（</w:t>
            </w:r>
            <w:r>
              <w:rPr>
                <w:rFonts w:hint="default" w:cs="Times New Roman"/>
                <w:color w:val="auto"/>
                <w:sz w:val="21"/>
                <w:szCs w:val="21"/>
                <w:highlight w:val="none"/>
                <w:lang w:val="en-US" w:eastAsia="zh-CN"/>
              </w:rPr>
              <w:t>耕地</w:t>
            </w:r>
            <w:r>
              <w:rPr>
                <w:rFonts w:hint="default" w:ascii="Times New Roman" w:hAnsi="Times New Roman" w:cs="Times New Roman"/>
                <w:color w:val="auto"/>
                <w:kern w:val="0"/>
                <w:position w:val="-1"/>
                <w:sz w:val="21"/>
                <w:szCs w:val="21"/>
                <w:highlight w:val="none"/>
              </w:rPr>
              <w:t>）、方位（</w:t>
            </w:r>
            <w:r>
              <w:rPr>
                <w:rFonts w:hint="default" w:ascii="Times New Roman" w:hAnsi="Times New Roman" w:cs="Times New Roman"/>
                <w:color w:val="auto"/>
                <w:kern w:val="0"/>
                <w:position w:val="-1"/>
                <w:sz w:val="21"/>
                <w:szCs w:val="21"/>
                <w:highlight w:val="none"/>
                <w:lang w:val="en-US" w:eastAsia="zh-CN"/>
              </w:rPr>
              <w:t>E</w:t>
            </w:r>
            <w:r>
              <w:rPr>
                <w:rFonts w:hint="default" w:ascii="Times New Roman" w:hAnsi="Times New Roman" w:cs="Times New Roman"/>
                <w:color w:val="auto"/>
                <w:kern w:val="0"/>
                <w:position w:val="-1"/>
                <w:sz w:val="21"/>
                <w:szCs w:val="21"/>
                <w:highlight w:val="none"/>
              </w:rPr>
              <w:t>）、距离（</w:t>
            </w:r>
            <w:r>
              <w:rPr>
                <w:rFonts w:hint="default" w:cs="Times New Roman"/>
                <w:color w:val="auto"/>
                <w:sz w:val="21"/>
                <w:szCs w:val="21"/>
                <w:highlight w:val="none"/>
                <w:lang w:val="en-US" w:eastAsia="zh-CN"/>
              </w:rPr>
              <w:t>320m</w:t>
            </w:r>
            <w:r>
              <w:rPr>
                <w:rFonts w:hint="default" w:ascii="Times New Roman" w:hAnsi="Times New Roman" w:cs="Times New Roman"/>
                <w:color w:val="auto"/>
                <w:kern w:val="0"/>
                <w:position w:val="-1"/>
                <w:sz w:val="21"/>
                <w:szCs w:val="21"/>
                <w:highlight w:val="none"/>
              </w:rPr>
              <w:t>）</w:t>
            </w:r>
          </w:p>
        </w:tc>
        <w:tc>
          <w:tcPr>
            <w:tcW w:w="1035" w:type="dxa"/>
            <w:vAlign w:val="center"/>
          </w:tcPr>
          <w:p w14:paraId="7354F25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BB8D3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F762E0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266F1EC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影响途径</w:t>
            </w:r>
          </w:p>
        </w:tc>
        <w:tc>
          <w:tcPr>
            <w:tcW w:w="5359" w:type="dxa"/>
            <w:gridSpan w:val="5"/>
            <w:vAlign w:val="center"/>
          </w:tcPr>
          <w:p w14:paraId="45DA6A05">
            <w:pPr>
              <w:tabs>
                <w:tab w:val="left" w:pos="5220"/>
              </w:tabs>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大气沉降</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；地面漫流</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；垂直入渗</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；地下水位</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；其他（ ）</w:t>
            </w:r>
          </w:p>
        </w:tc>
        <w:tc>
          <w:tcPr>
            <w:tcW w:w="1035" w:type="dxa"/>
            <w:vAlign w:val="center"/>
          </w:tcPr>
          <w:p w14:paraId="6FC2B55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01D3CC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571C16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51EDBD2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全部污染物</w:t>
            </w:r>
          </w:p>
        </w:tc>
        <w:tc>
          <w:tcPr>
            <w:tcW w:w="5359" w:type="dxa"/>
            <w:gridSpan w:val="5"/>
            <w:vAlign w:val="center"/>
          </w:tcPr>
          <w:p w14:paraId="61E26775">
            <w:pPr>
              <w:autoSpaceDE w:val="0"/>
              <w:autoSpaceDN w:val="0"/>
              <w:adjustRightIn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Cs/>
                <w:color w:val="auto"/>
                <w:sz w:val="21"/>
                <w:szCs w:val="21"/>
                <w:highlight w:val="none"/>
              </w:rPr>
              <w:t>pH、砷、镉、六价铬、铜、铅、汞、镍</w:t>
            </w:r>
            <w:r>
              <w:rPr>
                <w:rFonts w:hint="default" w:cs="Times New Roman"/>
                <w:bCs/>
                <w:color w:val="auto"/>
                <w:sz w:val="21"/>
                <w:szCs w:val="21"/>
                <w:highlight w:val="none"/>
                <w:lang w:eastAsia="zh-CN"/>
              </w:rPr>
              <w:t>、</w:t>
            </w:r>
            <w:r>
              <w:rPr>
                <w:rFonts w:hint="default" w:cs="Times New Roman"/>
                <w:bCs/>
                <w:color w:val="auto"/>
                <w:sz w:val="21"/>
                <w:szCs w:val="21"/>
                <w:highlight w:val="none"/>
                <w:lang w:val="en-US" w:eastAsia="zh-CN"/>
              </w:rPr>
              <w:t>锌</w:t>
            </w:r>
          </w:p>
        </w:tc>
        <w:tc>
          <w:tcPr>
            <w:tcW w:w="1035" w:type="dxa"/>
            <w:vAlign w:val="center"/>
          </w:tcPr>
          <w:p w14:paraId="1F9CD52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08CDC9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0FD640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1E20755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特征因子</w:t>
            </w:r>
          </w:p>
        </w:tc>
        <w:tc>
          <w:tcPr>
            <w:tcW w:w="5359" w:type="dxa"/>
            <w:gridSpan w:val="5"/>
            <w:vAlign w:val="center"/>
          </w:tcPr>
          <w:p w14:paraId="31F4EA9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铅</w:t>
            </w:r>
          </w:p>
        </w:tc>
        <w:tc>
          <w:tcPr>
            <w:tcW w:w="1035" w:type="dxa"/>
            <w:vAlign w:val="center"/>
          </w:tcPr>
          <w:p w14:paraId="4A23549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5EEBA2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D1FF54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0F48BB8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所属土壤环境影响</w:t>
            </w:r>
            <w:r>
              <w:rPr>
                <w:rFonts w:hint="default" w:ascii="Times New Roman" w:hAnsi="Times New Roman" w:cs="Times New Roman"/>
                <w:color w:val="auto"/>
                <w:kern w:val="0"/>
                <w:sz w:val="21"/>
                <w:szCs w:val="21"/>
                <w:highlight w:val="none"/>
              </w:rPr>
              <w:t>评价项目类别</w:t>
            </w:r>
          </w:p>
        </w:tc>
        <w:tc>
          <w:tcPr>
            <w:tcW w:w="5359" w:type="dxa"/>
            <w:gridSpan w:val="5"/>
            <w:vAlign w:val="center"/>
          </w:tcPr>
          <w:p w14:paraId="184F944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Ⅱ类</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szCs w:val="21"/>
                <w:highlight w:val="none"/>
              </w:rPr>
              <w:t>；Ⅱ类</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szCs w:val="21"/>
                <w:highlight w:val="none"/>
              </w:rPr>
              <w:t>；Ⅲ类</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szCs w:val="21"/>
                <w:highlight w:val="none"/>
              </w:rPr>
              <w:t>；Ⅳ类</w:t>
            </w:r>
            <w:r>
              <w:rPr>
                <w:rFonts w:hint="default" w:ascii="Times New Roman" w:hAnsi="Times New Roman" w:cs="Times New Roman"/>
                <w:color w:val="auto"/>
                <w:sz w:val="21"/>
                <w:szCs w:val="21"/>
                <w:highlight w:val="none"/>
              </w:rPr>
              <w:t>□</w:t>
            </w:r>
          </w:p>
        </w:tc>
        <w:tc>
          <w:tcPr>
            <w:tcW w:w="1035" w:type="dxa"/>
            <w:vAlign w:val="center"/>
          </w:tcPr>
          <w:p w14:paraId="6581E49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0001A5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35C30B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27A482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敏感程度</w:t>
            </w:r>
          </w:p>
        </w:tc>
        <w:tc>
          <w:tcPr>
            <w:tcW w:w="5359" w:type="dxa"/>
            <w:gridSpan w:val="5"/>
            <w:vAlign w:val="center"/>
          </w:tcPr>
          <w:p w14:paraId="558AEEE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敏感</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；较敏感</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；不敏感</w:t>
            </w:r>
            <w:r>
              <w:rPr>
                <w:rFonts w:hint="default" w:ascii="Times New Roman" w:hAnsi="Times New Roman" w:cs="Times New Roman"/>
                <w:color w:val="auto"/>
                <w:sz w:val="21"/>
                <w:szCs w:val="21"/>
                <w:highlight w:val="none"/>
              </w:rPr>
              <w:t>□</w:t>
            </w:r>
          </w:p>
        </w:tc>
        <w:tc>
          <w:tcPr>
            <w:tcW w:w="1035" w:type="dxa"/>
            <w:vAlign w:val="center"/>
          </w:tcPr>
          <w:p w14:paraId="0010FC2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67A0C0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940" w:type="dxa"/>
            <w:gridSpan w:val="2"/>
            <w:vAlign w:val="center"/>
          </w:tcPr>
          <w:p w14:paraId="7D22EC6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评价工作等级</w:t>
            </w:r>
          </w:p>
        </w:tc>
        <w:tc>
          <w:tcPr>
            <w:tcW w:w="5359" w:type="dxa"/>
            <w:gridSpan w:val="5"/>
            <w:vAlign w:val="center"/>
          </w:tcPr>
          <w:p w14:paraId="63FBEC8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一级</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；二级</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；三级</w:t>
            </w:r>
            <w:r>
              <w:rPr>
                <w:rFonts w:hint="default" w:ascii="Times New Roman" w:hAnsi="Times New Roman" w:cs="Times New Roman"/>
                <w:color w:val="auto"/>
                <w:sz w:val="21"/>
                <w:szCs w:val="21"/>
                <w:highlight w:val="none"/>
              </w:rPr>
              <w:t>□</w:t>
            </w:r>
          </w:p>
        </w:tc>
        <w:tc>
          <w:tcPr>
            <w:tcW w:w="1035" w:type="dxa"/>
            <w:vAlign w:val="center"/>
          </w:tcPr>
          <w:p w14:paraId="509C06D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44F555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3C7F569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w:t>
            </w:r>
          </w:p>
          <w:p w14:paraId="4D840FB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状 </w:t>
            </w:r>
          </w:p>
          <w:p w14:paraId="555338F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调</w:t>
            </w:r>
          </w:p>
          <w:p w14:paraId="369FB20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查</w:t>
            </w:r>
          </w:p>
          <w:p w14:paraId="7ECAAC1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内</w:t>
            </w:r>
          </w:p>
          <w:p w14:paraId="25C6C99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容</w:t>
            </w:r>
          </w:p>
        </w:tc>
        <w:tc>
          <w:tcPr>
            <w:tcW w:w="1557" w:type="dxa"/>
            <w:vAlign w:val="center"/>
          </w:tcPr>
          <w:p w14:paraId="09D2AC4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资料收集</w:t>
            </w:r>
          </w:p>
        </w:tc>
        <w:tc>
          <w:tcPr>
            <w:tcW w:w="5359" w:type="dxa"/>
            <w:gridSpan w:val="5"/>
            <w:vAlign w:val="center"/>
          </w:tcPr>
          <w:p w14:paraId="5729B3F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
                <w:w w:val="99"/>
                <w:kern w:val="0"/>
                <w:position w:val="-1"/>
                <w:sz w:val="21"/>
                <w:szCs w:val="21"/>
                <w:highlight w:val="none"/>
              </w:rPr>
              <w:t>a</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pacing w:val="-1"/>
                <w:kern w:val="0"/>
                <w:position w:val="-1"/>
                <w:sz w:val="21"/>
                <w:szCs w:val="21"/>
                <w:highlight w:val="none"/>
              </w:rPr>
              <w:t>b</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pacing w:val="2"/>
                <w:w w:val="99"/>
                <w:kern w:val="0"/>
                <w:position w:val="-1"/>
                <w:sz w:val="21"/>
                <w:szCs w:val="21"/>
                <w:highlight w:val="none"/>
              </w:rPr>
              <w:t>c</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pacing w:val="-1"/>
                <w:w w:val="78"/>
                <w:kern w:val="0"/>
                <w:position w:val="-1"/>
                <w:sz w:val="21"/>
                <w:szCs w:val="21"/>
                <w:highlight w:val="none"/>
              </w:rPr>
              <w:t>d</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p>
        </w:tc>
        <w:tc>
          <w:tcPr>
            <w:tcW w:w="1035" w:type="dxa"/>
            <w:vAlign w:val="center"/>
          </w:tcPr>
          <w:p w14:paraId="31E2608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7DD848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BE8238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5615C6E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理化特性</w:t>
            </w:r>
          </w:p>
        </w:tc>
        <w:tc>
          <w:tcPr>
            <w:tcW w:w="5359" w:type="dxa"/>
            <w:gridSpan w:val="5"/>
            <w:vAlign w:val="center"/>
          </w:tcPr>
          <w:p w14:paraId="6D2DB7D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035" w:type="dxa"/>
            <w:vAlign w:val="center"/>
          </w:tcPr>
          <w:p w14:paraId="7428887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同附录C</w:t>
            </w:r>
          </w:p>
        </w:tc>
      </w:tr>
      <w:tr w14:paraId="7B5EF2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D42EF3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restart"/>
            <w:vAlign w:val="center"/>
          </w:tcPr>
          <w:p w14:paraId="56E2EF6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现状监测点位</w:t>
            </w:r>
          </w:p>
        </w:tc>
        <w:tc>
          <w:tcPr>
            <w:tcW w:w="1216" w:type="dxa"/>
            <w:vAlign w:val="center"/>
          </w:tcPr>
          <w:p w14:paraId="072DBA49">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14</w:t>
            </w:r>
          </w:p>
        </w:tc>
        <w:tc>
          <w:tcPr>
            <w:tcW w:w="1377" w:type="dxa"/>
            <w:vAlign w:val="center"/>
          </w:tcPr>
          <w:p w14:paraId="24D92FC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占地范围内</w:t>
            </w:r>
          </w:p>
        </w:tc>
        <w:tc>
          <w:tcPr>
            <w:tcW w:w="1785" w:type="dxa"/>
            <w:gridSpan w:val="2"/>
            <w:vAlign w:val="center"/>
          </w:tcPr>
          <w:p w14:paraId="5052A36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占地范围外</w:t>
            </w:r>
          </w:p>
        </w:tc>
        <w:tc>
          <w:tcPr>
            <w:tcW w:w="981" w:type="dxa"/>
            <w:vAlign w:val="center"/>
          </w:tcPr>
          <w:p w14:paraId="321CB05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深度</w:t>
            </w:r>
          </w:p>
        </w:tc>
        <w:tc>
          <w:tcPr>
            <w:tcW w:w="1035" w:type="dxa"/>
            <w:vMerge w:val="restart"/>
            <w:vAlign w:val="center"/>
          </w:tcPr>
          <w:p w14:paraId="0A0212F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点位布置图</w:t>
            </w:r>
          </w:p>
        </w:tc>
      </w:tr>
      <w:tr w14:paraId="4975B4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4F2168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continue"/>
            <w:vAlign w:val="center"/>
          </w:tcPr>
          <w:p w14:paraId="12203D4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216" w:type="dxa"/>
            <w:vAlign w:val="center"/>
          </w:tcPr>
          <w:p w14:paraId="1BA966E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表层样点数</w:t>
            </w:r>
          </w:p>
        </w:tc>
        <w:tc>
          <w:tcPr>
            <w:tcW w:w="1377" w:type="dxa"/>
            <w:vAlign w:val="center"/>
          </w:tcPr>
          <w:p w14:paraId="3449ACA1">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cs="Times New Roman"/>
                <w:color w:val="auto"/>
                <w:kern w:val="0"/>
                <w:sz w:val="21"/>
                <w:szCs w:val="21"/>
                <w:highlight w:val="none"/>
                <w:lang w:val="en-US" w:eastAsia="zh-CN"/>
              </w:rPr>
              <w:t>2</w:t>
            </w:r>
          </w:p>
        </w:tc>
        <w:tc>
          <w:tcPr>
            <w:tcW w:w="1785" w:type="dxa"/>
            <w:gridSpan w:val="2"/>
            <w:vAlign w:val="center"/>
          </w:tcPr>
          <w:p w14:paraId="523938F4">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6</w:t>
            </w:r>
          </w:p>
        </w:tc>
        <w:tc>
          <w:tcPr>
            <w:tcW w:w="981" w:type="dxa"/>
            <w:vAlign w:val="center"/>
          </w:tcPr>
          <w:p w14:paraId="643605E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0~0.2m</w:t>
            </w:r>
          </w:p>
        </w:tc>
        <w:tc>
          <w:tcPr>
            <w:tcW w:w="1035" w:type="dxa"/>
            <w:vMerge w:val="continue"/>
            <w:vAlign w:val="center"/>
          </w:tcPr>
          <w:p w14:paraId="76EE1FE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6CC250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2696DB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continue"/>
            <w:vAlign w:val="center"/>
          </w:tcPr>
          <w:p w14:paraId="75C7937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216" w:type="dxa"/>
            <w:vAlign w:val="center"/>
          </w:tcPr>
          <w:p w14:paraId="666C68A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柱状样点数</w:t>
            </w:r>
          </w:p>
        </w:tc>
        <w:tc>
          <w:tcPr>
            <w:tcW w:w="1377" w:type="dxa"/>
            <w:vAlign w:val="center"/>
          </w:tcPr>
          <w:p w14:paraId="209C663E">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cs="Times New Roman"/>
                <w:color w:val="auto"/>
                <w:kern w:val="0"/>
                <w:sz w:val="21"/>
                <w:szCs w:val="21"/>
                <w:highlight w:val="none"/>
                <w:lang w:val="en-US" w:eastAsia="zh-CN"/>
              </w:rPr>
              <w:t>5</w:t>
            </w:r>
          </w:p>
        </w:tc>
        <w:tc>
          <w:tcPr>
            <w:tcW w:w="1785" w:type="dxa"/>
            <w:gridSpan w:val="2"/>
            <w:vAlign w:val="center"/>
          </w:tcPr>
          <w:p w14:paraId="1770DF5F">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cs="Times New Roman"/>
                <w:color w:val="auto"/>
                <w:kern w:val="0"/>
                <w:sz w:val="21"/>
                <w:szCs w:val="21"/>
                <w:highlight w:val="none"/>
                <w:lang w:val="en-US" w:eastAsia="zh-CN"/>
              </w:rPr>
              <w:t>1</w:t>
            </w:r>
          </w:p>
        </w:tc>
        <w:tc>
          <w:tcPr>
            <w:tcW w:w="981" w:type="dxa"/>
            <w:vAlign w:val="center"/>
          </w:tcPr>
          <w:p w14:paraId="2CA076DA">
            <w:pPr>
              <w:autoSpaceDE w:val="0"/>
              <w:autoSpaceDN w:val="0"/>
              <w:adjustRightInd w:val="0"/>
              <w:spacing w:line="24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0~0.5m</w:t>
            </w:r>
          </w:p>
          <w:p w14:paraId="34817A5D">
            <w:pPr>
              <w:autoSpaceDE w:val="0"/>
              <w:autoSpaceDN w:val="0"/>
              <w:adjustRightInd w:val="0"/>
              <w:spacing w:line="24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0.5~1.5m</w:t>
            </w:r>
          </w:p>
          <w:p w14:paraId="73720AE5">
            <w:pPr>
              <w:autoSpaceDE w:val="0"/>
              <w:autoSpaceDN w:val="0"/>
              <w:adjustRightInd w:val="0"/>
              <w:spacing w:line="24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1.5~3m</w:t>
            </w:r>
          </w:p>
        </w:tc>
        <w:tc>
          <w:tcPr>
            <w:tcW w:w="1035" w:type="dxa"/>
            <w:vMerge w:val="continue"/>
            <w:vAlign w:val="center"/>
          </w:tcPr>
          <w:p w14:paraId="38A055C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50696D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707B76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61F2E35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现状监测因子</w:t>
            </w:r>
          </w:p>
        </w:tc>
        <w:tc>
          <w:tcPr>
            <w:tcW w:w="5359" w:type="dxa"/>
            <w:gridSpan w:val="5"/>
            <w:vAlign w:val="center"/>
          </w:tcPr>
          <w:p w14:paraId="0ED9C54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基本45项及pH、含盐量</w:t>
            </w:r>
          </w:p>
        </w:tc>
        <w:tc>
          <w:tcPr>
            <w:tcW w:w="1035" w:type="dxa"/>
            <w:vAlign w:val="center"/>
          </w:tcPr>
          <w:p w14:paraId="768015B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67EA8D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3E7A460E">
            <w:pPr>
              <w:autoSpaceDE w:val="0"/>
              <w:autoSpaceDN w:val="0"/>
              <w:adjustRightInd w:val="0"/>
              <w:spacing w:line="360" w:lineRule="exact"/>
              <w:ind w:firstLine="0" w:firstLineChars="0"/>
              <w:jc w:val="center"/>
              <w:rPr>
                <w:rFonts w:hint="default" w:ascii="Times New Roman" w:hAnsi="Times New Roman" w:cs="Times New Roman"/>
                <w:color w:val="auto"/>
                <w:kern w:val="0"/>
                <w:position w:val="-1"/>
                <w:sz w:val="21"/>
                <w:szCs w:val="21"/>
                <w:highlight w:val="none"/>
              </w:rPr>
            </w:pPr>
            <w:r>
              <w:rPr>
                <w:rFonts w:hint="default" w:ascii="Times New Roman" w:hAnsi="Times New Roman" w:cs="Times New Roman"/>
                <w:color w:val="auto"/>
                <w:kern w:val="0"/>
                <w:position w:val="-1"/>
                <w:sz w:val="21"/>
                <w:szCs w:val="21"/>
                <w:highlight w:val="none"/>
              </w:rPr>
              <w:t>现</w:t>
            </w:r>
          </w:p>
          <w:p w14:paraId="548A4AB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状 </w:t>
            </w:r>
          </w:p>
          <w:p w14:paraId="50A4462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评</w:t>
            </w:r>
          </w:p>
          <w:p w14:paraId="705FBD2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价</w:t>
            </w:r>
          </w:p>
        </w:tc>
        <w:tc>
          <w:tcPr>
            <w:tcW w:w="1557" w:type="dxa"/>
            <w:vAlign w:val="center"/>
          </w:tcPr>
          <w:p w14:paraId="215CE8F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评价因子</w:t>
            </w:r>
          </w:p>
        </w:tc>
        <w:tc>
          <w:tcPr>
            <w:tcW w:w="5359" w:type="dxa"/>
            <w:gridSpan w:val="5"/>
            <w:vAlign w:val="center"/>
          </w:tcPr>
          <w:p w14:paraId="7D3509F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基本45项</w:t>
            </w:r>
          </w:p>
        </w:tc>
        <w:tc>
          <w:tcPr>
            <w:tcW w:w="1035" w:type="dxa"/>
            <w:vAlign w:val="center"/>
          </w:tcPr>
          <w:p w14:paraId="7A47B65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509D93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621F8E7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C58AC7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评价标准</w:t>
            </w:r>
          </w:p>
        </w:tc>
        <w:tc>
          <w:tcPr>
            <w:tcW w:w="5359" w:type="dxa"/>
            <w:gridSpan w:val="5"/>
            <w:vAlign w:val="center"/>
          </w:tcPr>
          <w:p w14:paraId="4DEA7BD7">
            <w:pPr>
              <w:tabs>
                <w:tab w:val="left" w:pos="508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GB</w:t>
            </w:r>
            <w:r>
              <w:rPr>
                <w:rFonts w:hint="default" w:ascii="Times New Roman" w:hAnsi="Times New Roman" w:cs="Times New Roman"/>
                <w:color w:val="auto"/>
                <w:spacing w:val="1"/>
                <w:kern w:val="0"/>
                <w:position w:val="-1"/>
                <w:sz w:val="21"/>
                <w:szCs w:val="21"/>
                <w:highlight w:val="none"/>
              </w:rPr>
              <w:t>1</w:t>
            </w:r>
            <w:r>
              <w:rPr>
                <w:rFonts w:hint="default" w:ascii="Times New Roman" w:hAnsi="Times New Roman" w:cs="Times New Roman"/>
                <w:color w:val="auto"/>
                <w:spacing w:val="-1"/>
                <w:kern w:val="0"/>
                <w:position w:val="-1"/>
                <w:sz w:val="21"/>
                <w:szCs w:val="21"/>
                <w:highlight w:val="none"/>
              </w:rPr>
              <w:t>5</w:t>
            </w:r>
            <w:r>
              <w:rPr>
                <w:rFonts w:hint="default" w:ascii="Times New Roman" w:hAnsi="Times New Roman" w:cs="Times New Roman"/>
                <w:color w:val="auto"/>
                <w:spacing w:val="1"/>
                <w:kern w:val="0"/>
                <w:position w:val="-1"/>
                <w:sz w:val="21"/>
                <w:szCs w:val="21"/>
                <w:highlight w:val="none"/>
              </w:rPr>
              <w:t>6</w:t>
            </w:r>
            <w:r>
              <w:rPr>
                <w:rFonts w:hint="default" w:ascii="Times New Roman" w:hAnsi="Times New Roman" w:cs="Times New Roman"/>
                <w:color w:val="auto"/>
                <w:spacing w:val="-1"/>
                <w:kern w:val="0"/>
                <w:position w:val="-1"/>
                <w:sz w:val="21"/>
                <w:szCs w:val="21"/>
                <w:highlight w:val="none"/>
              </w:rPr>
              <w:t>18</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；G</w:t>
            </w:r>
            <w:r>
              <w:rPr>
                <w:rFonts w:hint="default" w:ascii="Times New Roman" w:hAnsi="Times New Roman" w:cs="Times New Roman"/>
                <w:color w:val="auto"/>
                <w:w w:val="99"/>
                <w:kern w:val="0"/>
                <w:position w:val="-1"/>
                <w:sz w:val="21"/>
                <w:szCs w:val="21"/>
                <w:highlight w:val="none"/>
              </w:rPr>
              <w:t>B</w:t>
            </w:r>
            <w:r>
              <w:rPr>
                <w:rFonts w:hint="default" w:ascii="Times New Roman" w:hAnsi="Times New Roman" w:cs="Times New Roman"/>
                <w:color w:val="auto"/>
                <w:spacing w:val="1"/>
                <w:kern w:val="0"/>
                <w:position w:val="-1"/>
                <w:sz w:val="21"/>
                <w:szCs w:val="21"/>
                <w:highlight w:val="none"/>
              </w:rPr>
              <w:t>3</w:t>
            </w:r>
            <w:r>
              <w:rPr>
                <w:rFonts w:hint="default" w:ascii="Times New Roman" w:hAnsi="Times New Roman" w:cs="Times New Roman"/>
                <w:color w:val="auto"/>
                <w:spacing w:val="-1"/>
                <w:kern w:val="0"/>
                <w:position w:val="-1"/>
                <w:sz w:val="21"/>
                <w:szCs w:val="21"/>
                <w:highlight w:val="none"/>
              </w:rPr>
              <w:t>6</w:t>
            </w:r>
            <w:r>
              <w:rPr>
                <w:rFonts w:hint="default" w:ascii="Times New Roman" w:hAnsi="Times New Roman" w:cs="Times New Roman"/>
                <w:color w:val="auto"/>
                <w:spacing w:val="1"/>
                <w:kern w:val="0"/>
                <w:position w:val="-1"/>
                <w:sz w:val="21"/>
                <w:szCs w:val="21"/>
                <w:highlight w:val="none"/>
              </w:rPr>
              <w:t>6</w:t>
            </w:r>
            <w:r>
              <w:rPr>
                <w:rFonts w:hint="default" w:ascii="Times New Roman" w:hAnsi="Times New Roman" w:cs="Times New Roman"/>
                <w:color w:val="auto"/>
                <w:spacing w:val="-1"/>
                <w:kern w:val="0"/>
                <w:position w:val="-1"/>
                <w:sz w:val="21"/>
                <w:szCs w:val="21"/>
                <w:highlight w:val="none"/>
              </w:rPr>
              <w:t>0</w:t>
            </w:r>
            <w:r>
              <w:rPr>
                <w:rFonts w:hint="default" w:ascii="Times New Roman" w:hAnsi="Times New Roman" w:cs="Times New Roman"/>
                <w:color w:val="auto"/>
                <w:spacing w:val="1"/>
                <w:kern w:val="0"/>
                <w:position w:val="-1"/>
                <w:sz w:val="21"/>
                <w:szCs w:val="21"/>
                <w:highlight w:val="none"/>
              </w:rPr>
              <w:t>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；表D</w:t>
            </w:r>
            <w:r>
              <w:rPr>
                <w:rFonts w:hint="default" w:ascii="Times New Roman" w:hAnsi="Times New Roman" w:cs="Times New Roman"/>
                <w:color w:val="auto"/>
                <w:spacing w:val="1"/>
                <w:kern w:val="0"/>
                <w:position w:val="-1"/>
                <w:sz w:val="21"/>
                <w:szCs w:val="21"/>
                <w:highlight w:val="none"/>
              </w:rPr>
              <w:t>.1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；表D</w:t>
            </w:r>
            <w:r>
              <w:rPr>
                <w:rFonts w:hint="default" w:ascii="Times New Roman" w:hAnsi="Times New Roman" w:cs="Times New Roman"/>
                <w:color w:val="auto"/>
                <w:spacing w:val="1"/>
                <w:kern w:val="0"/>
                <w:position w:val="-1"/>
                <w:sz w:val="21"/>
                <w:szCs w:val="21"/>
                <w:highlight w:val="none"/>
              </w:rPr>
              <w:t>.</w:t>
            </w:r>
            <w:r>
              <w:rPr>
                <w:rFonts w:hint="default" w:ascii="Times New Roman" w:hAnsi="Times New Roman" w:cs="Times New Roman"/>
                <w:color w:val="auto"/>
                <w:spacing w:val="-1"/>
                <w:kern w:val="0"/>
                <w:position w:val="-1"/>
                <w:sz w:val="21"/>
                <w:szCs w:val="21"/>
                <w:highlight w:val="none"/>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；其他（        ）</w:t>
            </w:r>
          </w:p>
        </w:tc>
        <w:tc>
          <w:tcPr>
            <w:tcW w:w="1035" w:type="dxa"/>
            <w:vAlign w:val="center"/>
          </w:tcPr>
          <w:p w14:paraId="36A1159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2A6A08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FE4CB6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3FA9E70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现状评价结论</w:t>
            </w:r>
          </w:p>
        </w:tc>
        <w:tc>
          <w:tcPr>
            <w:tcW w:w="5359" w:type="dxa"/>
            <w:gridSpan w:val="5"/>
            <w:vAlign w:val="center"/>
          </w:tcPr>
          <w:p w14:paraId="26ABB7F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各监测点监测结果均能达到《土壤环境质量 建设用地土壤污染风险管控标准（试行）》（GB36600-2018）第二类用地筛选值要求。</w:t>
            </w:r>
          </w:p>
        </w:tc>
        <w:tc>
          <w:tcPr>
            <w:tcW w:w="1035" w:type="dxa"/>
            <w:vAlign w:val="center"/>
          </w:tcPr>
          <w:p w14:paraId="078AC35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202B7F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2C5C0D2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影</w:t>
            </w:r>
          </w:p>
          <w:p w14:paraId="266D10D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响 </w:t>
            </w:r>
          </w:p>
          <w:p w14:paraId="236D5F6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w:t>
            </w:r>
          </w:p>
          <w:p w14:paraId="4CAF1E9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测</w:t>
            </w:r>
          </w:p>
        </w:tc>
        <w:tc>
          <w:tcPr>
            <w:tcW w:w="1557" w:type="dxa"/>
            <w:vAlign w:val="center"/>
          </w:tcPr>
          <w:p w14:paraId="12403F9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预测因子</w:t>
            </w:r>
          </w:p>
        </w:tc>
        <w:tc>
          <w:tcPr>
            <w:tcW w:w="5359" w:type="dxa"/>
            <w:gridSpan w:val="5"/>
            <w:vAlign w:val="center"/>
          </w:tcPr>
          <w:p w14:paraId="1D85E27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1035" w:type="dxa"/>
            <w:vAlign w:val="center"/>
          </w:tcPr>
          <w:p w14:paraId="59257FA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360ED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9CB31E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144B278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预测方法</w:t>
            </w:r>
          </w:p>
        </w:tc>
        <w:tc>
          <w:tcPr>
            <w:tcW w:w="5359" w:type="dxa"/>
            <w:gridSpan w:val="5"/>
            <w:vAlign w:val="center"/>
          </w:tcPr>
          <w:p w14:paraId="1E096B9C">
            <w:pPr>
              <w:tabs>
                <w:tab w:val="left" w:pos="292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附录</w:t>
            </w:r>
            <w:r>
              <w:rPr>
                <w:rFonts w:hint="default" w:ascii="Times New Roman" w:hAnsi="Times New Roman" w:cs="Times New Roman"/>
                <w:color w:val="auto"/>
                <w:spacing w:val="-2"/>
                <w:w w:val="99"/>
                <w:kern w:val="0"/>
                <w:position w:val="-1"/>
                <w:sz w:val="21"/>
                <w:szCs w:val="21"/>
                <w:highlight w:val="none"/>
              </w:rPr>
              <w:t>E</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；附录</w:t>
            </w:r>
            <w:r>
              <w:rPr>
                <w:rFonts w:hint="default" w:ascii="Times New Roman" w:hAnsi="Times New Roman" w:cs="Times New Roman"/>
                <w:color w:val="auto"/>
                <w:spacing w:val="1"/>
                <w:kern w:val="0"/>
                <w:position w:val="-1"/>
                <w:sz w:val="21"/>
                <w:szCs w:val="21"/>
                <w:highlight w:val="none"/>
              </w:rPr>
              <w:t>F</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；其他（        ）</w:t>
            </w:r>
          </w:p>
        </w:tc>
        <w:tc>
          <w:tcPr>
            <w:tcW w:w="1035" w:type="dxa"/>
            <w:vAlign w:val="center"/>
          </w:tcPr>
          <w:p w14:paraId="2BEDE07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D1C06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59512F8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4525227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预测分析内容</w:t>
            </w:r>
          </w:p>
        </w:tc>
        <w:tc>
          <w:tcPr>
            <w:tcW w:w="5359" w:type="dxa"/>
            <w:gridSpan w:val="5"/>
            <w:vAlign w:val="center"/>
          </w:tcPr>
          <w:p w14:paraId="3CFCDDD8">
            <w:pPr>
              <w:tabs>
                <w:tab w:val="left" w:pos="162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影响范围（ m</w:t>
            </w:r>
            <w:r>
              <w:rPr>
                <w:rFonts w:hint="default" w:ascii="Times New Roman" w:hAnsi="Times New Roman" w:cs="Times New Roman"/>
                <w:color w:val="auto"/>
                <w:kern w:val="0"/>
                <w:position w:val="-1"/>
                <w:sz w:val="21"/>
                <w:szCs w:val="21"/>
                <w:highlight w:val="none"/>
                <w:vertAlign w:val="superscript"/>
              </w:rPr>
              <w:t>2</w:t>
            </w:r>
            <w:r>
              <w:rPr>
                <w:rFonts w:hint="default" w:ascii="Times New Roman" w:hAnsi="Times New Roman" w:cs="Times New Roman"/>
                <w:color w:val="auto"/>
                <w:kern w:val="0"/>
                <w:position w:val="-1"/>
                <w:sz w:val="21"/>
                <w:szCs w:val="21"/>
                <w:highlight w:val="none"/>
              </w:rPr>
              <w:t xml:space="preserve"> ）    </w:t>
            </w:r>
            <w:r>
              <w:rPr>
                <w:rFonts w:hint="default" w:ascii="Times New Roman" w:hAnsi="Times New Roman" w:cs="Times New Roman"/>
                <w:color w:val="auto"/>
                <w:kern w:val="0"/>
                <w:sz w:val="21"/>
                <w:szCs w:val="21"/>
                <w:highlight w:val="none"/>
              </w:rPr>
              <w:t>影响程度</w:t>
            </w:r>
            <w:r>
              <w:rPr>
                <w:rFonts w:hint="default" w:ascii="Times New Roman" w:hAnsi="Times New Roman" w:cs="Times New Roman"/>
                <w:color w:val="auto"/>
                <w:kern w:val="0"/>
                <w:position w:val="-1"/>
                <w:sz w:val="21"/>
                <w:szCs w:val="21"/>
                <w:highlight w:val="none"/>
              </w:rPr>
              <w:t>（        ）</w:t>
            </w:r>
          </w:p>
        </w:tc>
        <w:tc>
          <w:tcPr>
            <w:tcW w:w="1035" w:type="dxa"/>
            <w:vAlign w:val="center"/>
          </w:tcPr>
          <w:p w14:paraId="4DEDDA8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9216F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3B3402D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4520A6C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预测结论</w:t>
            </w:r>
          </w:p>
        </w:tc>
        <w:tc>
          <w:tcPr>
            <w:tcW w:w="5359" w:type="dxa"/>
            <w:gridSpan w:val="5"/>
            <w:vAlign w:val="center"/>
          </w:tcPr>
          <w:p w14:paraId="2315123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达标结论：</w:t>
            </w:r>
            <w:r>
              <w:rPr>
                <w:rFonts w:hint="default" w:ascii="Times New Roman" w:hAnsi="Times New Roman" w:cs="Times New Roman"/>
                <w:color w:val="auto"/>
                <w:spacing w:val="-1"/>
                <w:w w:val="99"/>
                <w:kern w:val="0"/>
                <w:position w:val="-1"/>
                <w:sz w:val="21"/>
                <w:szCs w:val="21"/>
                <w:highlight w:val="none"/>
              </w:rPr>
              <w:t>a</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pacing w:val="-1"/>
                <w:kern w:val="0"/>
                <w:position w:val="-1"/>
                <w:sz w:val="21"/>
                <w:szCs w:val="21"/>
                <w:highlight w:val="none"/>
              </w:rPr>
              <w:t>b</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pacing w:val="2"/>
                <w:w w:val="99"/>
                <w:kern w:val="0"/>
                <w:position w:val="-1"/>
                <w:sz w:val="21"/>
                <w:szCs w:val="21"/>
                <w:highlight w:val="none"/>
              </w:rPr>
              <w:t>c</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p>
          <w:p w14:paraId="53240D1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不达标结论：</w:t>
            </w:r>
            <w:r>
              <w:rPr>
                <w:rFonts w:hint="default" w:ascii="Times New Roman" w:hAnsi="Times New Roman" w:cs="Times New Roman"/>
                <w:color w:val="auto"/>
                <w:spacing w:val="-1"/>
                <w:w w:val="99"/>
                <w:kern w:val="0"/>
                <w:sz w:val="21"/>
                <w:szCs w:val="21"/>
                <w:highlight w:val="none"/>
              </w:rPr>
              <w:t>a</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pacing w:val="-1"/>
                <w:kern w:val="0"/>
                <w:sz w:val="21"/>
                <w:szCs w:val="21"/>
                <w:highlight w:val="none"/>
              </w:rPr>
              <w:t>b</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z w:val="21"/>
                <w:szCs w:val="21"/>
                <w:highlight w:val="none"/>
              </w:rPr>
              <w:t>□</w:t>
            </w:r>
          </w:p>
        </w:tc>
        <w:tc>
          <w:tcPr>
            <w:tcW w:w="1035" w:type="dxa"/>
            <w:vAlign w:val="center"/>
          </w:tcPr>
          <w:p w14:paraId="5152B13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90AC8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1048B23E">
            <w:pPr>
              <w:autoSpaceDE w:val="0"/>
              <w:autoSpaceDN w:val="0"/>
              <w:adjustRightInd w:val="0"/>
              <w:spacing w:line="360" w:lineRule="exact"/>
              <w:ind w:firstLine="0" w:firstLineChars="0"/>
              <w:jc w:val="center"/>
              <w:rPr>
                <w:rFonts w:hint="default" w:ascii="Times New Roman" w:hAnsi="Times New Roman" w:cs="Times New Roman"/>
                <w:color w:val="auto"/>
                <w:kern w:val="0"/>
                <w:position w:val="-1"/>
                <w:sz w:val="21"/>
                <w:szCs w:val="21"/>
                <w:highlight w:val="none"/>
              </w:rPr>
            </w:pPr>
            <w:r>
              <w:rPr>
                <w:rFonts w:hint="default" w:ascii="Times New Roman" w:hAnsi="Times New Roman" w:cs="Times New Roman"/>
                <w:color w:val="auto"/>
                <w:kern w:val="0"/>
                <w:position w:val="-1"/>
                <w:sz w:val="21"/>
                <w:szCs w:val="21"/>
                <w:highlight w:val="none"/>
              </w:rPr>
              <w:t>防</w:t>
            </w:r>
          </w:p>
          <w:p w14:paraId="4C54F96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治 </w:t>
            </w:r>
          </w:p>
          <w:p w14:paraId="3F3944A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措</w:t>
            </w:r>
          </w:p>
          <w:p w14:paraId="48E0A8A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w:t>
            </w:r>
          </w:p>
        </w:tc>
        <w:tc>
          <w:tcPr>
            <w:tcW w:w="1557" w:type="dxa"/>
            <w:vAlign w:val="center"/>
          </w:tcPr>
          <w:p w14:paraId="25F5698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防控措施</w:t>
            </w:r>
          </w:p>
        </w:tc>
        <w:tc>
          <w:tcPr>
            <w:tcW w:w="5359" w:type="dxa"/>
            <w:gridSpan w:val="5"/>
            <w:vAlign w:val="center"/>
          </w:tcPr>
          <w:p w14:paraId="68C07FA6">
            <w:pPr>
              <w:tabs>
                <w:tab w:val="left" w:pos="550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土壤环境质量现状保障</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；源头控制</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；过程防控</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；其他（        ）</w:t>
            </w:r>
          </w:p>
        </w:tc>
        <w:tc>
          <w:tcPr>
            <w:tcW w:w="1035" w:type="dxa"/>
            <w:vAlign w:val="center"/>
          </w:tcPr>
          <w:p w14:paraId="0A72DC8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E71E8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1303875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restart"/>
            <w:vAlign w:val="center"/>
          </w:tcPr>
          <w:p w14:paraId="527FDF7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跟踪监测</w:t>
            </w:r>
          </w:p>
        </w:tc>
        <w:tc>
          <w:tcPr>
            <w:tcW w:w="2593" w:type="dxa"/>
            <w:gridSpan w:val="2"/>
            <w:vAlign w:val="center"/>
          </w:tcPr>
          <w:p w14:paraId="0F882B0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监测点数</w:t>
            </w:r>
          </w:p>
        </w:tc>
        <w:tc>
          <w:tcPr>
            <w:tcW w:w="1457" w:type="dxa"/>
            <w:vAlign w:val="center"/>
          </w:tcPr>
          <w:p w14:paraId="0C85DED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监测指标</w:t>
            </w:r>
          </w:p>
        </w:tc>
        <w:tc>
          <w:tcPr>
            <w:tcW w:w="1309" w:type="dxa"/>
            <w:gridSpan w:val="2"/>
            <w:vAlign w:val="center"/>
          </w:tcPr>
          <w:p w14:paraId="4F477C9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监测频次</w:t>
            </w:r>
          </w:p>
        </w:tc>
        <w:tc>
          <w:tcPr>
            <w:tcW w:w="1035" w:type="dxa"/>
            <w:vMerge w:val="restart"/>
            <w:vAlign w:val="center"/>
          </w:tcPr>
          <w:p w14:paraId="13DACD6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2296F8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59D4171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continue"/>
            <w:vAlign w:val="center"/>
          </w:tcPr>
          <w:p w14:paraId="2D3764D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593" w:type="dxa"/>
            <w:gridSpan w:val="2"/>
            <w:vAlign w:val="center"/>
          </w:tcPr>
          <w:p w14:paraId="4E4555E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457" w:type="dxa"/>
            <w:vAlign w:val="center"/>
          </w:tcPr>
          <w:p w14:paraId="6A84E4A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基本45项</w:t>
            </w:r>
          </w:p>
        </w:tc>
        <w:tc>
          <w:tcPr>
            <w:tcW w:w="1309" w:type="dxa"/>
            <w:gridSpan w:val="2"/>
            <w:vAlign w:val="center"/>
          </w:tcPr>
          <w:p w14:paraId="1F844E8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1年/次</w:t>
            </w:r>
          </w:p>
        </w:tc>
        <w:tc>
          <w:tcPr>
            <w:tcW w:w="1035" w:type="dxa"/>
            <w:vMerge w:val="continue"/>
            <w:vAlign w:val="center"/>
          </w:tcPr>
          <w:p w14:paraId="42EB940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ED182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A785C8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D8D8D1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信息公开指标</w:t>
            </w:r>
          </w:p>
        </w:tc>
        <w:tc>
          <w:tcPr>
            <w:tcW w:w="5359" w:type="dxa"/>
            <w:gridSpan w:val="5"/>
            <w:vAlign w:val="center"/>
          </w:tcPr>
          <w:p w14:paraId="0B43247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035" w:type="dxa"/>
            <w:vMerge w:val="continue"/>
            <w:vAlign w:val="center"/>
          </w:tcPr>
          <w:p w14:paraId="7C2FA7A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0F71C0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940" w:type="dxa"/>
            <w:gridSpan w:val="2"/>
            <w:vAlign w:val="center"/>
          </w:tcPr>
          <w:p w14:paraId="14C52C9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评价结论</w:t>
            </w:r>
          </w:p>
        </w:tc>
        <w:tc>
          <w:tcPr>
            <w:tcW w:w="5359" w:type="dxa"/>
            <w:gridSpan w:val="5"/>
            <w:vAlign w:val="center"/>
          </w:tcPr>
          <w:p w14:paraId="614D215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本项目在事故状态下尾矿渗滤液通过入渗形式进入周边土壤，可能会造成土壤环境影响。根据情景预测结果，本项目尾矿库防渗系统破裂泄漏事故如持续2</w:t>
            </w:r>
            <w:r>
              <w:rPr>
                <w:rFonts w:hint="default"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年，则评价范围内单位质量表层中</w:t>
            </w:r>
            <w:r>
              <w:rPr>
                <w:rFonts w:hint="default" w:cs="Times New Roman"/>
                <w:color w:val="auto"/>
                <w:kern w:val="0"/>
                <w:sz w:val="21"/>
                <w:szCs w:val="21"/>
                <w:highlight w:val="none"/>
                <w:lang w:val="en-US" w:eastAsia="zh-CN"/>
              </w:rPr>
              <w:t>铅</w:t>
            </w:r>
            <w:r>
              <w:rPr>
                <w:rFonts w:hint="default" w:ascii="Times New Roman" w:hAnsi="Times New Roman" w:cs="Times New Roman"/>
                <w:color w:val="auto"/>
                <w:kern w:val="0"/>
                <w:sz w:val="21"/>
                <w:szCs w:val="21"/>
                <w:highlight w:val="none"/>
              </w:rPr>
              <w:t>的含量将维持本底值，总体增量较小，对区域土壤环境影响较小。</w:t>
            </w:r>
          </w:p>
        </w:tc>
        <w:tc>
          <w:tcPr>
            <w:tcW w:w="1035" w:type="dxa"/>
            <w:vAlign w:val="center"/>
          </w:tcPr>
          <w:p w14:paraId="32C0DA2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CF756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8334" w:type="dxa"/>
            <w:gridSpan w:val="8"/>
            <w:vAlign w:val="center"/>
          </w:tcPr>
          <w:p w14:paraId="5F8E97ED">
            <w:pPr>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注</w:t>
            </w:r>
            <w:r>
              <w:rPr>
                <w:rFonts w:hint="default" w:ascii="Times New Roman" w:hAnsi="Times New Roman" w:cs="Times New Roman"/>
                <w:color w:val="auto"/>
                <w:spacing w:val="1"/>
                <w:kern w:val="0"/>
                <w:position w:val="-1"/>
                <w:sz w:val="21"/>
                <w:szCs w:val="21"/>
                <w:highlight w:val="none"/>
              </w:rPr>
              <w:t xml:space="preserve"> </w:t>
            </w:r>
            <w:r>
              <w:rPr>
                <w:rFonts w:hint="default" w:ascii="Times New Roman" w:hAnsi="Times New Roman" w:cs="Times New Roman"/>
                <w:color w:val="auto"/>
                <w:spacing w:val="-1"/>
                <w:kern w:val="0"/>
                <w:position w:val="-1"/>
                <w:sz w:val="21"/>
                <w:szCs w:val="21"/>
                <w:highlight w:val="none"/>
              </w:rPr>
              <w:t>1</w:t>
            </w:r>
            <w:r>
              <w:rPr>
                <w:rFonts w:hint="default" w:ascii="Times New Roman" w:hAnsi="Times New Roman" w:cs="Times New Roman"/>
                <w:color w:val="auto"/>
                <w:kern w:val="0"/>
                <w:position w:val="-1"/>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position w:val="-1"/>
                <w:sz w:val="21"/>
                <w:szCs w:val="21"/>
                <w:highlight w:val="none"/>
              </w:rPr>
              <w:t>”为勾选项，可</w:t>
            </w:r>
            <w:r>
              <w:rPr>
                <w:rFonts w:hint="default" w:ascii="Times New Roman" w:hAnsi="Times New Roman" w:cs="Times New Roman"/>
                <w:color w:val="auto"/>
                <w:w w:val="142"/>
                <w:kern w:val="0"/>
                <w:position w:val="-1"/>
                <w:sz w:val="21"/>
                <w:szCs w:val="21"/>
                <w:highlight w:val="none"/>
              </w:rPr>
              <w:t>√</w:t>
            </w:r>
            <w:r>
              <w:rPr>
                <w:rFonts w:hint="default" w:ascii="Times New Roman" w:hAnsi="Times New Roman" w:cs="Times New Roman"/>
                <w:color w:val="auto"/>
                <w:kern w:val="0"/>
                <w:position w:val="-1"/>
                <w:sz w:val="21"/>
                <w:szCs w:val="21"/>
                <w:highlight w:val="none"/>
              </w:rPr>
              <w:t xml:space="preserve">；“（ </w:t>
            </w:r>
            <w:r>
              <w:rPr>
                <w:rFonts w:hint="default" w:ascii="Times New Roman" w:hAnsi="Times New Roman" w:cs="Times New Roman"/>
                <w:color w:val="auto"/>
                <w:spacing w:val="1"/>
                <w:kern w:val="0"/>
                <w:position w:val="-1"/>
                <w:sz w:val="21"/>
                <w:szCs w:val="21"/>
                <w:highlight w:val="none"/>
              </w:rPr>
              <w:t xml:space="preserve"> </w:t>
            </w:r>
            <w:r>
              <w:rPr>
                <w:rFonts w:hint="default" w:ascii="Times New Roman" w:hAnsi="Times New Roman" w:cs="Times New Roman"/>
                <w:color w:val="auto"/>
                <w:kern w:val="0"/>
                <w:position w:val="-1"/>
                <w:sz w:val="21"/>
                <w:szCs w:val="21"/>
                <w:highlight w:val="none"/>
              </w:rPr>
              <w:t>）”为内容填写项；“备注”为其他补充内容。</w:t>
            </w:r>
          </w:p>
          <w:p w14:paraId="19E2531D">
            <w:pPr>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注</w:t>
            </w:r>
            <w:r>
              <w:rPr>
                <w:rFonts w:hint="default" w:ascii="Times New Roman" w:hAnsi="Times New Roman" w:cs="Times New Roman"/>
                <w:color w:val="auto"/>
                <w:spacing w:val="1"/>
                <w:kern w:val="0"/>
                <w:sz w:val="21"/>
                <w:szCs w:val="21"/>
                <w:highlight w:val="none"/>
              </w:rPr>
              <w:t xml:space="preserve"> </w:t>
            </w:r>
            <w:r>
              <w:rPr>
                <w:rFonts w:hint="default" w:ascii="Times New Roman" w:hAnsi="Times New Roman" w:cs="Times New Roman"/>
                <w:color w:val="auto"/>
                <w:spacing w:val="-1"/>
                <w:kern w:val="0"/>
                <w:sz w:val="21"/>
                <w:szCs w:val="21"/>
                <w:highlight w:val="none"/>
              </w:rPr>
              <w:t>2</w:t>
            </w:r>
            <w:r>
              <w:rPr>
                <w:rFonts w:hint="default" w:ascii="Times New Roman" w:hAnsi="Times New Roman" w:cs="Times New Roman"/>
                <w:color w:val="auto"/>
                <w:kern w:val="0"/>
                <w:sz w:val="21"/>
                <w:szCs w:val="21"/>
                <w:highlight w:val="none"/>
              </w:rPr>
              <w:t>：需要分别开展土壤</w:t>
            </w:r>
            <w:r>
              <w:rPr>
                <w:rFonts w:hint="eastAsia" w:cs="Times New Roman"/>
                <w:color w:val="auto"/>
                <w:kern w:val="0"/>
                <w:sz w:val="21"/>
                <w:szCs w:val="21"/>
                <w:highlight w:val="none"/>
                <w:lang w:eastAsia="zh-CN"/>
              </w:rPr>
              <w:t>环境影响评价</w:t>
            </w:r>
            <w:r>
              <w:rPr>
                <w:rFonts w:hint="default" w:ascii="Times New Roman" w:hAnsi="Times New Roman" w:cs="Times New Roman"/>
                <w:color w:val="auto"/>
                <w:kern w:val="0"/>
                <w:sz w:val="21"/>
                <w:szCs w:val="21"/>
                <w:highlight w:val="none"/>
              </w:rPr>
              <w:t>工作的，分别填写自查表。</w:t>
            </w:r>
          </w:p>
        </w:tc>
      </w:tr>
    </w:tbl>
    <w:p w14:paraId="55072724">
      <w:pPr>
        <w:pStyle w:val="4"/>
        <w:rPr>
          <w:rFonts w:hint="default" w:ascii="Times New Roman" w:hAnsi="Times New Roman" w:cs="Times New Roman"/>
          <w:color w:val="auto"/>
          <w:highlight w:val="none"/>
        </w:rPr>
      </w:pPr>
      <w:bookmarkStart w:id="769" w:name="_Toc15280"/>
      <w:bookmarkStart w:id="770" w:name="_Toc32314"/>
      <w:bookmarkStart w:id="771" w:name="_Toc27346"/>
      <w:r>
        <w:rPr>
          <w:rFonts w:hint="default" w:ascii="Times New Roman" w:hAnsi="Times New Roman" w:cs="Times New Roman"/>
          <w:color w:val="auto"/>
          <w:highlight w:val="none"/>
        </w:rPr>
        <w:t>5.2.7运营期生态环境影响分析</w:t>
      </w:r>
      <w:bookmarkEnd w:id="769"/>
      <w:bookmarkEnd w:id="770"/>
      <w:bookmarkEnd w:id="771"/>
    </w:p>
    <w:p w14:paraId="4D8501A3">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5.2.7.1土地利用评价</w:t>
      </w:r>
    </w:p>
    <w:p w14:paraId="514F8DEB">
      <w:pPr>
        <w:pStyle w:val="68"/>
        <w:overflowPunct w:val="0"/>
        <w:topLinePunct/>
        <w:spacing w:line="480" w:lineRule="exa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对场地的影响主要表现在项目建成后的永久占地，主要表现为新建选矿厂、尾矿库、</w:t>
      </w:r>
      <w:r>
        <w:rPr>
          <w:rFonts w:hint="default" w:eastAsia="宋体" w:cs="Times New Roman"/>
          <w:color w:val="auto"/>
          <w:highlight w:val="none"/>
          <w:lang w:val="en-US" w:eastAsia="zh-CN"/>
        </w:rPr>
        <w:t>办公</w:t>
      </w:r>
      <w:r>
        <w:rPr>
          <w:rFonts w:hint="default" w:ascii="Times New Roman" w:hAnsi="Times New Roman" w:eastAsia="宋体" w:cs="Times New Roman"/>
          <w:color w:val="auto"/>
          <w:highlight w:val="none"/>
        </w:rPr>
        <w:t>生活区等配套设施。</w:t>
      </w:r>
    </w:p>
    <w:p w14:paraId="3F5430FC">
      <w:pPr>
        <w:pStyle w:val="68"/>
        <w:overflowPunct w:val="0"/>
        <w:topLinePunct/>
        <w:spacing w:line="480" w:lineRule="exa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本项目运营期对土地利用的影响分别见表5.2-29。</w:t>
      </w:r>
    </w:p>
    <w:p w14:paraId="5F92A00A">
      <w:pPr>
        <w:adjustRightInd w:val="0"/>
        <w:ind w:firstLine="0" w:firstLineChars="0"/>
        <w:jc w:val="center"/>
        <w:rPr>
          <w:rFonts w:hint="default" w:ascii="Times New Roman" w:hAnsi="Times New Roman" w:cs="Times New Roman"/>
          <w:b/>
          <w:bCs/>
          <w:color w:val="auto"/>
          <w:highlight w:val="none"/>
          <w:vertAlign w:val="superscript"/>
        </w:rPr>
      </w:pPr>
      <w:r>
        <w:rPr>
          <w:rFonts w:hint="default" w:ascii="Times New Roman" w:hAnsi="Times New Roman" w:cs="Times New Roman"/>
          <w:b/>
          <w:color w:val="auto"/>
          <w:kern w:val="0"/>
          <w:highlight w:val="none"/>
        </w:rPr>
        <w:t xml:space="preserve">表5.2-29    </w:t>
      </w:r>
      <w:r>
        <w:rPr>
          <w:rFonts w:hint="default" w:ascii="Times New Roman" w:hAnsi="Times New Roman" w:cs="Times New Roman"/>
          <w:b/>
          <w:bCs/>
          <w:color w:val="auto"/>
          <w:highlight w:val="none"/>
        </w:rPr>
        <w:t>本项目占地面积及类型    单位：m</w:t>
      </w:r>
      <w:r>
        <w:rPr>
          <w:rFonts w:hint="default" w:ascii="Times New Roman" w:hAnsi="Times New Roman" w:cs="Times New Roman"/>
          <w:b/>
          <w:bCs/>
          <w:color w:val="auto"/>
          <w:highlight w:val="none"/>
          <w:vertAlign w:val="superscript"/>
        </w:rPr>
        <w:t>2</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701"/>
        <w:gridCol w:w="1559"/>
        <w:gridCol w:w="1276"/>
        <w:gridCol w:w="2458"/>
      </w:tblGrid>
      <w:tr w14:paraId="040BA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25" w:type="dxa"/>
            <w:vAlign w:val="center"/>
          </w:tcPr>
          <w:p w14:paraId="4681F073">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名称</w:t>
            </w:r>
          </w:p>
        </w:tc>
        <w:tc>
          <w:tcPr>
            <w:tcW w:w="1701" w:type="dxa"/>
            <w:vAlign w:val="center"/>
          </w:tcPr>
          <w:p w14:paraId="6293D871">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占地面积（hm</w:t>
            </w:r>
            <w:r>
              <w:rPr>
                <w:rFonts w:hint="default" w:ascii="Times New Roman" w:hAnsi="Times New Roman" w:cs="Times New Roman"/>
                <w:b/>
                <w:bCs/>
                <w:color w:val="auto"/>
                <w:kern w:val="0"/>
                <w:sz w:val="21"/>
                <w:szCs w:val="21"/>
                <w:highlight w:val="none"/>
                <w:vertAlign w:val="superscript"/>
              </w:rPr>
              <w:t>2</w:t>
            </w:r>
            <w:r>
              <w:rPr>
                <w:rFonts w:hint="default" w:ascii="Times New Roman" w:hAnsi="Times New Roman" w:cs="Times New Roman"/>
                <w:b/>
                <w:bCs/>
                <w:color w:val="auto"/>
                <w:kern w:val="0"/>
                <w:sz w:val="21"/>
                <w:szCs w:val="21"/>
                <w:highlight w:val="none"/>
              </w:rPr>
              <w:t>）</w:t>
            </w:r>
          </w:p>
        </w:tc>
        <w:tc>
          <w:tcPr>
            <w:tcW w:w="1559" w:type="dxa"/>
            <w:vAlign w:val="center"/>
          </w:tcPr>
          <w:p w14:paraId="3E022213">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占地类型</w:t>
            </w:r>
          </w:p>
        </w:tc>
        <w:tc>
          <w:tcPr>
            <w:tcW w:w="1276" w:type="dxa"/>
            <w:vAlign w:val="center"/>
          </w:tcPr>
          <w:p w14:paraId="69D9DDDC">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占用时间</w:t>
            </w:r>
          </w:p>
        </w:tc>
        <w:tc>
          <w:tcPr>
            <w:tcW w:w="2458" w:type="dxa"/>
            <w:vAlign w:val="center"/>
          </w:tcPr>
          <w:p w14:paraId="718096F0">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备注</w:t>
            </w:r>
          </w:p>
        </w:tc>
      </w:tr>
      <w:tr w14:paraId="037BF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Align w:val="center"/>
          </w:tcPr>
          <w:p w14:paraId="75ADF1EF">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 w:val="21"/>
                <w:szCs w:val="21"/>
                <w:highlight w:val="none"/>
              </w:rPr>
              <w:t>选矿厂</w:t>
            </w:r>
          </w:p>
        </w:tc>
        <w:tc>
          <w:tcPr>
            <w:tcW w:w="1701" w:type="dxa"/>
            <w:vAlign w:val="center"/>
          </w:tcPr>
          <w:p w14:paraId="4B013D4A">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r>
              <w:rPr>
                <w:rFonts w:hint="eastAsia" w:cs="Times New Roman"/>
                <w:color w:val="auto"/>
                <w:kern w:val="0"/>
                <w:sz w:val="21"/>
                <w:szCs w:val="21"/>
                <w:highlight w:val="none"/>
                <w:lang w:val="en-US" w:eastAsia="zh-CN"/>
              </w:rPr>
              <w:t>57</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85亩</w:t>
            </w:r>
            <w:r>
              <w:rPr>
                <w:rFonts w:hint="default" w:ascii="Times New Roman" w:hAnsi="Times New Roman" w:cs="Times New Roman"/>
                <w:color w:val="auto"/>
                <w:kern w:val="0"/>
                <w:sz w:val="21"/>
                <w:szCs w:val="21"/>
                <w:highlight w:val="none"/>
                <w:lang w:eastAsia="zh-CN"/>
              </w:rPr>
              <w:t>）</w:t>
            </w:r>
          </w:p>
        </w:tc>
        <w:tc>
          <w:tcPr>
            <w:tcW w:w="1559" w:type="dxa"/>
            <w:vAlign w:val="center"/>
          </w:tcPr>
          <w:p w14:paraId="67EEF7AA">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低</w:t>
            </w:r>
            <w:r>
              <w:rPr>
                <w:rFonts w:hint="default" w:ascii="Times New Roman" w:hAnsi="Times New Roman" w:cs="Times New Roman"/>
                <w:color w:val="auto"/>
                <w:sz w:val="21"/>
                <w:szCs w:val="21"/>
                <w:highlight w:val="none"/>
              </w:rPr>
              <w:t>覆盖度草地</w:t>
            </w:r>
          </w:p>
        </w:tc>
        <w:tc>
          <w:tcPr>
            <w:tcW w:w="1276" w:type="dxa"/>
            <w:vAlign w:val="center"/>
          </w:tcPr>
          <w:p w14:paraId="429D55D9">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永久</w:t>
            </w:r>
          </w:p>
        </w:tc>
        <w:tc>
          <w:tcPr>
            <w:tcW w:w="2458" w:type="dxa"/>
            <w:vAlign w:val="center"/>
          </w:tcPr>
          <w:p w14:paraId="46D2AEE6">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新增</w:t>
            </w:r>
          </w:p>
        </w:tc>
      </w:tr>
      <w:tr w14:paraId="6AE51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Align w:val="center"/>
          </w:tcPr>
          <w:p w14:paraId="656F216C">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 w:val="21"/>
                <w:szCs w:val="21"/>
                <w:highlight w:val="none"/>
              </w:rPr>
              <w:t>尾矿库</w:t>
            </w:r>
          </w:p>
        </w:tc>
        <w:tc>
          <w:tcPr>
            <w:tcW w:w="1701" w:type="dxa"/>
            <w:vAlign w:val="center"/>
          </w:tcPr>
          <w:p w14:paraId="1A6133A6">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 w:val="21"/>
                <w:szCs w:val="21"/>
                <w:highlight w:val="none"/>
                <w:lang w:val="en-US" w:eastAsia="zh-CN"/>
              </w:rPr>
              <w:t>26.0</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390亩</w:t>
            </w:r>
            <w:r>
              <w:rPr>
                <w:rFonts w:hint="default" w:ascii="Times New Roman" w:hAnsi="Times New Roman" w:cs="Times New Roman"/>
                <w:color w:val="auto"/>
                <w:kern w:val="0"/>
                <w:sz w:val="21"/>
                <w:szCs w:val="21"/>
                <w:highlight w:val="none"/>
                <w:lang w:eastAsia="zh-CN"/>
              </w:rPr>
              <w:t>）</w:t>
            </w:r>
          </w:p>
        </w:tc>
        <w:tc>
          <w:tcPr>
            <w:tcW w:w="1559" w:type="dxa"/>
            <w:vAlign w:val="center"/>
          </w:tcPr>
          <w:p w14:paraId="72FD77F6">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低</w:t>
            </w:r>
            <w:r>
              <w:rPr>
                <w:rFonts w:hint="default" w:ascii="Times New Roman" w:hAnsi="Times New Roman" w:cs="Times New Roman"/>
                <w:color w:val="auto"/>
                <w:sz w:val="21"/>
                <w:szCs w:val="21"/>
                <w:highlight w:val="none"/>
              </w:rPr>
              <w:t>覆盖度草地</w:t>
            </w:r>
          </w:p>
        </w:tc>
        <w:tc>
          <w:tcPr>
            <w:tcW w:w="1276" w:type="dxa"/>
            <w:vAlign w:val="center"/>
          </w:tcPr>
          <w:p w14:paraId="4279E95A">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永久</w:t>
            </w:r>
          </w:p>
        </w:tc>
        <w:tc>
          <w:tcPr>
            <w:tcW w:w="2458" w:type="dxa"/>
            <w:vAlign w:val="center"/>
          </w:tcPr>
          <w:p w14:paraId="27B20F90">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新增</w:t>
            </w:r>
          </w:p>
        </w:tc>
      </w:tr>
      <w:tr w14:paraId="41176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Align w:val="center"/>
          </w:tcPr>
          <w:p w14:paraId="366844C3">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 w:val="21"/>
                <w:szCs w:val="21"/>
                <w:highlight w:val="none"/>
              </w:rPr>
              <w:t>办公生活区</w:t>
            </w:r>
          </w:p>
        </w:tc>
        <w:tc>
          <w:tcPr>
            <w:tcW w:w="1701" w:type="dxa"/>
            <w:vAlign w:val="center"/>
          </w:tcPr>
          <w:p w14:paraId="704B6E1D">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1.33</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20亩</w:t>
            </w:r>
            <w:r>
              <w:rPr>
                <w:rFonts w:hint="default" w:ascii="Times New Roman" w:hAnsi="Times New Roman" w:cs="Times New Roman"/>
                <w:color w:val="auto"/>
                <w:kern w:val="0"/>
                <w:sz w:val="21"/>
                <w:szCs w:val="21"/>
                <w:highlight w:val="none"/>
                <w:lang w:eastAsia="zh-CN"/>
              </w:rPr>
              <w:t>）</w:t>
            </w:r>
          </w:p>
        </w:tc>
        <w:tc>
          <w:tcPr>
            <w:tcW w:w="1559" w:type="dxa"/>
            <w:vAlign w:val="center"/>
          </w:tcPr>
          <w:p w14:paraId="35084774">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低</w:t>
            </w:r>
            <w:r>
              <w:rPr>
                <w:rFonts w:hint="default" w:ascii="Times New Roman" w:hAnsi="Times New Roman" w:cs="Times New Roman"/>
                <w:color w:val="auto"/>
                <w:sz w:val="21"/>
                <w:szCs w:val="21"/>
                <w:highlight w:val="none"/>
              </w:rPr>
              <w:t>覆盖度草地</w:t>
            </w:r>
          </w:p>
        </w:tc>
        <w:tc>
          <w:tcPr>
            <w:tcW w:w="1276" w:type="dxa"/>
            <w:vAlign w:val="center"/>
          </w:tcPr>
          <w:p w14:paraId="013B2010">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永久</w:t>
            </w:r>
          </w:p>
        </w:tc>
        <w:tc>
          <w:tcPr>
            <w:tcW w:w="2458" w:type="dxa"/>
            <w:vAlign w:val="center"/>
          </w:tcPr>
          <w:p w14:paraId="4AA577B8">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新增</w:t>
            </w:r>
          </w:p>
        </w:tc>
      </w:tr>
      <w:tr w14:paraId="5BD10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Align w:val="center"/>
          </w:tcPr>
          <w:p w14:paraId="39E85A77">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合计</w:t>
            </w:r>
          </w:p>
        </w:tc>
        <w:tc>
          <w:tcPr>
            <w:tcW w:w="1701" w:type="dxa"/>
            <w:vAlign w:val="center"/>
          </w:tcPr>
          <w:p w14:paraId="6303A624">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3.6</w:t>
            </w:r>
          </w:p>
        </w:tc>
        <w:tc>
          <w:tcPr>
            <w:tcW w:w="1559" w:type="dxa"/>
            <w:vAlign w:val="center"/>
          </w:tcPr>
          <w:p w14:paraId="4B7AB22C">
            <w:pPr>
              <w:widowControl/>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76" w:type="dxa"/>
            <w:vAlign w:val="center"/>
          </w:tcPr>
          <w:p w14:paraId="463337AA">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458" w:type="dxa"/>
            <w:vAlign w:val="center"/>
          </w:tcPr>
          <w:p w14:paraId="3B3B81B7">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bl>
    <w:p w14:paraId="67BFC4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由表5.2-29可见，项目运营期占用的工业场地、道路等土地将彻底改变原有的土地利用类型，</w:t>
      </w:r>
      <w:r>
        <w:rPr>
          <w:rFonts w:hint="default" w:cs="Times New Roman"/>
          <w:color w:val="auto"/>
          <w:highlight w:val="none"/>
          <w:lang w:val="en-US" w:eastAsia="zh-CN"/>
        </w:rPr>
        <w:t>由原来的低覆盖度草地变为工业用地</w:t>
      </w:r>
      <w:r>
        <w:rPr>
          <w:rFonts w:hint="default" w:ascii="Times New Roman" w:hAnsi="Times New Roman" w:cs="Times New Roman"/>
          <w:color w:val="auto"/>
          <w:highlight w:val="none"/>
        </w:rPr>
        <w:t>，</w:t>
      </w:r>
      <w:r>
        <w:rPr>
          <w:rFonts w:hint="default" w:cs="Times New Roman"/>
          <w:color w:val="auto"/>
          <w:highlight w:val="none"/>
          <w:lang w:val="en-US" w:eastAsia="zh-CN"/>
        </w:rPr>
        <w:t>但</w:t>
      </w:r>
      <w:r>
        <w:rPr>
          <w:rFonts w:hint="default" w:ascii="Times New Roman" w:hAnsi="Times New Roman" w:cs="Times New Roman"/>
          <w:color w:val="auto"/>
          <w:highlight w:val="none"/>
        </w:rPr>
        <w:t>闭库期随着矿区的生态恢复和重建，所有占地将恢复原貌，这种影响将随之消失。</w:t>
      </w:r>
    </w:p>
    <w:p w14:paraId="7A7567C1">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5.2.7.2对植被影响分析</w:t>
      </w:r>
    </w:p>
    <w:p w14:paraId="27196D1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（1）工程占地对植被的影响</w:t>
      </w:r>
    </w:p>
    <w:p w14:paraId="251372F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项目建设过程中，各种施工活动将破坏项目区内的植被，减少植物数量及分布范围；项目所在地区域种植种类比较</w:t>
      </w:r>
      <w:r>
        <w:rPr>
          <w:rFonts w:hint="default" w:cs="Times New Roman"/>
          <w:color w:val="auto"/>
          <w:highlight w:val="none"/>
          <w:lang w:val="en-US" w:eastAsia="zh-CN"/>
        </w:rPr>
        <w:t>单一，植被覆盖率较低</w:t>
      </w:r>
      <w:r>
        <w:rPr>
          <w:rFonts w:hint="default" w:ascii="Times New Roman" w:hAnsi="Times New Roman" w:cs="Times New Roman"/>
          <w:color w:val="auto"/>
          <w:highlight w:val="none"/>
        </w:rPr>
        <w:t>；评价区内的某个物种及其种群不会因为项目建设而导致灭绝。因此，尽管由于项目建设会使原有少量植被遭到局部损失，但不会使整个评价区植物群落的种类组成发生变化，也不会造成某一物种在评价区范围内的消失。</w:t>
      </w:r>
    </w:p>
    <w:p w14:paraId="0E3797F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（2）污染物排放对土壤植被的影响</w:t>
      </w:r>
    </w:p>
    <w:p w14:paraId="6F0D7F5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车辆运输过程中及生产过程产生的粉尘等污染物会对项目区周围空气环境产生影响。污染物可通过自然沉降、降水淋溶、地面漫流等途径进入土壤环境，从物理、化学等方面影响周围土壤的孔隙度、团粒结构、酸碱度、土壤肥力及微量元素含量等，从而间接影响植被生长。粉尘降落到植物叶面上，将堵塞叶面气孔，使光合作用强度下降。同时，覆尘叶片吸收红外光辐射的能力增强，导致叶温增高，蒸腾速度加快，引起失水，使植物生长发育不良。本项目在生产过程中采取防尘措施，将尽可能降低扩散到附近植被的粉尘量。</w:t>
      </w:r>
    </w:p>
    <w:p w14:paraId="0382F2E2">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5.2.7.3对野生动物影响分析</w:t>
      </w:r>
    </w:p>
    <w:p w14:paraId="69145B3D">
      <w:pPr>
        <w:widowControl/>
        <w:overflowPunct w:val="0"/>
        <w:topLinePunct/>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highlight w:val="none"/>
        </w:rPr>
        <w:t>经过</w:t>
      </w:r>
      <w:r>
        <w:rPr>
          <w:rFonts w:hint="default" w:cs="Times New Roman"/>
          <w:color w:val="auto"/>
          <w:highlight w:val="none"/>
          <w:lang w:val="en-US" w:eastAsia="zh-CN"/>
        </w:rPr>
        <w:t>调查项目区周边人员活动较多</w:t>
      </w:r>
      <w:r>
        <w:rPr>
          <w:rFonts w:hint="default" w:ascii="Times New Roman" w:hAnsi="Times New Roman" w:cs="Times New Roman"/>
          <w:color w:val="auto"/>
          <w:highlight w:val="none"/>
        </w:rPr>
        <w:t>，大型动物存在种类较少，区域生产繁衍的野生动物很少，</w:t>
      </w:r>
      <w:r>
        <w:rPr>
          <w:rFonts w:hint="default" w:ascii="Times New Roman" w:hAnsi="Times New Roman" w:cs="Times New Roman"/>
          <w:color w:val="auto"/>
          <w:kern w:val="0"/>
          <w:highlight w:val="none"/>
          <w:lang w:bidi="ar"/>
        </w:rPr>
        <w:t>现有的野生动物多为一些常见的鸟类、野兔、鼠类和昆虫等，偶尔会发现旱獭、狼、兔等野生动物活动。</w:t>
      </w:r>
    </w:p>
    <w:p w14:paraId="047F2580">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项目</w:t>
      </w:r>
      <w:r>
        <w:rPr>
          <w:rFonts w:hint="default" w:cs="Times New Roman"/>
          <w:color w:val="auto"/>
          <w:highlight w:val="none"/>
          <w:lang w:val="en-US" w:eastAsia="zh-CN"/>
        </w:rPr>
        <w:t>建成后</w:t>
      </w:r>
      <w:r>
        <w:rPr>
          <w:rFonts w:hint="default" w:ascii="Times New Roman" w:hAnsi="Times New Roman" w:cs="Times New Roman"/>
          <w:color w:val="auto"/>
          <w:highlight w:val="none"/>
        </w:rPr>
        <w:t>厂界围栏对外环境野生动物进行了隔离，避免了外界野生动物进入而造成影响。且项目区各种机械生产的噪声和人员活动对外环境动物造成干扰，大型野生动物很少出现，仅有少量小型爬行类动物出没。</w:t>
      </w:r>
    </w:p>
    <w:p w14:paraId="71FFFE5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本工程为</w:t>
      </w:r>
      <w:r>
        <w:rPr>
          <w:rFonts w:hint="default" w:cs="Times New Roman"/>
          <w:color w:val="auto"/>
          <w:kern w:val="0"/>
          <w:highlight w:val="none"/>
          <w:lang w:val="en-US" w:eastAsia="zh-CN"/>
        </w:rPr>
        <w:t>新建</w:t>
      </w:r>
      <w:r>
        <w:rPr>
          <w:rFonts w:hint="default" w:ascii="Times New Roman" w:hAnsi="Times New Roman" w:cs="Times New Roman"/>
          <w:color w:val="auto"/>
          <w:kern w:val="0"/>
          <w:highlight w:val="none"/>
        </w:rPr>
        <w:t>项目</w:t>
      </w:r>
      <w:r>
        <w:rPr>
          <w:rFonts w:hint="default" w:cs="Times New Roman"/>
          <w:color w:val="auto"/>
          <w:kern w:val="0"/>
          <w:highlight w:val="none"/>
          <w:lang w:eastAsia="zh-CN"/>
        </w:rPr>
        <w:t>，</w:t>
      </w:r>
      <w:r>
        <w:rPr>
          <w:rFonts w:hint="default" w:ascii="Times New Roman" w:hAnsi="Times New Roman" w:cs="Times New Roman"/>
          <w:color w:val="auto"/>
          <w:kern w:val="0"/>
          <w:highlight w:val="none"/>
        </w:rPr>
        <w:t>在项目的建设过程中，会破坏部分鼠类的洞穴和导致部分洞穴中的鼠类死亡，对飞翔的鸟类，项目建设有驱赶作用，但影响不大。对爬行动物及昆虫，其影响与对鼠类的影响近似，由于该区域野生动物密度较低，总体上影响较小。</w:t>
      </w:r>
    </w:p>
    <w:p w14:paraId="41BEF53B">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5.2.7.4对自然景观影响分析</w:t>
      </w:r>
    </w:p>
    <w:p w14:paraId="34C3EC12">
      <w:pPr>
        <w:widowControl/>
        <w:overflowPunct w:val="0"/>
        <w:topLinePunct/>
        <w:ind w:firstLine="480"/>
        <w:rPr>
          <w:rFonts w:hint="default" w:ascii="Times New Roman" w:hAnsi="Times New Roman" w:cs="Times New Roman"/>
          <w:color w:val="auto"/>
          <w:kern w:val="0"/>
          <w:highlight w:val="none"/>
        </w:rPr>
      </w:pPr>
      <w:r>
        <w:rPr>
          <w:rFonts w:hint="default" w:cs="Times New Roman"/>
          <w:color w:val="auto"/>
          <w:kern w:val="0"/>
          <w:highlight w:val="none"/>
          <w:lang w:val="en-US" w:eastAsia="zh-CN"/>
        </w:rPr>
        <w:t>本项目的建设在</w:t>
      </w:r>
      <w:r>
        <w:rPr>
          <w:rFonts w:hint="default" w:ascii="Times New Roman" w:hAnsi="Times New Roman" w:cs="Times New Roman"/>
          <w:color w:val="auto"/>
          <w:kern w:val="0"/>
          <w:highlight w:val="none"/>
        </w:rPr>
        <w:t>一定程度上</w:t>
      </w:r>
      <w:r>
        <w:rPr>
          <w:rFonts w:hint="default" w:cs="Times New Roman"/>
          <w:color w:val="auto"/>
          <w:kern w:val="0"/>
          <w:highlight w:val="none"/>
          <w:lang w:val="en-US" w:eastAsia="zh-CN"/>
        </w:rPr>
        <w:t>会</w:t>
      </w:r>
      <w:r>
        <w:rPr>
          <w:rFonts w:hint="default" w:ascii="Times New Roman" w:hAnsi="Times New Roman" w:cs="Times New Roman"/>
          <w:color w:val="auto"/>
          <w:kern w:val="0"/>
          <w:highlight w:val="none"/>
        </w:rPr>
        <w:t>破坏原有的景观格局，使区域内自然景观类型变为容纳工业厂房、尾矿库、道路等人工景观，从而对</w:t>
      </w:r>
      <w:r>
        <w:rPr>
          <w:rFonts w:hint="default" w:cs="Times New Roman"/>
          <w:color w:val="auto"/>
          <w:kern w:val="0"/>
          <w:highlight w:val="none"/>
          <w:lang w:val="en-US" w:eastAsia="zh-CN"/>
        </w:rPr>
        <w:t>原有的</w:t>
      </w:r>
      <w:r>
        <w:rPr>
          <w:rFonts w:hint="default" w:ascii="Times New Roman" w:hAnsi="Times New Roman" w:cs="Times New Roman"/>
          <w:color w:val="auto"/>
          <w:kern w:val="0"/>
          <w:highlight w:val="none"/>
        </w:rPr>
        <w:t>景观进行分隔，造成空间上的非连续性和一些人为的劣质景观，与周围自然环境不协调。</w:t>
      </w:r>
    </w:p>
    <w:p w14:paraId="067B67E1">
      <w:pPr>
        <w:overflowPunct w:val="0"/>
        <w:topLinePunct/>
        <w:ind w:firstLine="480"/>
        <w:rPr>
          <w:rFonts w:hint="default" w:ascii="Times New Roman" w:hAnsi="Times New Roman" w:cs="Times New Roman"/>
          <w:color w:val="auto"/>
          <w:highlight w:val="none"/>
        </w:rPr>
      </w:pPr>
      <w:r>
        <w:rPr>
          <w:rFonts w:hint="default" w:cs="Times New Roman"/>
          <w:color w:val="auto"/>
          <w:kern w:val="0"/>
          <w:highlight w:val="none"/>
          <w:lang w:val="en-US" w:eastAsia="zh-CN"/>
        </w:rPr>
        <w:t>本项目新建</w:t>
      </w:r>
      <w:r>
        <w:rPr>
          <w:rFonts w:hint="default" w:ascii="Times New Roman" w:hAnsi="Times New Roman" w:cs="Times New Roman"/>
          <w:color w:val="auto"/>
          <w:kern w:val="0"/>
          <w:highlight w:val="none"/>
        </w:rPr>
        <w:t>选矿厂、尾矿库、</w:t>
      </w:r>
      <w:r>
        <w:rPr>
          <w:rFonts w:hint="default" w:cs="Times New Roman"/>
          <w:color w:val="auto"/>
          <w:kern w:val="0"/>
          <w:highlight w:val="none"/>
          <w:lang w:val="en-US" w:eastAsia="zh-CN"/>
        </w:rPr>
        <w:t>办公</w:t>
      </w:r>
      <w:r>
        <w:rPr>
          <w:rFonts w:hint="default" w:ascii="Times New Roman" w:hAnsi="Times New Roman" w:cs="Times New Roman"/>
          <w:color w:val="auto"/>
          <w:kern w:val="0"/>
          <w:highlight w:val="none"/>
        </w:rPr>
        <w:t>生活区等配套设施，在项目建成后，带来的人工生态系统优势度增加及草原生态系统的减少，将会对项目区自然景观将会产生较大影响。根据生态环境现状调查可知，本项目各主要工程建设场地是依照所处位置的地形地貌及项目要求进行了较为合理的布局，因此，本次项目建设将原有的草原景观改变为工矿用地景观，对于周边景观格局和功能不会带来明显改变。本次环评要求服务期满后，对项目区进行生态恢复，在工业场地</w:t>
      </w:r>
      <w:r>
        <w:rPr>
          <w:rFonts w:hint="default" w:cs="Times New Roman"/>
          <w:color w:val="auto"/>
          <w:kern w:val="0"/>
          <w:highlight w:val="none"/>
          <w:lang w:eastAsia="zh-CN"/>
        </w:rPr>
        <w:t>、</w:t>
      </w:r>
      <w:r>
        <w:rPr>
          <w:rFonts w:hint="default" w:cs="Times New Roman"/>
          <w:color w:val="auto"/>
          <w:kern w:val="0"/>
          <w:highlight w:val="none"/>
          <w:lang w:val="en-US" w:eastAsia="zh-CN"/>
        </w:rPr>
        <w:t>办公生活区</w:t>
      </w:r>
      <w:r>
        <w:rPr>
          <w:rFonts w:hint="default" w:ascii="Times New Roman" w:hAnsi="Times New Roman" w:cs="Times New Roman"/>
          <w:color w:val="auto"/>
          <w:kern w:val="0"/>
          <w:highlight w:val="none"/>
        </w:rPr>
        <w:t>及尾矿库均拆除及进行生态恢复的前提下，自然景观影响将得到一定程度的恢复和改善。</w:t>
      </w:r>
    </w:p>
    <w:p w14:paraId="3459FE0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5.2.7.5对土壤理化性状影响分析</w:t>
      </w:r>
    </w:p>
    <w:p w14:paraId="5729A72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内植被因场地建设原因破坏后，地面裸露，即使没有被冲刷，表土的温度变幅将增加，对土壤的理化性质即会有不利影响。其中，最明显的变化是有机质分解作用加强，使土壤内有机质含量降低，不利于植物生长。</w:t>
      </w:r>
    </w:p>
    <w:p w14:paraId="43029A7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另外，由于施工破坏和机械挖运，可能使土壤富集过程受阻，表现在下述方面：</w:t>
      </w:r>
    </w:p>
    <w:p w14:paraId="4CD478B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①影响了生物对灰分元素的吸收与富集。通过生物吸收使营养元素重新回到土壤中的“生物自肥”作用虽然比较微弱，而施工破坏了植被，从而阻断了“生物自肥”途径。</w:t>
      </w:r>
    </w:p>
    <w:p w14:paraId="4D6637E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②阻断了生物与土壤间的物质交换</w:t>
      </w:r>
    </w:p>
    <w:p w14:paraId="6F8AB06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土壤理化性质的变化，直接影响到植被的重新恢复，因此要求在施工中尽量维护土壤现状，使开垦与保护土壤相结合。</w:t>
      </w:r>
    </w:p>
    <w:p w14:paraId="1A42AE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施工期地表扰动之后，使得地表土壤结构变化，上下土层混合，土壤肥力降低，极易发生土壤侵蚀。</w:t>
      </w:r>
    </w:p>
    <w:p w14:paraId="60E271BF">
      <w:pPr>
        <w:pStyle w:val="5"/>
        <w:ind w:firstLine="482" w:firstLineChars="200"/>
        <w:rPr>
          <w:rFonts w:hint="default" w:ascii="Times New Roman" w:hAnsi="Times New Roman" w:cs="Times New Roman"/>
          <w:color w:val="auto"/>
          <w:highlight w:val="none"/>
        </w:rPr>
      </w:pPr>
      <w:bookmarkStart w:id="772" w:name="_Toc30657"/>
      <w:bookmarkStart w:id="773" w:name="_Toc24054"/>
      <w:bookmarkStart w:id="774" w:name="_Toc7815"/>
      <w:r>
        <w:rPr>
          <w:rFonts w:hint="default" w:ascii="Times New Roman" w:hAnsi="Times New Roman" w:cs="Times New Roman"/>
          <w:color w:val="auto"/>
          <w:highlight w:val="none"/>
        </w:rPr>
        <w:t>5.2.7.</w:t>
      </w:r>
      <w:r>
        <w:rPr>
          <w:rFonts w:hint="default" w:cs="Times New Roman"/>
          <w:color w:val="auto"/>
          <w:highlight w:val="none"/>
          <w:lang w:val="en-US" w:eastAsia="zh-CN"/>
        </w:rPr>
        <w:t>6</w:t>
      </w:r>
      <w:r>
        <w:rPr>
          <w:rFonts w:hint="default" w:ascii="Times New Roman" w:hAnsi="Times New Roman" w:cs="Times New Roman"/>
          <w:color w:val="auto"/>
          <w:highlight w:val="none"/>
        </w:rPr>
        <w:t>水土流失影响评价</w:t>
      </w:r>
      <w:bookmarkEnd w:id="772"/>
      <w:bookmarkEnd w:id="773"/>
      <w:bookmarkEnd w:id="774"/>
    </w:p>
    <w:p w14:paraId="694237E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1、施工期对水土流失的影响分析</w:t>
      </w:r>
    </w:p>
    <w:p w14:paraId="4340F27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（1）本项目建设过程中场地平整、场地道路建设、各建筑物占地、施工机械及人员践踏、</w:t>
      </w:r>
      <w:r>
        <w:rPr>
          <w:rFonts w:hint="default" w:cs="Times New Roman"/>
          <w:color w:val="auto"/>
          <w:highlight w:val="none"/>
          <w:lang w:eastAsia="zh-CN"/>
        </w:rPr>
        <w:t>碾轧</w:t>
      </w:r>
      <w:r>
        <w:rPr>
          <w:rFonts w:hint="default" w:ascii="Times New Roman" w:hAnsi="Times New Roman" w:cs="Times New Roman"/>
          <w:color w:val="auto"/>
          <w:highlight w:val="none"/>
        </w:rPr>
        <w:t>的都将不同程度的破坏地表原始结构，改变原始地貌、损坏天然植被，从而造成或加剧水土流失。</w:t>
      </w:r>
    </w:p>
    <w:p w14:paraId="57D4D9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（2）各建筑物占地要占压部分草地，甚至砍伐占压地面的树木，形成裸地，诱发水土流失。</w:t>
      </w:r>
    </w:p>
    <w:p w14:paraId="23EBB3C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（3）建筑过程中被扰动的地表未被建（构）筑物覆盖的地区，若不能及时平整、硬化或绿化，则会诱发水土流失。</w:t>
      </w:r>
    </w:p>
    <w:p w14:paraId="4E7C2EB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（4）施工车辆不按指定便道行驶，任意碾压，会诱发水土流失。</w:t>
      </w:r>
    </w:p>
    <w:p w14:paraId="5A0D3D9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（5）道路建设形成的挖填方，输水及输电线路的敷设要形成松散土壤、土埂，从而诱发水土流失。施工人员及机械作业会对土壤及植被造成破坏，形成裸地，也会加剧水土流失。</w:t>
      </w:r>
    </w:p>
    <w:p w14:paraId="4FFD6F4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（6）选矿厂的场地平整，在建设施工中要剥离表层土和风化层。产生挖填方，挖填若不能实现平整，产生的弃土会诱发水土流失。</w:t>
      </w:r>
    </w:p>
    <w:p w14:paraId="7A168A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2、运营期对水土流失的影响分析</w:t>
      </w:r>
    </w:p>
    <w:p w14:paraId="298C574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（1）进出厂运输车辆超范围行驶，任意碾压地表，易引起水土流失。</w:t>
      </w:r>
    </w:p>
    <w:p w14:paraId="2590D23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（2）场内道路及选厂（场四周距山坡）四周</w:t>
      </w:r>
      <w:r>
        <w:rPr>
          <w:rFonts w:hint="eastAsia" w:cs="Times New Roman"/>
          <w:color w:val="auto"/>
          <w:highlight w:val="none"/>
          <w:lang w:eastAsia="zh-CN"/>
        </w:rPr>
        <w:t>距山坡</w:t>
      </w:r>
      <w:r>
        <w:rPr>
          <w:rFonts w:hint="default" w:ascii="Times New Roman" w:hAnsi="Times New Roman" w:cs="Times New Roman"/>
          <w:color w:val="auto"/>
          <w:highlight w:val="none"/>
        </w:rPr>
        <w:t>较近一侧易水土流失。</w:t>
      </w:r>
    </w:p>
    <w:p w14:paraId="32F8A3E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生态影响评价自查表见表5.2-30。</w:t>
      </w:r>
    </w:p>
    <w:p w14:paraId="6A938248">
      <w:pPr>
        <w:overflowPunct w:val="0"/>
        <w:topLinePun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表5.2-30    生态影响评价自查表</w:t>
      </w:r>
    </w:p>
    <w:tbl>
      <w:tblPr>
        <w:tblStyle w:val="33"/>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89"/>
        <w:gridCol w:w="1257"/>
        <w:gridCol w:w="6190"/>
      </w:tblGrid>
      <w:tr w14:paraId="1F252E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6" w:hRule="atLeast"/>
          <w:tblHeader/>
        </w:trPr>
        <w:tc>
          <w:tcPr>
            <w:tcW w:w="2146" w:type="dxa"/>
            <w:gridSpan w:val="2"/>
            <w:vAlign w:val="center"/>
          </w:tcPr>
          <w:p w14:paraId="6B33F340">
            <w:pPr>
              <w:pStyle w:val="45"/>
              <w:spacing w:before="0" w:beforeAutospacing="0" w:line="360" w:lineRule="exact"/>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工作内容</w:t>
            </w:r>
          </w:p>
        </w:tc>
        <w:tc>
          <w:tcPr>
            <w:tcW w:w="6190" w:type="dxa"/>
            <w:vAlign w:val="center"/>
          </w:tcPr>
          <w:p w14:paraId="116F775E">
            <w:pPr>
              <w:pStyle w:val="45"/>
              <w:spacing w:before="0" w:beforeAutospacing="0" w:line="360" w:lineRule="exact"/>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自查项目</w:t>
            </w:r>
          </w:p>
        </w:tc>
      </w:tr>
      <w:tr w14:paraId="52FDAB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89" w:type="dxa"/>
            <w:vMerge w:val="restart"/>
            <w:vAlign w:val="center"/>
          </w:tcPr>
          <w:p w14:paraId="37612EFC">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生态影响识别</w:t>
            </w:r>
          </w:p>
        </w:tc>
        <w:tc>
          <w:tcPr>
            <w:tcW w:w="1257" w:type="dxa"/>
            <w:vAlign w:val="center"/>
          </w:tcPr>
          <w:p w14:paraId="332A4895">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生态保护目标</w:t>
            </w:r>
          </w:p>
        </w:tc>
        <w:tc>
          <w:tcPr>
            <w:tcW w:w="6190" w:type="dxa"/>
            <w:vAlign w:val="center"/>
          </w:tcPr>
          <w:p w14:paraId="26EE0610">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重要物种□；国家公园□；自然保护区□；自然公园□；世界自然遗产□；生态保护红线□；重要生境□；其他具有重要生态功能、对保护生物多样性具有重要意义的区域□；其他□</w:t>
            </w:r>
          </w:p>
        </w:tc>
      </w:tr>
      <w:tr w14:paraId="67733D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Merge w:val="continue"/>
            <w:vAlign w:val="center"/>
          </w:tcPr>
          <w:p w14:paraId="498BE813">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2214FD22">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影响方式</w:t>
            </w:r>
          </w:p>
        </w:tc>
        <w:tc>
          <w:tcPr>
            <w:tcW w:w="6190" w:type="dxa"/>
            <w:vAlign w:val="center"/>
          </w:tcPr>
          <w:p w14:paraId="5D2FF448">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工程占用</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；施工活动干扰</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；改变环境条件□；其他□</w:t>
            </w:r>
          </w:p>
        </w:tc>
      </w:tr>
      <w:tr w14:paraId="013CC0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12" w:hRule="atLeast"/>
        </w:trPr>
        <w:tc>
          <w:tcPr>
            <w:tcW w:w="889" w:type="dxa"/>
            <w:vMerge w:val="continue"/>
            <w:vAlign w:val="center"/>
          </w:tcPr>
          <w:p w14:paraId="6BBB7D6B">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7578CD2C">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评价因子</w:t>
            </w:r>
          </w:p>
        </w:tc>
        <w:tc>
          <w:tcPr>
            <w:tcW w:w="6190" w:type="dxa"/>
            <w:vAlign w:val="center"/>
          </w:tcPr>
          <w:p w14:paraId="1EDC61AE">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物种</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（物种种类、物种结构）</w:t>
            </w:r>
          </w:p>
          <w:p w14:paraId="27A78035">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生境□（生境质量、连通性）</w:t>
            </w:r>
          </w:p>
          <w:p w14:paraId="2055902F">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生物群落</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（生物量、植被类型、土地利用类型等）</w:t>
            </w:r>
          </w:p>
          <w:p w14:paraId="25A0162E">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生态系统</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（植被覆盖度、生态系统功能等）</w:t>
            </w:r>
          </w:p>
          <w:p w14:paraId="3F30BB3F">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生物多样性</w:t>
            </w:r>
            <w:r>
              <w:rPr>
                <w:rFonts w:hint="default" w:ascii="Times New Roman" w:hAnsi="Times New Roman" w:cs="Times New Roman"/>
                <w:snapToGrid w:val="0"/>
                <w:color w:val="auto"/>
                <w:sz w:val="21"/>
                <w:szCs w:val="21"/>
                <w:highlight w:val="none"/>
              </w:rPr>
              <w:sym w:font="Wingdings 2" w:char="00A3"/>
            </w:r>
            <w:r>
              <w:rPr>
                <w:rFonts w:hint="default" w:ascii="Times New Roman" w:hAnsi="Times New Roman" w:cs="Times New Roman"/>
                <w:snapToGrid w:val="0"/>
                <w:color w:val="auto"/>
                <w:sz w:val="21"/>
                <w:szCs w:val="21"/>
                <w:highlight w:val="none"/>
              </w:rPr>
              <w:t>（</w:t>
            </w:r>
            <w:r>
              <w:rPr>
                <w:rFonts w:hint="default" w:ascii="Times New Roman" w:hAnsi="Times New Roman" w:cs="Times New Roman"/>
                <w:snapToGrid w:val="0"/>
                <w:color w:val="auto"/>
                <w:sz w:val="21"/>
                <w:szCs w:val="21"/>
                <w:highlight w:val="none"/>
              </w:rPr>
              <w:tab/>
            </w:r>
            <w:r>
              <w:rPr>
                <w:rFonts w:hint="default" w:ascii="Times New Roman" w:hAnsi="Times New Roman" w:cs="Times New Roman"/>
                <w:snapToGrid w:val="0"/>
                <w:color w:val="auto"/>
                <w:sz w:val="21"/>
                <w:szCs w:val="21"/>
                <w:highlight w:val="none"/>
              </w:rPr>
              <w:t>）</w:t>
            </w:r>
          </w:p>
          <w:p w14:paraId="37E4B161">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生态敏感区</w:t>
            </w:r>
            <w:r>
              <w:rPr>
                <w:rFonts w:hint="default" w:ascii="Times New Roman" w:hAnsi="Times New Roman" w:cs="Times New Roman"/>
                <w:snapToGrid w:val="0"/>
                <w:color w:val="auto"/>
                <w:sz w:val="21"/>
                <w:szCs w:val="21"/>
                <w:highlight w:val="none"/>
              </w:rPr>
              <w:sym w:font="Wingdings 2" w:char="00A3"/>
            </w:r>
            <w:r>
              <w:rPr>
                <w:rFonts w:hint="default" w:ascii="Times New Roman" w:hAnsi="Times New Roman" w:cs="Times New Roman"/>
                <w:snapToGrid w:val="0"/>
                <w:color w:val="auto"/>
                <w:sz w:val="21"/>
                <w:szCs w:val="21"/>
                <w:highlight w:val="none"/>
              </w:rPr>
              <w:t>（）</w:t>
            </w:r>
          </w:p>
          <w:p w14:paraId="666AA534">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自然景观</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（景观多样性）</w:t>
            </w:r>
          </w:p>
          <w:p w14:paraId="407040B3">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自然遗迹□（</w:t>
            </w:r>
            <w:r>
              <w:rPr>
                <w:rFonts w:hint="default" w:ascii="Times New Roman" w:hAnsi="Times New Roman" w:cs="Times New Roman"/>
                <w:snapToGrid w:val="0"/>
                <w:color w:val="auto"/>
                <w:sz w:val="21"/>
                <w:szCs w:val="21"/>
                <w:highlight w:val="none"/>
              </w:rPr>
              <w:tab/>
            </w:r>
            <w:r>
              <w:rPr>
                <w:rFonts w:hint="default" w:ascii="Times New Roman" w:hAnsi="Times New Roman" w:cs="Times New Roman"/>
                <w:snapToGrid w:val="0"/>
                <w:color w:val="auto"/>
                <w:sz w:val="21"/>
                <w:szCs w:val="21"/>
                <w:highlight w:val="none"/>
              </w:rPr>
              <w:t>）</w:t>
            </w:r>
          </w:p>
          <w:p w14:paraId="49E5F85D">
            <w:pPr>
              <w:pStyle w:val="45"/>
              <w:tabs>
                <w:tab w:val="left" w:pos="3092"/>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其他□（</w:t>
            </w:r>
            <w:r>
              <w:rPr>
                <w:rFonts w:hint="default" w:ascii="Times New Roman" w:hAnsi="Times New Roman" w:cs="Times New Roman"/>
                <w:snapToGrid w:val="0"/>
                <w:color w:val="auto"/>
                <w:sz w:val="21"/>
                <w:szCs w:val="21"/>
                <w:highlight w:val="none"/>
              </w:rPr>
              <w:tab/>
            </w:r>
            <w:r>
              <w:rPr>
                <w:rFonts w:hint="default" w:ascii="Times New Roman" w:hAnsi="Times New Roman" w:cs="Times New Roman"/>
                <w:snapToGrid w:val="0"/>
                <w:color w:val="auto"/>
                <w:sz w:val="21"/>
                <w:szCs w:val="21"/>
                <w:highlight w:val="none"/>
              </w:rPr>
              <w:t>）</w:t>
            </w:r>
          </w:p>
        </w:tc>
      </w:tr>
      <w:tr w14:paraId="51E9E9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2146" w:type="dxa"/>
            <w:gridSpan w:val="2"/>
            <w:vAlign w:val="center"/>
          </w:tcPr>
          <w:p w14:paraId="5AD07BE4">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评价等级</w:t>
            </w:r>
          </w:p>
        </w:tc>
        <w:tc>
          <w:tcPr>
            <w:tcW w:w="6190" w:type="dxa"/>
            <w:vAlign w:val="center"/>
          </w:tcPr>
          <w:p w14:paraId="1939F381">
            <w:pPr>
              <w:pStyle w:val="45"/>
              <w:tabs>
                <w:tab w:val="left" w:pos="1471"/>
                <w:tab w:val="left" w:pos="2823"/>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一级□    二级□    三级</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 xml:space="preserve">    生态影响简单分析□</w:t>
            </w:r>
          </w:p>
        </w:tc>
      </w:tr>
      <w:tr w14:paraId="67CEE2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2146" w:type="dxa"/>
            <w:gridSpan w:val="2"/>
            <w:vAlign w:val="center"/>
          </w:tcPr>
          <w:p w14:paraId="54A043DF">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评价范围</w:t>
            </w:r>
          </w:p>
        </w:tc>
        <w:tc>
          <w:tcPr>
            <w:tcW w:w="6190" w:type="dxa"/>
            <w:vAlign w:val="center"/>
          </w:tcPr>
          <w:p w14:paraId="6B7AB508">
            <w:pPr>
              <w:pStyle w:val="45"/>
              <w:tabs>
                <w:tab w:val="left" w:pos="1560"/>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陆域面积：（</w:t>
            </w:r>
            <w:r>
              <w:rPr>
                <w:rFonts w:hint="default" w:cs="Times New Roman"/>
                <w:snapToGrid w:val="0"/>
                <w:color w:val="auto"/>
                <w:sz w:val="21"/>
                <w:szCs w:val="21"/>
                <w:highlight w:val="none"/>
                <w:lang w:val="en-US" w:eastAsia="zh-CN"/>
              </w:rPr>
              <w:t>0.3217</w:t>
            </w:r>
            <w:r>
              <w:rPr>
                <w:rFonts w:hint="default" w:ascii="Times New Roman" w:hAnsi="Times New Roman" w:cs="Times New Roman"/>
                <w:snapToGrid w:val="0"/>
                <w:color w:val="auto"/>
                <w:sz w:val="21"/>
                <w:szCs w:val="21"/>
                <w:highlight w:val="none"/>
              </w:rPr>
              <w:t>）</w:t>
            </w:r>
            <w:r>
              <w:rPr>
                <w:rFonts w:hint="default" w:ascii="Times New Roman" w:hAnsi="Times New Roman" w:eastAsia="Times New Roman" w:cs="Times New Roman"/>
                <w:snapToGrid w:val="0"/>
                <w:color w:val="auto"/>
                <w:sz w:val="21"/>
                <w:szCs w:val="21"/>
                <w:highlight w:val="none"/>
              </w:rPr>
              <w:t>km</w:t>
            </w:r>
            <w:r>
              <w:rPr>
                <w:rFonts w:hint="default" w:ascii="Times New Roman" w:hAnsi="Times New Roman" w:eastAsia="Times New Roman" w:cs="Times New Roman"/>
                <w:snapToGrid w:val="0"/>
                <w:color w:val="auto"/>
                <w:sz w:val="21"/>
                <w:szCs w:val="21"/>
                <w:highlight w:val="none"/>
                <w:vertAlign w:val="superscript"/>
              </w:rPr>
              <w:t>2</w:t>
            </w:r>
            <w:r>
              <w:rPr>
                <w:rFonts w:hint="default" w:ascii="Times New Roman" w:hAnsi="Times New Roman" w:cs="Times New Roman"/>
                <w:snapToGrid w:val="0"/>
                <w:color w:val="auto"/>
                <w:sz w:val="21"/>
                <w:szCs w:val="21"/>
                <w:highlight w:val="none"/>
              </w:rPr>
              <w:t>；水域面积：（ ）</w:t>
            </w:r>
            <w:r>
              <w:rPr>
                <w:rFonts w:hint="default" w:ascii="Times New Roman" w:hAnsi="Times New Roman" w:eastAsia="Times New Roman" w:cs="Times New Roman"/>
                <w:snapToGrid w:val="0"/>
                <w:color w:val="auto"/>
                <w:sz w:val="21"/>
                <w:szCs w:val="21"/>
                <w:highlight w:val="none"/>
              </w:rPr>
              <w:t>km</w:t>
            </w:r>
            <w:r>
              <w:rPr>
                <w:rFonts w:hint="default" w:ascii="Times New Roman" w:hAnsi="Times New Roman" w:eastAsia="Times New Roman" w:cs="Times New Roman"/>
                <w:snapToGrid w:val="0"/>
                <w:color w:val="auto"/>
                <w:sz w:val="21"/>
                <w:szCs w:val="21"/>
                <w:highlight w:val="none"/>
                <w:vertAlign w:val="superscript"/>
              </w:rPr>
              <w:t>2</w:t>
            </w:r>
          </w:p>
        </w:tc>
      </w:tr>
      <w:tr w14:paraId="136E84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889" w:type="dxa"/>
            <w:vMerge w:val="restart"/>
            <w:vAlign w:val="center"/>
          </w:tcPr>
          <w:p w14:paraId="37EA3812">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生态现状调查与评价</w:t>
            </w:r>
          </w:p>
        </w:tc>
        <w:tc>
          <w:tcPr>
            <w:tcW w:w="1257" w:type="dxa"/>
            <w:vAlign w:val="center"/>
          </w:tcPr>
          <w:p w14:paraId="2135CAE1">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调查方法</w:t>
            </w:r>
          </w:p>
        </w:tc>
        <w:tc>
          <w:tcPr>
            <w:tcW w:w="6190" w:type="dxa"/>
            <w:vAlign w:val="center"/>
          </w:tcPr>
          <w:p w14:paraId="3B30E2E5">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资料收集</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；遥感调查</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；调查样方、样线□；调查点位、断面□；专家和公众咨询法□；其他□</w:t>
            </w:r>
          </w:p>
        </w:tc>
      </w:tr>
      <w:tr w14:paraId="75F182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889" w:type="dxa"/>
            <w:vMerge w:val="continue"/>
            <w:vAlign w:val="center"/>
          </w:tcPr>
          <w:p w14:paraId="28799DE7">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1F83D83B">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调查时间</w:t>
            </w:r>
          </w:p>
        </w:tc>
        <w:tc>
          <w:tcPr>
            <w:tcW w:w="6190" w:type="dxa"/>
            <w:vAlign w:val="center"/>
          </w:tcPr>
          <w:p w14:paraId="73104D0F">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春季□；夏季</w:t>
            </w:r>
            <w:r>
              <w:rPr>
                <w:rFonts w:hint="default" w:ascii="Times New Roman" w:hAnsi="Times New Roman" w:cs="Times New Roman"/>
                <w:snapToGrid w:val="0"/>
                <w:color w:val="auto"/>
                <w:sz w:val="21"/>
                <w:szCs w:val="21"/>
                <w:highlight w:val="none"/>
              </w:rPr>
              <w:sym w:font="Wingdings 2" w:char="00A3"/>
            </w:r>
            <w:r>
              <w:rPr>
                <w:rFonts w:hint="default" w:ascii="Times New Roman" w:hAnsi="Times New Roman" w:cs="Times New Roman"/>
                <w:snapToGrid w:val="0"/>
                <w:color w:val="auto"/>
                <w:sz w:val="21"/>
                <w:szCs w:val="21"/>
                <w:highlight w:val="none"/>
              </w:rPr>
              <w:t>；秋季</w:t>
            </w:r>
            <w:r>
              <w:rPr>
                <w:rFonts w:hint="default" w:ascii="Times New Roman" w:hAnsi="Times New Roman" w:cs="Times New Roman"/>
                <w:snapToGrid w:val="0"/>
                <w:color w:val="auto"/>
                <w:sz w:val="21"/>
                <w:szCs w:val="21"/>
                <w:highlight w:val="none"/>
              </w:rPr>
              <w:sym w:font="Wingdings 2" w:char="00A3"/>
            </w:r>
            <w:r>
              <w:rPr>
                <w:rFonts w:hint="default" w:ascii="Times New Roman" w:hAnsi="Times New Roman" w:cs="Times New Roman"/>
                <w:snapToGrid w:val="0"/>
                <w:color w:val="auto"/>
                <w:sz w:val="21"/>
                <w:szCs w:val="21"/>
                <w:highlight w:val="none"/>
              </w:rPr>
              <w:t>；冬季</w:t>
            </w:r>
            <w:r>
              <w:rPr>
                <w:rFonts w:hint="default"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 xml:space="preserve"> 丰水期□；枯水期□；平水期□</w:t>
            </w:r>
          </w:p>
        </w:tc>
      </w:tr>
      <w:tr w14:paraId="3E41E5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889" w:type="dxa"/>
            <w:vMerge w:val="continue"/>
            <w:vAlign w:val="center"/>
          </w:tcPr>
          <w:p w14:paraId="77CF8288">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53512ABE">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所在区域的生态问题</w:t>
            </w:r>
          </w:p>
        </w:tc>
        <w:tc>
          <w:tcPr>
            <w:tcW w:w="6190" w:type="dxa"/>
            <w:vAlign w:val="center"/>
          </w:tcPr>
          <w:p w14:paraId="2FD833D8">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水土流失</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；沙漠化□；石漠化□；盐渍化□；生物入侵□；污染危害</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；其他□</w:t>
            </w:r>
          </w:p>
        </w:tc>
      </w:tr>
      <w:tr w14:paraId="118612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889" w:type="dxa"/>
            <w:vMerge w:val="continue"/>
            <w:vAlign w:val="center"/>
          </w:tcPr>
          <w:p w14:paraId="3958EF70">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7E79C44C">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评价内容</w:t>
            </w:r>
          </w:p>
        </w:tc>
        <w:tc>
          <w:tcPr>
            <w:tcW w:w="6190" w:type="dxa"/>
            <w:vAlign w:val="center"/>
          </w:tcPr>
          <w:p w14:paraId="5CC625AD">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植被</w:t>
            </w:r>
            <w:r>
              <w:rPr>
                <w:rFonts w:hint="default" w:ascii="Times New Roman" w:hAnsi="Times New Roman" w:eastAsia="Times New Roman" w:cs="Times New Roman"/>
                <w:snapToGrid w:val="0"/>
                <w:color w:val="auto"/>
                <w:sz w:val="21"/>
                <w:szCs w:val="21"/>
                <w:highlight w:val="none"/>
              </w:rPr>
              <w:t>/</w:t>
            </w:r>
            <w:r>
              <w:rPr>
                <w:rFonts w:hint="default" w:ascii="Times New Roman" w:hAnsi="Times New Roman" w:cs="Times New Roman"/>
                <w:snapToGrid w:val="0"/>
                <w:color w:val="auto"/>
                <w:sz w:val="21"/>
                <w:szCs w:val="21"/>
                <w:highlight w:val="none"/>
              </w:rPr>
              <w:t>植物群落</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；土地利用</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；生态系统</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；生物多样性</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；重要物种□；生态敏感区□；其他□</w:t>
            </w:r>
          </w:p>
        </w:tc>
      </w:tr>
      <w:tr w14:paraId="0919CC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889" w:type="dxa"/>
            <w:vMerge w:val="restart"/>
            <w:vAlign w:val="center"/>
          </w:tcPr>
          <w:p w14:paraId="0215B4C7">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生态影响预测与评价</w:t>
            </w:r>
          </w:p>
        </w:tc>
        <w:tc>
          <w:tcPr>
            <w:tcW w:w="1257" w:type="dxa"/>
            <w:vAlign w:val="center"/>
          </w:tcPr>
          <w:p w14:paraId="5B8817EE">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评价方法</w:t>
            </w:r>
          </w:p>
        </w:tc>
        <w:tc>
          <w:tcPr>
            <w:tcW w:w="6190" w:type="dxa"/>
            <w:vAlign w:val="center"/>
          </w:tcPr>
          <w:p w14:paraId="3D98E5EB">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定性□；定性和定量</w:t>
            </w:r>
            <w:r>
              <w:rPr>
                <w:rFonts w:hint="default" w:ascii="Times New Roman" w:hAnsi="Times New Roman" w:cs="Times New Roman"/>
                <w:snapToGrid w:val="0"/>
                <w:color w:val="auto"/>
                <w:sz w:val="21"/>
                <w:szCs w:val="21"/>
                <w:highlight w:val="none"/>
              </w:rPr>
              <w:sym w:font="Wingdings 2" w:char="0052"/>
            </w:r>
          </w:p>
        </w:tc>
      </w:tr>
      <w:tr w14:paraId="78803B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889" w:type="dxa"/>
            <w:vMerge w:val="continue"/>
            <w:vAlign w:val="center"/>
          </w:tcPr>
          <w:p w14:paraId="42F632E1">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5990DF78">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评价内容</w:t>
            </w:r>
          </w:p>
        </w:tc>
        <w:tc>
          <w:tcPr>
            <w:tcW w:w="6190" w:type="dxa"/>
            <w:vAlign w:val="center"/>
          </w:tcPr>
          <w:p w14:paraId="620E5882">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植被</w:t>
            </w:r>
            <w:r>
              <w:rPr>
                <w:rFonts w:hint="default" w:ascii="Times New Roman" w:hAnsi="Times New Roman" w:eastAsia="Times New Roman" w:cs="Times New Roman"/>
                <w:snapToGrid w:val="0"/>
                <w:color w:val="auto"/>
                <w:sz w:val="21"/>
                <w:szCs w:val="21"/>
                <w:highlight w:val="none"/>
              </w:rPr>
              <w:t>/</w:t>
            </w:r>
            <w:r>
              <w:rPr>
                <w:rFonts w:hint="default" w:ascii="Times New Roman" w:hAnsi="Times New Roman" w:cs="Times New Roman"/>
                <w:snapToGrid w:val="0"/>
                <w:color w:val="auto"/>
                <w:sz w:val="21"/>
                <w:szCs w:val="21"/>
                <w:highlight w:val="none"/>
              </w:rPr>
              <w:t>植物群落</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；土地利用</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；生态系统</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；生物多样性</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；重要物种□；生态敏感区</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；生物入侵风险□；其他□</w:t>
            </w:r>
          </w:p>
        </w:tc>
      </w:tr>
      <w:tr w14:paraId="2CAFB8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Merge w:val="restart"/>
            <w:vAlign w:val="center"/>
          </w:tcPr>
          <w:p w14:paraId="60635660">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生态保护对策措施</w:t>
            </w:r>
          </w:p>
        </w:tc>
        <w:tc>
          <w:tcPr>
            <w:tcW w:w="1257" w:type="dxa"/>
            <w:vAlign w:val="center"/>
          </w:tcPr>
          <w:p w14:paraId="1CB5A31F">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对策措施</w:t>
            </w:r>
          </w:p>
        </w:tc>
        <w:tc>
          <w:tcPr>
            <w:tcW w:w="6190" w:type="dxa"/>
            <w:vAlign w:val="center"/>
          </w:tcPr>
          <w:p w14:paraId="4B4B77DE">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避让</w:t>
            </w:r>
            <w:r>
              <w:rPr>
                <w:rFonts w:hint="default"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；减缓</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；生态修复</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；生态补偿□；科研□；其他□</w:t>
            </w:r>
          </w:p>
        </w:tc>
      </w:tr>
      <w:tr w14:paraId="16B633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889" w:type="dxa"/>
            <w:vMerge w:val="continue"/>
            <w:vAlign w:val="center"/>
          </w:tcPr>
          <w:p w14:paraId="781F90F2">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4EEF0EBB">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生态监测计划</w:t>
            </w:r>
          </w:p>
        </w:tc>
        <w:tc>
          <w:tcPr>
            <w:tcW w:w="6190" w:type="dxa"/>
            <w:vAlign w:val="center"/>
          </w:tcPr>
          <w:p w14:paraId="78E80AE8">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全生命周期□；长期跟踪</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；常规□；无□</w:t>
            </w:r>
          </w:p>
        </w:tc>
      </w:tr>
      <w:tr w14:paraId="69CC3B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Merge w:val="continue"/>
            <w:vAlign w:val="center"/>
          </w:tcPr>
          <w:p w14:paraId="34687C45">
            <w:pPr>
              <w:spacing w:line="360" w:lineRule="exact"/>
              <w:ind w:firstLine="0" w:firstLineChars="0"/>
              <w:jc w:val="center"/>
              <w:rPr>
                <w:rFonts w:hint="default" w:ascii="Times New Roman" w:hAnsi="Times New Roman" w:cs="Times New Roman"/>
                <w:snapToGrid w:val="0"/>
                <w:color w:val="auto"/>
                <w:kern w:val="0"/>
                <w:sz w:val="21"/>
                <w:szCs w:val="21"/>
                <w:highlight w:val="none"/>
              </w:rPr>
            </w:pPr>
          </w:p>
        </w:tc>
        <w:tc>
          <w:tcPr>
            <w:tcW w:w="1257" w:type="dxa"/>
            <w:vAlign w:val="center"/>
          </w:tcPr>
          <w:p w14:paraId="65907B5E">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环境管理</w:t>
            </w:r>
          </w:p>
        </w:tc>
        <w:tc>
          <w:tcPr>
            <w:tcW w:w="6190" w:type="dxa"/>
            <w:vAlign w:val="center"/>
          </w:tcPr>
          <w:p w14:paraId="45AD20AC">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环境监理</w:t>
            </w:r>
            <w:r>
              <w:rPr>
                <w:rFonts w:hint="default" w:ascii="Times New Roman" w:hAnsi="Times New Roman" w:cs="Times New Roman"/>
                <w:snapToGrid w:val="0"/>
                <w:color w:val="auto"/>
                <w:sz w:val="21"/>
                <w:szCs w:val="21"/>
                <w:highlight w:val="none"/>
              </w:rPr>
              <w:sym w:font="Wingdings 2" w:char="00A3"/>
            </w:r>
            <w:r>
              <w:rPr>
                <w:rFonts w:hint="default" w:ascii="Times New Roman" w:hAnsi="Times New Roman" w:cs="Times New Roman"/>
                <w:snapToGrid w:val="0"/>
                <w:color w:val="auto"/>
                <w:sz w:val="21"/>
                <w:szCs w:val="21"/>
                <w:highlight w:val="none"/>
              </w:rPr>
              <w:t>；环境影响后评价</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；其他□</w:t>
            </w:r>
          </w:p>
        </w:tc>
      </w:tr>
      <w:tr w14:paraId="2570B8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Align w:val="center"/>
          </w:tcPr>
          <w:p w14:paraId="282279EF">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评价结论</w:t>
            </w:r>
          </w:p>
        </w:tc>
        <w:tc>
          <w:tcPr>
            <w:tcW w:w="1257" w:type="dxa"/>
            <w:vAlign w:val="center"/>
          </w:tcPr>
          <w:p w14:paraId="35B69BAB">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生态影响</w:t>
            </w:r>
          </w:p>
        </w:tc>
        <w:tc>
          <w:tcPr>
            <w:tcW w:w="6190" w:type="dxa"/>
            <w:vAlign w:val="center"/>
          </w:tcPr>
          <w:p w14:paraId="54AB2EBB">
            <w:pPr>
              <w:pStyle w:val="45"/>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可行</w:t>
            </w:r>
            <w:r>
              <w:rPr>
                <w:rFonts w:hint="default" w:ascii="Times New Roman" w:hAnsi="Times New Roman" w:cs="Times New Roman"/>
                <w:snapToGrid w:val="0"/>
                <w:color w:val="auto"/>
                <w:sz w:val="21"/>
                <w:szCs w:val="21"/>
                <w:highlight w:val="none"/>
              </w:rPr>
              <w:sym w:font="Wingdings 2" w:char="0052"/>
            </w:r>
            <w:r>
              <w:rPr>
                <w:rFonts w:hint="default" w:ascii="Times New Roman" w:hAnsi="Times New Roman" w:cs="Times New Roman"/>
                <w:snapToGrid w:val="0"/>
                <w:color w:val="auto"/>
                <w:sz w:val="21"/>
                <w:szCs w:val="21"/>
                <w:highlight w:val="none"/>
              </w:rPr>
              <w:t>；不可行□</w:t>
            </w:r>
          </w:p>
        </w:tc>
      </w:tr>
      <w:tr w14:paraId="4C8689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6" w:hRule="atLeast"/>
        </w:trPr>
        <w:tc>
          <w:tcPr>
            <w:tcW w:w="8336" w:type="dxa"/>
            <w:gridSpan w:val="3"/>
            <w:vAlign w:val="center"/>
          </w:tcPr>
          <w:p w14:paraId="7285EA55">
            <w:pPr>
              <w:pStyle w:val="45"/>
              <w:tabs>
                <w:tab w:val="left" w:pos="3259"/>
              </w:tabs>
              <w:spacing w:before="0" w:beforeAutospacing="0" w:line="360" w:lineRule="exact"/>
              <w:ind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注： “□” 为勾选项 ，可√ ；“（</w:t>
            </w:r>
            <w:r>
              <w:rPr>
                <w:rFonts w:hint="default" w:ascii="Times New Roman" w:hAnsi="Times New Roman" w:cs="Times New Roman"/>
                <w:snapToGrid w:val="0"/>
                <w:color w:val="auto"/>
                <w:sz w:val="21"/>
                <w:szCs w:val="21"/>
                <w:highlight w:val="none"/>
              </w:rPr>
              <w:tab/>
            </w:r>
            <w:r>
              <w:rPr>
                <w:rFonts w:hint="default" w:ascii="Times New Roman" w:hAnsi="Times New Roman" w:cs="Times New Roman"/>
                <w:snapToGrid w:val="0"/>
                <w:color w:val="auto"/>
                <w:sz w:val="21"/>
                <w:szCs w:val="21"/>
                <w:highlight w:val="none"/>
              </w:rPr>
              <w:t>）” 为内容填写项。</w:t>
            </w:r>
          </w:p>
        </w:tc>
      </w:tr>
    </w:tbl>
    <w:p w14:paraId="3D977D53">
      <w:pPr>
        <w:pStyle w:val="3"/>
        <w:rPr>
          <w:rFonts w:hint="default" w:ascii="Times New Roman" w:hAnsi="Times New Roman" w:cs="Times New Roman"/>
          <w:color w:val="auto"/>
          <w:highlight w:val="none"/>
        </w:rPr>
      </w:pPr>
      <w:bookmarkStart w:id="775" w:name="_Toc10123"/>
      <w:bookmarkStart w:id="776" w:name="_Toc107413899"/>
      <w:bookmarkStart w:id="777" w:name="_Toc107414666"/>
      <w:bookmarkStart w:id="778" w:name="_Toc8346"/>
      <w:bookmarkStart w:id="779" w:name="_Toc13048"/>
      <w:bookmarkStart w:id="780" w:name="_Toc32160"/>
      <w:bookmarkStart w:id="781" w:name="_Toc9717"/>
      <w:r>
        <w:rPr>
          <w:rFonts w:hint="default" w:ascii="Times New Roman" w:hAnsi="Times New Roman" w:cs="Times New Roman"/>
          <w:color w:val="auto"/>
          <w:highlight w:val="none"/>
        </w:rPr>
        <w:t>5.3环境风险分析</w:t>
      </w:r>
      <w:bookmarkEnd w:id="775"/>
      <w:bookmarkEnd w:id="776"/>
      <w:bookmarkEnd w:id="777"/>
      <w:bookmarkEnd w:id="778"/>
      <w:bookmarkEnd w:id="779"/>
      <w:bookmarkEnd w:id="780"/>
      <w:bookmarkEnd w:id="781"/>
    </w:p>
    <w:p w14:paraId="1E9DE2A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建设项目环境风险评价是对建设项目的环境风险进行分析、预测和评估，提出环境风险预防、控制、减缓措施，明确环境风险监控及应急建议要求，为建设项目环境风险防控提供科学依据。</w:t>
      </w:r>
    </w:p>
    <w:p w14:paraId="7AFC6DC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境风险评价将把风险事故引起厂界外环境质量的恶化及对人群健康影响的预测和防护作为评价工作重点。按照《建设项目环境风险评价技术导则》（HJ169-2018）的方法，通过分析该工程项目中主要物料的危险性和毒性，识别其潜在危险源并提出防治措施，达到降低危害程度，保护环境的目的。</w:t>
      </w:r>
    </w:p>
    <w:p w14:paraId="0EC99700">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5.3.1风险调查</w:t>
      </w:r>
    </w:p>
    <w:p w14:paraId="0DB239A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5.3.1.1建设项目风险源调查</w:t>
      </w:r>
    </w:p>
    <w:p w14:paraId="4B2ED6E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根据《建设项目环境风险评价技术导则》（HJ169-2018）中有关规定，</w:t>
      </w:r>
      <w:r>
        <w:rPr>
          <w:rFonts w:hint="default" w:ascii="Times New Roman" w:hAnsi="Times New Roman" w:cs="Times New Roman"/>
          <w:color w:val="auto"/>
          <w:kern w:val="0"/>
          <w:highlight w:val="none"/>
        </w:rPr>
        <w:t>本次风险评价的识别范围主要是选矿厂和尾矿库。</w:t>
      </w:r>
    </w:p>
    <w:p w14:paraId="27A42A78">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（1）物质危险性识别</w:t>
      </w:r>
    </w:p>
    <w:p w14:paraId="65FB861B">
      <w:pPr>
        <w:overflowPunct w:val="0"/>
        <w:topLinePunct/>
        <w:adjustRightInd w:val="0"/>
        <w:snapToGrid w:val="0"/>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本项目选矿厂原料包括原矿石、碳酸钠</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丁基黄药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丁铵黄药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2#油等。其中碳酸钠</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丁基黄药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丁铵黄药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2#油均用于矿石浮选工艺流程，均属于低毒易燃物质。项目区主要化学品储存情况见下表。</w:t>
      </w:r>
    </w:p>
    <w:p w14:paraId="7FCF780A">
      <w:pPr>
        <w:adjustRightInd w:val="0"/>
        <w:snapToGrid w:val="0"/>
        <w:ind w:firstLine="0" w:firstLineChars="0"/>
        <w:jc w:val="center"/>
        <w:rPr>
          <w:rFonts w:hint="default" w:ascii="Times New Roman" w:hAnsi="Times New Roman" w:cs="Times New Roman"/>
          <w:b/>
          <w:color w:val="auto"/>
          <w:highlight w:val="none"/>
        </w:rPr>
      </w:pPr>
      <w:bookmarkStart w:id="782" w:name="_Toc1142_WPSOffice_Level2"/>
      <w:r>
        <w:rPr>
          <w:rFonts w:hint="default" w:ascii="Times New Roman" w:hAnsi="Times New Roman" w:cs="Times New Roman"/>
          <w:b/>
          <w:color w:val="auto"/>
          <w:highlight w:val="none"/>
        </w:rPr>
        <w:t>表5.3-1    项目区化学品贮存情况一览表</w:t>
      </w:r>
      <w:bookmarkEnd w:id="782"/>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499"/>
        <w:gridCol w:w="1740"/>
        <w:gridCol w:w="1870"/>
        <w:gridCol w:w="1389"/>
        <w:gridCol w:w="1190"/>
      </w:tblGrid>
      <w:tr w14:paraId="7DA8B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34" w:type="dxa"/>
            <w:vAlign w:val="center"/>
          </w:tcPr>
          <w:p w14:paraId="1EC050D8">
            <w:pPr>
              <w:tabs>
                <w:tab w:val="left" w:pos="576"/>
              </w:tabs>
              <w:spacing w:line="360" w:lineRule="exact"/>
              <w:ind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rPr>
              <w:t>序号</w:t>
            </w:r>
          </w:p>
        </w:tc>
        <w:tc>
          <w:tcPr>
            <w:tcW w:w="1499" w:type="dxa"/>
            <w:vAlign w:val="center"/>
          </w:tcPr>
          <w:p w14:paraId="0F76AB2A">
            <w:pPr>
              <w:tabs>
                <w:tab w:val="left" w:pos="576"/>
              </w:tabs>
              <w:spacing w:line="360" w:lineRule="exact"/>
              <w:ind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rPr>
              <w:t>名称</w:t>
            </w:r>
          </w:p>
        </w:tc>
        <w:tc>
          <w:tcPr>
            <w:tcW w:w="1740" w:type="dxa"/>
            <w:vAlign w:val="center"/>
          </w:tcPr>
          <w:p w14:paraId="304B9F9B">
            <w:pPr>
              <w:tabs>
                <w:tab w:val="left" w:pos="576"/>
              </w:tabs>
              <w:spacing w:line="360" w:lineRule="exact"/>
              <w:ind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rPr>
              <w:t>消耗量（t/a）</w:t>
            </w:r>
          </w:p>
        </w:tc>
        <w:tc>
          <w:tcPr>
            <w:tcW w:w="1870" w:type="dxa"/>
            <w:vAlign w:val="center"/>
          </w:tcPr>
          <w:p w14:paraId="171DAFF4">
            <w:pPr>
              <w:tabs>
                <w:tab w:val="left" w:pos="576"/>
              </w:tabs>
              <w:spacing w:line="360" w:lineRule="exact"/>
              <w:ind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rPr>
              <w:t>最大贮存量（t）</w:t>
            </w:r>
          </w:p>
        </w:tc>
        <w:tc>
          <w:tcPr>
            <w:tcW w:w="1389" w:type="dxa"/>
            <w:vAlign w:val="center"/>
          </w:tcPr>
          <w:p w14:paraId="7BC488B2">
            <w:pPr>
              <w:tabs>
                <w:tab w:val="left" w:pos="576"/>
              </w:tabs>
              <w:spacing w:line="360" w:lineRule="exact"/>
              <w:ind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rPr>
              <w:t>贮存方式</w:t>
            </w:r>
          </w:p>
        </w:tc>
        <w:tc>
          <w:tcPr>
            <w:tcW w:w="1190" w:type="dxa"/>
            <w:vAlign w:val="center"/>
          </w:tcPr>
          <w:p w14:paraId="6F855CC7">
            <w:pPr>
              <w:tabs>
                <w:tab w:val="left" w:pos="576"/>
              </w:tabs>
              <w:spacing w:line="360" w:lineRule="exact"/>
              <w:ind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rPr>
              <w:t>贮存地点</w:t>
            </w:r>
          </w:p>
        </w:tc>
      </w:tr>
      <w:tr w14:paraId="67E20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vAlign w:val="center"/>
          </w:tcPr>
          <w:p w14:paraId="5704FB07">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1</w:t>
            </w:r>
          </w:p>
        </w:tc>
        <w:tc>
          <w:tcPr>
            <w:tcW w:w="1499" w:type="dxa"/>
            <w:vAlign w:val="center"/>
          </w:tcPr>
          <w:p w14:paraId="71E059BE">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碳酸钠</w:t>
            </w:r>
          </w:p>
        </w:tc>
        <w:tc>
          <w:tcPr>
            <w:tcW w:w="1740" w:type="dxa"/>
            <w:vAlign w:val="center"/>
          </w:tcPr>
          <w:p w14:paraId="727C8982">
            <w:pPr>
              <w:spacing w:line="360" w:lineRule="exact"/>
              <w:ind w:firstLine="0" w:firstLineChars="0"/>
              <w:jc w:val="center"/>
              <w:rPr>
                <w:rFonts w:hint="default" w:ascii="Times New Roman" w:hAnsi="Times New Roman" w:cs="Times New Roman"/>
                <w:snapToGrid w:val="0"/>
                <w:color w:val="auto"/>
                <w:sz w:val="21"/>
                <w:highlight w:val="none"/>
              </w:rPr>
            </w:pPr>
            <w:r>
              <w:rPr>
                <w:rFonts w:hint="default" w:ascii="Times New Roman" w:hAnsi="Times New Roman" w:eastAsia="宋体" w:cs="Times New Roman"/>
                <w:color w:val="auto"/>
                <w:kern w:val="0"/>
                <w:sz w:val="21"/>
                <w:szCs w:val="21"/>
                <w:highlight w:val="none"/>
                <w:lang w:val="en-US" w:eastAsia="zh-CN"/>
              </w:rPr>
              <w:t>150</w:t>
            </w:r>
          </w:p>
        </w:tc>
        <w:tc>
          <w:tcPr>
            <w:tcW w:w="1870" w:type="dxa"/>
            <w:vAlign w:val="center"/>
          </w:tcPr>
          <w:p w14:paraId="00390ECD">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150</w:t>
            </w:r>
          </w:p>
        </w:tc>
        <w:tc>
          <w:tcPr>
            <w:tcW w:w="1389" w:type="dxa"/>
            <w:vAlign w:val="center"/>
          </w:tcPr>
          <w:p w14:paraId="78A5C1B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snapToGrid w:val="0"/>
                <w:color w:val="auto"/>
                <w:kern w:val="0"/>
                <w:sz w:val="21"/>
                <w:highlight w:val="none"/>
              </w:rPr>
              <w:t>袋装</w:t>
            </w:r>
          </w:p>
        </w:tc>
        <w:tc>
          <w:tcPr>
            <w:tcW w:w="1190" w:type="dxa"/>
            <w:vAlign w:val="center"/>
          </w:tcPr>
          <w:p w14:paraId="6EF29B73">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bCs/>
                <w:color w:val="auto"/>
                <w:kern w:val="0"/>
                <w:sz w:val="21"/>
                <w:szCs w:val="21"/>
                <w:highlight w:val="none"/>
              </w:rPr>
              <w:t>储存库</w:t>
            </w:r>
          </w:p>
        </w:tc>
      </w:tr>
      <w:tr w14:paraId="30547F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vAlign w:val="center"/>
          </w:tcPr>
          <w:p w14:paraId="5E03C458">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2</w:t>
            </w:r>
          </w:p>
        </w:tc>
        <w:tc>
          <w:tcPr>
            <w:tcW w:w="1499" w:type="dxa"/>
            <w:vAlign w:val="center"/>
          </w:tcPr>
          <w:p w14:paraId="3C995466">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丁基黄药</w:t>
            </w:r>
          </w:p>
        </w:tc>
        <w:tc>
          <w:tcPr>
            <w:tcW w:w="1740" w:type="dxa"/>
            <w:vAlign w:val="center"/>
          </w:tcPr>
          <w:p w14:paraId="66C431B0">
            <w:pPr>
              <w:spacing w:line="360" w:lineRule="exact"/>
              <w:ind w:firstLine="0" w:firstLineChars="0"/>
              <w:jc w:val="center"/>
              <w:rPr>
                <w:rFonts w:hint="default" w:ascii="Times New Roman" w:hAnsi="Times New Roman" w:cs="Times New Roman"/>
                <w:snapToGrid w:val="0"/>
                <w:color w:val="auto"/>
                <w:sz w:val="21"/>
                <w:highlight w:val="none"/>
              </w:rPr>
            </w:pPr>
            <w:r>
              <w:rPr>
                <w:rFonts w:hint="default" w:ascii="Times New Roman" w:hAnsi="Times New Roman" w:eastAsia="宋体" w:cs="Times New Roman"/>
                <w:color w:val="auto"/>
                <w:kern w:val="0"/>
                <w:sz w:val="21"/>
                <w:szCs w:val="21"/>
                <w:highlight w:val="none"/>
                <w:lang w:val="en-US" w:eastAsia="zh-CN"/>
              </w:rPr>
              <w:t>7.8</w:t>
            </w:r>
            <w:r>
              <w:rPr>
                <w:rFonts w:hint="default" w:ascii="Times New Roman" w:hAnsi="Times New Roman" w:cs="Times New Roman"/>
                <w:color w:val="auto"/>
                <w:kern w:val="0"/>
                <w:sz w:val="21"/>
                <w:szCs w:val="21"/>
                <w:highlight w:val="none"/>
                <w:lang w:val="en-US" w:eastAsia="zh-CN"/>
              </w:rPr>
              <w:t>75</w:t>
            </w:r>
          </w:p>
        </w:tc>
        <w:tc>
          <w:tcPr>
            <w:tcW w:w="1870" w:type="dxa"/>
            <w:vAlign w:val="center"/>
          </w:tcPr>
          <w:p w14:paraId="7A1578EB">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7.8</w:t>
            </w:r>
            <w:r>
              <w:rPr>
                <w:rFonts w:hint="default" w:ascii="Times New Roman" w:hAnsi="Times New Roman" w:cs="Times New Roman"/>
                <w:color w:val="auto"/>
                <w:kern w:val="0"/>
                <w:sz w:val="21"/>
                <w:szCs w:val="21"/>
                <w:highlight w:val="none"/>
                <w:lang w:val="en-US" w:eastAsia="zh-CN"/>
              </w:rPr>
              <w:t>75</w:t>
            </w:r>
          </w:p>
        </w:tc>
        <w:tc>
          <w:tcPr>
            <w:tcW w:w="1389" w:type="dxa"/>
            <w:vAlign w:val="center"/>
          </w:tcPr>
          <w:p w14:paraId="3D4A495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rPr>
            </w:pPr>
            <w:r>
              <w:rPr>
                <w:rFonts w:hint="default" w:ascii="Times New Roman" w:hAnsi="Times New Roman" w:eastAsia="宋体" w:cs="Times New Roman"/>
                <w:snapToGrid w:val="0"/>
                <w:color w:val="auto"/>
                <w:kern w:val="0"/>
                <w:sz w:val="21"/>
                <w:highlight w:val="none"/>
              </w:rPr>
              <w:t>袋装</w:t>
            </w:r>
          </w:p>
        </w:tc>
        <w:tc>
          <w:tcPr>
            <w:tcW w:w="1190" w:type="dxa"/>
            <w:vAlign w:val="center"/>
          </w:tcPr>
          <w:p w14:paraId="3C888242">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bCs/>
                <w:color w:val="auto"/>
                <w:kern w:val="0"/>
                <w:sz w:val="21"/>
                <w:szCs w:val="21"/>
                <w:highlight w:val="none"/>
              </w:rPr>
              <w:t>储存库</w:t>
            </w:r>
          </w:p>
        </w:tc>
      </w:tr>
      <w:tr w14:paraId="3079F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834" w:type="dxa"/>
            <w:vAlign w:val="center"/>
          </w:tcPr>
          <w:p w14:paraId="7BAF568B">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3</w:t>
            </w:r>
          </w:p>
        </w:tc>
        <w:tc>
          <w:tcPr>
            <w:tcW w:w="1499" w:type="dxa"/>
            <w:vAlign w:val="center"/>
          </w:tcPr>
          <w:p w14:paraId="4A3B2307">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丁铵黄药</w:t>
            </w:r>
          </w:p>
        </w:tc>
        <w:tc>
          <w:tcPr>
            <w:tcW w:w="1740" w:type="dxa"/>
            <w:vAlign w:val="center"/>
          </w:tcPr>
          <w:p w14:paraId="27C4F6F2">
            <w:pPr>
              <w:spacing w:line="360" w:lineRule="exact"/>
              <w:ind w:firstLine="0" w:firstLineChars="0"/>
              <w:jc w:val="center"/>
              <w:rPr>
                <w:rFonts w:hint="default" w:ascii="Times New Roman" w:hAnsi="Times New Roman" w:cs="Times New Roman"/>
                <w:snapToGrid w:val="0"/>
                <w:color w:val="auto"/>
                <w:sz w:val="21"/>
                <w:highlight w:val="none"/>
              </w:rPr>
            </w:pPr>
            <w:r>
              <w:rPr>
                <w:rFonts w:hint="default" w:ascii="Times New Roman" w:hAnsi="Times New Roman" w:eastAsia="宋体" w:cs="Times New Roman"/>
                <w:color w:val="auto"/>
                <w:kern w:val="0"/>
                <w:sz w:val="21"/>
                <w:szCs w:val="21"/>
                <w:highlight w:val="none"/>
                <w:lang w:val="en-US" w:eastAsia="zh-CN"/>
              </w:rPr>
              <w:t>3.94</w:t>
            </w:r>
          </w:p>
        </w:tc>
        <w:tc>
          <w:tcPr>
            <w:tcW w:w="1870" w:type="dxa"/>
            <w:vAlign w:val="center"/>
          </w:tcPr>
          <w:p w14:paraId="22C36EA6">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3.94</w:t>
            </w:r>
          </w:p>
        </w:tc>
        <w:tc>
          <w:tcPr>
            <w:tcW w:w="1389" w:type="dxa"/>
            <w:vAlign w:val="center"/>
          </w:tcPr>
          <w:p w14:paraId="11C9BFD9">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rPr>
            </w:pPr>
            <w:r>
              <w:rPr>
                <w:rFonts w:hint="default" w:ascii="Times New Roman" w:hAnsi="Times New Roman" w:eastAsia="宋体" w:cs="Times New Roman"/>
                <w:snapToGrid w:val="0"/>
                <w:color w:val="auto"/>
                <w:kern w:val="0"/>
                <w:sz w:val="21"/>
                <w:highlight w:val="none"/>
              </w:rPr>
              <w:t>袋装</w:t>
            </w:r>
          </w:p>
        </w:tc>
        <w:tc>
          <w:tcPr>
            <w:tcW w:w="1190" w:type="dxa"/>
            <w:vAlign w:val="center"/>
          </w:tcPr>
          <w:p w14:paraId="221CA72D">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bCs/>
                <w:color w:val="auto"/>
                <w:kern w:val="0"/>
                <w:sz w:val="21"/>
                <w:szCs w:val="21"/>
                <w:highlight w:val="none"/>
              </w:rPr>
              <w:t>储存库</w:t>
            </w:r>
          </w:p>
        </w:tc>
      </w:tr>
      <w:tr w14:paraId="04F4F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834" w:type="dxa"/>
            <w:vAlign w:val="center"/>
          </w:tcPr>
          <w:p w14:paraId="68D507EE">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4</w:t>
            </w:r>
          </w:p>
        </w:tc>
        <w:tc>
          <w:tcPr>
            <w:tcW w:w="1499" w:type="dxa"/>
            <w:vAlign w:val="center"/>
          </w:tcPr>
          <w:p w14:paraId="0684E4DC">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2#油</w:t>
            </w:r>
          </w:p>
        </w:tc>
        <w:tc>
          <w:tcPr>
            <w:tcW w:w="1740" w:type="dxa"/>
            <w:vAlign w:val="center"/>
          </w:tcPr>
          <w:p w14:paraId="4DDEB737">
            <w:pPr>
              <w:spacing w:line="360" w:lineRule="exact"/>
              <w:ind w:firstLine="0" w:firstLineChars="0"/>
              <w:jc w:val="center"/>
              <w:rPr>
                <w:rFonts w:hint="default" w:ascii="Times New Roman" w:hAnsi="Times New Roman" w:eastAsia="宋体" w:cs="Times New Roman"/>
                <w:b w:val="0"/>
                <w:bCs/>
                <w:color w:val="auto"/>
                <w:sz w:val="21"/>
                <w:highlight w:val="none"/>
                <w:lang w:eastAsia="zh-CN" w:bidi="ar-SA"/>
              </w:rPr>
            </w:pPr>
            <w:r>
              <w:rPr>
                <w:rFonts w:hint="default" w:ascii="Times New Roman" w:hAnsi="Times New Roman" w:eastAsia="宋体" w:cs="Times New Roman"/>
                <w:color w:val="auto"/>
                <w:kern w:val="0"/>
                <w:sz w:val="21"/>
                <w:szCs w:val="21"/>
                <w:highlight w:val="none"/>
                <w:lang w:val="en-US" w:eastAsia="zh-CN"/>
              </w:rPr>
              <w:t>2.25</w:t>
            </w:r>
          </w:p>
        </w:tc>
        <w:tc>
          <w:tcPr>
            <w:tcW w:w="1870" w:type="dxa"/>
            <w:vAlign w:val="center"/>
          </w:tcPr>
          <w:p w14:paraId="6EC7B243">
            <w:pPr>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eastAsia="宋体" w:cs="Times New Roman"/>
                <w:color w:val="auto"/>
                <w:kern w:val="0"/>
                <w:sz w:val="21"/>
                <w:szCs w:val="21"/>
                <w:highlight w:val="none"/>
                <w:lang w:val="en-US" w:eastAsia="zh-CN"/>
              </w:rPr>
              <w:t>2.25</w:t>
            </w:r>
          </w:p>
        </w:tc>
        <w:tc>
          <w:tcPr>
            <w:tcW w:w="1389" w:type="dxa"/>
            <w:vAlign w:val="center"/>
          </w:tcPr>
          <w:p w14:paraId="74268CF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rPr>
            </w:pPr>
            <w:r>
              <w:rPr>
                <w:rFonts w:hint="default" w:ascii="Times New Roman" w:hAnsi="Times New Roman" w:eastAsia="宋体" w:cs="Times New Roman"/>
                <w:snapToGrid w:val="0"/>
                <w:color w:val="auto"/>
                <w:kern w:val="0"/>
                <w:sz w:val="21"/>
                <w:highlight w:val="none"/>
              </w:rPr>
              <w:t>袋装</w:t>
            </w:r>
          </w:p>
        </w:tc>
        <w:tc>
          <w:tcPr>
            <w:tcW w:w="1190" w:type="dxa"/>
            <w:vAlign w:val="center"/>
          </w:tcPr>
          <w:p w14:paraId="4A6CCBFB">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储存库</w:t>
            </w:r>
          </w:p>
        </w:tc>
      </w:tr>
    </w:tbl>
    <w:p w14:paraId="69556D38">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（2）物质危险识别</w:t>
      </w:r>
    </w:p>
    <w:p w14:paraId="1FBDCAEF">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根据《建设项目环境风险评价技术导则》（HJ169-2018）及《</w:t>
      </w:r>
      <w:r>
        <w:rPr>
          <w:rFonts w:hint="default" w:cs="Times New Roman"/>
          <w:color w:val="auto"/>
          <w:highlight w:val="none"/>
          <w:lang w:eastAsia="zh-CN"/>
        </w:rPr>
        <w:t>危险化学品重大危险源辨识</w:t>
      </w:r>
      <w:r>
        <w:rPr>
          <w:rFonts w:hint="default" w:ascii="Times New Roman" w:hAnsi="Times New Roman" w:cs="Times New Roman"/>
          <w:color w:val="auto"/>
          <w:highlight w:val="none"/>
        </w:rPr>
        <w:t>》（GB18218-2018）、《</w:t>
      </w:r>
      <w:r>
        <w:rPr>
          <w:rFonts w:hint="default" w:cs="Times New Roman"/>
          <w:color w:val="auto"/>
          <w:highlight w:val="none"/>
          <w:lang w:eastAsia="zh-CN"/>
        </w:rPr>
        <w:t>工程建设标准实施评价规范</w:t>
      </w:r>
      <w:r>
        <w:rPr>
          <w:rFonts w:hint="default" w:ascii="Times New Roman" w:hAnsi="Times New Roman" w:cs="Times New Roman"/>
          <w:color w:val="auto"/>
          <w:highlight w:val="none"/>
        </w:rPr>
        <w:t>》（</w:t>
      </w:r>
      <w:r>
        <w:rPr>
          <w:rFonts w:hint="default" w:cs="Times New Roman"/>
          <w:color w:val="auto"/>
          <w:highlight w:val="none"/>
          <w:lang w:eastAsia="zh-CN"/>
        </w:rPr>
        <w:t>GB/T 50844-2013</w:t>
      </w:r>
      <w:r>
        <w:rPr>
          <w:rFonts w:hint="default" w:ascii="Times New Roman" w:hAnsi="Times New Roman" w:cs="Times New Roman"/>
          <w:color w:val="auto"/>
          <w:highlight w:val="none"/>
        </w:rPr>
        <w:t>）等资料，项目使用原料</w:t>
      </w:r>
      <w:r>
        <w:rPr>
          <w:rFonts w:hint="default" w:ascii="Times New Roman" w:hAnsi="Times New Roman" w:cs="Times New Roman"/>
          <w:color w:val="auto"/>
          <w:highlight w:val="none"/>
          <w:lang w:bidi="ar"/>
        </w:rPr>
        <w:t>丁基黄药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丁铵黄药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2#油</w:t>
      </w:r>
      <w:r>
        <w:rPr>
          <w:rFonts w:hint="default" w:ascii="Times New Roman" w:hAnsi="Times New Roman" w:cs="Times New Roman"/>
          <w:color w:val="auto"/>
          <w:highlight w:val="none"/>
          <w:lang w:val="en-US" w:eastAsia="zh-CN" w:bidi="ar"/>
        </w:rPr>
        <w:t>及产生的危险</w:t>
      </w:r>
      <w:r>
        <w:rPr>
          <w:rFonts w:hint="default" w:ascii="Times New Roman" w:hAnsi="Times New Roman" w:eastAsia="宋体" w:cs="Times New Roman"/>
          <w:color w:val="auto"/>
          <w:highlight w:val="none"/>
          <w:lang w:val="en-US" w:eastAsia="zh-CN" w:bidi="ar"/>
        </w:rPr>
        <w:t>废物废矿物油、废油桶均属</w:t>
      </w:r>
      <w:r>
        <w:rPr>
          <w:rFonts w:hint="default" w:ascii="Times New Roman" w:hAnsi="Times New Roman" w:cs="Times New Roman"/>
          <w:color w:val="auto"/>
          <w:highlight w:val="none"/>
        </w:rPr>
        <w:t>于易燃物质。</w:t>
      </w:r>
    </w:p>
    <w:p w14:paraId="0AF78DC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（3）生产单元（设施）危险性识别</w:t>
      </w:r>
    </w:p>
    <w:p w14:paraId="304CA0E5">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1）选矿水循环系统</w:t>
      </w:r>
    </w:p>
    <w:p w14:paraId="7356E916">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本项目选矿废水闭路循环，不外排。选矿水循环系统因设备老化、故障、操作不当以及建筑破损等原因可能发生选矿废水泄漏事故。</w:t>
      </w:r>
    </w:p>
    <w:p w14:paraId="312AC63F">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w:t>
      </w:r>
    </w:p>
    <w:p w14:paraId="30EB2BB7">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①尾矿排放</w:t>
      </w:r>
    </w:p>
    <w:p w14:paraId="34DCB457">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若尾矿库溃坝，则可能造成人身安全、财产损失、环境污染、生态破坏等突发环境事件。</w:t>
      </w:r>
    </w:p>
    <w:p w14:paraId="3C0281C2">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②管道破裂、渗漏</w:t>
      </w:r>
    </w:p>
    <w:p w14:paraId="0F6CA3D8">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尾矿浆通过总砂泵站统一把尾砂输送至尾矿库多点均匀放矿。输送管路全长</w:t>
      </w:r>
      <w:r>
        <w:rPr>
          <w:rFonts w:hint="default" w:cs="Times New Roman"/>
          <w:color w:val="auto"/>
          <w:highlight w:val="none"/>
          <w:lang w:val="en-US" w:eastAsia="zh-CN"/>
        </w:rPr>
        <w:t>1.9</w:t>
      </w:r>
      <w:r>
        <w:rPr>
          <w:rFonts w:hint="default" w:ascii="Times New Roman" w:hAnsi="Times New Roman" w:cs="Times New Roman"/>
          <w:color w:val="auto"/>
          <w:highlight w:val="none"/>
        </w:rPr>
        <w:t>km，采用DN125耐磨管道输送至坝前。尾矿输送管路如遇施工机械破坏或其他人为破坏，可能发生管道破裂、尾矿浆泄漏事故，可能会导致废水渗漏、外泄，致使周边土壤环境、地表水及地下水等受污染。</w:t>
      </w:r>
    </w:p>
    <w:p w14:paraId="2F3FA134">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（4）存储系统风险识别</w:t>
      </w:r>
    </w:p>
    <w:p w14:paraId="0C9DA8ED">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原料如</w:t>
      </w:r>
      <w:r>
        <w:rPr>
          <w:rFonts w:hint="default" w:ascii="Times New Roman" w:hAnsi="Times New Roman" w:cs="Times New Roman"/>
          <w:color w:val="auto"/>
          <w:highlight w:val="none"/>
          <w:lang w:bidi="ar"/>
        </w:rPr>
        <w:t>丁基黄药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丁铵黄药</w:t>
      </w:r>
      <w:r>
        <w:rPr>
          <w:rFonts w:hint="default" w:cs="Times New Roman"/>
          <w:color w:val="auto"/>
          <w:highlight w:val="none"/>
          <w:lang w:eastAsia="zh-CN" w:bidi="ar"/>
        </w:rPr>
        <w:t>、</w:t>
      </w:r>
      <w:r>
        <w:rPr>
          <w:rFonts w:hint="default" w:ascii="Times New Roman" w:hAnsi="Times New Roman" w:cs="Times New Roman"/>
          <w:color w:val="auto"/>
          <w:highlight w:val="none"/>
          <w:lang w:bidi="ar"/>
        </w:rPr>
        <w:t>2#油</w:t>
      </w:r>
      <w:r>
        <w:rPr>
          <w:rFonts w:hint="default" w:ascii="Times New Roman" w:hAnsi="Times New Roman" w:cs="Times New Roman"/>
          <w:color w:val="auto"/>
          <w:highlight w:val="none"/>
        </w:rPr>
        <w:t>等危险品储存、装卸、运输中可能由于碰撞、震动、挤压等，同时由于操作不当、重装重卸、容器多次回收利用后强度下降，垫圈没有拧紧等原因造成物品泄漏，甚至引起火灾事故。</w:t>
      </w:r>
    </w:p>
    <w:p w14:paraId="072DCFE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本项目环评主要针对尾矿库可能发生的环境风险事故，进行环境影响预测分析，并提出风险防范措施及应急预案，力求将环境风险影响降至最低。</w:t>
      </w:r>
    </w:p>
    <w:p w14:paraId="07FDB31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5.3.1.2环境敏感目标调查</w:t>
      </w:r>
    </w:p>
    <w:p w14:paraId="03A63030">
      <w:pPr>
        <w:ind w:firstLine="0" w:firstLineChars="0"/>
        <w:jc w:val="center"/>
        <w:rPr>
          <w:rFonts w:hint="default" w:ascii="Times New Roman" w:hAnsi="Times New Roman" w:cs="Times New Roman"/>
          <w:b/>
          <w:color w:val="auto"/>
          <w:kern w:val="0"/>
          <w:szCs w:val="21"/>
          <w:highlight w:val="none"/>
          <w:lang w:val="zh-CN"/>
        </w:rPr>
      </w:pPr>
      <w:r>
        <w:rPr>
          <w:rFonts w:hint="default" w:ascii="Times New Roman" w:hAnsi="Times New Roman" w:cs="Times New Roman"/>
          <w:b/>
          <w:color w:val="auto"/>
          <w:kern w:val="0"/>
          <w:szCs w:val="21"/>
          <w:highlight w:val="none"/>
          <w:lang w:val="zh-CN"/>
        </w:rPr>
        <w:t>表</w:t>
      </w:r>
      <w:r>
        <w:rPr>
          <w:rFonts w:hint="default" w:ascii="Times New Roman" w:hAnsi="Times New Roman" w:cs="Times New Roman"/>
          <w:b/>
          <w:color w:val="auto"/>
          <w:kern w:val="0"/>
          <w:szCs w:val="21"/>
          <w:highlight w:val="none"/>
        </w:rPr>
        <w:t xml:space="preserve">5.3-2    </w:t>
      </w:r>
      <w:r>
        <w:rPr>
          <w:rFonts w:hint="default" w:ascii="Times New Roman" w:hAnsi="Times New Roman" w:cs="Times New Roman"/>
          <w:b/>
          <w:color w:val="auto"/>
          <w:kern w:val="0"/>
          <w:szCs w:val="21"/>
          <w:highlight w:val="none"/>
          <w:lang w:val="zh-CN"/>
        </w:rPr>
        <w:t>调查范围内环境敏感目标一览表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3"/>
        <w:gridCol w:w="929"/>
        <w:gridCol w:w="1512"/>
        <w:gridCol w:w="1560"/>
        <w:gridCol w:w="1200"/>
        <w:gridCol w:w="1140"/>
        <w:gridCol w:w="1208"/>
      </w:tblGrid>
      <w:tr w14:paraId="5B8F0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tcBorders>
              <w:top w:val="single" w:color="auto" w:sz="12" w:space="0"/>
              <w:left w:val="single" w:color="auto" w:sz="12" w:space="0"/>
              <w:bottom w:val="single" w:color="auto" w:sz="6" w:space="0"/>
              <w:right w:val="single" w:color="auto" w:sz="6" w:space="0"/>
            </w:tcBorders>
            <w:vAlign w:val="center"/>
          </w:tcPr>
          <w:p w14:paraId="0FC63A2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7549" w:type="dxa"/>
            <w:gridSpan w:val="6"/>
            <w:tcBorders>
              <w:top w:val="single" w:color="auto" w:sz="12" w:space="0"/>
              <w:left w:val="single" w:color="auto" w:sz="6" w:space="0"/>
              <w:bottom w:val="single" w:color="auto" w:sz="6" w:space="0"/>
              <w:right w:val="single" w:color="auto" w:sz="12" w:space="0"/>
            </w:tcBorders>
            <w:vAlign w:val="center"/>
          </w:tcPr>
          <w:p w14:paraId="373460F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环境敏感特征</w:t>
            </w:r>
          </w:p>
        </w:tc>
      </w:tr>
      <w:tr w14:paraId="077DA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vMerge w:val="restart"/>
            <w:tcBorders>
              <w:top w:val="single" w:color="auto" w:sz="6" w:space="0"/>
              <w:left w:val="single" w:color="auto" w:sz="12" w:space="0"/>
              <w:bottom w:val="single" w:color="auto" w:sz="6" w:space="0"/>
              <w:right w:val="single" w:color="auto" w:sz="6" w:space="0"/>
            </w:tcBorders>
            <w:vAlign w:val="center"/>
          </w:tcPr>
          <w:p w14:paraId="626D100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14:paraId="450390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w:t>
            </w:r>
          </w:p>
        </w:tc>
        <w:tc>
          <w:tcPr>
            <w:tcW w:w="7549" w:type="dxa"/>
            <w:gridSpan w:val="6"/>
            <w:tcBorders>
              <w:top w:val="single" w:color="auto" w:sz="6" w:space="0"/>
              <w:left w:val="single" w:color="auto" w:sz="6" w:space="0"/>
              <w:bottom w:val="single" w:color="auto" w:sz="6" w:space="0"/>
              <w:right w:val="single" w:color="auto" w:sz="12" w:space="0"/>
            </w:tcBorders>
            <w:vAlign w:val="center"/>
          </w:tcPr>
          <w:p w14:paraId="359B414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厂址周边5km范围内</w:t>
            </w:r>
          </w:p>
        </w:tc>
      </w:tr>
      <w:tr w14:paraId="5880D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52709103">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764C4F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0FE18B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敏感目标名称</w:t>
            </w:r>
          </w:p>
        </w:tc>
        <w:tc>
          <w:tcPr>
            <w:tcW w:w="1560" w:type="dxa"/>
            <w:tcBorders>
              <w:top w:val="single" w:color="auto" w:sz="6" w:space="0"/>
              <w:left w:val="single" w:color="auto" w:sz="6" w:space="0"/>
              <w:bottom w:val="single" w:color="auto" w:sz="6" w:space="0"/>
              <w:right w:val="single" w:color="auto" w:sz="6" w:space="0"/>
            </w:tcBorders>
            <w:vAlign w:val="center"/>
          </w:tcPr>
          <w:p w14:paraId="7F4CB9C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相对方位</w:t>
            </w:r>
          </w:p>
        </w:tc>
        <w:tc>
          <w:tcPr>
            <w:tcW w:w="1200" w:type="dxa"/>
            <w:tcBorders>
              <w:top w:val="single" w:color="auto" w:sz="6" w:space="0"/>
              <w:left w:val="single" w:color="auto" w:sz="6" w:space="0"/>
              <w:bottom w:val="single" w:color="auto" w:sz="6" w:space="0"/>
              <w:right w:val="single" w:color="auto" w:sz="6" w:space="0"/>
            </w:tcBorders>
            <w:vAlign w:val="center"/>
          </w:tcPr>
          <w:p w14:paraId="438097A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距离/m</w:t>
            </w:r>
          </w:p>
        </w:tc>
        <w:tc>
          <w:tcPr>
            <w:tcW w:w="1140" w:type="dxa"/>
            <w:tcBorders>
              <w:top w:val="single" w:color="auto" w:sz="6" w:space="0"/>
              <w:left w:val="single" w:color="auto" w:sz="6" w:space="0"/>
              <w:bottom w:val="single" w:color="auto" w:sz="6" w:space="0"/>
              <w:right w:val="single" w:color="auto" w:sz="6" w:space="0"/>
            </w:tcBorders>
            <w:vAlign w:val="center"/>
          </w:tcPr>
          <w:p w14:paraId="4DC0420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属性</w:t>
            </w:r>
          </w:p>
        </w:tc>
        <w:tc>
          <w:tcPr>
            <w:tcW w:w="1208" w:type="dxa"/>
            <w:tcBorders>
              <w:top w:val="single" w:color="auto" w:sz="6" w:space="0"/>
              <w:left w:val="single" w:color="auto" w:sz="6" w:space="0"/>
              <w:bottom w:val="single" w:color="auto" w:sz="6" w:space="0"/>
              <w:right w:val="single" w:color="auto" w:sz="12" w:space="0"/>
            </w:tcBorders>
            <w:vAlign w:val="center"/>
          </w:tcPr>
          <w:p w14:paraId="6A9DE9F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人口数</w:t>
            </w:r>
          </w:p>
        </w:tc>
      </w:tr>
      <w:tr w14:paraId="187B1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FB7C141">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659C56B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7BD3BFF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val="en-US" w:eastAsia="zh-CN"/>
              </w:rPr>
              <w:t>白杨沟村</w:t>
            </w:r>
          </w:p>
        </w:tc>
        <w:tc>
          <w:tcPr>
            <w:tcW w:w="1560" w:type="dxa"/>
            <w:tcBorders>
              <w:top w:val="single" w:color="auto" w:sz="6" w:space="0"/>
              <w:left w:val="single" w:color="auto" w:sz="6" w:space="0"/>
              <w:bottom w:val="single" w:color="auto" w:sz="6" w:space="0"/>
              <w:right w:val="single" w:color="auto" w:sz="6" w:space="0"/>
            </w:tcBorders>
            <w:vAlign w:val="center"/>
          </w:tcPr>
          <w:p w14:paraId="11F73138">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NE</w:t>
            </w:r>
          </w:p>
        </w:tc>
        <w:tc>
          <w:tcPr>
            <w:tcW w:w="1200" w:type="dxa"/>
            <w:tcBorders>
              <w:top w:val="single" w:color="auto" w:sz="6" w:space="0"/>
              <w:left w:val="single" w:color="auto" w:sz="6" w:space="0"/>
              <w:bottom w:val="single" w:color="auto" w:sz="6" w:space="0"/>
              <w:right w:val="single" w:color="auto" w:sz="6" w:space="0"/>
            </w:tcBorders>
            <w:vAlign w:val="center"/>
          </w:tcPr>
          <w:p w14:paraId="628F9CF9">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3300</w:t>
            </w:r>
          </w:p>
        </w:tc>
        <w:tc>
          <w:tcPr>
            <w:tcW w:w="1140" w:type="dxa"/>
            <w:tcBorders>
              <w:top w:val="single" w:color="auto" w:sz="6" w:space="0"/>
              <w:left w:val="single" w:color="auto" w:sz="6" w:space="0"/>
              <w:bottom w:val="single" w:color="auto" w:sz="6" w:space="0"/>
              <w:right w:val="single" w:color="auto" w:sz="6" w:space="0"/>
            </w:tcBorders>
            <w:vAlign w:val="center"/>
          </w:tcPr>
          <w:p w14:paraId="7F1B548A">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val="en-US" w:eastAsia="zh-CN"/>
              </w:rPr>
              <w:t>居住区</w:t>
            </w:r>
          </w:p>
        </w:tc>
        <w:tc>
          <w:tcPr>
            <w:tcW w:w="1208" w:type="dxa"/>
            <w:tcBorders>
              <w:top w:val="single" w:color="auto" w:sz="6" w:space="0"/>
              <w:left w:val="single" w:color="auto" w:sz="6" w:space="0"/>
              <w:bottom w:val="single" w:color="auto" w:sz="6" w:space="0"/>
              <w:right w:val="single" w:color="auto" w:sz="12" w:space="0"/>
            </w:tcBorders>
            <w:vAlign w:val="center"/>
          </w:tcPr>
          <w:p w14:paraId="516F57F6">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500</w:t>
            </w:r>
          </w:p>
        </w:tc>
      </w:tr>
      <w:tr w14:paraId="564F9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6267437D">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529813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厂址周边500m范围内人口数小计</w:t>
            </w:r>
          </w:p>
        </w:tc>
        <w:tc>
          <w:tcPr>
            <w:tcW w:w="1208" w:type="dxa"/>
            <w:tcBorders>
              <w:top w:val="single" w:color="auto" w:sz="6" w:space="0"/>
              <w:left w:val="single" w:color="auto" w:sz="6" w:space="0"/>
              <w:bottom w:val="single" w:color="auto" w:sz="6" w:space="0"/>
              <w:right w:val="single" w:color="auto" w:sz="12" w:space="0"/>
            </w:tcBorders>
            <w:vAlign w:val="center"/>
          </w:tcPr>
          <w:p w14:paraId="791B6403">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325</w:t>
            </w:r>
          </w:p>
        </w:tc>
      </w:tr>
      <w:tr w14:paraId="48B9B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01F25E7">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78BB92F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厂址周边5km范围内人口数小计</w:t>
            </w:r>
          </w:p>
        </w:tc>
        <w:tc>
          <w:tcPr>
            <w:tcW w:w="1208" w:type="dxa"/>
            <w:tcBorders>
              <w:top w:val="single" w:color="auto" w:sz="6" w:space="0"/>
              <w:left w:val="single" w:color="auto" w:sz="6" w:space="0"/>
              <w:bottom w:val="single" w:color="auto" w:sz="6" w:space="0"/>
              <w:right w:val="single" w:color="auto" w:sz="12" w:space="0"/>
            </w:tcBorders>
            <w:vAlign w:val="center"/>
          </w:tcPr>
          <w:p w14:paraId="1C3BABE2">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825</w:t>
            </w:r>
          </w:p>
        </w:tc>
      </w:tr>
      <w:tr w14:paraId="5083F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573B9924">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4AFB06A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大气环境敏感程度E值</w:t>
            </w:r>
          </w:p>
        </w:tc>
        <w:tc>
          <w:tcPr>
            <w:tcW w:w="1208" w:type="dxa"/>
            <w:tcBorders>
              <w:top w:val="single" w:color="auto" w:sz="6" w:space="0"/>
              <w:left w:val="single" w:color="auto" w:sz="6" w:space="0"/>
              <w:bottom w:val="single" w:color="auto" w:sz="6" w:space="0"/>
              <w:right w:val="single" w:color="auto" w:sz="12" w:space="0"/>
            </w:tcBorders>
            <w:vAlign w:val="center"/>
          </w:tcPr>
          <w:p w14:paraId="6310CCA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p>
        </w:tc>
      </w:tr>
      <w:tr w14:paraId="67873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restart"/>
            <w:tcBorders>
              <w:top w:val="single" w:color="auto" w:sz="6" w:space="0"/>
              <w:left w:val="single" w:color="auto" w:sz="12" w:space="0"/>
              <w:bottom w:val="single" w:color="auto" w:sz="6" w:space="0"/>
              <w:right w:val="single" w:color="auto" w:sz="6" w:space="0"/>
            </w:tcBorders>
            <w:vAlign w:val="center"/>
          </w:tcPr>
          <w:p w14:paraId="6E342C0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tc>
        <w:tc>
          <w:tcPr>
            <w:tcW w:w="7549" w:type="dxa"/>
            <w:gridSpan w:val="6"/>
            <w:tcBorders>
              <w:top w:val="single" w:color="auto" w:sz="6" w:space="0"/>
              <w:left w:val="single" w:color="auto" w:sz="6" w:space="0"/>
              <w:bottom w:val="single" w:color="auto" w:sz="6" w:space="0"/>
              <w:right w:val="single" w:color="auto" w:sz="12" w:space="0"/>
            </w:tcBorders>
            <w:vAlign w:val="center"/>
          </w:tcPr>
          <w:p w14:paraId="145A6AA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受纳水体</w:t>
            </w:r>
          </w:p>
        </w:tc>
      </w:tr>
      <w:tr w14:paraId="410F6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52EC18A6">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7E17003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5DEFD75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受纳水体名称</w:t>
            </w:r>
          </w:p>
        </w:tc>
        <w:tc>
          <w:tcPr>
            <w:tcW w:w="2760" w:type="dxa"/>
            <w:gridSpan w:val="2"/>
            <w:tcBorders>
              <w:top w:val="single" w:color="auto" w:sz="6" w:space="0"/>
              <w:left w:val="single" w:color="auto" w:sz="6" w:space="0"/>
              <w:bottom w:val="single" w:color="auto" w:sz="6" w:space="0"/>
              <w:right w:val="single" w:color="auto" w:sz="6" w:space="0"/>
            </w:tcBorders>
            <w:vAlign w:val="center"/>
          </w:tcPr>
          <w:p w14:paraId="3E4341A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排放点水域环境功能</w:t>
            </w:r>
          </w:p>
        </w:tc>
        <w:tc>
          <w:tcPr>
            <w:tcW w:w="2348" w:type="dxa"/>
            <w:gridSpan w:val="2"/>
            <w:tcBorders>
              <w:top w:val="single" w:color="auto" w:sz="6" w:space="0"/>
              <w:left w:val="single" w:color="auto" w:sz="6" w:space="0"/>
              <w:bottom w:val="single" w:color="auto" w:sz="6" w:space="0"/>
              <w:right w:val="single" w:color="auto" w:sz="12" w:space="0"/>
            </w:tcBorders>
            <w:vAlign w:val="center"/>
          </w:tcPr>
          <w:p w14:paraId="37ED58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24h内流经范围</w:t>
            </w:r>
          </w:p>
        </w:tc>
      </w:tr>
      <w:tr w14:paraId="3FBF3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7557825">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029F9DD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6C0F04C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2760" w:type="dxa"/>
            <w:gridSpan w:val="2"/>
            <w:tcBorders>
              <w:top w:val="single" w:color="auto" w:sz="6" w:space="0"/>
              <w:left w:val="single" w:color="auto" w:sz="6" w:space="0"/>
              <w:bottom w:val="single" w:color="auto" w:sz="6" w:space="0"/>
              <w:right w:val="single" w:color="auto" w:sz="6" w:space="0"/>
            </w:tcBorders>
            <w:vAlign w:val="center"/>
          </w:tcPr>
          <w:p w14:paraId="5F65289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48" w:type="dxa"/>
            <w:gridSpan w:val="2"/>
            <w:tcBorders>
              <w:top w:val="single" w:color="auto" w:sz="6" w:space="0"/>
              <w:left w:val="single" w:color="auto" w:sz="6" w:space="0"/>
              <w:bottom w:val="single" w:color="auto" w:sz="6" w:space="0"/>
              <w:right w:val="single" w:color="auto" w:sz="12" w:space="0"/>
            </w:tcBorders>
            <w:vAlign w:val="center"/>
          </w:tcPr>
          <w:p w14:paraId="1C863E7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7991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4F8E9271">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7549" w:type="dxa"/>
            <w:gridSpan w:val="6"/>
            <w:tcBorders>
              <w:top w:val="single" w:color="auto" w:sz="6" w:space="0"/>
              <w:left w:val="single" w:color="auto" w:sz="6" w:space="0"/>
              <w:bottom w:val="single" w:color="auto" w:sz="6" w:space="0"/>
              <w:right w:val="single" w:color="auto" w:sz="12" w:space="0"/>
            </w:tcBorders>
            <w:vAlign w:val="center"/>
          </w:tcPr>
          <w:p w14:paraId="342F19A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内陆水体排放点下游10km（近岸海域一个潮周期最大水平距离两倍）范围内敏感目标</w:t>
            </w:r>
          </w:p>
        </w:tc>
      </w:tr>
      <w:tr w14:paraId="4F419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190C69D2">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452FDBC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7D72AC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敏感目标名称</w:t>
            </w:r>
          </w:p>
        </w:tc>
        <w:tc>
          <w:tcPr>
            <w:tcW w:w="1560" w:type="dxa"/>
            <w:tcBorders>
              <w:top w:val="single" w:color="auto" w:sz="6" w:space="0"/>
              <w:left w:val="single" w:color="auto" w:sz="6" w:space="0"/>
              <w:bottom w:val="single" w:color="auto" w:sz="6" w:space="0"/>
              <w:right w:val="single" w:color="auto" w:sz="6" w:space="0"/>
            </w:tcBorders>
            <w:vAlign w:val="center"/>
          </w:tcPr>
          <w:p w14:paraId="10D6CBB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环境敏感特征</w:t>
            </w:r>
          </w:p>
        </w:tc>
        <w:tc>
          <w:tcPr>
            <w:tcW w:w="2340" w:type="dxa"/>
            <w:gridSpan w:val="2"/>
            <w:tcBorders>
              <w:top w:val="single" w:color="auto" w:sz="6" w:space="0"/>
              <w:left w:val="single" w:color="auto" w:sz="6" w:space="0"/>
              <w:bottom w:val="single" w:color="auto" w:sz="6" w:space="0"/>
              <w:right w:val="single" w:color="auto" w:sz="6" w:space="0"/>
            </w:tcBorders>
            <w:vAlign w:val="center"/>
          </w:tcPr>
          <w:p w14:paraId="246BBD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水质目标</w:t>
            </w:r>
          </w:p>
        </w:tc>
        <w:tc>
          <w:tcPr>
            <w:tcW w:w="1208" w:type="dxa"/>
            <w:tcBorders>
              <w:top w:val="single" w:color="auto" w:sz="6" w:space="0"/>
              <w:left w:val="single" w:color="auto" w:sz="6" w:space="0"/>
              <w:bottom w:val="single" w:color="auto" w:sz="6" w:space="0"/>
              <w:right w:val="single" w:color="auto" w:sz="12" w:space="0"/>
            </w:tcBorders>
            <w:vAlign w:val="center"/>
          </w:tcPr>
          <w:p w14:paraId="3A7C11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与排放点距离/m</w:t>
            </w:r>
          </w:p>
        </w:tc>
      </w:tr>
      <w:tr w14:paraId="484CB4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62411EF4">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6B20D7D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44766C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喀拉通克河左支一河</w:t>
            </w:r>
          </w:p>
        </w:tc>
        <w:tc>
          <w:tcPr>
            <w:tcW w:w="1560" w:type="dxa"/>
            <w:tcBorders>
              <w:top w:val="single" w:color="auto" w:sz="6" w:space="0"/>
              <w:left w:val="single" w:color="auto" w:sz="6" w:space="0"/>
              <w:bottom w:val="single" w:color="auto" w:sz="6" w:space="0"/>
              <w:right w:val="single" w:color="auto" w:sz="6" w:space="0"/>
            </w:tcBorders>
            <w:vAlign w:val="center"/>
          </w:tcPr>
          <w:p w14:paraId="61832A1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40" w:type="dxa"/>
            <w:gridSpan w:val="2"/>
            <w:tcBorders>
              <w:top w:val="single" w:color="auto" w:sz="6" w:space="0"/>
              <w:left w:val="single" w:color="auto" w:sz="6" w:space="0"/>
              <w:bottom w:val="single" w:color="auto" w:sz="6" w:space="0"/>
              <w:right w:val="single" w:color="auto" w:sz="6" w:space="0"/>
            </w:tcBorders>
            <w:vAlign w:val="center"/>
          </w:tcPr>
          <w:p w14:paraId="15C82F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Cs w:val="21"/>
                <w:highlight w:val="none"/>
              </w:rPr>
              <w:t>Ⅱ</w:t>
            </w:r>
            <w:r>
              <w:rPr>
                <w:rFonts w:hint="default" w:ascii="Times New Roman" w:hAnsi="Times New Roman" w:cs="Times New Roman"/>
                <w:color w:val="auto"/>
                <w:sz w:val="21"/>
                <w:szCs w:val="21"/>
                <w:highlight w:val="none"/>
              </w:rPr>
              <w:t>类</w:t>
            </w:r>
          </w:p>
        </w:tc>
        <w:tc>
          <w:tcPr>
            <w:tcW w:w="1208" w:type="dxa"/>
            <w:tcBorders>
              <w:top w:val="single" w:color="auto" w:sz="6" w:space="0"/>
              <w:left w:val="single" w:color="auto" w:sz="6" w:space="0"/>
              <w:bottom w:val="single" w:color="auto" w:sz="6" w:space="0"/>
              <w:right w:val="single" w:color="auto" w:sz="12" w:space="0"/>
            </w:tcBorders>
            <w:vAlign w:val="center"/>
          </w:tcPr>
          <w:p w14:paraId="7F6E06D5">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北侧</w:t>
            </w:r>
            <w:r>
              <w:rPr>
                <w:rFonts w:hint="default" w:ascii="Times New Roman" w:hAnsi="Times New Roman" w:cs="Times New Roman"/>
                <w:color w:val="auto"/>
                <w:sz w:val="21"/>
                <w:szCs w:val="21"/>
                <w:highlight w:val="none"/>
              </w:rPr>
              <w:t>约</w:t>
            </w:r>
            <w:r>
              <w:rPr>
                <w:rFonts w:hint="default" w:cs="Times New Roman"/>
                <w:color w:val="auto"/>
                <w:sz w:val="21"/>
                <w:szCs w:val="21"/>
                <w:highlight w:val="none"/>
                <w:lang w:val="en-US" w:eastAsia="zh-CN"/>
              </w:rPr>
              <w:t>1020</w:t>
            </w:r>
            <w:r>
              <w:rPr>
                <w:rFonts w:hint="default" w:ascii="Times New Roman" w:hAnsi="Times New Roman" w:cs="Times New Roman"/>
                <w:color w:val="auto"/>
                <w:sz w:val="21"/>
                <w:szCs w:val="21"/>
                <w:highlight w:val="none"/>
              </w:rPr>
              <w:t>m</w:t>
            </w:r>
          </w:p>
        </w:tc>
      </w:tr>
      <w:tr w14:paraId="5E969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060B263C">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0D4DCA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地表水环境敏感程度E值</w:t>
            </w:r>
          </w:p>
        </w:tc>
        <w:tc>
          <w:tcPr>
            <w:tcW w:w="1208" w:type="dxa"/>
            <w:tcBorders>
              <w:top w:val="single" w:color="auto" w:sz="6" w:space="0"/>
              <w:left w:val="single" w:color="auto" w:sz="6" w:space="0"/>
              <w:bottom w:val="single" w:color="auto" w:sz="6" w:space="0"/>
              <w:right w:val="single" w:color="auto" w:sz="12" w:space="0"/>
            </w:tcBorders>
            <w:vAlign w:val="center"/>
          </w:tcPr>
          <w:p w14:paraId="30F6D54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r>
      <w:tr w14:paraId="5B1B9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restart"/>
            <w:tcBorders>
              <w:top w:val="single" w:color="auto" w:sz="6" w:space="0"/>
              <w:left w:val="single" w:color="auto" w:sz="12" w:space="0"/>
              <w:bottom w:val="single" w:color="auto" w:sz="12" w:space="0"/>
              <w:right w:val="single" w:color="auto" w:sz="6" w:space="0"/>
            </w:tcBorders>
            <w:vAlign w:val="center"/>
          </w:tcPr>
          <w:p w14:paraId="1ECBDEF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929" w:type="dxa"/>
            <w:tcBorders>
              <w:top w:val="single" w:color="auto" w:sz="6" w:space="0"/>
              <w:left w:val="single" w:color="auto" w:sz="6" w:space="0"/>
              <w:bottom w:val="single" w:color="auto" w:sz="6" w:space="0"/>
              <w:right w:val="single" w:color="auto" w:sz="6" w:space="0"/>
            </w:tcBorders>
            <w:vAlign w:val="center"/>
          </w:tcPr>
          <w:p w14:paraId="78E331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4FEEA9D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环境敏感区名称</w:t>
            </w:r>
          </w:p>
        </w:tc>
        <w:tc>
          <w:tcPr>
            <w:tcW w:w="1560" w:type="dxa"/>
            <w:tcBorders>
              <w:top w:val="single" w:color="auto" w:sz="6" w:space="0"/>
              <w:left w:val="single" w:color="auto" w:sz="6" w:space="0"/>
              <w:bottom w:val="single" w:color="auto" w:sz="6" w:space="0"/>
              <w:right w:val="single" w:color="auto" w:sz="6" w:space="0"/>
            </w:tcBorders>
            <w:vAlign w:val="center"/>
          </w:tcPr>
          <w:p w14:paraId="118F171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环境敏感特征</w:t>
            </w:r>
          </w:p>
        </w:tc>
        <w:tc>
          <w:tcPr>
            <w:tcW w:w="1200" w:type="dxa"/>
            <w:tcBorders>
              <w:top w:val="single" w:color="auto" w:sz="6" w:space="0"/>
              <w:left w:val="single" w:color="auto" w:sz="6" w:space="0"/>
              <w:bottom w:val="single" w:color="auto" w:sz="6" w:space="0"/>
              <w:right w:val="single" w:color="auto" w:sz="6" w:space="0"/>
            </w:tcBorders>
            <w:vAlign w:val="center"/>
          </w:tcPr>
          <w:p w14:paraId="417337F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水质目标</w:t>
            </w:r>
          </w:p>
        </w:tc>
        <w:tc>
          <w:tcPr>
            <w:tcW w:w="1140" w:type="dxa"/>
            <w:tcBorders>
              <w:top w:val="single" w:color="auto" w:sz="6" w:space="0"/>
              <w:left w:val="single" w:color="auto" w:sz="6" w:space="0"/>
              <w:bottom w:val="single" w:color="auto" w:sz="6" w:space="0"/>
              <w:right w:val="single" w:color="auto" w:sz="6" w:space="0"/>
            </w:tcBorders>
            <w:vAlign w:val="center"/>
          </w:tcPr>
          <w:p w14:paraId="31D53C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包气带防污性能</w:t>
            </w:r>
          </w:p>
        </w:tc>
        <w:tc>
          <w:tcPr>
            <w:tcW w:w="1208" w:type="dxa"/>
            <w:tcBorders>
              <w:top w:val="single" w:color="auto" w:sz="6" w:space="0"/>
              <w:left w:val="single" w:color="auto" w:sz="6" w:space="0"/>
              <w:bottom w:val="single" w:color="auto" w:sz="6" w:space="0"/>
              <w:right w:val="single" w:color="auto" w:sz="12" w:space="0"/>
            </w:tcBorders>
            <w:vAlign w:val="center"/>
          </w:tcPr>
          <w:p w14:paraId="74F252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与下游厂界距离/m</w:t>
            </w:r>
          </w:p>
        </w:tc>
      </w:tr>
      <w:tr w14:paraId="5D5DE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12" w:space="0"/>
              <w:right w:val="single" w:color="auto" w:sz="6" w:space="0"/>
            </w:tcBorders>
            <w:vAlign w:val="center"/>
          </w:tcPr>
          <w:p w14:paraId="426EC8B3">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2C4C335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0D49BC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560" w:type="dxa"/>
            <w:tcBorders>
              <w:top w:val="single" w:color="auto" w:sz="6" w:space="0"/>
              <w:left w:val="single" w:color="auto" w:sz="6" w:space="0"/>
              <w:bottom w:val="single" w:color="auto" w:sz="6" w:space="0"/>
              <w:right w:val="single" w:color="auto" w:sz="6" w:space="0"/>
            </w:tcBorders>
            <w:vAlign w:val="center"/>
          </w:tcPr>
          <w:p w14:paraId="6B1F171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不敏感G3</w:t>
            </w:r>
          </w:p>
        </w:tc>
        <w:tc>
          <w:tcPr>
            <w:tcW w:w="1200" w:type="dxa"/>
            <w:tcBorders>
              <w:top w:val="single" w:color="auto" w:sz="6" w:space="0"/>
              <w:left w:val="single" w:color="auto" w:sz="6" w:space="0"/>
              <w:bottom w:val="single" w:color="auto" w:sz="6" w:space="0"/>
              <w:right w:val="single" w:color="auto" w:sz="6" w:space="0"/>
            </w:tcBorders>
            <w:vAlign w:val="center"/>
          </w:tcPr>
          <w:p w14:paraId="0E12F34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Ⅲ类</w:t>
            </w:r>
          </w:p>
        </w:tc>
        <w:tc>
          <w:tcPr>
            <w:tcW w:w="1140" w:type="dxa"/>
            <w:tcBorders>
              <w:top w:val="single" w:color="auto" w:sz="6" w:space="0"/>
              <w:left w:val="single" w:color="auto" w:sz="6" w:space="0"/>
              <w:bottom w:val="single" w:color="auto" w:sz="6" w:space="0"/>
              <w:right w:val="single" w:color="auto" w:sz="6" w:space="0"/>
            </w:tcBorders>
            <w:vAlign w:val="center"/>
          </w:tcPr>
          <w:p w14:paraId="69A9A79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D1</w:t>
            </w:r>
          </w:p>
        </w:tc>
        <w:tc>
          <w:tcPr>
            <w:tcW w:w="1208" w:type="dxa"/>
            <w:tcBorders>
              <w:top w:val="single" w:color="auto" w:sz="6" w:space="0"/>
              <w:left w:val="single" w:color="auto" w:sz="6" w:space="0"/>
              <w:bottom w:val="single" w:color="auto" w:sz="6" w:space="0"/>
              <w:right w:val="single" w:color="auto" w:sz="12" w:space="0"/>
            </w:tcBorders>
            <w:vAlign w:val="center"/>
          </w:tcPr>
          <w:p w14:paraId="19DBC46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23780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12" w:space="0"/>
              <w:right w:val="single" w:color="auto" w:sz="6" w:space="0"/>
            </w:tcBorders>
            <w:vAlign w:val="center"/>
          </w:tcPr>
          <w:p w14:paraId="4F2043BF">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12" w:space="0"/>
              <w:right w:val="single" w:color="auto" w:sz="6" w:space="0"/>
            </w:tcBorders>
            <w:vAlign w:val="center"/>
          </w:tcPr>
          <w:p w14:paraId="2B8D114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地下水环境敏感程度E值</w:t>
            </w:r>
          </w:p>
        </w:tc>
        <w:tc>
          <w:tcPr>
            <w:tcW w:w="1208" w:type="dxa"/>
            <w:tcBorders>
              <w:top w:val="single" w:color="auto" w:sz="6" w:space="0"/>
              <w:left w:val="single" w:color="auto" w:sz="6" w:space="0"/>
              <w:bottom w:val="single" w:color="auto" w:sz="12" w:space="0"/>
              <w:right w:val="single" w:color="auto" w:sz="12" w:space="0"/>
            </w:tcBorders>
            <w:vAlign w:val="center"/>
          </w:tcPr>
          <w:p w14:paraId="6A62C57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r>
    </w:tbl>
    <w:p w14:paraId="02A58B31">
      <w:pPr>
        <w:overflowPunct w:val="0"/>
        <w:topLinePunct/>
        <w:ind w:firstLine="480"/>
        <w:rPr>
          <w:rFonts w:hint="default" w:ascii="Times New Roman" w:hAnsi="Times New Roman" w:cs="Times New Roman"/>
          <w:b/>
          <w:bCs/>
          <w:color w:val="auto"/>
          <w:sz w:val="30"/>
          <w:szCs w:val="32"/>
          <w:highlight w:val="none"/>
        </w:rPr>
      </w:pPr>
      <w:r>
        <w:rPr>
          <w:rFonts w:hint="default" w:ascii="Times New Roman" w:hAnsi="Times New Roman" w:cs="Times New Roman"/>
          <w:color w:val="auto"/>
          <w:highlight w:val="none"/>
        </w:rPr>
        <w:t>根据调查，本项目涉及环境敏感目标为项目区</w:t>
      </w:r>
      <w:r>
        <w:rPr>
          <w:rFonts w:hint="default" w:cs="Times New Roman"/>
          <w:color w:val="auto"/>
          <w:highlight w:val="none"/>
          <w:lang w:val="en-US" w:eastAsia="zh-CN"/>
        </w:rPr>
        <w:t>东北</w:t>
      </w:r>
      <w:r>
        <w:rPr>
          <w:rFonts w:hint="default" w:ascii="Times New Roman" w:hAnsi="Times New Roman" w:cs="Times New Roman"/>
          <w:color w:val="auto"/>
          <w:highlight w:val="none"/>
        </w:rPr>
        <w:t>西侧约</w:t>
      </w:r>
      <w:r>
        <w:rPr>
          <w:rFonts w:hint="default" w:cs="Times New Roman"/>
          <w:color w:val="auto"/>
          <w:highlight w:val="none"/>
          <w:lang w:val="en-US" w:eastAsia="zh-CN"/>
        </w:rPr>
        <w:t>3300</w:t>
      </w:r>
      <w:r>
        <w:rPr>
          <w:rFonts w:hint="default" w:ascii="Times New Roman" w:hAnsi="Times New Roman" w:cs="Times New Roman"/>
          <w:color w:val="auto"/>
          <w:highlight w:val="none"/>
        </w:rPr>
        <w:t>m的</w:t>
      </w:r>
      <w:r>
        <w:rPr>
          <w:rFonts w:hint="default" w:cs="Times New Roman"/>
          <w:color w:val="auto"/>
          <w:highlight w:val="none"/>
          <w:lang w:val="en-US" w:eastAsia="zh-CN"/>
        </w:rPr>
        <w:t>白杨沟村</w:t>
      </w:r>
      <w:r>
        <w:rPr>
          <w:rFonts w:hint="default" w:ascii="Times New Roman" w:hAnsi="Times New Roman" w:cs="Times New Roman"/>
          <w:color w:val="auto"/>
          <w:highlight w:val="none"/>
        </w:rPr>
        <w:t>及项目区</w:t>
      </w:r>
      <w:r>
        <w:rPr>
          <w:rFonts w:hint="default" w:cs="Times New Roman"/>
          <w:color w:val="auto"/>
          <w:highlight w:val="none"/>
          <w:lang w:val="en-US" w:eastAsia="zh-CN"/>
        </w:rPr>
        <w:t>北</w:t>
      </w:r>
      <w:r>
        <w:rPr>
          <w:rFonts w:hint="default" w:ascii="Times New Roman" w:hAnsi="Times New Roman" w:cs="Times New Roman"/>
          <w:color w:val="auto"/>
          <w:highlight w:val="none"/>
        </w:rPr>
        <w:t>侧</w:t>
      </w:r>
      <w:r>
        <w:rPr>
          <w:rFonts w:hint="default" w:ascii="Times New Roman" w:hAnsi="Times New Roman" w:eastAsia="宋体" w:cs="Times New Roman"/>
          <w:color w:val="auto"/>
          <w:highlight w:val="none"/>
          <w:lang w:val="en-US" w:eastAsia="zh-CN"/>
        </w:rPr>
        <w:t>1020m的喀拉通克河左支一河，</w:t>
      </w:r>
      <w:r>
        <w:rPr>
          <w:rFonts w:hint="default" w:ascii="Times New Roman" w:hAnsi="Times New Roman" w:cs="Times New Roman"/>
          <w:color w:val="auto"/>
          <w:highlight w:val="none"/>
        </w:rPr>
        <w:t>因此</w:t>
      </w:r>
      <w:r>
        <w:rPr>
          <w:rFonts w:hint="default" w:cs="Times New Roman"/>
          <w:color w:val="auto"/>
          <w:highlight w:val="none"/>
          <w:lang w:val="en-US" w:eastAsia="zh-CN"/>
        </w:rPr>
        <w:t>白杨沟村</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喀拉通克河左支一河</w:t>
      </w:r>
      <w:r>
        <w:rPr>
          <w:rFonts w:hint="default" w:ascii="Times New Roman" w:hAnsi="Times New Roman" w:cs="Times New Roman"/>
          <w:color w:val="auto"/>
          <w:highlight w:val="none"/>
        </w:rPr>
        <w:t>为本项目的主要环境风险敏感目标。</w:t>
      </w:r>
    </w:p>
    <w:p w14:paraId="5DB58FB7">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5.3.2环境风险潜势初判</w:t>
      </w:r>
    </w:p>
    <w:p w14:paraId="288C166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（1）选矿厂</w:t>
      </w:r>
    </w:p>
    <w:p w14:paraId="1823939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计算所涉及的每种危险物质在厂界内的最大存在总量与其在附录B中对应临界量的比值Q</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highlight w:val="none"/>
        </w:rPr>
        <w:t>计算公式如下：</w:t>
      </w:r>
    </w:p>
    <w:p w14:paraId="5BB63D07">
      <w:pPr>
        <w:spacing w:line="360" w:lineRule="auto"/>
        <w:ind w:firstLine="4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30"/>
          <w:sz w:val="21"/>
          <w:szCs w:val="21"/>
          <w:highlight w:val="none"/>
        </w:rPr>
        <w:object>
          <v:shape id="_x0000_i1049" o:spt="75" type="#_x0000_t75" style="height:36pt;width:108pt;" o:ole="t" filled="f" o:preferrelative="t" stroked="f" coordsize="21600,21600">
            <v:path/>
            <v:fill on="f" focussize="0,0"/>
            <v:stroke on="f" joinstyle="miter"/>
            <v:imagedata r:id="rId101" o:title=""/>
            <o:lock v:ext="edit" aspectratio="t"/>
            <w10:wrap type="none"/>
            <w10:anchorlock/>
          </v:shape>
          <o:OLEObject Type="Embed" ProgID="Equation.3" ShapeID="_x0000_i1049" DrawAspect="Content" ObjectID="_1468075751" r:id="rId100">
            <o:LockedField>false</o:LockedField>
          </o:OLEObject>
        </w:object>
      </w:r>
    </w:p>
    <w:p w14:paraId="6FD7922A">
      <w:pPr>
        <w:widowControl/>
        <w:overflowPunct w:val="0"/>
        <w:topLinePunct/>
        <w:ind w:firstLine="476"/>
        <w:rPr>
          <w:rFonts w:hint="default" w:ascii="Times New Roman" w:hAnsi="Times New Roman" w:cs="Times New Roman"/>
          <w:color w:val="auto"/>
          <w:kern w:val="0"/>
          <w:position w:val="2"/>
          <w:highlight w:val="none"/>
        </w:rPr>
      </w:pPr>
      <w:r>
        <w:rPr>
          <w:rFonts w:hint="default" w:ascii="Times New Roman" w:hAnsi="Times New Roman" w:cs="Times New Roman"/>
          <w:color w:val="auto"/>
          <w:spacing w:val="-1"/>
          <w:kern w:val="0"/>
          <w:position w:val="2"/>
          <w:highlight w:val="none"/>
        </w:rPr>
        <w:t>式中：q</w:t>
      </w:r>
      <w:r>
        <w:rPr>
          <w:rFonts w:hint="default" w:ascii="Times New Roman" w:hAnsi="Times New Roman" w:cs="Times New Roman"/>
          <w:color w:val="auto"/>
          <w:spacing w:val="-1"/>
          <w:kern w:val="0"/>
          <w:highlight w:val="none"/>
          <w:vertAlign w:val="subscript"/>
        </w:rPr>
        <w:t>1</w:t>
      </w:r>
      <w:r>
        <w:rPr>
          <w:rFonts w:hint="default" w:ascii="Times New Roman" w:hAnsi="Times New Roman" w:cs="Times New Roman"/>
          <w:color w:val="auto"/>
          <w:spacing w:val="-1"/>
          <w:kern w:val="0"/>
          <w:position w:val="2"/>
          <w:highlight w:val="none"/>
        </w:rPr>
        <w:t>、q</w:t>
      </w:r>
      <w:r>
        <w:rPr>
          <w:rFonts w:hint="default" w:ascii="Times New Roman" w:hAnsi="Times New Roman" w:cs="Times New Roman"/>
          <w:color w:val="auto"/>
          <w:spacing w:val="-1"/>
          <w:kern w:val="0"/>
          <w:highlight w:val="none"/>
          <w:vertAlign w:val="subscript"/>
        </w:rPr>
        <w:t>2</w:t>
      </w:r>
      <w:r>
        <w:rPr>
          <w:rFonts w:hint="default" w:ascii="Times New Roman" w:hAnsi="Times New Roman" w:cs="Times New Roman"/>
          <w:color w:val="auto"/>
          <w:spacing w:val="-1"/>
          <w:kern w:val="0"/>
          <w:position w:val="2"/>
          <w:highlight w:val="none"/>
        </w:rPr>
        <w:t>、…</w:t>
      </w:r>
      <w:r>
        <w:rPr>
          <w:rFonts w:hint="default" w:ascii="Times New Roman" w:hAnsi="Times New Roman" w:cs="Times New Roman"/>
          <w:color w:val="auto"/>
          <w:kern w:val="0"/>
          <w:position w:val="2"/>
          <w:highlight w:val="none"/>
        </w:rPr>
        <w:t>q</w:t>
      </w:r>
      <w:r>
        <w:rPr>
          <w:rFonts w:hint="default" w:ascii="Times New Roman" w:hAnsi="Times New Roman" w:cs="Times New Roman"/>
          <w:color w:val="auto"/>
          <w:kern w:val="0"/>
          <w:highlight w:val="none"/>
          <w:vertAlign w:val="subscript"/>
        </w:rPr>
        <w:t>n</w:t>
      </w:r>
      <w:r>
        <w:rPr>
          <w:rFonts w:hint="default" w:ascii="Times New Roman" w:hAnsi="Times New Roman" w:cs="Times New Roman"/>
          <w:color w:val="auto"/>
          <w:kern w:val="0"/>
          <w:position w:val="2"/>
          <w:highlight w:val="none"/>
        </w:rPr>
        <w:t>----每种危险物质的最大存在总量，t；</w:t>
      </w:r>
    </w:p>
    <w:p w14:paraId="079E0EBA">
      <w:pPr>
        <w:widowControl/>
        <w:overflowPunct w:val="0"/>
        <w:topLinePunct/>
        <w:ind w:firstLine="1190" w:firstLineChars="500"/>
        <w:rPr>
          <w:rFonts w:hint="default" w:ascii="Times New Roman" w:hAnsi="Times New Roman" w:cs="Times New Roman"/>
          <w:color w:val="auto"/>
          <w:kern w:val="0"/>
          <w:position w:val="2"/>
          <w:highlight w:val="none"/>
        </w:rPr>
      </w:pPr>
      <w:r>
        <w:rPr>
          <w:rFonts w:hint="default" w:ascii="Times New Roman" w:hAnsi="Times New Roman" w:cs="Times New Roman"/>
          <w:color w:val="auto"/>
          <w:spacing w:val="-1"/>
          <w:kern w:val="0"/>
          <w:position w:val="2"/>
          <w:highlight w:val="none"/>
        </w:rPr>
        <w:t>Q</w:t>
      </w:r>
      <w:r>
        <w:rPr>
          <w:rFonts w:hint="default" w:ascii="Times New Roman" w:hAnsi="Times New Roman" w:cs="Times New Roman"/>
          <w:color w:val="auto"/>
          <w:spacing w:val="-1"/>
          <w:kern w:val="0"/>
          <w:highlight w:val="none"/>
          <w:vertAlign w:val="subscript"/>
        </w:rPr>
        <w:t>1</w:t>
      </w:r>
      <w:r>
        <w:rPr>
          <w:rFonts w:hint="default" w:ascii="Times New Roman" w:hAnsi="Times New Roman" w:cs="Times New Roman"/>
          <w:color w:val="auto"/>
          <w:spacing w:val="-1"/>
          <w:kern w:val="0"/>
          <w:position w:val="2"/>
          <w:highlight w:val="none"/>
        </w:rPr>
        <w:t>、Q</w:t>
      </w:r>
      <w:r>
        <w:rPr>
          <w:rFonts w:hint="default" w:ascii="Times New Roman" w:hAnsi="Times New Roman" w:cs="Times New Roman"/>
          <w:color w:val="auto"/>
          <w:spacing w:val="-1"/>
          <w:kern w:val="0"/>
          <w:highlight w:val="none"/>
          <w:vertAlign w:val="subscript"/>
        </w:rPr>
        <w:t>2</w:t>
      </w:r>
      <w:r>
        <w:rPr>
          <w:rFonts w:hint="default" w:ascii="Times New Roman" w:hAnsi="Times New Roman" w:cs="Times New Roman"/>
          <w:color w:val="auto"/>
          <w:spacing w:val="-1"/>
          <w:kern w:val="0"/>
          <w:position w:val="2"/>
          <w:highlight w:val="none"/>
        </w:rPr>
        <w:t>、…</w:t>
      </w:r>
      <w:r>
        <w:rPr>
          <w:rFonts w:hint="default" w:ascii="Times New Roman" w:hAnsi="Times New Roman" w:cs="Times New Roman"/>
          <w:color w:val="auto"/>
          <w:kern w:val="0"/>
          <w:position w:val="2"/>
          <w:highlight w:val="none"/>
        </w:rPr>
        <w:t>Q</w:t>
      </w:r>
      <w:r>
        <w:rPr>
          <w:rFonts w:hint="default" w:ascii="Times New Roman" w:hAnsi="Times New Roman" w:cs="Times New Roman"/>
          <w:color w:val="auto"/>
          <w:kern w:val="0"/>
          <w:highlight w:val="none"/>
          <w:vertAlign w:val="subscript"/>
        </w:rPr>
        <w:t>n</w:t>
      </w:r>
      <w:r>
        <w:rPr>
          <w:rFonts w:hint="default" w:ascii="Times New Roman" w:hAnsi="Times New Roman" w:cs="Times New Roman"/>
          <w:color w:val="auto"/>
          <w:kern w:val="0"/>
          <w:position w:val="2"/>
          <w:highlight w:val="none"/>
        </w:rPr>
        <w:t>----每种危险物质相对应的临界量，t。</w:t>
      </w:r>
    </w:p>
    <w:p w14:paraId="535A7650">
      <w:pPr>
        <w:widowControl/>
        <w:overflowPunct w:val="0"/>
        <w:topLinePunct/>
        <w:ind w:firstLine="1190" w:firstLineChars="500"/>
        <w:rPr>
          <w:rFonts w:hint="default" w:ascii="Times New Roman" w:hAnsi="Times New Roman" w:cs="Times New Roman"/>
          <w:color w:val="auto"/>
          <w:spacing w:val="-1"/>
          <w:kern w:val="0"/>
          <w:highlight w:val="none"/>
        </w:rPr>
      </w:pPr>
      <w:r>
        <w:rPr>
          <w:rFonts w:hint="default" w:ascii="Times New Roman" w:hAnsi="Times New Roman" w:cs="Times New Roman"/>
          <w:color w:val="auto"/>
          <w:spacing w:val="-1"/>
          <w:kern w:val="0"/>
          <w:highlight w:val="none"/>
        </w:rPr>
        <w:t>计算出Q值后，当Q＜1时，该项目环境风险潜势为Ⅰ。</w:t>
      </w:r>
    </w:p>
    <w:p w14:paraId="54248B5D">
      <w:pPr>
        <w:widowControl/>
        <w:overflowPunct w:val="0"/>
        <w:topLinePunct/>
        <w:ind w:firstLine="1190" w:firstLineChars="500"/>
        <w:rPr>
          <w:rFonts w:hint="default" w:ascii="Times New Roman" w:hAnsi="Times New Roman" w:cs="Times New Roman"/>
          <w:color w:val="auto"/>
          <w:kern w:val="0"/>
          <w:highlight w:val="none"/>
        </w:rPr>
      </w:pPr>
      <w:r>
        <w:rPr>
          <w:rFonts w:hint="default" w:ascii="Times New Roman" w:hAnsi="Times New Roman" w:cs="Times New Roman"/>
          <w:color w:val="auto"/>
          <w:spacing w:val="-1"/>
          <w:kern w:val="0"/>
          <w:highlight w:val="none"/>
        </w:rPr>
        <w:t>当</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≥1时，将</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值划分为</w:t>
      </w:r>
      <w:r>
        <w:rPr>
          <w:rFonts w:hint="default" w:ascii="Times New Roman" w:hAnsi="Times New Roman" w:cs="Times New Roman"/>
          <w:color w:val="auto"/>
          <w:spacing w:val="-120"/>
          <w:kern w:val="0"/>
          <w:highlight w:val="none"/>
        </w:rPr>
        <w:t>：</w:t>
      </w:r>
      <w:r>
        <w:rPr>
          <w:rFonts w:hint="default" w:ascii="Times New Roman" w:hAnsi="Times New Roman" w:cs="Times New Roman"/>
          <w:color w:val="auto"/>
          <w:kern w:val="0"/>
          <w:highlight w:val="none"/>
        </w:rPr>
        <w:t>（1）1≤</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＜10</w:t>
      </w:r>
      <w:r>
        <w:rPr>
          <w:rFonts w:hint="default" w:ascii="Times New Roman" w:hAnsi="Times New Roman" w:cs="Times New Roman"/>
          <w:color w:val="auto"/>
          <w:spacing w:val="-120"/>
          <w:kern w:val="0"/>
          <w:highlight w:val="none"/>
        </w:rPr>
        <w:t>；</w:t>
      </w:r>
      <w:r>
        <w:rPr>
          <w:rFonts w:hint="default" w:ascii="Times New Roman" w:hAnsi="Times New Roman" w:cs="Times New Roman"/>
          <w:color w:val="auto"/>
          <w:kern w:val="0"/>
          <w:highlight w:val="none"/>
        </w:rPr>
        <w:t>（2）10≤</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＜100</w:t>
      </w:r>
      <w:r>
        <w:rPr>
          <w:rFonts w:hint="default" w:ascii="Times New Roman" w:hAnsi="Times New Roman" w:cs="Times New Roman"/>
          <w:color w:val="auto"/>
          <w:spacing w:val="-120"/>
          <w:kern w:val="0"/>
          <w:highlight w:val="none"/>
        </w:rPr>
        <w:t>；</w:t>
      </w:r>
      <w:r>
        <w:rPr>
          <w:rFonts w:hint="default" w:ascii="Times New Roman" w:hAnsi="Times New Roman" w:cs="Times New Roman"/>
          <w:color w:val="auto"/>
          <w:kern w:val="0"/>
          <w:highlight w:val="none"/>
        </w:rPr>
        <w:t>（3）</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≥100。</w:t>
      </w:r>
    </w:p>
    <w:p w14:paraId="67ECFC66">
      <w:pPr>
        <w:widowControl/>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cs="Times New Roman"/>
          <w:color w:val="auto"/>
          <w:highlight w:val="none"/>
          <w:lang w:val="en-US" w:eastAsia="zh-CN"/>
        </w:rPr>
        <w:t>属于金矿选矿</w:t>
      </w:r>
      <w:r>
        <w:rPr>
          <w:rFonts w:hint="default" w:ascii="Times New Roman" w:hAnsi="Times New Roman" w:cs="Times New Roman"/>
          <w:color w:val="auto"/>
          <w:highlight w:val="none"/>
        </w:rPr>
        <w:t>建设项目，选矿厂主要涉及可燃、易燃和爆炸危险性物质为2#油、废矿物油</w:t>
      </w:r>
      <w:r>
        <w:rPr>
          <w:rFonts w:hint="default" w:ascii="Times New Roman" w:hAnsi="Times New Roman" w:cs="Times New Roman"/>
          <w:color w:val="auto"/>
          <w:highlight w:val="none"/>
          <w:lang w:eastAsia="zh-CN"/>
        </w:rPr>
        <w:t>、</w:t>
      </w:r>
      <w:r>
        <w:rPr>
          <w:rFonts w:hint="default" w:cs="Times New Roman"/>
          <w:color w:val="auto"/>
          <w:highlight w:val="none"/>
          <w:lang w:val="en-US" w:eastAsia="zh-CN"/>
        </w:rPr>
        <w:t>废油桶、</w:t>
      </w:r>
      <w:r>
        <w:rPr>
          <w:rFonts w:hint="default" w:ascii="Times New Roman" w:hAnsi="Times New Roman" w:cs="Times New Roman"/>
          <w:color w:val="auto"/>
          <w:highlight w:val="none"/>
          <w:lang w:val="en-US" w:eastAsia="zh-CN"/>
        </w:rPr>
        <w:t>丁基黄药、丁胺黄药</w:t>
      </w:r>
      <w:r>
        <w:rPr>
          <w:rFonts w:hint="default" w:ascii="Times New Roman" w:hAnsi="Times New Roman" w:cs="Times New Roman"/>
          <w:color w:val="auto"/>
          <w:highlight w:val="none"/>
        </w:rPr>
        <w:t>，2#油最大储存量</w:t>
      </w:r>
      <w:r>
        <w:rPr>
          <w:rFonts w:hint="default" w:ascii="Times New Roman" w:hAnsi="Times New Roman" w:cs="Times New Roman"/>
          <w:color w:val="auto"/>
          <w:highlight w:val="none"/>
          <w:lang w:eastAsia="zh-CN"/>
        </w:rPr>
        <w:t>以</w:t>
      </w:r>
      <w:r>
        <w:rPr>
          <w:rFonts w:hint="default" w:ascii="Times New Roman" w:hAnsi="Times New Roman" w:cs="Times New Roman"/>
          <w:color w:val="auto"/>
          <w:highlight w:val="none"/>
          <w:lang w:val="en-US" w:eastAsia="zh-CN"/>
        </w:rPr>
        <w:t>2.25</w:t>
      </w:r>
      <w:r>
        <w:rPr>
          <w:rFonts w:hint="default" w:ascii="Times New Roman" w:hAnsi="Times New Roman" w:cs="Times New Roman"/>
          <w:color w:val="auto"/>
          <w:highlight w:val="none"/>
        </w:rPr>
        <w:t>t</w:t>
      </w:r>
      <w:r>
        <w:rPr>
          <w:rFonts w:hint="default" w:ascii="Times New Roman" w:hAnsi="Times New Roman" w:cs="Times New Roman"/>
          <w:color w:val="auto"/>
          <w:highlight w:val="none"/>
          <w:lang w:eastAsia="zh-CN"/>
        </w:rPr>
        <w:t>计</w:t>
      </w:r>
      <w:r>
        <w:rPr>
          <w:rFonts w:hint="default" w:ascii="Times New Roman" w:hAnsi="Times New Roman" w:cs="Times New Roman"/>
          <w:color w:val="auto"/>
          <w:highlight w:val="none"/>
        </w:rPr>
        <w:t>，废矿物油</w:t>
      </w:r>
      <w:r>
        <w:rPr>
          <w:rFonts w:hint="default" w:ascii="Times New Roman" w:hAnsi="Times New Roman" w:cs="Times New Roman"/>
          <w:color w:val="auto"/>
          <w:highlight w:val="none"/>
          <w:lang w:val="en-US" w:eastAsia="zh-CN"/>
        </w:rPr>
        <w:t>及</w:t>
      </w:r>
      <w:r>
        <w:rPr>
          <w:rFonts w:hint="default" w:cs="Times New Roman"/>
          <w:color w:val="auto"/>
          <w:highlight w:val="none"/>
          <w:lang w:val="en-US" w:eastAsia="zh-CN"/>
        </w:rPr>
        <w:t>废油桶</w:t>
      </w:r>
      <w:r>
        <w:rPr>
          <w:rFonts w:hint="default" w:ascii="Times New Roman" w:hAnsi="Times New Roman" w:cs="Times New Roman"/>
          <w:color w:val="auto"/>
          <w:highlight w:val="none"/>
        </w:rPr>
        <w:t>最大储存量</w:t>
      </w:r>
      <w:r>
        <w:rPr>
          <w:rFonts w:hint="default" w:ascii="Times New Roman" w:hAnsi="Times New Roman" w:cs="Times New Roman"/>
          <w:color w:val="auto"/>
          <w:highlight w:val="none"/>
          <w:lang w:eastAsia="zh-CN"/>
        </w:rPr>
        <w:t>以</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t</w:t>
      </w:r>
      <w:r>
        <w:rPr>
          <w:rFonts w:hint="default" w:ascii="Times New Roman" w:hAnsi="Times New Roman" w:cs="Times New Roman"/>
          <w:color w:val="auto"/>
          <w:highlight w:val="none"/>
          <w:lang w:eastAsia="zh-CN"/>
        </w:rPr>
        <w:t>计，</w:t>
      </w:r>
      <w:r>
        <w:rPr>
          <w:rFonts w:hint="default" w:ascii="Times New Roman" w:hAnsi="Times New Roman" w:cs="Times New Roman"/>
          <w:color w:val="auto"/>
          <w:highlight w:val="none"/>
        </w:rPr>
        <w:t>危险物质以油类物质计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毒性物质为丁基黄药、丁胺黄药最大储存量以11.815t计</w:t>
      </w:r>
      <w:r>
        <w:rPr>
          <w:rFonts w:hint="default" w:cs="Times New Roman"/>
          <w:color w:val="auto"/>
          <w:highlight w:val="none"/>
          <w:lang w:val="en-US" w:eastAsia="zh-CN"/>
        </w:rPr>
        <w:t>，危险物质以健康危险急性毒性物质（</w:t>
      </w:r>
      <w:r>
        <w:rPr>
          <w:rFonts w:hint="default" w:ascii="Times New Roman" w:hAnsi="Times New Roman" w:cs="Times New Roman"/>
          <w:color w:val="auto"/>
          <w:highlight w:val="none"/>
          <w:lang w:val="en-US" w:eastAsia="zh-CN"/>
        </w:rPr>
        <w:t>类别2、类别3</w:t>
      </w:r>
      <w:r>
        <w:rPr>
          <w:rFonts w:hint="default" w:cs="Times New Roman"/>
          <w:color w:val="auto"/>
          <w:highlight w:val="none"/>
          <w:lang w:val="en-US" w:eastAsia="zh-CN"/>
        </w:rPr>
        <w:t>）计。</w:t>
      </w:r>
    </w:p>
    <w:p w14:paraId="0F465D3C">
      <w:pPr>
        <w:spacing w:line="480" w:lineRule="exact"/>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w:t>
      </w:r>
      <w:r>
        <w:rPr>
          <w:rFonts w:hint="default" w:ascii="Times New Roman" w:hAnsi="Times New Roman" w:eastAsia="宋体" w:cs="Times New Roman"/>
          <w:b/>
          <w:color w:val="auto"/>
          <w:kern w:val="0"/>
          <w:highlight w:val="none"/>
          <w:lang w:val="en-US" w:eastAsia="zh-CN"/>
        </w:rPr>
        <w:t>5.3-3</w:t>
      </w:r>
      <w:r>
        <w:rPr>
          <w:rFonts w:hint="default" w:ascii="Times New Roman" w:hAnsi="Times New Roman" w:eastAsia="宋体" w:cs="Times New Roman"/>
          <w:b/>
          <w:color w:val="auto"/>
          <w:kern w:val="0"/>
          <w:highlight w:val="none"/>
        </w:rPr>
        <w:t xml:space="preserve">    本工程危险物质数量与临界量的比值</w:t>
      </w:r>
    </w:p>
    <w:tbl>
      <w:tblPr>
        <w:tblStyle w:val="33"/>
        <w:tblW w:w="504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9"/>
        <w:gridCol w:w="2313"/>
        <w:gridCol w:w="1626"/>
        <w:gridCol w:w="1870"/>
        <w:gridCol w:w="1858"/>
      </w:tblGrid>
      <w:tr w14:paraId="349B44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4E1234FB">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74" w:type="pct"/>
            <w:tcBorders>
              <w:tl2br w:val="nil"/>
              <w:tr2bl w:val="nil"/>
            </w:tcBorders>
            <w:noWrap w:val="0"/>
            <w:vAlign w:val="center"/>
          </w:tcPr>
          <w:p w14:paraId="65FA08A7">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物质名称</w:t>
            </w:r>
          </w:p>
        </w:tc>
        <w:tc>
          <w:tcPr>
            <w:tcW w:w="966" w:type="pct"/>
            <w:tcBorders>
              <w:tl2br w:val="nil"/>
              <w:tr2bl w:val="nil"/>
            </w:tcBorders>
            <w:noWrap w:val="0"/>
            <w:vAlign w:val="center"/>
          </w:tcPr>
          <w:p w14:paraId="1C0373C6">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储存量（t）</w:t>
            </w:r>
          </w:p>
        </w:tc>
        <w:tc>
          <w:tcPr>
            <w:tcW w:w="1110" w:type="pct"/>
            <w:tcBorders>
              <w:tl2br w:val="nil"/>
              <w:tr2bl w:val="nil"/>
            </w:tcBorders>
            <w:noWrap w:val="0"/>
            <w:vAlign w:val="center"/>
          </w:tcPr>
          <w:p w14:paraId="3B6C152B">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临界量（t）</w:t>
            </w:r>
          </w:p>
        </w:tc>
        <w:tc>
          <w:tcPr>
            <w:tcW w:w="1103" w:type="pct"/>
            <w:tcBorders>
              <w:tl2br w:val="nil"/>
              <w:tr2bl w:val="nil"/>
            </w:tcBorders>
            <w:noWrap w:val="0"/>
            <w:vAlign w:val="center"/>
          </w:tcPr>
          <w:p w14:paraId="08BD7A5E">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Q值</w:t>
            </w:r>
          </w:p>
        </w:tc>
      </w:tr>
      <w:tr w14:paraId="6BC016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36D2BC03">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1374" w:type="pct"/>
            <w:tcBorders>
              <w:tl2br w:val="nil"/>
              <w:tr2bl w:val="nil"/>
            </w:tcBorders>
            <w:noWrap w:val="0"/>
            <w:vAlign w:val="center"/>
          </w:tcPr>
          <w:p w14:paraId="594D7985">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2#油</w:t>
            </w:r>
          </w:p>
        </w:tc>
        <w:tc>
          <w:tcPr>
            <w:tcW w:w="966" w:type="pct"/>
            <w:tcBorders>
              <w:tl2br w:val="nil"/>
              <w:tr2bl w:val="nil"/>
            </w:tcBorders>
            <w:noWrap w:val="0"/>
            <w:vAlign w:val="center"/>
          </w:tcPr>
          <w:p w14:paraId="5B5FEE30">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2.25</w:t>
            </w:r>
          </w:p>
        </w:tc>
        <w:tc>
          <w:tcPr>
            <w:tcW w:w="1110" w:type="pct"/>
            <w:tcBorders>
              <w:tl2br w:val="nil"/>
              <w:tr2bl w:val="nil"/>
            </w:tcBorders>
            <w:noWrap w:val="0"/>
            <w:vAlign w:val="center"/>
          </w:tcPr>
          <w:p w14:paraId="17392DDB">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858" w:type="dxa"/>
            <w:tcBorders>
              <w:tl2br w:val="nil"/>
              <w:tr2bl w:val="nil"/>
            </w:tcBorders>
            <w:noWrap w:val="0"/>
            <w:vAlign w:val="center"/>
          </w:tcPr>
          <w:p w14:paraId="19BC05C0">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0.0009</w:t>
            </w:r>
          </w:p>
        </w:tc>
      </w:tr>
      <w:tr w14:paraId="54D7E4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3B4FDEC3">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1374" w:type="pct"/>
            <w:tcBorders>
              <w:tl2br w:val="nil"/>
              <w:tr2bl w:val="nil"/>
            </w:tcBorders>
            <w:noWrap w:val="0"/>
            <w:vAlign w:val="center"/>
          </w:tcPr>
          <w:p w14:paraId="2FD7A036">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废矿物油、废油桶</w:t>
            </w:r>
          </w:p>
        </w:tc>
        <w:tc>
          <w:tcPr>
            <w:tcW w:w="966" w:type="pct"/>
            <w:tcBorders>
              <w:tl2br w:val="nil"/>
              <w:tr2bl w:val="nil"/>
            </w:tcBorders>
            <w:noWrap w:val="0"/>
            <w:vAlign w:val="center"/>
          </w:tcPr>
          <w:p w14:paraId="538B3BC1">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1110" w:type="pct"/>
            <w:tcBorders>
              <w:tl2br w:val="nil"/>
              <w:tr2bl w:val="nil"/>
            </w:tcBorders>
            <w:noWrap w:val="0"/>
            <w:vAlign w:val="center"/>
          </w:tcPr>
          <w:p w14:paraId="6250DD37">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858" w:type="dxa"/>
            <w:tcBorders>
              <w:tl2br w:val="nil"/>
              <w:tr2bl w:val="nil"/>
            </w:tcBorders>
            <w:noWrap w:val="0"/>
            <w:vAlign w:val="center"/>
          </w:tcPr>
          <w:p w14:paraId="7A09FB2C">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0.00044</w:t>
            </w:r>
          </w:p>
        </w:tc>
      </w:tr>
      <w:tr w14:paraId="1BDE08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5" w:type="pct"/>
            <w:tcBorders>
              <w:tl2br w:val="nil"/>
              <w:tr2bl w:val="nil"/>
            </w:tcBorders>
            <w:noWrap w:val="0"/>
            <w:vAlign w:val="center"/>
          </w:tcPr>
          <w:p w14:paraId="2C772C2F">
            <w:pPr>
              <w:adjustRightInd w:val="0"/>
              <w:snapToGrid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1374" w:type="pct"/>
            <w:tcBorders>
              <w:tl2br w:val="nil"/>
              <w:tr2bl w:val="nil"/>
            </w:tcBorders>
            <w:noWrap w:val="0"/>
            <w:vAlign w:val="center"/>
          </w:tcPr>
          <w:p w14:paraId="1F6412C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丁胺黑药、丁基黄药</w:t>
            </w:r>
          </w:p>
        </w:tc>
        <w:tc>
          <w:tcPr>
            <w:tcW w:w="966" w:type="pct"/>
            <w:tcBorders>
              <w:tl2br w:val="nil"/>
              <w:tr2bl w:val="nil"/>
            </w:tcBorders>
            <w:noWrap w:val="0"/>
            <w:vAlign w:val="center"/>
          </w:tcPr>
          <w:p w14:paraId="15138865">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11.815</w:t>
            </w:r>
          </w:p>
        </w:tc>
        <w:tc>
          <w:tcPr>
            <w:tcW w:w="1110" w:type="pct"/>
            <w:tcBorders>
              <w:tl2br w:val="nil"/>
              <w:tr2bl w:val="nil"/>
            </w:tcBorders>
            <w:noWrap w:val="0"/>
            <w:vAlign w:val="center"/>
          </w:tcPr>
          <w:p w14:paraId="50AB2FE6">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858" w:type="dxa"/>
            <w:tcBorders>
              <w:tl2br w:val="nil"/>
              <w:tr2bl w:val="nil"/>
            </w:tcBorders>
            <w:noWrap w:val="0"/>
            <w:vAlign w:val="center"/>
          </w:tcPr>
          <w:p w14:paraId="1FFBF49A">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0.2363</w:t>
            </w:r>
          </w:p>
        </w:tc>
      </w:tr>
      <w:tr w14:paraId="0C4E9E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3896" w:type="pct"/>
            <w:gridSpan w:val="4"/>
            <w:tcBorders>
              <w:tl2br w:val="nil"/>
              <w:tr2bl w:val="nil"/>
            </w:tcBorders>
            <w:noWrap w:val="0"/>
            <w:vAlign w:val="center"/>
          </w:tcPr>
          <w:p w14:paraId="399D498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858" w:type="dxa"/>
            <w:tcBorders>
              <w:tl2br w:val="nil"/>
              <w:tr2bl w:val="nil"/>
            </w:tcBorders>
            <w:noWrap w:val="0"/>
            <w:vAlign w:val="center"/>
          </w:tcPr>
          <w:p w14:paraId="44EBF53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0.23764</w:t>
            </w:r>
          </w:p>
        </w:tc>
      </w:tr>
    </w:tbl>
    <w:p w14:paraId="778C38F7">
      <w:pPr>
        <w:widowControl/>
        <w:overflowPunct w:val="0"/>
        <w:topLinePunct/>
        <w:adjustRightInd w:val="0"/>
        <w:snapToGrid w:val="0"/>
        <w:ind w:firstLine="480"/>
        <w:rPr>
          <w:rFonts w:hint="default" w:ascii="Times New Roman" w:hAnsi="Times New Roman" w:cs="Times New Roman"/>
          <w:color w:val="auto"/>
          <w:kern w:val="0"/>
          <w:highlight w:val="none"/>
        </w:rPr>
      </w:pPr>
      <w:r>
        <w:rPr>
          <w:rFonts w:hint="default" w:ascii="Times New Roman" w:hAnsi="Times New Roman" w:eastAsia="宋体" w:cs="Times New Roman"/>
          <w:color w:val="auto"/>
          <w:highlight w:val="none"/>
        </w:rPr>
        <w:t>因此，本工程Q值为</w:t>
      </w:r>
      <w:r>
        <w:rPr>
          <w:rFonts w:hint="default" w:ascii="Times New Roman" w:hAnsi="Times New Roman" w:eastAsia="宋体" w:cs="Times New Roman"/>
          <w:color w:val="auto"/>
          <w:highlight w:val="none"/>
          <w:lang w:val="en-US" w:eastAsia="zh-CN"/>
        </w:rPr>
        <w:t>0.23764</w:t>
      </w:r>
      <w:r>
        <w:rPr>
          <w:rFonts w:hint="default" w:ascii="Times New Roman" w:hAnsi="Times New Roman" w:eastAsia="宋体" w:cs="Times New Roman"/>
          <w:color w:val="auto"/>
          <w:highlight w:val="none"/>
        </w:rPr>
        <w:t>，Q</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default" w:ascii="Times New Roman" w:hAnsi="Times New Roman" w:cs="Times New Roman"/>
          <w:color w:val="auto"/>
          <w:kern w:val="0"/>
          <w:highlight w:val="none"/>
        </w:rPr>
        <w:t>根据《建设项目环境风险评价技术导则》（HJ169-2018），建设项目环境风险潜势划分为I、II、II、IV/IV</w:t>
      </w:r>
      <w:r>
        <w:rPr>
          <w:rFonts w:hint="default" w:ascii="Times New Roman" w:hAnsi="Times New Roman" w:cs="Times New Roman"/>
          <w:color w:val="auto"/>
          <w:kern w:val="0"/>
          <w:highlight w:val="none"/>
          <w:vertAlign w:val="superscript"/>
        </w:rPr>
        <w:t>+</w:t>
      </w:r>
      <w:r>
        <w:rPr>
          <w:rFonts w:hint="default" w:ascii="Times New Roman" w:hAnsi="Times New Roman" w:cs="Times New Roman"/>
          <w:color w:val="auto"/>
          <w:kern w:val="0"/>
          <w:highlight w:val="none"/>
        </w:rPr>
        <w:t>级。</w:t>
      </w:r>
    </w:p>
    <w:p w14:paraId="79CA2270">
      <w:pPr>
        <w:widowControl/>
        <w:overflowPunct w:val="0"/>
        <w:topLinePunct/>
        <w:adjustRightInd w:val="0"/>
        <w:snapToGrid w:val="0"/>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根据建设项目涉及的物质和工艺系统的危险性及其所在地的环境敏感程度，结合事故情形下环境影响途径，对建设项目潜在环境危害程度进行概化分析，按照表5.3-</w:t>
      </w:r>
      <w:r>
        <w:rPr>
          <w:rFonts w:hint="default" w:cs="Times New Roman"/>
          <w:color w:val="auto"/>
          <w:kern w:val="0"/>
          <w:highlight w:val="none"/>
          <w:lang w:val="en-US" w:eastAsia="zh-CN"/>
        </w:rPr>
        <w:t>4</w:t>
      </w:r>
      <w:r>
        <w:rPr>
          <w:rFonts w:hint="default" w:ascii="Times New Roman" w:hAnsi="Times New Roman" w:cs="Times New Roman"/>
          <w:color w:val="auto"/>
          <w:kern w:val="0"/>
          <w:highlight w:val="none"/>
        </w:rPr>
        <w:t>确定环境风险潜势。</w:t>
      </w:r>
    </w:p>
    <w:p w14:paraId="4E1EDEB0">
      <w:pPr>
        <w:tabs>
          <w:tab w:val="left" w:pos="0"/>
          <w:tab w:val="left" w:pos="993"/>
        </w:tabs>
        <w:adjustRightInd w:val="0"/>
        <w:snapToGrid w:val="0"/>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表5.3-</w:t>
      </w:r>
      <w:r>
        <w:rPr>
          <w:rFonts w:hint="default" w:cs="Times New Roman"/>
          <w:b/>
          <w:color w:val="auto"/>
          <w:szCs w:val="22"/>
          <w:highlight w:val="none"/>
          <w:lang w:val="en-US" w:eastAsia="zh-CN"/>
        </w:rPr>
        <w:t>4</w:t>
      </w:r>
      <w:r>
        <w:rPr>
          <w:rFonts w:hint="default" w:ascii="Times New Roman" w:hAnsi="Times New Roman" w:cs="Times New Roman"/>
          <w:b/>
          <w:color w:val="auto"/>
          <w:szCs w:val="22"/>
          <w:highlight w:val="none"/>
        </w:rPr>
        <w:t xml:space="preserve">    建设项目环境风险潜势划分</w:t>
      </w:r>
    </w:p>
    <w:tbl>
      <w:tblPr>
        <w:tblStyle w:val="3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561"/>
        <w:gridCol w:w="1558"/>
        <w:gridCol w:w="1562"/>
        <w:gridCol w:w="1560"/>
      </w:tblGrid>
      <w:tr w14:paraId="5E81B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vMerge w:val="restart"/>
            <w:tcBorders>
              <w:top w:val="single" w:color="auto" w:sz="12" w:space="0"/>
              <w:left w:val="single" w:color="auto" w:sz="12" w:space="0"/>
              <w:bottom w:val="single" w:color="auto" w:sz="4" w:space="0"/>
              <w:right w:val="single" w:color="auto" w:sz="4" w:space="0"/>
            </w:tcBorders>
            <w:vAlign w:val="center"/>
          </w:tcPr>
          <w:p w14:paraId="6FDD3A7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环境敏感程度（E）</w:t>
            </w:r>
          </w:p>
        </w:tc>
        <w:tc>
          <w:tcPr>
            <w:tcW w:w="6241" w:type="dxa"/>
            <w:gridSpan w:val="4"/>
            <w:tcBorders>
              <w:top w:val="single" w:color="auto" w:sz="12" w:space="0"/>
              <w:left w:val="single" w:color="auto" w:sz="4" w:space="0"/>
              <w:bottom w:val="single" w:color="auto" w:sz="4" w:space="0"/>
              <w:right w:val="single" w:color="auto" w:sz="12" w:space="0"/>
            </w:tcBorders>
            <w:vAlign w:val="center"/>
          </w:tcPr>
          <w:p w14:paraId="2420440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危险物质及工艺系统危险性（P）</w:t>
            </w:r>
          </w:p>
        </w:tc>
      </w:tr>
      <w:tr w14:paraId="0F0E4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vMerge w:val="continue"/>
            <w:tcBorders>
              <w:top w:val="single" w:color="auto" w:sz="12" w:space="0"/>
              <w:left w:val="single" w:color="auto" w:sz="12" w:space="0"/>
              <w:bottom w:val="single" w:color="auto" w:sz="4" w:space="0"/>
              <w:right w:val="single" w:color="auto" w:sz="4" w:space="0"/>
            </w:tcBorders>
            <w:vAlign w:val="center"/>
          </w:tcPr>
          <w:p w14:paraId="35EFD4DB">
            <w:pPr>
              <w:widowControl/>
              <w:spacing w:line="360" w:lineRule="exact"/>
              <w:ind w:firstLine="0" w:firstLineChars="0"/>
              <w:jc w:val="left"/>
              <w:rPr>
                <w:rFonts w:hint="default" w:ascii="Times New Roman" w:hAnsi="Times New Roman" w:cs="Times New Roman"/>
                <w:b/>
                <w:bCs/>
                <w:color w:val="auto"/>
                <w:sz w:val="21"/>
                <w:szCs w:val="21"/>
                <w:highlight w:val="none"/>
              </w:rPr>
            </w:pPr>
          </w:p>
        </w:tc>
        <w:tc>
          <w:tcPr>
            <w:tcW w:w="1561" w:type="dxa"/>
            <w:tcBorders>
              <w:top w:val="single" w:color="auto" w:sz="4" w:space="0"/>
              <w:left w:val="single" w:color="auto" w:sz="4" w:space="0"/>
              <w:bottom w:val="single" w:color="auto" w:sz="4" w:space="0"/>
              <w:right w:val="single" w:color="auto" w:sz="4" w:space="0"/>
            </w:tcBorders>
            <w:vAlign w:val="center"/>
          </w:tcPr>
          <w:p w14:paraId="7DC5C4C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极高危害（P1）</w:t>
            </w:r>
          </w:p>
        </w:tc>
        <w:tc>
          <w:tcPr>
            <w:tcW w:w="1558" w:type="dxa"/>
            <w:tcBorders>
              <w:top w:val="single" w:color="auto" w:sz="4" w:space="0"/>
              <w:left w:val="single" w:color="auto" w:sz="4" w:space="0"/>
              <w:bottom w:val="single" w:color="auto" w:sz="4" w:space="0"/>
              <w:right w:val="single" w:color="auto" w:sz="4" w:space="0"/>
            </w:tcBorders>
            <w:vAlign w:val="center"/>
          </w:tcPr>
          <w:p w14:paraId="0EACA69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高度危害（P2）</w:t>
            </w:r>
          </w:p>
        </w:tc>
        <w:tc>
          <w:tcPr>
            <w:tcW w:w="1562" w:type="dxa"/>
            <w:tcBorders>
              <w:top w:val="single" w:color="auto" w:sz="4" w:space="0"/>
              <w:left w:val="single" w:color="auto" w:sz="4" w:space="0"/>
              <w:bottom w:val="single" w:color="auto" w:sz="4" w:space="0"/>
              <w:right w:val="single" w:color="auto" w:sz="4" w:space="0"/>
            </w:tcBorders>
            <w:vAlign w:val="center"/>
          </w:tcPr>
          <w:p w14:paraId="3A666FC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中度危害（P3）</w:t>
            </w:r>
          </w:p>
        </w:tc>
        <w:tc>
          <w:tcPr>
            <w:tcW w:w="1560" w:type="dxa"/>
            <w:tcBorders>
              <w:top w:val="single" w:color="auto" w:sz="4" w:space="0"/>
              <w:left w:val="single" w:color="auto" w:sz="4" w:space="0"/>
              <w:bottom w:val="single" w:color="auto" w:sz="4" w:space="0"/>
              <w:right w:val="single" w:color="auto" w:sz="12" w:space="0"/>
            </w:tcBorders>
            <w:vAlign w:val="center"/>
          </w:tcPr>
          <w:p w14:paraId="1DC3522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轻度危害（P4）</w:t>
            </w:r>
          </w:p>
        </w:tc>
      </w:tr>
      <w:tr w14:paraId="007F5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tcBorders>
              <w:top w:val="single" w:color="auto" w:sz="4" w:space="0"/>
              <w:left w:val="single" w:color="auto" w:sz="12" w:space="0"/>
              <w:bottom w:val="single" w:color="auto" w:sz="4" w:space="0"/>
              <w:right w:val="single" w:color="auto" w:sz="4" w:space="0"/>
            </w:tcBorders>
            <w:vAlign w:val="center"/>
          </w:tcPr>
          <w:p w14:paraId="6CD0129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环境高度敏感区（E1）</w:t>
            </w:r>
          </w:p>
        </w:tc>
        <w:tc>
          <w:tcPr>
            <w:tcW w:w="1561" w:type="dxa"/>
            <w:tcBorders>
              <w:top w:val="single" w:color="auto" w:sz="4" w:space="0"/>
              <w:left w:val="single" w:color="auto" w:sz="4" w:space="0"/>
              <w:bottom w:val="single" w:color="auto" w:sz="4" w:space="0"/>
              <w:right w:val="single" w:color="auto" w:sz="4" w:space="0"/>
            </w:tcBorders>
            <w:vAlign w:val="center"/>
          </w:tcPr>
          <w:p w14:paraId="747AB36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r>
              <w:rPr>
                <w:rFonts w:hint="default" w:ascii="Times New Roman" w:hAnsi="Times New Roman" w:cs="Times New Roman"/>
                <w:color w:val="auto"/>
                <w:sz w:val="21"/>
                <w:szCs w:val="21"/>
                <w:highlight w:val="none"/>
                <w:vertAlign w:val="superscript"/>
              </w:rPr>
              <w:t>+</w:t>
            </w:r>
          </w:p>
        </w:tc>
        <w:tc>
          <w:tcPr>
            <w:tcW w:w="1558" w:type="dxa"/>
            <w:tcBorders>
              <w:top w:val="single" w:color="auto" w:sz="4" w:space="0"/>
              <w:left w:val="single" w:color="auto" w:sz="4" w:space="0"/>
              <w:bottom w:val="single" w:color="auto" w:sz="4" w:space="0"/>
              <w:right w:val="single" w:color="auto" w:sz="4" w:space="0"/>
            </w:tcBorders>
            <w:vAlign w:val="center"/>
          </w:tcPr>
          <w:p w14:paraId="58EFE1C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p>
        </w:tc>
        <w:tc>
          <w:tcPr>
            <w:tcW w:w="1562" w:type="dxa"/>
            <w:tcBorders>
              <w:top w:val="single" w:color="auto" w:sz="4" w:space="0"/>
              <w:left w:val="single" w:color="auto" w:sz="4" w:space="0"/>
              <w:bottom w:val="single" w:color="auto" w:sz="4" w:space="0"/>
              <w:right w:val="single" w:color="auto" w:sz="4" w:space="0"/>
            </w:tcBorders>
            <w:vAlign w:val="center"/>
          </w:tcPr>
          <w:p w14:paraId="05E8355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III</w:t>
            </w:r>
          </w:p>
        </w:tc>
        <w:tc>
          <w:tcPr>
            <w:tcW w:w="1560" w:type="dxa"/>
            <w:tcBorders>
              <w:top w:val="single" w:color="auto" w:sz="4" w:space="0"/>
              <w:left w:val="single" w:color="auto" w:sz="4" w:space="0"/>
              <w:bottom w:val="single" w:color="auto" w:sz="4" w:space="0"/>
              <w:right w:val="single" w:color="auto" w:sz="12" w:space="0"/>
            </w:tcBorders>
            <w:vAlign w:val="center"/>
          </w:tcPr>
          <w:p w14:paraId="2B0AA7C4">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III</w:t>
            </w:r>
          </w:p>
        </w:tc>
      </w:tr>
      <w:tr w14:paraId="508E3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tcBorders>
              <w:top w:val="single" w:color="auto" w:sz="4" w:space="0"/>
              <w:left w:val="single" w:color="auto" w:sz="12" w:space="0"/>
              <w:bottom w:val="single" w:color="auto" w:sz="4" w:space="0"/>
              <w:right w:val="single" w:color="auto" w:sz="4" w:space="0"/>
            </w:tcBorders>
            <w:vAlign w:val="center"/>
          </w:tcPr>
          <w:p w14:paraId="008D51B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环境中度敏感区（E2）</w:t>
            </w:r>
          </w:p>
        </w:tc>
        <w:tc>
          <w:tcPr>
            <w:tcW w:w="1561" w:type="dxa"/>
            <w:tcBorders>
              <w:top w:val="single" w:color="auto" w:sz="4" w:space="0"/>
              <w:left w:val="single" w:color="auto" w:sz="4" w:space="0"/>
              <w:bottom w:val="single" w:color="auto" w:sz="4" w:space="0"/>
              <w:right w:val="single" w:color="auto" w:sz="4" w:space="0"/>
            </w:tcBorders>
            <w:vAlign w:val="center"/>
          </w:tcPr>
          <w:p w14:paraId="39C4C98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p>
        </w:tc>
        <w:tc>
          <w:tcPr>
            <w:tcW w:w="1558" w:type="dxa"/>
            <w:tcBorders>
              <w:top w:val="single" w:color="auto" w:sz="4" w:space="0"/>
              <w:left w:val="single" w:color="auto" w:sz="4" w:space="0"/>
              <w:bottom w:val="single" w:color="auto" w:sz="4" w:space="0"/>
              <w:right w:val="single" w:color="auto" w:sz="4" w:space="0"/>
            </w:tcBorders>
            <w:vAlign w:val="center"/>
          </w:tcPr>
          <w:p w14:paraId="10907FE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III</w:t>
            </w:r>
          </w:p>
        </w:tc>
        <w:tc>
          <w:tcPr>
            <w:tcW w:w="1562" w:type="dxa"/>
            <w:tcBorders>
              <w:top w:val="single" w:color="auto" w:sz="4" w:space="0"/>
              <w:left w:val="single" w:color="auto" w:sz="4" w:space="0"/>
              <w:bottom w:val="single" w:color="auto" w:sz="4" w:space="0"/>
              <w:right w:val="single" w:color="auto" w:sz="4" w:space="0"/>
            </w:tcBorders>
            <w:vAlign w:val="center"/>
          </w:tcPr>
          <w:p w14:paraId="78A6A18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III</w:t>
            </w:r>
          </w:p>
        </w:tc>
        <w:tc>
          <w:tcPr>
            <w:tcW w:w="1560" w:type="dxa"/>
            <w:tcBorders>
              <w:top w:val="single" w:color="auto" w:sz="4" w:space="0"/>
              <w:left w:val="single" w:color="auto" w:sz="4" w:space="0"/>
              <w:bottom w:val="single" w:color="auto" w:sz="4" w:space="0"/>
              <w:right w:val="single" w:color="auto" w:sz="12" w:space="0"/>
            </w:tcBorders>
            <w:vAlign w:val="center"/>
          </w:tcPr>
          <w:p w14:paraId="3C54410B">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II</w:t>
            </w:r>
          </w:p>
        </w:tc>
      </w:tr>
      <w:tr w14:paraId="10CBA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tcBorders>
              <w:top w:val="single" w:color="auto" w:sz="4" w:space="0"/>
              <w:left w:val="single" w:color="auto" w:sz="12" w:space="0"/>
              <w:bottom w:val="single" w:color="auto" w:sz="4" w:space="0"/>
              <w:right w:val="single" w:color="auto" w:sz="4" w:space="0"/>
            </w:tcBorders>
            <w:vAlign w:val="center"/>
          </w:tcPr>
          <w:p w14:paraId="10B84DA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环境低度敏感区（E3）</w:t>
            </w:r>
          </w:p>
        </w:tc>
        <w:tc>
          <w:tcPr>
            <w:tcW w:w="1561" w:type="dxa"/>
            <w:tcBorders>
              <w:top w:val="single" w:color="auto" w:sz="4" w:space="0"/>
              <w:left w:val="single" w:color="auto" w:sz="4" w:space="0"/>
              <w:bottom w:val="single" w:color="auto" w:sz="4" w:space="0"/>
              <w:right w:val="single" w:color="auto" w:sz="4" w:space="0"/>
            </w:tcBorders>
            <w:vAlign w:val="center"/>
          </w:tcPr>
          <w:p w14:paraId="1A30BAD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III</w:t>
            </w:r>
          </w:p>
        </w:tc>
        <w:tc>
          <w:tcPr>
            <w:tcW w:w="1558" w:type="dxa"/>
            <w:tcBorders>
              <w:top w:val="single" w:color="auto" w:sz="4" w:space="0"/>
              <w:left w:val="single" w:color="auto" w:sz="4" w:space="0"/>
              <w:bottom w:val="single" w:color="auto" w:sz="4" w:space="0"/>
              <w:right w:val="single" w:color="auto" w:sz="4" w:space="0"/>
            </w:tcBorders>
            <w:vAlign w:val="center"/>
          </w:tcPr>
          <w:p w14:paraId="66282C0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III</w:t>
            </w:r>
          </w:p>
        </w:tc>
        <w:tc>
          <w:tcPr>
            <w:tcW w:w="1562" w:type="dxa"/>
            <w:tcBorders>
              <w:top w:val="single" w:color="auto" w:sz="4" w:space="0"/>
              <w:left w:val="single" w:color="auto" w:sz="4" w:space="0"/>
              <w:bottom w:val="single" w:color="auto" w:sz="4" w:space="0"/>
              <w:right w:val="single" w:color="auto" w:sz="4" w:space="0"/>
            </w:tcBorders>
            <w:vAlign w:val="center"/>
          </w:tcPr>
          <w:p w14:paraId="2E06D56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w:t>
            </w:r>
          </w:p>
        </w:tc>
        <w:tc>
          <w:tcPr>
            <w:tcW w:w="1560" w:type="dxa"/>
            <w:tcBorders>
              <w:top w:val="single" w:color="auto" w:sz="4" w:space="0"/>
              <w:left w:val="single" w:color="auto" w:sz="4" w:space="0"/>
              <w:bottom w:val="single" w:color="auto" w:sz="4" w:space="0"/>
              <w:right w:val="single" w:color="auto" w:sz="12" w:space="0"/>
            </w:tcBorders>
            <w:vAlign w:val="center"/>
          </w:tcPr>
          <w:p w14:paraId="618E670F">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Cs/>
                <w:color w:val="auto"/>
                <w:sz w:val="21"/>
                <w:szCs w:val="21"/>
                <w:highlight w:val="none"/>
              </w:rPr>
              <w:t>I</w:t>
            </w:r>
          </w:p>
        </w:tc>
      </w:tr>
      <w:tr w14:paraId="6AF87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22" w:type="dxa"/>
            <w:gridSpan w:val="5"/>
            <w:tcBorders>
              <w:top w:val="single" w:color="auto" w:sz="4" w:space="0"/>
              <w:left w:val="single" w:color="auto" w:sz="12" w:space="0"/>
              <w:bottom w:val="single" w:color="auto" w:sz="12" w:space="0"/>
              <w:right w:val="single" w:color="auto" w:sz="12" w:space="0"/>
            </w:tcBorders>
            <w:vAlign w:val="center"/>
          </w:tcPr>
          <w:p w14:paraId="5462DA69">
            <w:pPr>
              <w:spacing w:line="360" w:lineRule="exact"/>
              <w:ind w:firstLine="0" w:firstLineChars="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注：IV</w:t>
            </w:r>
            <w:r>
              <w:rPr>
                <w:rFonts w:hint="default" w:ascii="Times New Roman" w:hAnsi="Times New Roman" w:cs="Times New Roman"/>
                <w:color w:val="auto"/>
                <w:sz w:val="21"/>
                <w:szCs w:val="21"/>
                <w:highlight w:val="none"/>
                <w:vertAlign w:val="superscript"/>
              </w:rPr>
              <w:t xml:space="preserve">+ </w:t>
            </w:r>
            <w:r>
              <w:rPr>
                <w:rFonts w:hint="default" w:ascii="Times New Roman" w:hAnsi="Times New Roman" w:cs="Times New Roman"/>
                <w:color w:val="auto"/>
                <w:sz w:val="21"/>
                <w:szCs w:val="21"/>
                <w:highlight w:val="none"/>
              </w:rPr>
              <w:t>为极高环境风险</w:t>
            </w:r>
          </w:p>
        </w:tc>
      </w:tr>
    </w:tbl>
    <w:p w14:paraId="1BE81202">
      <w:pPr>
        <w:widowControl/>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本项目位于偏远地区，且</w:t>
      </w:r>
      <w:r>
        <w:rPr>
          <w:rFonts w:hint="default" w:ascii="Times New Roman" w:hAnsi="Times New Roman" w:eastAsia="微软雅黑" w:cs="Times New Roman"/>
          <w:i/>
          <w:color w:val="auto"/>
          <w:kern w:val="0"/>
          <w:sz w:val="25"/>
          <w:szCs w:val="25"/>
          <w:highlight w:val="none"/>
        </w:rPr>
        <w:t>Q</w:t>
      </w:r>
      <w:r>
        <w:rPr>
          <w:rFonts w:hint="default" w:ascii="Times New Roman" w:hAnsi="Times New Roman" w:cs="Times New Roman"/>
          <w:color w:val="auto"/>
          <w:kern w:val="0"/>
          <w:sz w:val="22"/>
          <w:szCs w:val="21"/>
          <w:highlight w:val="none"/>
        </w:rPr>
        <w:t>＜</w:t>
      </w:r>
      <w:r>
        <w:rPr>
          <w:rFonts w:hint="default" w:ascii="Times New Roman" w:hAnsi="Times New Roman" w:eastAsia="微软雅黑" w:cs="Times New Roman"/>
          <w:color w:val="auto"/>
          <w:kern w:val="0"/>
          <w:highlight w:val="none"/>
        </w:rPr>
        <w:t>1</w:t>
      </w:r>
      <w:r>
        <w:rPr>
          <w:rFonts w:hint="default" w:ascii="Times New Roman" w:hAnsi="Times New Roman" w:cs="Times New Roman"/>
          <w:color w:val="auto"/>
          <w:highlight w:val="none"/>
        </w:rPr>
        <w:t>，本项目环境风险潜势为Ⅰ，</w:t>
      </w:r>
      <w:r>
        <w:rPr>
          <w:rFonts w:hint="default" w:ascii="Times New Roman" w:hAnsi="Times New Roman" w:cs="Times New Roman"/>
          <w:snapToGrid w:val="0"/>
          <w:color w:val="auto"/>
          <w:szCs w:val="22"/>
          <w:highlight w:val="none"/>
        </w:rPr>
        <w:t>风险评价为简单分析</w:t>
      </w:r>
      <w:r>
        <w:rPr>
          <w:rFonts w:hint="default" w:ascii="Times New Roman" w:hAnsi="Times New Roman" w:cs="Times New Roman"/>
          <w:color w:val="auto"/>
          <w:highlight w:val="none"/>
        </w:rPr>
        <w:t>。</w:t>
      </w:r>
    </w:p>
    <w:p w14:paraId="0C64207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w:t>
      </w:r>
    </w:p>
    <w:p w14:paraId="293018A8">
      <w:pPr>
        <w:adjustRightInd w:val="0"/>
        <w:snapToGrid w:val="0"/>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风险评价的目的是分析和预测建设项目存在的潜在危险、有害因素，建设项目建设和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54BE0B9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本项目环评主要针对生产过程中可能发生的环境风险事故，进行环境影响预测分析，并提出风险防范措施及应急预案，力求将环境风险影响降至最低。</w:t>
      </w:r>
    </w:p>
    <w:p w14:paraId="6A04471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《尾矿库环境风险评估技术导则（试行）》（HJ740-2015）从尾矿库的环境危害性（H）、周边环境敏感性（S）、控制机制可靠性（R）三个方面进行环境风险等级的划分。评价等级划分指标体系见图5.3-1。</w:t>
      </w:r>
    </w:p>
    <w:p w14:paraId="29A276FB">
      <w:pPr>
        <w:overflowPunct w:val="0"/>
        <w:topLinePunct/>
        <w:ind w:firstLine="480"/>
        <w:rPr>
          <w:rFonts w:hint="default" w:ascii="Times New Roman" w:hAnsi="Times New Roman" w:cs="Times New Roman"/>
          <w:color w:val="auto"/>
          <w:highlight w:val="none"/>
        </w:rPr>
      </w:pPr>
    </w:p>
    <w:p w14:paraId="497DB236">
      <w:pPr>
        <w:spacing w:line="240" w:lineRule="auto"/>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57165" cy="1304290"/>
            <wp:effectExtent l="0" t="0" r="635" b="10160"/>
            <wp:docPr id="2"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8"/>
                    <pic:cNvPicPr>
                      <a:picLocks noChangeAspect="1"/>
                    </pic:cNvPicPr>
                  </pic:nvPicPr>
                  <pic:blipFill>
                    <a:blip r:embed="rId34" cstate="print"/>
                    <a:stretch>
                      <a:fillRect/>
                    </a:stretch>
                  </pic:blipFill>
                  <pic:spPr>
                    <a:xfrm>
                      <a:off x="0" y="0"/>
                      <a:ext cx="5257165" cy="1304290"/>
                    </a:xfrm>
                    <a:prstGeom prst="rect">
                      <a:avLst/>
                    </a:prstGeom>
                    <a:noFill/>
                    <a:ln>
                      <a:noFill/>
                    </a:ln>
                  </pic:spPr>
                </pic:pic>
              </a:graphicData>
            </a:graphic>
          </wp:inline>
        </w:drawing>
      </w:r>
    </w:p>
    <w:p w14:paraId="4A1B8E96">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图5.3-1    评价等级划分指标体系</w:t>
      </w:r>
    </w:p>
    <w:p w14:paraId="6D932F81">
      <w:pPr>
        <w:overflowPunct w:val="0"/>
        <w:topLinePunct/>
        <w:ind w:left="482"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1）尾矿库环境风险预判</w:t>
      </w:r>
    </w:p>
    <w:p w14:paraId="2731091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本项目尾矿库设计坝顶标高1103m，设计坝高为15m，总库容为</w:t>
      </w:r>
      <w:r>
        <w:rPr>
          <w:rFonts w:hint="eastAsia" w:cs="Times New Roman"/>
          <w:color w:val="auto"/>
          <w:highlight w:val="none"/>
          <w:lang w:val="en-US" w:eastAsia="zh-CN"/>
        </w:rPr>
        <w:t>130.5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有效库容</w:t>
      </w:r>
      <w:r>
        <w:rPr>
          <w:rFonts w:hint="eastAsia" w:cs="Times New Roman"/>
          <w:color w:val="auto"/>
          <w:highlight w:val="none"/>
          <w:lang w:val="en-US" w:eastAsia="zh-CN"/>
        </w:rPr>
        <w:t>104.4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为四等别平地型</w:t>
      </w:r>
      <w:r>
        <w:rPr>
          <w:rFonts w:hint="default" w:cs="Times New Roman"/>
          <w:color w:val="auto"/>
          <w:highlight w:val="none"/>
          <w:lang w:eastAsia="zh-CN"/>
        </w:rPr>
        <w:t>尾矿库</w:t>
      </w:r>
      <w:r>
        <w:rPr>
          <w:rFonts w:hint="default" w:ascii="Times New Roman" w:hAnsi="Times New Roman" w:cs="Times New Roman"/>
          <w:color w:val="auto"/>
          <w:highlight w:val="none"/>
        </w:rPr>
        <w:t>。</w:t>
      </w:r>
    </w:p>
    <w:p w14:paraId="776A26C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本尾矿库主要堆放浮选尾矿，根据选矿试验尾矿浸出毒性试验检测结果可知，尾矿属于</w:t>
      </w:r>
      <w:r>
        <w:rPr>
          <w:rFonts w:hint="eastAsia" w:cs="Times New Roman"/>
          <w:color w:val="auto"/>
          <w:highlight w:val="none"/>
          <w:lang w:eastAsia="zh-CN"/>
        </w:rPr>
        <w:t>Ⅱ类</w:t>
      </w:r>
      <w:r>
        <w:rPr>
          <w:rFonts w:hint="default" w:ascii="Times New Roman" w:hAnsi="Times New Roman" w:cs="Times New Roman"/>
          <w:color w:val="auto"/>
          <w:highlight w:val="none"/>
        </w:rPr>
        <w:t>固废。</w:t>
      </w:r>
    </w:p>
    <w:p w14:paraId="61F4994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尾矿库的类型、规模、周边环境敏感性、安全性、历史事件与环境违法情况五个方面，利用尾矿库环境风险预判表（附录A，见下表）对尾矿库环境风险进行初步分析，对于满足预判表中任何条件之一的尾矿库即认定为重点环境监管尾矿库，需要进一步开展后续的环境风险评估工作。非重点环境监管尾矿库只需开展风险预判工作，并记录风险预判过程和预判结果。</w:t>
      </w:r>
    </w:p>
    <w:p w14:paraId="6ABB61FD">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表5.3-</w:t>
      </w:r>
      <w:r>
        <w:rPr>
          <w:rFonts w:hint="default" w:cs="Times New Roman"/>
          <w:b/>
          <w:color w:val="auto"/>
          <w:kern w:val="0"/>
          <w:highlight w:val="none"/>
          <w:lang w:val="en-US" w:eastAsia="zh-CN"/>
        </w:rPr>
        <w:t>5</w:t>
      </w:r>
      <w:r>
        <w:rPr>
          <w:rFonts w:hint="default" w:ascii="Times New Roman" w:hAnsi="Times New Roman" w:cs="Times New Roman"/>
          <w:b/>
          <w:color w:val="auto"/>
          <w:kern w:val="0"/>
          <w:highlight w:val="none"/>
        </w:rPr>
        <w:t xml:space="preserve">    尾矿库环境风险预判表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91"/>
        <w:gridCol w:w="5071"/>
        <w:gridCol w:w="920"/>
        <w:gridCol w:w="714"/>
      </w:tblGrid>
      <w:tr w14:paraId="3DDD8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81" w:type="pct"/>
            <w:gridSpan w:val="4"/>
            <w:vAlign w:val="center"/>
          </w:tcPr>
          <w:p w14:paraId="7612CA5E">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符合下列情形之一，列入重点环境监管尾矿库</w:t>
            </w:r>
          </w:p>
        </w:tc>
        <w:tc>
          <w:tcPr>
            <w:tcW w:w="418" w:type="pct"/>
            <w:vAlign w:val="center"/>
          </w:tcPr>
          <w:p w14:paraId="09765ECF">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相关说明</w:t>
            </w:r>
          </w:p>
        </w:tc>
      </w:tr>
      <w:tr w14:paraId="6126B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vAlign w:val="center"/>
          </w:tcPr>
          <w:p w14:paraId="5528853F">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类型</w:t>
            </w:r>
          </w:p>
        </w:tc>
        <w:tc>
          <w:tcPr>
            <w:tcW w:w="3439" w:type="pct"/>
            <w:gridSpan w:val="2"/>
            <w:vAlign w:val="center"/>
          </w:tcPr>
          <w:p w14:paraId="77106BFE">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矿种类型（包括主矿种、附属矿种）/尾矿（或尾矿水）成分类型</w:t>
            </w:r>
          </w:p>
        </w:tc>
        <w:tc>
          <w:tcPr>
            <w:tcW w:w="539" w:type="pct"/>
            <w:vAlign w:val="center"/>
          </w:tcPr>
          <w:p w14:paraId="2B300862">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固体废物类型</w:t>
            </w:r>
          </w:p>
        </w:tc>
        <w:tc>
          <w:tcPr>
            <w:tcW w:w="418" w:type="pct"/>
            <w:vMerge w:val="restart"/>
            <w:vAlign w:val="center"/>
          </w:tcPr>
          <w:p w14:paraId="50FA7DA5">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本项目为</w:t>
            </w:r>
            <w:r>
              <w:rPr>
                <w:rFonts w:hint="default" w:eastAsia="宋体" w:cs="Times New Roman"/>
                <w:color w:val="auto"/>
                <w:sz w:val="21"/>
                <w:szCs w:val="21"/>
                <w:highlight w:val="none"/>
                <w:lang w:val="en-US" w:eastAsia="zh-CN"/>
              </w:rPr>
              <w:t>金矿</w:t>
            </w:r>
            <w:r>
              <w:rPr>
                <w:rFonts w:hint="default" w:ascii="Times New Roman" w:hAnsi="Times New Roman" w:eastAsia="宋体" w:cs="Times New Roman"/>
                <w:color w:val="auto"/>
                <w:sz w:val="21"/>
                <w:szCs w:val="21"/>
                <w:highlight w:val="none"/>
                <w:lang w:val="en-US"/>
              </w:rPr>
              <w:t>尾矿库</w:t>
            </w:r>
          </w:p>
        </w:tc>
      </w:tr>
      <w:tr w14:paraId="1B4F1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5AF8851F">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3439" w:type="pct"/>
            <w:gridSpan w:val="2"/>
            <w:vAlign w:val="center"/>
          </w:tcPr>
          <w:p w14:paraId="184281E6">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1、相关的生产过程中使用了列入《重点环境管理危险化学品目录》的危险化学品。</w:t>
            </w:r>
          </w:p>
          <w:p w14:paraId="506A3A4D">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2、重金属矿种：铜、镍、铅、锌、锡、锑、钴、汞、镉、铋、砷、铊、钒、铬、锰、钼。</w:t>
            </w:r>
          </w:p>
          <w:p w14:paraId="165A138A">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3、贵金属矿种：金、银、铂族（铂、钯、铱、铑、锇、钌）。</w:t>
            </w:r>
          </w:p>
          <w:p w14:paraId="59719A2E">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4、轻有色金属矿种：铝（铝土）、镁、锶、钡。</w:t>
            </w:r>
          </w:p>
          <w:p w14:paraId="5F129177">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5、稀土元素的矿种：钇、镧、铈、镨、钕、钷、钐、铕、钆、铽、镝、钬、铒、铥、镱、镥。</w:t>
            </w:r>
          </w:p>
          <w:p w14:paraId="714DF3BB">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6、有色金属矿种：钨、钛。</w:t>
            </w:r>
          </w:p>
          <w:p w14:paraId="6C9F8EE6">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7、非金属矿种：化工原料或化学矿。</w:t>
            </w:r>
          </w:p>
          <w:p w14:paraId="5ECCDE13">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8、涉及硫（包括主矿、共生矿）、磷（包括主矿、共生矿）。</w:t>
            </w:r>
          </w:p>
          <w:p w14:paraId="0E8B5D5A">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9、涉及酸性岩矿种或产生酸性废液的矿种</w:t>
            </w:r>
          </w:p>
        </w:tc>
        <w:tc>
          <w:tcPr>
            <w:tcW w:w="539" w:type="pct"/>
            <w:vAlign w:val="center"/>
          </w:tcPr>
          <w:p w14:paraId="4552261B">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10、危险废物。</w:t>
            </w:r>
          </w:p>
          <w:p w14:paraId="32039C9B">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bidi="ar"/>
              </w:rPr>
              <w:t>11、一般工业固体废物（II类）</w:t>
            </w:r>
          </w:p>
        </w:tc>
        <w:tc>
          <w:tcPr>
            <w:tcW w:w="418" w:type="pct"/>
            <w:vMerge w:val="continue"/>
            <w:vAlign w:val="center"/>
          </w:tcPr>
          <w:p w14:paraId="19DCD4DC">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p>
        </w:tc>
      </w:tr>
      <w:tr w14:paraId="35BCF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14:paraId="4919CD2C">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规模</w:t>
            </w:r>
          </w:p>
        </w:tc>
        <w:tc>
          <w:tcPr>
            <w:tcW w:w="3978" w:type="pct"/>
            <w:gridSpan w:val="3"/>
            <w:vAlign w:val="center"/>
          </w:tcPr>
          <w:p w14:paraId="1C5CDC1D">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12、尾矿库等别：四等及以上</w:t>
            </w:r>
          </w:p>
        </w:tc>
        <w:tc>
          <w:tcPr>
            <w:tcW w:w="418" w:type="pct"/>
            <w:vAlign w:val="center"/>
          </w:tcPr>
          <w:p w14:paraId="53C88367">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涉及</w:t>
            </w:r>
          </w:p>
        </w:tc>
      </w:tr>
      <w:tr w14:paraId="2A859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14:paraId="1211FB91">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周边区域敏感</w:t>
            </w:r>
          </w:p>
          <w:p w14:paraId="46E050B8">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性</w:t>
            </w:r>
          </w:p>
        </w:tc>
        <w:tc>
          <w:tcPr>
            <w:tcW w:w="464" w:type="pct"/>
            <w:vAlign w:val="center"/>
          </w:tcPr>
          <w:p w14:paraId="2B59BF4C">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所处区域尾矿库下游评</w:t>
            </w:r>
          </w:p>
          <w:p w14:paraId="46600308">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估范围内或者尾矿库输送管</w:t>
            </w:r>
          </w:p>
          <w:p w14:paraId="1BC058AB">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线、回水管线涉及穿越</w:t>
            </w:r>
          </w:p>
        </w:tc>
        <w:tc>
          <w:tcPr>
            <w:tcW w:w="2975" w:type="pct"/>
            <w:vAlign w:val="center"/>
          </w:tcPr>
          <w:p w14:paraId="050C4907">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13、处于国家重点生态功能区、国家禁止开发区。域、水土流失重点防治区、沙化土地封禁保护区等。</w:t>
            </w:r>
          </w:p>
          <w:p w14:paraId="35B6D60C">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14、处于江河源头区和重要水源涵养区。</w:t>
            </w:r>
          </w:p>
          <w:p w14:paraId="76E2B43D">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15、涉及跨省级及以上行政区边界。</w:t>
            </w:r>
          </w:p>
          <w:p w14:paraId="48B83AF5">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16、饮用水水源保护区、自来水厂取水。</w:t>
            </w:r>
          </w:p>
          <w:p w14:paraId="3A9034F3">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17、重要江、河、湖、库等大型水体。</w:t>
            </w:r>
          </w:p>
          <w:p w14:paraId="61A75C85">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18、重要湿地、天然林、珍稀濒危野生动植物天然集中分布区、重要水生生物的自然产卵场及索饵场、越冬场和洄游通道、天然渔场、资源性缺水地区、封闭及半封闭海域、富营养化水域等。</w:t>
            </w:r>
          </w:p>
          <w:p w14:paraId="67139C03">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19、水产养殖区，且规模在20亩及以上。</w:t>
            </w:r>
          </w:p>
          <w:p w14:paraId="355046E3">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20、下游涉及人口聚集区，且人口规模在100人及以上。</w:t>
            </w:r>
          </w:p>
          <w:p w14:paraId="7BD9E42F">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21、下游涉及自然保护区、风景名胜区、森林公园、地质公园、世界文化或自然遗产地，重点文物保护单位</w:t>
            </w:r>
            <w:r>
              <w:rPr>
                <w:rFonts w:hint="default" w:cs="Times New Roman"/>
                <w:color w:val="auto"/>
                <w:kern w:val="0"/>
                <w:sz w:val="21"/>
                <w:szCs w:val="21"/>
                <w:highlight w:val="none"/>
                <w:lang w:eastAsia="zh-CN" w:bidi="ar"/>
              </w:rPr>
              <w:t>以及</w:t>
            </w:r>
            <w:r>
              <w:rPr>
                <w:rFonts w:hint="default" w:ascii="Times New Roman" w:hAnsi="Times New Roman" w:cs="Times New Roman"/>
                <w:color w:val="auto"/>
                <w:kern w:val="0"/>
                <w:sz w:val="21"/>
                <w:szCs w:val="21"/>
                <w:highlight w:val="none"/>
                <w:lang w:bidi="ar"/>
              </w:rPr>
              <w:t>其他具有特殊历史、文化、科学、民族意义的保护地等。</w:t>
            </w:r>
          </w:p>
          <w:p w14:paraId="0152B748">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22、涉及基本农田保护区、基本草原、种植大棚，农产品基地等，且规模在20亩及以上。</w:t>
            </w:r>
          </w:p>
          <w:p w14:paraId="1923E8C6">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23、涉及环境风险企业、二次环境污染源或风险源</w:t>
            </w:r>
          </w:p>
        </w:tc>
        <w:tc>
          <w:tcPr>
            <w:tcW w:w="539" w:type="pct"/>
            <w:vAlign w:val="center"/>
          </w:tcPr>
          <w:p w14:paraId="6E4DC91F">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418" w:type="pct"/>
            <w:vAlign w:val="center"/>
          </w:tcPr>
          <w:p w14:paraId="3600D83A">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lang w:val="en-US"/>
              </w:rPr>
              <w:t>涉及</w:t>
            </w:r>
          </w:p>
        </w:tc>
      </w:tr>
      <w:tr w14:paraId="0D6FA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14:paraId="27394D61">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安全性</w:t>
            </w:r>
          </w:p>
        </w:tc>
        <w:tc>
          <w:tcPr>
            <w:tcW w:w="3439" w:type="pct"/>
            <w:gridSpan w:val="2"/>
            <w:vAlign w:val="center"/>
          </w:tcPr>
          <w:p w14:paraId="06FBC47A">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24、□属于危库\险库\病库。</w:t>
            </w:r>
          </w:p>
          <w:p w14:paraId="1EC73CCB">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25、处于按《地质灾害危险性评估技术要求（试行）》评定为“危害性中等”或“危害性大”的区域。</w:t>
            </w:r>
          </w:p>
          <w:p w14:paraId="04D6A3D6">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26、处于地质灾害易灾区。</w:t>
            </w:r>
          </w:p>
          <w:p w14:paraId="52C33F0A">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27、处于岩溶（喀斯特）地貌区。</w:t>
            </w:r>
          </w:p>
          <w:p w14:paraId="4197AFF4">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28、已被相关部门鉴定为“三边库”、“头顶库”的尾矿库</w:t>
            </w:r>
          </w:p>
        </w:tc>
        <w:tc>
          <w:tcPr>
            <w:tcW w:w="539" w:type="pct"/>
            <w:vAlign w:val="center"/>
          </w:tcPr>
          <w:p w14:paraId="3EC52CDB">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418" w:type="pct"/>
            <w:vAlign w:val="center"/>
          </w:tcPr>
          <w:p w14:paraId="682005B9">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不涉及</w:t>
            </w:r>
          </w:p>
        </w:tc>
      </w:tr>
      <w:tr w14:paraId="21DC1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Align w:val="center"/>
          </w:tcPr>
          <w:p w14:paraId="55EC7F12">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历史事件与环境违法情况</w:t>
            </w:r>
          </w:p>
        </w:tc>
        <w:tc>
          <w:tcPr>
            <w:tcW w:w="3439" w:type="pct"/>
            <w:gridSpan w:val="2"/>
            <w:vAlign w:val="center"/>
          </w:tcPr>
          <w:p w14:paraId="250FB5CD">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29、近3年内发生过较大及以上等级的生产安全事故或突发环境事件。</w:t>
            </w:r>
          </w:p>
          <w:p w14:paraId="2F9CAE89">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30、近3年内存在恶意环境违法行为或因环境问题与周边存在纠纷</w:t>
            </w:r>
          </w:p>
        </w:tc>
        <w:tc>
          <w:tcPr>
            <w:tcW w:w="539" w:type="pct"/>
            <w:vAlign w:val="center"/>
          </w:tcPr>
          <w:p w14:paraId="5036E966">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418" w:type="pct"/>
            <w:vAlign w:val="center"/>
          </w:tcPr>
          <w:p w14:paraId="31214A3E">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不涉及</w:t>
            </w:r>
          </w:p>
        </w:tc>
      </w:tr>
      <w:tr w14:paraId="2D8A4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3DEBD67C">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注：（1）类型：指矿种类型（包括主矿种、附属矿种）/固体废物类型/尾矿（或尾矿水）成分类型，以环境危害大的计算。</w:t>
            </w:r>
          </w:p>
          <w:p w14:paraId="11FED0FB">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（2）表中复选框“□”表示可以多选</w:t>
            </w:r>
          </w:p>
        </w:tc>
      </w:tr>
    </w:tbl>
    <w:p w14:paraId="47FE3BC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根据尾矿库环境风险预判表，本项目所需建设尾矿库即认定为重点环境监管尾矿库，需要进一步开展后续的环境风险评估。</w:t>
      </w:r>
    </w:p>
    <w:p w14:paraId="1E99C823">
      <w:pPr>
        <w:overflowPunct w:val="0"/>
        <w:topLinePunct/>
        <w:ind w:left="482"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2）尾矿库环境风险等级划分指标体系</w:t>
      </w:r>
    </w:p>
    <w:p w14:paraId="5A384D5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利用层次分析法，从尾矿库的环境危害性（H）、周边环境敏感性（S）、控制机制可靠性（R）三方面进行尾矿库环境风险等级划分。</w:t>
      </w:r>
    </w:p>
    <w:p w14:paraId="0DDDCF8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①环境危害性（H）</w:t>
      </w:r>
    </w:p>
    <w:p w14:paraId="3939810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采用评分方法，对类型、性质和规模三方面指标进行评分与累加求和，评估尾矿库环境危害性（H），危险性等别划分指标见表5.3-</w:t>
      </w:r>
      <w:r>
        <w:rPr>
          <w:rFonts w:hint="default" w:cs="Times New Roman"/>
          <w:color w:val="auto"/>
          <w:highlight w:val="none"/>
          <w:lang w:val="en-US" w:eastAsia="zh-CN"/>
        </w:rPr>
        <w:t>6</w:t>
      </w:r>
      <w:r>
        <w:rPr>
          <w:rFonts w:hint="default" w:ascii="Times New Roman" w:hAnsi="Times New Roman" w:cs="Times New Roman"/>
          <w:color w:val="auto"/>
          <w:highlight w:val="none"/>
        </w:rPr>
        <w:t>。</w:t>
      </w:r>
    </w:p>
    <w:p w14:paraId="64306DF9">
      <w:pPr>
        <w:ind w:firstLine="482"/>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表5.3-</w:t>
      </w:r>
      <w:r>
        <w:rPr>
          <w:rFonts w:hint="default" w:cs="Times New Roman"/>
          <w:b/>
          <w:color w:val="auto"/>
          <w:kern w:val="0"/>
          <w:highlight w:val="none"/>
          <w:lang w:val="en-US" w:eastAsia="zh-CN"/>
        </w:rPr>
        <w:t>6</w:t>
      </w:r>
      <w:r>
        <w:rPr>
          <w:rFonts w:hint="default" w:ascii="Times New Roman" w:hAnsi="Times New Roman" w:cs="Times New Roman"/>
          <w:b/>
          <w:color w:val="auto"/>
          <w:kern w:val="0"/>
          <w:highlight w:val="none"/>
        </w:rPr>
        <w:t xml:space="preserve">    尾矿库环境危害性（H）等别划分指标体系</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415"/>
        <w:gridCol w:w="566"/>
        <w:gridCol w:w="1839"/>
        <w:gridCol w:w="1132"/>
        <w:gridCol w:w="1435"/>
        <w:gridCol w:w="861"/>
        <w:gridCol w:w="707"/>
      </w:tblGrid>
      <w:tr w14:paraId="34D81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3" w:type="pct"/>
            <w:tcBorders>
              <w:tl2br w:val="nil"/>
              <w:tr2bl w:val="nil"/>
            </w:tcBorders>
            <w:vAlign w:val="center"/>
          </w:tcPr>
          <w:p w14:paraId="728BF086">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3747" w:type="pct"/>
            <w:gridSpan w:val="5"/>
            <w:tcBorders>
              <w:tl2br w:val="nil"/>
              <w:tr2bl w:val="nil"/>
            </w:tcBorders>
            <w:vAlign w:val="center"/>
          </w:tcPr>
          <w:p w14:paraId="258C37F2">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指标项目</w:t>
            </w:r>
          </w:p>
        </w:tc>
        <w:tc>
          <w:tcPr>
            <w:tcW w:w="501" w:type="pct"/>
            <w:tcBorders>
              <w:tl2br w:val="nil"/>
              <w:tr2bl w:val="nil"/>
            </w:tcBorders>
            <w:vAlign w:val="center"/>
          </w:tcPr>
          <w:p w14:paraId="28A2DCA7">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指标分值</w:t>
            </w:r>
          </w:p>
        </w:tc>
        <w:tc>
          <w:tcPr>
            <w:tcW w:w="417" w:type="pct"/>
            <w:tcBorders>
              <w:tl2br w:val="nil"/>
              <w:tr2bl w:val="nil"/>
            </w:tcBorders>
            <w:vAlign w:val="center"/>
          </w:tcPr>
          <w:p w14:paraId="36DEB332">
            <w:pPr>
              <w:spacing w:line="360" w:lineRule="exact"/>
              <w:ind w:firstLine="0" w:firstLineChars="0"/>
              <w:jc w:val="center"/>
              <w:rPr>
                <w:rFonts w:hint="default" w:ascii="Times New Roman" w:hAnsi="Times New Roman" w:eastAsia="宋体" w:cs="Times New Roman"/>
                <w:b/>
                <w:color w:val="auto"/>
                <w:kern w:val="0"/>
                <w:sz w:val="21"/>
                <w:szCs w:val="21"/>
                <w:highlight w:val="none"/>
                <w:lang w:eastAsia="zh-CN"/>
              </w:rPr>
            </w:pPr>
            <w:r>
              <w:rPr>
                <w:rFonts w:hint="default" w:cs="Times New Roman"/>
                <w:b/>
                <w:color w:val="auto"/>
                <w:kern w:val="0"/>
                <w:sz w:val="21"/>
                <w:szCs w:val="21"/>
                <w:highlight w:val="none"/>
                <w:lang w:val="en-US" w:eastAsia="zh-CN"/>
              </w:rPr>
              <w:t>本项目</w:t>
            </w:r>
          </w:p>
        </w:tc>
      </w:tr>
      <w:tr w14:paraId="7768A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vAlign w:val="center"/>
          </w:tcPr>
          <w:p w14:paraId="0DCA04FD">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w:t>
            </w:r>
          </w:p>
        </w:tc>
        <w:tc>
          <w:tcPr>
            <w:tcW w:w="830" w:type="pct"/>
            <w:vMerge w:val="restart"/>
            <w:tcBorders>
              <w:tl2br w:val="nil"/>
              <w:tr2bl w:val="nil"/>
            </w:tcBorders>
            <w:vAlign w:val="center"/>
          </w:tcPr>
          <w:p w14:paraId="34E24640">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尾矿库环境危害性</w:t>
            </w:r>
          </w:p>
        </w:tc>
        <w:tc>
          <w:tcPr>
            <w:tcW w:w="332" w:type="pct"/>
            <w:tcBorders>
              <w:tl2br w:val="nil"/>
              <w:tr2bl w:val="nil"/>
            </w:tcBorders>
            <w:vAlign w:val="center"/>
          </w:tcPr>
          <w:p w14:paraId="3BD2C507">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类型</w:t>
            </w:r>
          </w:p>
        </w:tc>
        <w:tc>
          <w:tcPr>
            <w:tcW w:w="2583" w:type="pct"/>
            <w:gridSpan w:val="3"/>
            <w:tcBorders>
              <w:tl2br w:val="nil"/>
              <w:tr2bl w:val="nil"/>
            </w:tcBorders>
            <w:vAlign w:val="center"/>
          </w:tcPr>
          <w:p w14:paraId="6BB7DC7F">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矿种类型/固体废物类型/尾矿（或尾矿水）成分类型</w:t>
            </w:r>
          </w:p>
        </w:tc>
        <w:tc>
          <w:tcPr>
            <w:tcW w:w="501" w:type="pct"/>
            <w:tcBorders>
              <w:tl2br w:val="nil"/>
              <w:tr2bl w:val="nil"/>
            </w:tcBorders>
            <w:vAlign w:val="center"/>
          </w:tcPr>
          <w:p w14:paraId="569B1E8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48</w:t>
            </w:r>
          </w:p>
        </w:tc>
        <w:tc>
          <w:tcPr>
            <w:tcW w:w="417" w:type="pct"/>
            <w:tcBorders>
              <w:tl2br w:val="nil"/>
              <w:tr2bl w:val="nil"/>
            </w:tcBorders>
            <w:vAlign w:val="center"/>
          </w:tcPr>
          <w:p w14:paraId="11778411">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cs="Times New Roman"/>
                <w:bCs/>
                <w:color w:val="auto"/>
                <w:kern w:val="0"/>
                <w:sz w:val="21"/>
                <w:szCs w:val="21"/>
                <w:highlight w:val="none"/>
                <w:lang w:val="en-US" w:eastAsia="zh-CN"/>
              </w:rPr>
              <w:t>24</w:t>
            </w:r>
          </w:p>
        </w:tc>
      </w:tr>
      <w:tr w14:paraId="1F9D1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vAlign w:val="center"/>
          </w:tcPr>
          <w:p w14:paraId="673E195D">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w:t>
            </w:r>
          </w:p>
        </w:tc>
        <w:tc>
          <w:tcPr>
            <w:tcW w:w="830" w:type="pct"/>
            <w:vMerge w:val="continue"/>
            <w:tcBorders>
              <w:tl2br w:val="nil"/>
              <w:tr2bl w:val="nil"/>
            </w:tcBorders>
            <w:vAlign w:val="center"/>
          </w:tcPr>
          <w:p w14:paraId="5F352658">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32" w:type="pct"/>
            <w:vMerge w:val="restart"/>
            <w:tcBorders>
              <w:tl2br w:val="nil"/>
              <w:tr2bl w:val="nil"/>
            </w:tcBorders>
            <w:vAlign w:val="center"/>
          </w:tcPr>
          <w:p w14:paraId="42B0943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性质</w:t>
            </w:r>
          </w:p>
        </w:tc>
        <w:tc>
          <w:tcPr>
            <w:tcW w:w="1079" w:type="pct"/>
            <w:vMerge w:val="restart"/>
            <w:tcBorders>
              <w:tl2br w:val="nil"/>
              <w:tr2bl w:val="nil"/>
            </w:tcBorders>
            <w:vAlign w:val="center"/>
          </w:tcPr>
          <w:p w14:paraId="25CDB8FA">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特征污染物指标浓度情况</w:t>
            </w:r>
          </w:p>
        </w:tc>
        <w:tc>
          <w:tcPr>
            <w:tcW w:w="664" w:type="pct"/>
            <w:vMerge w:val="restart"/>
            <w:tcBorders>
              <w:tl2br w:val="nil"/>
              <w:tr2bl w:val="nil"/>
            </w:tcBorders>
            <w:vAlign w:val="center"/>
          </w:tcPr>
          <w:p w14:paraId="08168804">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浓度倍数情况</w:t>
            </w:r>
          </w:p>
        </w:tc>
        <w:tc>
          <w:tcPr>
            <w:tcW w:w="839" w:type="pct"/>
            <w:tcBorders>
              <w:tl2br w:val="nil"/>
              <w:tr2bl w:val="nil"/>
            </w:tcBorders>
            <w:vAlign w:val="center"/>
          </w:tcPr>
          <w:p w14:paraId="72445EC0">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pH值</w:t>
            </w:r>
          </w:p>
        </w:tc>
        <w:tc>
          <w:tcPr>
            <w:tcW w:w="501" w:type="pct"/>
            <w:tcBorders>
              <w:tl2br w:val="nil"/>
              <w:tr2bl w:val="nil"/>
            </w:tcBorders>
            <w:vAlign w:val="center"/>
          </w:tcPr>
          <w:p w14:paraId="4EC64C5D">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8</w:t>
            </w:r>
          </w:p>
        </w:tc>
        <w:tc>
          <w:tcPr>
            <w:tcW w:w="417" w:type="pct"/>
            <w:tcBorders>
              <w:tl2br w:val="nil"/>
              <w:tr2bl w:val="nil"/>
            </w:tcBorders>
            <w:vAlign w:val="center"/>
          </w:tcPr>
          <w:p w14:paraId="1F7BBAC1">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cs="Times New Roman"/>
                <w:bCs/>
                <w:color w:val="auto"/>
                <w:kern w:val="0"/>
                <w:sz w:val="21"/>
                <w:szCs w:val="21"/>
                <w:highlight w:val="none"/>
                <w:lang w:val="en-US" w:eastAsia="zh-CN"/>
              </w:rPr>
              <w:t>0</w:t>
            </w:r>
          </w:p>
        </w:tc>
      </w:tr>
      <w:tr w14:paraId="030D0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vAlign w:val="center"/>
          </w:tcPr>
          <w:p w14:paraId="100F0458">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w:t>
            </w:r>
          </w:p>
        </w:tc>
        <w:tc>
          <w:tcPr>
            <w:tcW w:w="830" w:type="pct"/>
            <w:vMerge w:val="continue"/>
            <w:tcBorders>
              <w:tl2br w:val="nil"/>
              <w:tr2bl w:val="nil"/>
            </w:tcBorders>
            <w:vAlign w:val="center"/>
          </w:tcPr>
          <w:p w14:paraId="206F147B">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32" w:type="pct"/>
            <w:vMerge w:val="continue"/>
            <w:tcBorders>
              <w:tl2br w:val="nil"/>
              <w:tr2bl w:val="nil"/>
            </w:tcBorders>
            <w:vAlign w:val="center"/>
          </w:tcPr>
          <w:p w14:paraId="54F25186">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079" w:type="pct"/>
            <w:vMerge w:val="continue"/>
            <w:tcBorders>
              <w:tl2br w:val="nil"/>
              <w:tr2bl w:val="nil"/>
            </w:tcBorders>
            <w:vAlign w:val="center"/>
          </w:tcPr>
          <w:p w14:paraId="7CBA58A0">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664" w:type="pct"/>
            <w:vMerge w:val="continue"/>
            <w:tcBorders>
              <w:tl2br w:val="nil"/>
              <w:tr2bl w:val="nil"/>
            </w:tcBorders>
            <w:vAlign w:val="center"/>
          </w:tcPr>
          <w:p w14:paraId="5AF58E5F">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839" w:type="pct"/>
            <w:tcBorders>
              <w:tl2br w:val="nil"/>
              <w:tr2bl w:val="nil"/>
            </w:tcBorders>
            <w:vAlign w:val="center"/>
          </w:tcPr>
          <w:p w14:paraId="35016F99">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指标最高浓度倍数</w:t>
            </w:r>
          </w:p>
        </w:tc>
        <w:tc>
          <w:tcPr>
            <w:tcW w:w="501" w:type="pct"/>
            <w:tcBorders>
              <w:tl2br w:val="nil"/>
              <w:tr2bl w:val="nil"/>
            </w:tcBorders>
            <w:vAlign w:val="center"/>
          </w:tcPr>
          <w:p w14:paraId="5107C250">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14</w:t>
            </w:r>
          </w:p>
        </w:tc>
        <w:tc>
          <w:tcPr>
            <w:tcW w:w="417" w:type="pct"/>
            <w:tcBorders>
              <w:tl2br w:val="nil"/>
              <w:tr2bl w:val="nil"/>
            </w:tcBorders>
            <w:vAlign w:val="center"/>
          </w:tcPr>
          <w:p w14:paraId="09680EAF">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cs="Times New Roman"/>
                <w:bCs/>
                <w:color w:val="auto"/>
                <w:kern w:val="0"/>
                <w:sz w:val="21"/>
                <w:szCs w:val="21"/>
                <w:highlight w:val="none"/>
                <w:lang w:val="en-US" w:eastAsia="zh-CN"/>
              </w:rPr>
              <w:t>0</w:t>
            </w:r>
          </w:p>
        </w:tc>
      </w:tr>
      <w:tr w14:paraId="203A5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vAlign w:val="center"/>
          </w:tcPr>
          <w:p w14:paraId="61FC56CC">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w:t>
            </w:r>
          </w:p>
        </w:tc>
        <w:tc>
          <w:tcPr>
            <w:tcW w:w="830" w:type="pct"/>
            <w:vMerge w:val="continue"/>
            <w:tcBorders>
              <w:tl2br w:val="nil"/>
              <w:tr2bl w:val="nil"/>
            </w:tcBorders>
            <w:vAlign w:val="center"/>
          </w:tcPr>
          <w:p w14:paraId="6F165CD2">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32" w:type="pct"/>
            <w:vMerge w:val="continue"/>
            <w:tcBorders>
              <w:tl2br w:val="nil"/>
              <w:tr2bl w:val="nil"/>
            </w:tcBorders>
            <w:vAlign w:val="center"/>
          </w:tcPr>
          <w:p w14:paraId="5BDB4C84">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079" w:type="pct"/>
            <w:vMerge w:val="continue"/>
            <w:tcBorders>
              <w:tl2br w:val="nil"/>
              <w:tr2bl w:val="nil"/>
            </w:tcBorders>
            <w:vAlign w:val="center"/>
          </w:tcPr>
          <w:p w14:paraId="2253AAFD">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504" w:type="pct"/>
            <w:gridSpan w:val="2"/>
            <w:tcBorders>
              <w:tl2br w:val="nil"/>
              <w:tr2bl w:val="nil"/>
            </w:tcBorders>
            <w:vAlign w:val="center"/>
          </w:tcPr>
          <w:p w14:paraId="070E29F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浓度倍数3倍及以上指标项数</w:t>
            </w:r>
          </w:p>
        </w:tc>
        <w:tc>
          <w:tcPr>
            <w:tcW w:w="501" w:type="pct"/>
            <w:tcBorders>
              <w:tl2br w:val="nil"/>
              <w:tr2bl w:val="nil"/>
            </w:tcBorders>
            <w:vAlign w:val="center"/>
          </w:tcPr>
          <w:p w14:paraId="27E13C8A">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6</w:t>
            </w:r>
          </w:p>
        </w:tc>
        <w:tc>
          <w:tcPr>
            <w:tcW w:w="417" w:type="pct"/>
            <w:tcBorders>
              <w:tl2br w:val="nil"/>
              <w:tr2bl w:val="nil"/>
            </w:tcBorders>
            <w:vAlign w:val="center"/>
          </w:tcPr>
          <w:p w14:paraId="00B8B29B">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cs="Times New Roman"/>
                <w:bCs/>
                <w:color w:val="auto"/>
                <w:kern w:val="0"/>
                <w:sz w:val="21"/>
                <w:szCs w:val="21"/>
                <w:highlight w:val="none"/>
                <w:lang w:val="en-US" w:eastAsia="zh-CN"/>
              </w:rPr>
              <w:t>0</w:t>
            </w:r>
          </w:p>
        </w:tc>
      </w:tr>
      <w:tr w14:paraId="30261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tcBorders>
              <w:tl2br w:val="nil"/>
              <w:tr2bl w:val="nil"/>
            </w:tcBorders>
            <w:vAlign w:val="center"/>
          </w:tcPr>
          <w:p w14:paraId="473D5487">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5</w:t>
            </w:r>
          </w:p>
        </w:tc>
        <w:tc>
          <w:tcPr>
            <w:tcW w:w="830" w:type="pct"/>
            <w:vMerge w:val="continue"/>
            <w:tcBorders>
              <w:tl2br w:val="nil"/>
              <w:tr2bl w:val="nil"/>
            </w:tcBorders>
            <w:vAlign w:val="center"/>
          </w:tcPr>
          <w:p w14:paraId="7F7E532C">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32" w:type="pct"/>
            <w:tcBorders>
              <w:tl2br w:val="nil"/>
              <w:tr2bl w:val="nil"/>
            </w:tcBorders>
            <w:vAlign w:val="center"/>
          </w:tcPr>
          <w:p w14:paraId="6838D27D">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规模</w:t>
            </w:r>
          </w:p>
        </w:tc>
        <w:tc>
          <w:tcPr>
            <w:tcW w:w="2583" w:type="pct"/>
            <w:gridSpan w:val="3"/>
            <w:tcBorders>
              <w:tl2br w:val="nil"/>
              <w:tr2bl w:val="nil"/>
            </w:tcBorders>
            <w:vAlign w:val="center"/>
          </w:tcPr>
          <w:p w14:paraId="2503CD8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现状库容</w:t>
            </w:r>
          </w:p>
        </w:tc>
        <w:tc>
          <w:tcPr>
            <w:tcW w:w="501" w:type="pct"/>
            <w:tcBorders>
              <w:tl2br w:val="nil"/>
              <w:tr2bl w:val="nil"/>
            </w:tcBorders>
            <w:vAlign w:val="center"/>
          </w:tcPr>
          <w:p w14:paraId="645699A3">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24</w:t>
            </w:r>
          </w:p>
        </w:tc>
        <w:tc>
          <w:tcPr>
            <w:tcW w:w="417" w:type="pct"/>
            <w:tcBorders>
              <w:tl2br w:val="nil"/>
              <w:tr2bl w:val="nil"/>
            </w:tcBorders>
            <w:vAlign w:val="center"/>
          </w:tcPr>
          <w:p w14:paraId="31245FE3">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cs="Times New Roman"/>
                <w:bCs/>
                <w:color w:val="auto"/>
                <w:kern w:val="0"/>
                <w:sz w:val="21"/>
                <w:szCs w:val="21"/>
                <w:highlight w:val="none"/>
                <w:lang w:val="en-US" w:eastAsia="zh-CN"/>
              </w:rPr>
              <w:t>18</w:t>
            </w:r>
          </w:p>
        </w:tc>
      </w:tr>
      <w:tr w14:paraId="50B80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2" w:type="pct"/>
            <w:gridSpan w:val="7"/>
            <w:tcBorders>
              <w:tl2br w:val="nil"/>
              <w:tr2bl w:val="nil"/>
            </w:tcBorders>
            <w:vAlign w:val="center"/>
          </w:tcPr>
          <w:p w14:paraId="7F79F4D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合计</w:t>
            </w:r>
          </w:p>
        </w:tc>
        <w:tc>
          <w:tcPr>
            <w:tcW w:w="417" w:type="pct"/>
            <w:tcBorders>
              <w:tl2br w:val="nil"/>
              <w:tr2bl w:val="nil"/>
            </w:tcBorders>
            <w:vAlign w:val="center"/>
          </w:tcPr>
          <w:p w14:paraId="6BECD3C3">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cs="Times New Roman"/>
                <w:bCs/>
                <w:color w:val="auto"/>
                <w:kern w:val="0"/>
                <w:sz w:val="21"/>
                <w:szCs w:val="21"/>
                <w:highlight w:val="none"/>
                <w:lang w:val="en-US" w:eastAsia="zh-CN"/>
              </w:rPr>
              <w:t>42</w:t>
            </w:r>
          </w:p>
        </w:tc>
      </w:tr>
    </w:tbl>
    <w:p w14:paraId="599B4E0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尾矿库等别划分见表5.3-</w:t>
      </w:r>
      <w:r>
        <w:rPr>
          <w:rFonts w:hint="default" w:cs="Times New Roman"/>
          <w:color w:val="auto"/>
          <w:highlight w:val="none"/>
          <w:lang w:val="en-US" w:eastAsia="zh-CN"/>
        </w:rPr>
        <w:t>7</w:t>
      </w:r>
      <w:r>
        <w:rPr>
          <w:rFonts w:hint="default" w:ascii="Times New Roman" w:hAnsi="Times New Roman" w:cs="Times New Roman"/>
          <w:color w:val="auto"/>
          <w:highlight w:val="none"/>
        </w:rPr>
        <w:t>。</w:t>
      </w:r>
    </w:p>
    <w:p w14:paraId="6B3CEFB7">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表5.3-</w:t>
      </w:r>
      <w:r>
        <w:rPr>
          <w:rFonts w:hint="default" w:cs="Times New Roman"/>
          <w:b/>
          <w:color w:val="auto"/>
          <w:kern w:val="0"/>
          <w:highlight w:val="none"/>
          <w:lang w:val="en-US" w:eastAsia="zh-CN"/>
        </w:rPr>
        <w:t>7</w:t>
      </w:r>
      <w:r>
        <w:rPr>
          <w:rFonts w:hint="default" w:ascii="Times New Roman" w:hAnsi="Times New Roman" w:cs="Times New Roman"/>
          <w:b/>
          <w:color w:val="auto"/>
          <w:kern w:val="0"/>
          <w:highlight w:val="none"/>
        </w:rPr>
        <w:t xml:space="preserve">    尾矿库环境危害性（H）等别划分表</w:t>
      </w:r>
    </w:p>
    <w:tbl>
      <w:tblPr>
        <w:tblStyle w:val="34"/>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7757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vAlign w:val="center"/>
          </w:tcPr>
          <w:p w14:paraId="5C342BA5">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尾矿库环境危害性得分（D</w:t>
            </w:r>
            <w:r>
              <w:rPr>
                <w:rFonts w:hint="default" w:ascii="Times New Roman" w:hAnsi="Times New Roman" w:cs="Times New Roman"/>
                <w:b/>
                <w:color w:val="auto"/>
                <w:kern w:val="0"/>
                <w:szCs w:val="21"/>
                <w:highlight w:val="none"/>
                <w:vertAlign w:val="subscript"/>
              </w:rPr>
              <w:t>H</w:t>
            </w:r>
            <w:r>
              <w:rPr>
                <w:rFonts w:hint="default" w:ascii="Times New Roman" w:hAnsi="Times New Roman" w:cs="Times New Roman"/>
                <w:b/>
                <w:color w:val="auto"/>
                <w:kern w:val="0"/>
                <w:szCs w:val="21"/>
                <w:highlight w:val="none"/>
              </w:rPr>
              <w:t>）</w:t>
            </w:r>
          </w:p>
        </w:tc>
        <w:tc>
          <w:tcPr>
            <w:tcW w:w="4261" w:type="dxa"/>
            <w:tcBorders>
              <w:tl2br w:val="nil"/>
              <w:tr2bl w:val="nil"/>
            </w:tcBorders>
            <w:vAlign w:val="center"/>
          </w:tcPr>
          <w:p w14:paraId="044ABC76">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尾矿库环境危害性等别代码</w:t>
            </w:r>
          </w:p>
        </w:tc>
      </w:tr>
      <w:tr w14:paraId="7C057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vAlign w:val="center"/>
          </w:tcPr>
          <w:p w14:paraId="44E1E58A">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D</w:t>
            </w:r>
            <w:r>
              <w:rPr>
                <w:rFonts w:hint="default" w:ascii="Times New Roman" w:hAnsi="Times New Roman" w:cs="Times New Roman"/>
                <w:bCs/>
                <w:color w:val="auto"/>
                <w:kern w:val="0"/>
                <w:szCs w:val="21"/>
                <w:highlight w:val="none"/>
                <w:vertAlign w:val="subscript"/>
              </w:rPr>
              <w:t>H</w:t>
            </w:r>
            <w:r>
              <w:rPr>
                <w:rFonts w:hint="default" w:ascii="Times New Roman" w:hAnsi="Times New Roman" w:cs="Times New Roman"/>
                <w:bCs/>
                <w:color w:val="auto"/>
                <w:kern w:val="0"/>
                <w:szCs w:val="21"/>
                <w:highlight w:val="none"/>
              </w:rPr>
              <w:t>&gt;60</w:t>
            </w:r>
          </w:p>
        </w:tc>
        <w:tc>
          <w:tcPr>
            <w:tcW w:w="4261" w:type="dxa"/>
            <w:tcBorders>
              <w:tl2br w:val="nil"/>
              <w:tr2bl w:val="nil"/>
            </w:tcBorders>
            <w:vAlign w:val="center"/>
          </w:tcPr>
          <w:p w14:paraId="1367D8E8">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H1</w:t>
            </w:r>
          </w:p>
        </w:tc>
      </w:tr>
      <w:tr w14:paraId="7B02B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vAlign w:val="center"/>
          </w:tcPr>
          <w:p w14:paraId="481686D6">
            <w:pPr>
              <w:pStyle w:val="32"/>
              <w:spacing w:after="0" w:line="360" w:lineRule="exact"/>
              <w:ind w:left="0" w:leftChars="0" w:firstLine="0" w:firstLineChars="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kern w:val="0"/>
                <w:szCs w:val="21"/>
                <w:highlight w:val="none"/>
              </w:rPr>
              <w:t>30&lt;D</w:t>
            </w:r>
            <w:r>
              <w:rPr>
                <w:rFonts w:hint="default" w:ascii="Times New Roman" w:hAnsi="Times New Roman" w:cs="Times New Roman"/>
                <w:b/>
                <w:bCs w:val="0"/>
                <w:color w:val="auto"/>
                <w:kern w:val="0"/>
                <w:szCs w:val="21"/>
                <w:highlight w:val="none"/>
                <w:vertAlign w:val="subscript"/>
              </w:rPr>
              <w:t>H</w:t>
            </w:r>
            <w:r>
              <w:rPr>
                <w:rFonts w:hint="default" w:ascii="Times New Roman" w:hAnsi="Times New Roman" w:cs="Times New Roman"/>
                <w:b/>
                <w:bCs w:val="0"/>
                <w:color w:val="auto"/>
                <w:kern w:val="0"/>
                <w:szCs w:val="21"/>
                <w:highlight w:val="none"/>
              </w:rPr>
              <w:t>≦60</w:t>
            </w:r>
          </w:p>
        </w:tc>
        <w:tc>
          <w:tcPr>
            <w:tcW w:w="4261" w:type="dxa"/>
            <w:tcBorders>
              <w:tl2br w:val="nil"/>
              <w:tr2bl w:val="nil"/>
            </w:tcBorders>
            <w:vAlign w:val="center"/>
          </w:tcPr>
          <w:p w14:paraId="2F89E959">
            <w:pPr>
              <w:pStyle w:val="32"/>
              <w:spacing w:after="0" w:line="360" w:lineRule="exact"/>
              <w:ind w:left="0" w:leftChars="0" w:firstLine="0" w:firstLineChars="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H2</w:t>
            </w:r>
          </w:p>
        </w:tc>
      </w:tr>
      <w:tr w14:paraId="06279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vAlign w:val="center"/>
          </w:tcPr>
          <w:p w14:paraId="657FF32A">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D</w:t>
            </w:r>
            <w:r>
              <w:rPr>
                <w:rFonts w:hint="default" w:ascii="Times New Roman" w:hAnsi="Times New Roman" w:cs="Times New Roman"/>
                <w:bCs/>
                <w:color w:val="auto"/>
                <w:kern w:val="0"/>
                <w:szCs w:val="21"/>
                <w:highlight w:val="none"/>
                <w:vertAlign w:val="subscript"/>
              </w:rPr>
              <w:t>H</w:t>
            </w:r>
            <w:r>
              <w:rPr>
                <w:rFonts w:hint="default" w:ascii="Times New Roman" w:hAnsi="Times New Roman" w:cs="Times New Roman"/>
                <w:bCs/>
                <w:color w:val="auto"/>
                <w:kern w:val="0"/>
                <w:szCs w:val="21"/>
                <w:highlight w:val="none"/>
              </w:rPr>
              <w:t>≦30</w:t>
            </w:r>
          </w:p>
        </w:tc>
        <w:tc>
          <w:tcPr>
            <w:tcW w:w="4261" w:type="dxa"/>
            <w:tcBorders>
              <w:tl2br w:val="nil"/>
              <w:tr2bl w:val="nil"/>
            </w:tcBorders>
            <w:vAlign w:val="center"/>
          </w:tcPr>
          <w:p w14:paraId="53F177F2">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H3</w:t>
            </w:r>
          </w:p>
        </w:tc>
      </w:tr>
    </w:tbl>
    <w:p w14:paraId="277FFD5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根据《尾矿库环境风险评估技术导则（试行）》（HJ740-2015）附录B中各指标评分方法，</w:t>
      </w:r>
      <w:r>
        <w:rPr>
          <w:rFonts w:hint="default" w:ascii="Times New Roman" w:hAnsi="Times New Roman" w:cs="Times New Roman"/>
          <w:color w:val="auto"/>
          <w:highlight w:val="none"/>
          <w:lang w:val="zh-CN" w:bidi="ar"/>
        </w:rPr>
        <w:t>本项目尾矿库属于金矿，为贵金属矿种，采用</w:t>
      </w:r>
      <w:r>
        <w:rPr>
          <w:rFonts w:hint="default" w:ascii="Times New Roman" w:hAnsi="Times New Roman" w:cs="Times New Roman"/>
          <w:color w:val="auto"/>
          <w:highlight w:val="none"/>
          <w:lang w:bidi="ar"/>
        </w:rPr>
        <w:t>无氰化物选矿工艺，</w:t>
      </w:r>
      <w:r>
        <w:rPr>
          <w:rFonts w:hint="default" w:ascii="Times New Roman" w:hAnsi="Times New Roman" w:cs="Times New Roman"/>
          <w:color w:val="auto"/>
          <w:highlight w:val="none"/>
          <w:lang w:val="zh-CN" w:bidi="ar"/>
        </w:rPr>
        <w:t>评分取</w:t>
      </w:r>
      <w:r>
        <w:rPr>
          <w:rFonts w:hint="default" w:ascii="Times New Roman" w:hAnsi="Times New Roman" w:cs="Times New Roman"/>
          <w:color w:val="auto"/>
          <w:highlight w:val="none"/>
          <w:lang w:bidi="ar"/>
        </w:rPr>
        <w:t>24</w:t>
      </w:r>
      <w:r>
        <w:rPr>
          <w:rFonts w:hint="default" w:ascii="Times New Roman" w:hAnsi="Times New Roman" w:cs="Times New Roman"/>
          <w:color w:val="auto"/>
          <w:highlight w:val="none"/>
          <w:lang w:val="zh-CN" w:bidi="ar"/>
        </w:rPr>
        <w:t>；特征污染物指标pH介于6～9，评分取0；所有污染物浓度指标倍数均在3倍以下，评分取0；浓度倍数3倍及以上的指标项数为</w:t>
      </w:r>
      <w:r>
        <w:rPr>
          <w:rFonts w:hint="default" w:ascii="Times New Roman" w:hAnsi="Times New Roman" w:cs="Times New Roman"/>
          <w:color w:val="auto"/>
          <w:highlight w:val="none"/>
          <w:lang w:bidi="ar"/>
        </w:rPr>
        <w:t>无</w:t>
      </w:r>
      <w:r>
        <w:rPr>
          <w:rFonts w:hint="default" w:ascii="Times New Roman" w:hAnsi="Times New Roman" w:cs="Times New Roman"/>
          <w:color w:val="auto"/>
          <w:highlight w:val="none"/>
          <w:lang w:val="zh-CN" w:bidi="ar"/>
        </w:rPr>
        <w:t>，评分取0；尾矿库</w:t>
      </w:r>
      <w:r>
        <w:rPr>
          <w:rFonts w:hint="default" w:ascii="Times New Roman" w:hAnsi="Times New Roman" w:cs="Times New Roman"/>
          <w:color w:val="auto"/>
          <w:kern w:val="21"/>
          <w:szCs w:val="24"/>
          <w:highlight w:val="none"/>
          <w:lang w:bidi="ar"/>
        </w:rPr>
        <w:t>总库容</w:t>
      </w:r>
      <w:r>
        <w:rPr>
          <w:rFonts w:hint="default" w:ascii="Times New Roman" w:hAnsi="Times New Roman" w:cs="Times New Roman"/>
          <w:color w:val="auto"/>
          <w:highlight w:val="none"/>
          <w:lang w:val="en-US" w:eastAsia="zh-CN"/>
        </w:rPr>
        <w:t>大于等于1000万方，小于3000万方</w:t>
      </w:r>
      <w:r>
        <w:rPr>
          <w:rFonts w:hint="default" w:ascii="Times New Roman" w:hAnsi="Times New Roman" w:cs="Times New Roman"/>
          <w:color w:val="auto"/>
          <w:highlight w:val="none"/>
          <w:lang w:val="zh-CN" w:bidi="ar"/>
        </w:rPr>
        <w:t>，评分取</w:t>
      </w:r>
      <w:r>
        <w:rPr>
          <w:rFonts w:hint="default" w:ascii="Times New Roman" w:hAnsi="Times New Roman" w:cs="Times New Roman"/>
          <w:color w:val="auto"/>
          <w:highlight w:val="none"/>
          <w:lang w:val="en-US" w:eastAsia="zh-CN" w:bidi="ar"/>
        </w:rPr>
        <w:t>18</w:t>
      </w:r>
      <w:r>
        <w:rPr>
          <w:rFonts w:hint="default" w:ascii="Times New Roman" w:hAnsi="Times New Roman" w:cs="Times New Roman"/>
          <w:color w:val="auto"/>
          <w:highlight w:val="none"/>
          <w:lang w:val="zh-CN" w:bidi="ar"/>
        </w:rPr>
        <w:t>，由此得出总得分为</w:t>
      </w:r>
      <w:r>
        <w:rPr>
          <w:rFonts w:hint="default" w:ascii="Times New Roman" w:hAnsi="Times New Roman" w:cs="Times New Roman"/>
          <w:color w:val="auto"/>
          <w:highlight w:val="none"/>
          <w:lang w:val="en-US" w:eastAsia="zh-CN" w:bidi="ar"/>
        </w:rPr>
        <w:t>42</w:t>
      </w:r>
      <w:r>
        <w:rPr>
          <w:rFonts w:hint="default" w:ascii="Times New Roman" w:hAnsi="Times New Roman" w:cs="Times New Roman"/>
          <w:color w:val="auto"/>
          <w:highlight w:val="none"/>
          <w:lang w:val="zh-CN" w:bidi="ar"/>
        </w:rPr>
        <w:t>，尾矿库环境危险性等别为H</w:t>
      </w:r>
      <w:r>
        <w:rPr>
          <w:rFonts w:hint="default" w:ascii="Times New Roman" w:hAnsi="Times New Roman" w:cs="Times New Roman"/>
          <w:color w:val="auto"/>
          <w:highlight w:val="none"/>
          <w:lang w:val="en-US" w:eastAsia="zh-CN" w:bidi="ar"/>
        </w:rPr>
        <w:t>2</w:t>
      </w:r>
      <w:r>
        <w:rPr>
          <w:rFonts w:hint="default" w:ascii="Times New Roman" w:hAnsi="Times New Roman" w:cs="Times New Roman"/>
          <w:color w:val="auto"/>
          <w:highlight w:val="none"/>
          <w:lang w:val="zh-CN" w:bidi="ar"/>
        </w:rPr>
        <w:t>。</w:t>
      </w:r>
    </w:p>
    <w:p w14:paraId="4F60C8B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②周边环境敏感性</w:t>
      </w:r>
    </w:p>
    <w:p w14:paraId="2E53BC9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采用评分方法，对尾矿库下游涉及的跨界情况、周边环境风险受体情况、周边环境功能类别情况三方面指标进行评分与累加求和，评估尾矿库周边环境敏感性（S），尾矿库周边环境敏感性等别划分体系见表5.3-</w:t>
      </w:r>
      <w:r>
        <w:rPr>
          <w:rFonts w:hint="default" w:cs="Times New Roman"/>
          <w:color w:val="auto"/>
          <w:highlight w:val="none"/>
          <w:lang w:val="en-US" w:eastAsia="zh-CN"/>
        </w:rPr>
        <w:t>8</w:t>
      </w:r>
      <w:r>
        <w:rPr>
          <w:rFonts w:hint="default" w:ascii="Times New Roman" w:hAnsi="Times New Roman" w:cs="Times New Roman"/>
          <w:color w:val="auto"/>
          <w:highlight w:val="none"/>
        </w:rPr>
        <w:t>。</w:t>
      </w:r>
    </w:p>
    <w:p w14:paraId="47A14CD9">
      <w:pPr>
        <w:overflowPunct w:val="0"/>
        <w:topLinePun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表5.3-</w:t>
      </w:r>
      <w:r>
        <w:rPr>
          <w:rFonts w:hint="default" w:cs="Times New Roman"/>
          <w:b/>
          <w:color w:val="auto"/>
          <w:kern w:val="0"/>
          <w:highlight w:val="none"/>
          <w:lang w:val="en-US" w:eastAsia="zh-CN"/>
        </w:rPr>
        <w:t>8</w:t>
      </w:r>
      <w:r>
        <w:rPr>
          <w:rFonts w:hint="default" w:ascii="Times New Roman" w:hAnsi="Times New Roman" w:cs="Times New Roman"/>
          <w:b/>
          <w:color w:val="auto"/>
          <w:kern w:val="0"/>
          <w:highlight w:val="none"/>
        </w:rPr>
        <w:t xml:space="preserve">    尾矿库周边环境敏感性（S）等别划分指标体系</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807"/>
        <w:gridCol w:w="1807"/>
        <w:gridCol w:w="733"/>
        <w:gridCol w:w="885"/>
        <w:gridCol w:w="735"/>
        <w:gridCol w:w="891"/>
        <w:gridCol w:w="1086"/>
      </w:tblGrid>
      <w:tr w14:paraId="26D5A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0" w:type="pct"/>
            <w:tcBorders>
              <w:tl2br w:val="nil"/>
              <w:tr2bl w:val="nil"/>
            </w:tcBorders>
            <w:vAlign w:val="center"/>
          </w:tcPr>
          <w:p w14:paraId="47F6473A">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序号</w:t>
            </w:r>
          </w:p>
        </w:tc>
        <w:tc>
          <w:tcPr>
            <w:tcW w:w="3500" w:type="pct"/>
            <w:gridSpan w:val="5"/>
            <w:tcBorders>
              <w:tl2br w:val="nil"/>
              <w:tr2bl w:val="nil"/>
            </w:tcBorders>
            <w:vAlign w:val="center"/>
          </w:tcPr>
          <w:p w14:paraId="0BDF9D05">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指标项目</w:t>
            </w:r>
          </w:p>
        </w:tc>
        <w:tc>
          <w:tcPr>
            <w:tcW w:w="521" w:type="pct"/>
            <w:tcBorders>
              <w:tl2br w:val="nil"/>
              <w:tr2bl w:val="nil"/>
            </w:tcBorders>
            <w:vAlign w:val="center"/>
          </w:tcPr>
          <w:p w14:paraId="0B85A466">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指标分值</w:t>
            </w:r>
          </w:p>
        </w:tc>
        <w:tc>
          <w:tcPr>
            <w:tcW w:w="637" w:type="pct"/>
            <w:tcBorders>
              <w:tl2br w:val="nil"/>
              <w:tr2bl w:val="nil"/>
            </w:tcBorders>
            <w:vAlign w:val="center"/>
          </w:tcPr>
          <w:p w14:paraId="6DFB6487">
            <w:pPr>
              <w:spacing w:line="360" w:lineRule="exact"/>
              <w:ind w:firstLine="0" w:firstLineChars="0"/>
              <w:jc w:val="center"/>
              <w:rPr>
                <w:rFonts w:hint="default" w:ascii="Times New Roman" w:hAnsi="Times New Roman" w:eastAsia="宋体" w:cs="Times New Roman"/>
                <w:b/>
                <w:color w:val="auto"/>
                <w:kern w:val="0"/>
                <w:sz w:val="21"/>
                <w:szCs w:val="21"/>
                <w:highlight w:val="none"/>
                <w:lang w:eastAsia="zh-CN"/>
              </w:rPr>
            </w:pPr>
            <w:r>
              <w:rPr>
                <w:rFonts w:hint="default" w:cs="Times New Roman"/>
                <w:b/>
                <w:color w:val="auto"/>
                <w:kern w:val="0"/>
                <w:sz w:val="21"/>
                <w:szCs w:val="21"/>
                <w:highlight w:val="none"/>
                <w:lang w:val="en-US" w:eastAsia="zh-CN"/>
              </w:rPr>
              <w:t>本项目</w:t>
            </w:r>
          </w:p>
        </w:tc>
      </w:tr>
      <w:tr w14:paraId="5B0C8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11814B3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w:t>
            </w:r>
          </w:p>
        </w:tc>
        <w:tc>
          <w:tcPr>
            <w:tcW w:w="1060" w:type="pct"/>
            <w:vMerge w:val="restart"/>
            <w:tcBorders>
              <w:tl2br w:val="nil"/>
              <w:tr2bl w:val="nil"/>
            </w:tcBorders>
            <w:vAlign w:val="center"/>
          </w:tcPr>
          <w:p w14:paraId="484BEDC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尾矿库周边环境敏感性</w:t>
            </w:r>
          </w:p>
        </w:tc>
        <w:tc>
          <w:tcPr>
            <w:tcW w:w="1060" w:type="pct"/>
            <w:vMerge w:val="restart"/>
            <w:tcBorders>
              <w:tl2br w:val="nil"/>
              <w:tr2bl w:val="nil"/>
            </w:tcBorders>
            <w:vAlign w:val="center"/>
          </w:tcPr>
          <w:p w14:paraId="1948EF8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下游涉及的跨界情况</w:t>
            </w:r>
          </w:p>
        </w:tc>
        <w:tc>
          <w:tcPr>
            <w:tcW w:w="1379" w:type="pct"/>
            <w:gridSpan w:val="3"/>
            <w:tcBorders>
              <w:tl2br w:val="nil"/>
              <w:tr2bl w:val="nil"/>
            </w:tcBorders>
            <w:vAlign w:val="center"/>
          </w:tcPr>
          <w:p w14:paraId="52576C8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涉及跨界类型</w:t>
            </w:r>
          </w:p>
        </w:tc>
        <w:tc>
          <w:tcPr>
            <w:tcW w:w="521" w:type="pct"/>
            <w:tcBorders>
              <w:tl2br w:val="nil"/>
              <w:tr2bl w:val="nil"/>
            </w:tcBorders>
            <w:vAlign w:val="center"/>
          </w:tcPr>
          <w:p w14:paraId="79FF19B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w:t>
            </w:r>
          </w:p>
        </w:tc>
        <w:tc>
          <w:tcPr>
            <w:tcW w:w="637" w:type="pct"/>
            <w:tcBorders>
              <w:tl2br w:val="nil"/>
              <w:tr2bl w:val="nil"/>
            </w:tcBorders>
            <w:vAlign w:val="center"/>
          </w:tcPr>
          <w:p w14:paraId="7F310D4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w:t>
            </w:r>
          </w:p>
        </w:tc>
      </w:tr>
      <w:tr w14:paraId="404C7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6CE8188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w:t>
            </w:r>
          </w:p>
        </w:tc>
        <w:tc>
          <w:tcPr>
            <w:tcW w:w="1060" w:type="pct"/>
            <w:vMerge w:val="continue"/>
            <w:tcBorders>
              <w:tl2br w:val="nil"/>
              <w:tr2bl w:val="nil"/>
            </w:tcBorders>
            <w:vAlign w:val="center"/>
          </w:tcPr>
          <w:p w14:paraId="3432C69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60" w:type="pct"/>
            <w:vMerge w:val="continue"/>
            <w:tcBorders>
              <w:tl2br w:val="nil"/>
              <w:tr2bl w:val="nil"/>
            </w:tcBorders>
            <w:vAlign w:val="center"/>
          </w:tcPr>
          <w:p w14:paraId="483ECA8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379" w:type="pct"/>
            <w:gridSpan w:val="3"/>
            <w:tcBorders>
              <w:tl2br w:val="nil"/>
              <w:tr2bl w:val="nil"/>
            </w:tcBorders>
            <w:vAlign w:val="center"/>
          </w:tcPr>
          <w:p w14:paraId="1276564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涉及跨界距离</w:t>
            </w:r>
          </w:p>
        </w:tc>
        <w:tc>
          <w:tcPr>
            <w:tcW w:w="521" w:type="pct"/>
            <w:tcBorders>
              <w:tl2br w:val="nil"/>
              <w:tr2bl w:val="nil"/>
            </w:tcBorders>
            <w:vAlign w:val="center"/>
          </w:tcPr>
          <w:p w14:paraId="6DE9DFD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w:t>
            </w:r>
          </w:p>
        </w:tc>
        <w:tc>
          <w:tcPr>
            <w:tcW w:w="637" w:type="pct"/>
            <w:tcBorders>
              <w:tl2br w:val="nil"/>
              <w:tr2bl w:val="nil"/>
            </w:tcBorders>
            <w:vAlign w:val="center"/>
          </w:tcPr>
          <w:p w14:paraId="15AC976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w:t>
            </w:r>
          </w:p>
        </w:tc>
      </w:tr>
      <w:tr w14:paraId="2246C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47AE83F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w:t>
            </w:r>
          </w:p>
        </w:tc>
        <w:tc>
          <w:tcPr>
            <w:tcW w:w="1060" w:type="pct"/>
            <w:vMerge w:val="continue"/>
            <w:tcBorders>
              <w:tl2br w:val="nil"/>
              <w:tr2bl w:val="nil"/>
            </w:tcBorders>
            <w:vAlign w:val="center"/>
          </w:tcPr>
          <w:p w14:paraId="124D7F5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2440" w:type="pct"/>
            <w:gridSpan w:val="4"/>
            <w:tcBorders>
              <w:tl2br w:val="nil"/>
              <w:tr2bl w:val="nil"/>
            </w:tcBorders>
            <w:vAlign w:val="center"/>
          </w:tcPr>
          <w:p w14:paraId="622998A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周边环境风险受体情况</w:t>
            </w:r>
          </w:p>
        </w:tc>
        <w:tc>
          <w:tcPr>
            <w:tcW w:w="521" w:type="pct"/>
            <w:tcBorders>
              <w:tl2br w:val="nil"/>
              <w:tr2bl w:val="nil"/>
            </w:tcBorders>
            <w:vAlign w:val="center"/>
          </w:tcPr>
          <w:p w14:paraId="54D0C60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54</w:t>
            </w:r>
          </w:p>
        </w:tc>
        <w:tc>
          <w:tcPr>
            <w:tcW w:w="637" w:type="pct"/>
            <w:tcBorders>
              <w:tl2br w:val="nil"/>
              <w:tr2bl w:val="nil"/>
            </w:tcBorders>
            <w:vAlign w:val="center"/>
          </w:tcPr>
          <w:p w14:paraId="1E916DB6">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eastAsia="zh-CN"/>
              </w:rPr>
            </w:pPr>
            <w:r>
              <w:rPr>
                <w:rFonts w:hint="default" w:cs="Times New Roman"/>
                <w:bCs/>
                <w:color w:val="auto"/>
                <w:kern w:val="0"/>
                <w:szCs w:val="21"/>
                <w:highlight w:val="none"/>
                <w:lang w:val="en-US" w:eastAsia="zh-CN"/>
              </w:rPr>
              <w:t>0</w:t>
            </w:r>
          </w:p>
        </w:tc>
      </w:tr>
      <w:tr w14:paraId="27201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0528707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w:t>
            </w:r>
          </w:p>
        </w:tc>
        <w:tc>
          <w:tcPr>
            <w:tcW w:w="1060" w:type="pct"/>
            <w:vMerge w:val="continue"/>
            <w:tcBorders>
              <w:tl2br w:val="nil"/>
              <w:tr2bl w:val="nil"/>
            </w:tcBorders>
            <w:vAlign w:val="center"/>
          </w:tcPr>
          <w:p w14:paraId="40B01D1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60" w:type="pct"/>
            <w:vMerge w:val="restart"/>
            <w:tcBorders>
              <w:tl2br w:val="nil"/>
              <w:tr2bl w:val="nil"/>
            </w:tcBorders>
            <w:vAlign w:val="center"/>
          </w:tcPr>
          <w:p w14:paraId="62E7854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周边环境功能类别情况</w:t>
            </w:r>
          </w:p>
        </w:tc>
        <w:tc>
          <w:tcPr>
            <w:tcW w:w="430" w:type="pct"/>
            <w:vMerge w:val="restart"/>
            <w:tcBorders>
              <w:tl2br w:val="nil"/>
              <w:tr2bl w:val="nil"/>
            </w:tcBorders>
            <w:vAlign w:val="center"/>
          </w:tcPr>
          <w:p w14:paraId="584368F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水环境</w:t>
            </w:r>
          </w:p>
        </w:tc>
        <w:tc>
          <w:tcPr>
            <w:tcW w:w="519" w:type="pct"/>
            <w:vMerge w:val="restart"/>
            <w:tcBorders>
              <w:tl2br w:val="nil"/>
              <w:tr2bl w:val="nil"/>
            </w:tcBorders>
            <w:vAlign w:val="center"/>
          </w:tcPr>
          <w:p w14:paraId="7B4C8D9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下游水体</w:t>
            </w:r>
          </w:p>
        </w:tc>
        <w:tc>
          <w:tcPr>
            <w:tcW w:w="430" w:type="pct"/>
            <w:tcBorders>
              <w:tl2br w:val="nil"/>
              <w:tr2bl w:val="nil"/>
            </w:tcBorders>
            <w:vAlign w:val="center"/>
          </w:tcPr>
          <w:p w14:paraId="17BC5C0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地表水</w:t>
            </w:r>
          </w:p>
        </w:tc>
        <w:tc>
          <w:tcPr>
            <w:tcW w:w="521" w:type="pct"/>
            <w:vMerge w:val="restart"/>
            <w:tcBorders>
              <w:tl2br w:val="nil"/>
              <w:tr2bl w:val="nil"/>
            </w:tcBorders>
            <w:vAlign w:val="center"/>
          </w:tcPr>
          <w:p w14:paraId="4333ECE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9</w:t>
            </w:r>
          </w:p>
        </w:tc>
        <w:tc>
          <w:tcPr>
            <w:tcW w:w="637" w:type="pct"/>
            <w:tcBorders>
              <w:tl2br w:val="nil"/>
              <w:tr2bl w:val="nil"/>
            </w:tcBorders>
            <w:vAlign w:val="center"/>
          </w:tcPr>
          <w:p w14:paraId="3CF15247">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eastAsia="zh-CN"/>
              </w:rPr>
            </w:pPr>
            <w:r>
              <w:rPr>
                <w:rFonts w:hint="default" w:cs="Times New Roman"/>
                <w:bCs/>
                <w:color w:val="auto"/>
                <w:kern w:val="0"/>
                <w:szCs w:val="21"/>
                <w:highlight w:val="none"/>
                <w:lang w:val="en-US" w:eastAsia="zh-CN"/>
              </w:rPr>
              <w:t>0</w:t>
            </w:r>
          </w:p>
        </w:tc>
      </w:tr>
      <w:tr w14:paraId="2F3CD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5F6C31D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w:t>
            </w:r>
          </w:p>
        </w:tc>
        <w:tc>
          <w:tcPr>
            <w:tcW w:w="1060" w:type="pct"/>
            <w:vMerge w:val="continue"/>
            <w:tcBorders>
              <w:tl2br w:val="nil"/>
              <w:tr2bl w:val="nil"/>
            </w:tcBorders>
            <w:vAlign w:val="center"/>
          </w:tcPr>
          <w:p w14:paraId="642D604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60" w:type="pct"/>
            <w:vMerge w:val="continue"/>
            <w:tcBorders>
              <w:tl2br w:val="nil"/>
              <w:tr2bl w:val="nil"/>
            </w:tcBorders>
            <w:vAlign w:val="center"/>
          </w:tcPr>
          <w:p w14:paraId="1647021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430" w:type="pct"/>
            <w:vMerge w:val="continue"/>
            <w:tcBorders>
              <w:tl2br w:val="nil"/>
              <w:tr2bl w:val="nil"/>
            </w:tcBorders>
            <w:vAlign w:val="center"/>
          </w:tcPr>
          <w:p w14:paraId="40D5C46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519" w:type="pct"/>
            <w:vMerge w:val="continue"/>
            <w:tcBorders>
              <w:tl2br w:val="nil"/>
              <w:tr2bl w:val="nil"/>
            </w:tcBorders>
            <w:vAlign w:val="center"/>
          </w:tcPr>
          <w:p w14:paraId="294316D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430" w:type="pct"/>
            <w:tcBorders>
              <w:tl2br w:val="nil"/>
              <w:tr2bl w:val="nil"/>
            </w:tcBorders>
            <w:vAlign w:val="center"/>
          </w:tcPr>
          <w:p w14:paraId="7DD8EC2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海水</w:t>
            </w:r>
          </w:p>
        </w:tc>
        <w:tc>
          <w:tcPr>
            <w:tcW w:w="521" w:type="pct"/>
            <w:vMerge w:val="continue"/>
            <w:tcBorders>
              <w:tl2br w:val="nil"/>
              <w:tr2bl w:val="nil"/>
            </w:tcBorders>
            <w:vAlign w:val="center"/>
          </w:tcPr>
          <w:p w14:paraId="34BD84B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637" w:type="pct"/>
            <w:tcBorders>
              <w:tl2br w:val="nil"/>
              <w:tr2bl w:val="nil"/>
            </w:tcBorders>
            <w:vAlign w:val="center"/>
          </w:tcPr>
          <w:p w14:paraId="4238F42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w:t>
            </w:r>
          </w:p>
        </w:tc>
      </w:tr>
      <w:tr w14:paraId="2ED52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0486B28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w:t>
            </w:r>
          </w:p>
        </w:tc>
        <w:tc>
          <w:tcPr>
            <w:tcW w:w="1060" w:type="pct"/>
            <w:vMerge w:val="continue"/>
            <w:tcBorders>
              <w:tl2br w:val="nil"/>
              <w:tr2bl w:val="nil"/>
            </w:tcBorders>
            <w:vAlign w:val="center"/>
          </w:tcPr>
          <w:p w14:paraId="22D22B6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60" w:type="pct"/>
            <w:vMerge w:val="continue"/>
            <w:tcBorders>
              <w:tl2br w:val="nil"/>
              <w:tr2bl w:val="nil"/>
            </w:tcBorders>
            <w:vAlign w:val="center"/>
          </w:tcPr>
          <w:p w14:paraId="689D847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430" w:type="pct"/>
            <w:vMerge w:val="continue"/>
            <w:tcBorders>
              <w:tl2br w:val="nil"/>
              <w:tr2bl w:val="nil"/>
            </w:tcBorders>
            <w:vAlign w:val="center"/>
          </w:tcPr>
          <w:p w14:paraId="7FFC7C7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949" w:type="pct"/>
            <w:gridSpan w:val="2"/>
            <w:tcBorders>
              <w:tl2br w:val="nil"/>
              <w:tr2bl w:val="nil"/>
            </w:tcBorders>
            <w:vAlign w:val="center"/>
          </w:tcPr>
          <w:p w14:paraId="6CF5DC5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地下水</w:t>
            </w:r>
          </w:p>
        </w:tc>
        <w:tc>
          <w:tcPr>
            <w:tcW w:w="521" w:type="pct"/>
            <w:tcBorders>
              <w:tl2br w:val="nil"/>
              <w:tr2bl w:val="nil"/>
            </w:tcBorders>
            <w:vAlign w:val="center"/>
          </w:tcPr>
          <w:p w14:paraId="6E8208F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w:t>
            </w:r>
          </w:p>
        </w:tc>
        <w:tc>
          <w:tcPr>
            <w:tcW w:w="637" w:type="pct"/>
            <w:tcBorders>
              <w:tl2br w:val="nil"/>
              <w:tr2bl w:val="nil"/>
            </w:tcBorders>
            <w:vAlign w:val="center"/>
          </w:tcPr>
          <w:p w14:paraId="763712C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w:t>
            </w:r>
          </w:p>
        </w:tc>
      </w:tr>
      <w:tr w14:paraId="74B4E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553324E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7</w:t>
            </w:r>
          </w:p>
        </w:tc>
        <w:tc>
          <w:tcPr>
            <w:tcW w:w="1060" w:type="pct"/>
            <w:vMerge w:val="continue"/>
            <w:tcBorders>
              <w:tl2br w:val="nil"/>
              <w:tr2bl w:val="nil"/>
            </w:tcBorders>
            <w:vAlign w:val="center"/>
          </w:tcPr>
          <w:p w14:paraId="5EB802A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60" w:type="pct"/>
            <w:vMerge w:val="continue"/>
            <w:tcBorders>
              <w:tl2br w:val="nil"/>
              <w:tr2bl w:val="nil"/>
            </w:tcBorders>
            <w:vAlign w:val="center"/>
          </w:tcPr>
          <w:p w14:paraId="576FEBE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379" w:type="pct"/>
            <w:gridSpan w:val="3"/>
            <w:tcBorders>
              <w:tl2br w:val="nil"/>
              <w:tr2bl w:val="nil"/>
            </w:tcBorders>
            <w:vAlign w:val="center"/>
          </w:tcPr>
          <w:p w14:paraId="05CF68C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土壤环境</w:t>
            </w:r>
          </w:p>
        </w:tc>
        <w:tc>
          <w:tcPr>
            <w:tcW w:w="521" w:type="pct"/>
            <w:tcBorders>
              <w:tl2br w:val="nil"/>
              <w:tr2bl w:val="nil"/>
            </w:tcBorders>
            <w:vAlign w:val="center"/>
          </w:tcPr>
          <w:p w14:paraId="1399169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w:t>
            </w:r>
          </w:p>
        </w:tc>
        <w:tc>
          <w:tcPr>
            <w:tcW w:w="637" w:type="pct"/>
            <w:tcBorders>
              <w:tl2br w:val="nil"/>
              <w:tr2bl w:val="nil"/>
            </w:tcBorders>
            <w:vAlign w:val="center"/>
          </w:tcPr>
          <w:p w14:paraId="11F1D6C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w:t>
            </w:r>
          </w:p>
        </w:tc>
      </w:tr>
      <w:tr w14:paraId="63E3B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l2br w:val="nil"/>
              <w:tr2bl w:val="nil"/>
            </w:tcBorders>
            <w:vAlign w:val="center"/>
          </w:tcPr>
          <w:p w14:paraId="12A7D47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8</w:t>
            </w:r>
          </w:p>
        </w:tc>
        <w:tc>
          <w:tcPr>
            <w:tcW w:w="1060" w:type="pct"/>
            <w:vMerge w:val="continue"/>
            <w:tcBorders>
              <w:tl2br w:val="nil"/>
              <w:tr2bl w:val="nil"/>
            </w:tcBorders>
            <w:vAlign w:val="center"/>
          </w:tcPr>
          <w:p w14:paraId="6C26757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60" w:type="pct"/>
            <w:vMerge w:val="continue"/>
            <w:tcBorders>
              <w:tl2br w:val="nil"/>
              <w:tr2bl w:val="nil"/>
            </w:tcBorders>
            <w:vAlign w:val="center"/>
          </w:tcPr>
          <w:p w14:paraId="31FBC04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379" w:type="pct"/>
            <w:gridSpan w:val="3"/>
            <w:tcBorders>
              <w:tl2br w:val="nil"/>
              <w:tr2bl w:val="nil"/>
            </w:tcBorders>
            <w:vAlign w:val="center"/>
          </w:tcPr>
          <w:p w14:paraId="3616569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大气环境</w:t>
            </w:r>
          </w:p>
        </w:tc>
        <w:tc>
          <w:tcPr>
            <w:tcW w:w="521" w:type="pct"/>
            <w:tcBorders>
              <w:tl2br w:val="nil"/>
              <w:tr2bl w:val="nil"/>
            </w:tcBorders>
            <w:vAlign w:val="center"/>
          </w:tcPr>
          <w:p w14:paraId="3B679BD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w:t>
            </w:r>
          </w:p>
        </w:tc>
        <w:tc>
          <w:tcPr>
            <w:tcW w:w="637" w:type="pct"/>
            <w:tcBorders>
              <w:tl2br w:val="nil"/>
              <w:tr2bl w:val="nil"/>
            </w:tcBorders>
            <w:vAlign w:val="center"/>
          </w:tcPr>
          <w:p w14:paraId="70B1E41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1.5</w:t>
            </w:r>
          </w:p>
        </w:tc>
      </w:tr>
      <w:tr w14:paraId="3FA5C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62" w:type="pct"/>
            <w:gridSpan w:val="7"/>
            <w:tcBorders>
              <w:tl2br w:val="nil"/>
              <w:tr2bl w:val="nil"/>
            </w:tcBorders>
            <w:vAlign w:val="center"/>
          </w:tcPr>
          <w:p w14:paraId="00F4D36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合计</w:t>
            </w:r>
          </w:p>
        </w:tc>
        <w:tc>
          <w:tcPr>
            <w:tcW w:w="637" w:type="pct"/>
            <w:tcBorders>
              <w:tl2br w:val="nil"/>
              <w:tr2bl w:val="nil"/>
            </w:tcBorders>
            <w:vAlign w:val="center"/>
          </w:tcPr>
          <w:p w14:paraId="4B08E4A2">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cs="Times New Roman"/>
                <w:bCs/>
                <w:color w:val="auto"/>
                <w:kern w:val="0"/>
                <w:szCs w:val="21"/>
                <w:highlight w:val="none"/>
                <w:lang w:val="en-US" w:eastAsia="zh-CN"/>
              </w:rPr>
              <w:t>8.5</w:t>
            </w:r>
          </w:p>
        </w:tc>
      </w:tr>
    </w:tbl>
    <w:p w14:paraId="715A87F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依据尾矿库周边环境敏感性等别划分表，将周边环境敏感性（S）划分为S1、S2、S3三个等别，见表5.3-</w:t>
      </w:r>
      <w:r>
        <w:rPr>
          <w:rFonts w:hint="default" w:cs="Times New Roman"/>
          <w:color w:val="auto"/>
          <w:highlight w:val="none"/>
          <w:lang w:val="en-US" w:eastAsia="zh-CN"/>
        </w:rPr>
        <w:t>9</w:t>
      </w:r>
      <w:r>
        <w:rPr>
          <w:rFonts w:hint="default" w:ascii="Times New Roman" w:hAnsi="Times New Roman" w:cs="Times New Roman"/>
          <w:color w:val="auto"/>
          <w:highlight w:val="none"/>
        </w:rPr>
        <w:t>。</w:t>
      </w:r>
    </w:p>
    <w:p w14:paraId="50B5B9EA">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表5.3-</w:t>
      </w:r>
      <w:r>
        <w:rPr>
          <w:rFonts w:hint="default" w:cs="Times New Roman"/>
          <w:b/>
          <w:color w:val="auto"/>
          <w:kern w:val="0"/>
          <w:highlight w:val="none"/>
          <w:lang w:val="en-US" w:eastAsia="zh-CN"/>
        </w:rPr>
        <w:t>9</w:t>
      </w:r>
      <w:r>
        <w:rPr>
          <w:rFonts w:hint="default" w:ascii="Times New Roman" w:hAnsi="Times New Roman" w:cs="Times New Roman"/>
          <w:b/>
          <w:color w:val="auto"/>
          <w:kern w:val="0"/>
          <w:highlight w:val="none"/>
        </w:rPr>
        <w:t xml:space="preserve">    尾矿库周边环境敏感性（S）等别划分表</w:t>
      </w:r>
    </w:p>
    <w:tbl>
      <w:tblPr>
        <w:tblStyle w:val="3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F356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57C7629D">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尾矿库周边环境敏感性得分（DS）</w:t>
            </w:r>
          </w:p>
        </w:tc>
        <w:tc>
          <w:tcPr>
            <w:tcW w:w="4261" w:type="dxa"/>
            <w:tcBorders>
              <w:tl2br w:val="nil"/>
              <w:tr2bl w:val="nil"/>
            </w:tcBorders>
            <w:vAlign w:val="center"/>
          </w:tcPr>
          <w:p w14:paraId="27A88F6E">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尾矿库周边环境敏感性（S）等别代码</w:t>
            </w:r>
          </w:p>
        </w:tc>
      </w:tr>
      <w:tr w14:paraId="7E54C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7BF9EDB9">
            <w:pPr>
              <w:pStyle w:val="32"/>
              <w:spacing w:after="0" w:line="360" w:lineRule="exact"/>
              <w:ind w:left="0" w:leftChars="0" w:firstLine="0" w:firstLineChars="0"/>
              <w:jc w:val="center"/>
              <w:rPr>
                <w:rFonts w:hint="default" w:ascii="Times New Roman" w:hAnsi="Times New Roman" w:cs="Times New Roman"/>
                <w:b w:val="0"/>
                <w:bCs/>
                <w:color w:val="auto"/>
                <w:kern w:val="0"/>
                <w:szCs w:val="21"/>
                <w:highlight w:val="none"/>
              </w:rPr>
            </w:pPr>
            <w:r>
              <w:rPr>
                <w:rFonts w:hint="default" w:ascii="Times New Roman" w:hAnsi="Times New Roman" w:cs="Times New Roman"/>
                <w:b w:val="0"/>
                <w:bCs/>
                <w:color w:val="auto"/>
                <w:kern w:val="0"/>
                <w:szCs w:val="21"/>
                <w:highlight w:val="none"/>
              </w:rPr>
              <w:t>DS&gt;60</w:t>
            </w:r>
          </w:p>
        </w:tc>
        <w:tc>
          <w:tcPr>
            <w:tcW w:w="4261" w:type="dxa"/>
            <w:tcBorders>
              <w:tl2br w:val="nil"/>
              <w:tr2bl w:val="nil"/>
            </w:tcBorders>
            <w:vAlign w:val="center"/>
          </w:tcPr>
          <w:p w14:paraId="3D8A6065">
            <w:pPr>
              <w:pStyle w:val="32"/>
              <w:spacing w:after="0" w:line="360" w:lineRule="exact"/>
              <w:ind w:left="0" w:leftChars="0" w:firstLine="0" w:firstLineChars="0"/>
              <w:jc w:val="center"/>
              <w:rPr>
                <w:rFonts w:hint="default" w:ascii="Times New Roman" w:hAnsi="Times New Roman" w:cs="Times New Roman"/>
                <w:b w:val="0"/>
                <w:bCs/>
                <w:color w:val="auto"/>
                <w:kern w:val="0"/>
                <w:szCs w:val="21"/>
                <w:highlight w:val="none"/>
              </w:rPr>
            </w:pPr>
            <w:r>
              <w:rPr>
                <w:rFonts w:hint="default" w:ascii="Times New Roman" w:hAnsi="Times New Roman" w:cs="Times New Roman"/>
                <w:b w:val="0"/>
                <w:bCs/>
                <w:color w:val="auto"/>
                <w:kern w:val="0"/>
                <w:szCs w:val="21"/>
                <w:highlight w:val="none"/>
              </w:rPr>
              <w:t>S1</w:t>
            </w:r>
          </w:p>
        </w:tc>
      </w:tr>
      <w:tr w14:paraId="0FDA8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74DA04A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30&lt;DS≦60</w:t>
            </w:r>
          </w:p>
        </w:tc>
        <w:tc>
          <w:tcPr>
            <w:tcW w:w="4261" w:type="dxa"/>
            <w:tcBorders>
              <w:tl2br w:val="nil"/>
              <w:tr2bl w:val="nil"/>
            </w:tcBorders>
            <w:vAlign w:val="center"/>
          </w:tcPr>
          <w:p w14:paraId="642FFF0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S2</w:t>
            </w:r>
          </w:p>
        </w:tc>
      </w:tr>
      <w:tr w14:paraId="4B5E0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3BDEE014">
            <w:pPr>
              <w:pStyle w:val="32"/>
              <w:spacing w:after="0" w:line="360" w:lineRule="exact"/>
              <w:ind w:left="0" w:leftChars="0" w:firstLine="0" w:firstLineChars="0"/>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DS≦30</w:t>
            </w:r>
          </w:p>
        </w:tc>
        <w:tc>
          <w:tcPr>
            <w:tcW w:w="4261" w:type="dxa"/>
            <w:tcBorders>
              <w:tl2br w:val="nil"/>
              <w:tr2bl w:val="nil"/>
            </w:tcBorders>
            <w:vAlign w:val="center"/>
          </w:tcPr>
          <w:p w14:paraId="51D61663">
            <w:pPr>
              <w:pStyle w:val="32"/>
              <w:spacing w:after="0" w:line="360" w:lineRule="exact"/>
              <w:ind w:left="0" w:leftChars="0" w:firstLine="0" w:firstLineChars="0"/>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S3</w:t>
            </w:r>
          </w:p>
        </w:tc>
      </w:tr>
    </w:tbl>
    <w:p w14:paraId="30F03D2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根据《尾矿库环境风险评估技术导则（试行）》（HJ740-2015）附录C中各指标评分方法，本项目尾矿库位于</w:t>
      </w:r>
      <w:r>
        <w:rPr>
          <w:rFonts w:hint="default" w:ascii="Times New Roman" w:hAnsi="Times New Roman" w:cs="Times New Roman"/>
          <w:color w:val="auto"/>
          <w:highlight w:val="none"/>
          <w:lang w:val="en-US" w:eastAsia="zh-CN"/>
        </w:rPr>
        <w:t>富蕴县</w:t>
      </w:r>
      <w:r>
        <w:rPr>
          <w:rFonts w:hint="default" w:ascii="Times New Roman" w:hAnsi="Times New Roman" w:cs="Times New Roman"/>
          <w:color w:val="auto"/>
          <w:highlight w:val="none"/>
        </w:rPr>
        <w:t>，不涉及到跨界情况，</w:t>
      </w:r>
      <w:r>
        <w:rPr>
          <w:rFonts w:hint="default" w:cs="Times New Roman"/>
          <w:color w:val="auto"/>
          <w:highlight w:val="none"/>
          <w:lang w:eastAsia="zh-CN"/>
        </w:rPr>
        <w:t>属于</w:t>
      </w:r>
      <w:r>
        <w:rPr>
          <w:rFonts w:hint="default" w:ascii="Times New Roman" w:hAnsi="Times New Roman" w:cs="Times New Roman"/>
          <w:color w:val="auto"/>
          <w:highlight w:val="none"/>
        </w:rPr>
        <w:t>其他类，评分取0；尾矿库周边及下游</w:t>
      </w:r>
      <w:r>
        <w:rPr>
          <w:rFonts w:hint="default" w:ascii="Times New Roman" w:hAnsi="Times New Roman" w:cs="Times New Roman"/>
          <w:color w:val="auto"/>
          <w:highlight w:val="none"/>
          <w:lang w:val="en-US" w:eastAsia="zh-CN"/>
        </w:rPr>
        <w:t>不涉及环境风险受体</w:t>
      </w:r>
      <w:r>
        <w:rPr>
          <w:rFonts w:hint="default" w:ascii="Times New Roman" w:hAnsi="Times New Roman" w:cs="Times New Roman"/>
          <w:color w:val="auto"/>
          <w:highlight w:val="none"/>
        </w:rPr>
        <w:t>，评分取</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下游无</w:t>
      </w:r>
      <w:r>
        <w:rPr>
          <w:rFonts w:hint="default" w:ascii="Times New Roman" w:hAnsi="Times New Roman" w:cs="Times New Roman"/>
          <w:color w:val="auto"/>
          <w:highlight w:val="none"/>
        </w:rPr>
        <w:t>地表水，评分取</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分；地下水属于三类，评分取4分；土壤环境属二类，评分取3分；大气环境为二类，评分取1.5。综上，总得分为</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.5，环境敏感性等别为S</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72FD1B0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③控制机制可靠性</w:t>
      </w:r>
    </w:p>
    <w:p w14:paraId="5B6F72E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采用评分方法，对尾矿库的基本情况、自然条件情况、生产安全情况、环境保护情况和历史事件情况五方面指标进行评分与累加求和，评估尾矿库控制机制可靠性（R），控制机制可靠性等别划分指标体系见表5.3-</w:t>
      </w:r>
      <w:r>
        <w:rPr>
          <w:rFonts w:hint="default" w:cs="Times New Roman"/>
          <w:color w:val="auto"/>
          <w:highlight w:val="none"/>
          <w:lang w:val="en-US" w:eastAsia="zh-CN"/>
        </w:rPr>
        <w:t>10</w:t>
      </w:r>
      <w:r>
        <w:rPr>
          <w:rFonts w:hint="default" w:ascii="Times New Roman" w:hAnsi="Times New Roman" w:cs="Times New Roman"/>
          <w:color w:val="auto"/>
          <w:highlight w:val="none"/>
        </w:rPr>
        <w:t>。</w:t>
      </w:r>
    </w:p>
    <w:p w14:paraId="3BD472D8">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color w:val="auto"/>
          <w:kern w:val="0"/>
          <w:highlight w:val="none"/>
        </w:rPr>
        <w:t>表5.3-</w:t>
      </w:r>
      <w:r>
        <w:rPr>
          <w:rFonts w:hint="default" w:cs="Times New Roman"/>
          <w:b/>
          <w:color w:val="auto"/>
          <w:kern w:val="0"/>
          <w:highlight w:val="none"/>
          <w:lang w:val="en-US" w:eastAsia="zh-CN"/>
        </w:rPr>
        <w:t>10</w:t>
      </w:r>
      <w:r>
        <w:rPr>
          <w:rFonts w:hint="default" w:ascii="Times New Roman" w:hAnsi="Times New Roman" w:cs="Times New Roman"/>
          <w:b/>
          <w:color w:val="auto"/>
          <w:kern w:val="0"/>
          <w:highlight w:val="none"/>
        </w:rPr>
        <w:t xml:space="preserve">    尾矿库控制机制可靠性（R）等别划分指标体系</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954"/>
        <w:gridCol w:w="719"/>
        <w:gridCol w:w="2318"/>
        <w:gridCol w:w="1200"/>
        <w:gridCol w:w="1425"/>
        <w:gridCol w:w="644"/>
        <w:gridCol w:w="776"/>
      </w:tblGrid>
      <w:tr w14:paraId="30750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5" w:type="pct"/>
            <w:tcBorders>
              <w:tl2br w:val="nil"/>
              <w:tr2bl w:val="nil"/>
            </w:tcBorders>
            <w:vAlign w:val="center"/>
          </w:tcPr>
          <w:p w14:paraId="69D3C2A4">
            <w:pPr>
              <w:pStyle w:val="11"/>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3882" w:type="pct"/>
            <w:gridSpan w:val="5"/>
            <w:tcBorders>
              <w:tl2br w:val="nil"/>
              <w:tr2bl w:val="nil"/>
            </w:tcBorders>
            <w:vAlign w:val="center"/>
          </w:tcPr>
          <w:p w14:paraId="3ADDFABD">
            <w:pPr>
              <w:pStyle w:val="11"/>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指标项目</w:t>
            </w:r>
          </w:p>
        </w:tc>
        <w:tc>
          <w:tcPr>
            <w:tcW w:w="376" w:type="pct"/>
            <w:tcBorders>
              <w:tl2br w:val="nil"/>
              <w:tr2bl w:val="nil"/>
            </w:tcBorders>
            <w:vAlign w:val="center"/>
          </w:tcPr>
          <w:p w14:paraId="73F763CE">
            <w:pPr>
              <w:pStyle w:val="11"/>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指标分值</w:t>
            </w:r>
          </w:p>
        </w:tc>
        <w:tc>
          <w:tcPr>
            <w:tcW w:w="455" w:type="pct"/>
            <w:tcBorders>
              <w:tl2br w:val="nil"/>
              <w:tr2bl w:val="nil"/>
            </w:tcBorders>
            <w:vAlign w:val="center"/>
          </w:tcPr>
          <w:p w14:paraId="0A755D68">
            <w:pPr>
              <w:pStyle w:val="11"/>
              <w:spacing w:after="0" w:line="360" w:lineRule="exact"/>
              <w:ind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val="en-US" w:eastAsia="zh-CN"/>
              </w:rPr>
              <w:t>本项目</w:t>
            </w:r>
          </w:p>
        </w:tc>
      </w:tr>
      <w:tr w14:paraId="7FDE3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30E49DF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560" w:type="pct"/>
            <w:vMerge w:val="restart"/>
            <w:tcBorders>
              <w:tl2br w:val="nil"/>
              <w:tr2bl w:val="nil"/>
            </w:tcBorders>
            <w:vAlign w:val="center"/>
          </w:tcPr>
          <w:p w14:paraId="51B9504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尾矿库控制机制可靠性</w:t>
            </w:r>
          </w:p>
        </w:tc>
        <w:tc>
          <w:tcPr>
            <w:tcW w:w="422" w:type="pct"/>
            <w:vMerge w:val="restart"/>
            <w:tcBorders>
              <w:tl2br w:val="nil"/>
              <w:tr2bl w:val="nil"/>
            </w:tcBorders>
            <w:vAlign w:val="center"/>
          </w:tcPr>
          <w:p w14:paraId="269D9AC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基本</w:t>
            </w:r>
          </w:p>
          <w:p w14:paraId="166BAEA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情况</w:t>
            </w:r>
          </w:p>
        </w:tc>
        <w:tc>
          <w:tcPr>
            <w:tcW w:w="1360" w:type="pct"/>
            <w:vMerge w:val="restart"/>
            <w:tcBorders>
              <w:tl2br w:val="nil"/>
              <w:tr2bl w:val="nil"/>
            </w:tcBorders>
            <w:vAlign w:val="center"/>
          </w:tcPr>
          <w:p w14:paraId="72C0F94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w:t>
            </w:r>
          </w:p>
        </w:tc>
        <w:tc>
          <w:tcPr>
            <w:tcW w:w="1540" w:type="pct"/>
            <w:gridSpan w:val="2"/>
            <w:tcBorders>
              <w:tl2br w:val="nil"/>
              <w:tr2bl w:val="nil"/>
            </w:tcBorders>
            <w:vAlign w:val="center"/>
          </w:tcPr>
          <w:p w14:paraId="4DA09EF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堆存种类</w:t>
            </w:r>
          </w:p>
        </w:tc>
        <w:tc>
          <w:tcPr>
            <w:tcW w:w="376" w:type="pct"/>
            <w:tcBorders>
              <w:tl2br w:val="nil"/>
              <w:tr2bl w:val="nil"/>
            </w:tcBorders>
            <w:vAlign w:val="center"/>
          </w:tcPr>
          <w:p w14:paraId="10F00E5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5" w:type="pct"/>
            <w:tcBorders>
              <w:tl2br w:val="nil"/>
              <w:tr2bl w:val="nil"/>
            </w:tcBorders>
            <w:vAlign w:val="center"/>
          </w:tcPr>
          <w:p w14:paraId="2F62F80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A3A5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1EC2548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560" w:type="pct"/>
            <w:vMerge w:val="continue"/>
            <w:tcBorders>
              <w:tl2br w:val="nil"/>
              <w:tr2bl w:val="nil"/>
            </w:tcBorders>
            <w:vAlign w:val="center"/>
          </w:tcPr>
          <w:p w14:paraId="434E770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4C3EA99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2DF63A8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5F88BAA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堆存方式</w:t>
            </w:r>
          </w:p>
        </w:tc>
        <w:tc>
          <w:tcPr>
            <w:tcW w:w="376" w:type="pct"/>
            <w:tcBorders>
              <w:tl2br w:val="nil"/>
              <w:tr2bl w:val="nil"/>
            </w:tcBorders>
            <w:vAlign w:val="center"/>
          </w:tcPr>
          <w:p w14:paraId="5C2E03E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55" w:type="pct"/>
            <w:tcBorders>
              <w:tl2br w:val="nil"/>
              <w:tr2bl w:val="nil"/>
            </w:tcBorders>
            <w:vAlign w:val="center"/>
          </w:tcPr>
          <w:p w14:paraId="6C80575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r>
      <w:tr w14:paraId="0D917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5BFC816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560" w:type="pct"/>
            <w:vMerge w:val="continue"/>
            <w:tcBorders>
              <w:tl2br w:val="nil"/>
              <w:tr2bl w:val="nil"/>
            </w:tcBorders>
            <w:vAlign w:val="center"/>
          </w:tcPr>
          <w:p w14:paraId="0C8E995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42F947E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1BD85B5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4B1BC4D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坝体透水情况</w:t>
            </w:r>
          </w:p>
        </w:tc>
        <w:tc>
          <w:tcPr>
            <w:tcW w:w="376" w:type="pct"/>
            <w:tcBorders>
              <w:tl2br w:val="nil"/>
              <w:tr2bl w:val="nil"/>
            </w:tcBorders>
            <w:vAlign w:val="center"/>
          </w:tcPr>
          <w:p w14:paraId="32610DA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5" w:type="pct"/>
            <w:tcBorders>
              <w:tl2br w:val="nil"/>
              <w:tr2bl w:val="nil"/>
            </w:tcBorders>
            <w:vAlign w:val="center"/>
          </w:tcPr>
          <w:p w14:paraId="67DE728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55AD5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429C046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560" w:type="pct"/>
            <w:vMerge w:val="continue"/>
            <w:tcBorders>
              <w:tl2br w:val="nil"/>
              <w:tr2bl w:val="nil"/>
            </w:tcBorders>
            <w:vAlign w:val="center"/>
          </w:tcPr>
          <w:p w14:paraId="3EB3561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56B25D4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restart"/>
            <w:tcBorders>
              <w:tl2br w:val="nil"/>
              <w:tr2bl w:val="nil"/>
            </w:tcBorders>
            <w:vAlign w:val="center"/>
          </w:tcPr>
          <w:p w14:paraId="1BCB4BF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w:t>
            </w:r>
          </w:p>
        </w:tc>
        <w:tc>
          <w:tcPr>
            <w:tcW w:w="1540" w:type="pct"/>
            <w:gridSpan w:val="2"/>
            <w:tcBorders>
              <w:tl2br w:val="nil"/>
              <w:tr2bl w:val="nil"/>
            </w:tcBorders>
            <w:vAlign w:val="center"/>
          </w:tcPr>
          <w:p w14:paraId="6A1A55E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输送方式</w:t>
            </w:r>
          </w:p>
        </w:tc>
        <w:tc>
          <w:tcPr>
            <w:tcW w:w="376" w:type="pct"/>
            <w:tcBorders>
              <w:tl2br w:val="nil"/>
              <w:tr2bl w:val="nil"/>
            </w:tcBorders>
            <w:vAlign w:val="center"/>
          </w:tcPr>
          <w:p w14:paraId="3118F6A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5" w:type="pct"/>
            <w:tcBorders>
              <w:tl2br w:val="nil"/>
              <w:tr2bl w:val="nil"/>
            </w:tcBorders>
            <w:vAlign w:val="center"/>
          </w:tcPr>
          <w:p w14:paraId="2AB9ED41">
            <w:pPr>
              <w:pStyle w:val="11"/>
              <w:spacing w:after="0" w:line="360" w:lineRule="exac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w:t>
            </w:r>
          </w:p>
        </w:tc>
      </w:tr>
      <w:tr w14:paraId="5DB24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203FFB9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560" w:type="pct"/>
            <w:vMerge w:val="continue"/>
            <w:tcBorders>
              <w:tl2br w:val="nil"/>
              <w:tr2bl w:val="nil"/>
            </w:tcBorders>
            <w:vAlign w:val="center"/>
          </w:tcPr>
          <w:p w14:paraId="1856DBB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2BC2AD5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7AE30EF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0E63233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输送量</w:t>
            </w:r>
          </w:p>
        </w:tc>
        <w:tc>
          <w:tcPr>
            <w:tcW w:w="376" w:type="pct"/>
            <w:tcBorders>
              <w:tl2br w:val="nil"/>
              <w:tr2bl w:val="nil"/>
            </w:tcBorders>
            <w:vAlign w:val="center"/>
          </w:tcPr>
          <w:p w14:paraId="058D8EC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55" w:type="pct"/>
            <w:tcBorders>
              <w:tl2br w:val="nil"/>
              <w:tr2bl w:val="nil"/>
            </w:tcBorders>
            <w:vAlign w:val="center"/>
          </w:tcPr>
          <w:p w14:paraId="5611975D">
            <w:pPr>
              <w:pStyle w:val="11"/>
              <w:spacing w:after="0" w:line="360" w:lineRule="exac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0</w:t>
            </w:r>
          </w:p>
        </w:tc>
      </w:tr>
      <w:tr w14:paraId="4F60C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1069BE94">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560" w:type="pct"/>
            <w:vMerge w:val="continue"/>
            <w:tcBorders>
              <w:tl2br w:val="nil"/>
              <w:tr2bl w:val="nil"/>
            </w:tcBorders>
            <w:vAlign w:val="center"/>
          </w:tcPr>
          <w:p w14:paraId="4943758C">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1F49377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2993D7B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4D18452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输送距离</w:t>
            </w:r>
          </w:p>
        </w:tc>
        <w:tc>
          <w:tcPr>
            <w:tcW w:w="376" w:type="pct"/>
            <w:tcBorders>
              <w:tl2br w:val="nil"/>
              <w:tr2bl w:val="nil"/>
            </w:tcBorders>
            <w:vAlign w:val="center"/>
          </w:tcPr>
          <w:p w14:paraId="37BBA61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5" w:type="pct"/>
            <w:tcBorders>
              <w:tl2br w:val="nil"/>
              <w:tr2bl w:val="nil"/>
            </w:tcBorders>
            <w:vAlign w:val="center"/>
          </w:tcPr>
          <w:p w14:paraId="430781E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4AF1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023C067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560" w:type="pct"/>
            <w:vMerge w:val="continue"/>
            <w:tcBorders>
              <w:tl2br w:val="nil"/>
              <w:tr2bl w:val="nil"/>
            </w:tcBorders>
            <w:vAlign w:val="center"/>
          </w:tcPr>
          <w:p w14:paraId="23F7CA8C">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460D8EF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restart"/>
            <w:tcBorders>
              <w:tl2br w:val="nil"/>
              <w:tr2bl w:val="nil"/>
            </w:tcBorders>
            <w:vAlign w:val="center"/>
          </w:tcPr>
          <w:p w14:paraId="0A76AEE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w:t>
            </w:r>
          </w:p>
        </w:tc>
        <w:tc>
          <w:tcPr>
            <w:tcW w:w="1540" w:type="pct"/>
            <w:gridSpan w:val="2"/>
            <w:tcBorders>
              <w:tl2br w:val="nil"/>
              <w:tr2bl w:val="nil"/>
            </w:tcBorders>
            <w:vAlign w:val="center"/>
          </w:tcPr>
          <w:p w14:paraId="3AFE0BF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回水方式</w:t>
            </w:r>
          </w:p>
        </w:tc>
        <w:tc>
          <w:tcPr>
            <w:tcW w:w="376" w:type="pct"/>
            <w:tcBorders>
              <w:tl2br w:val="nil"/>
              <w:tr2bl w:val="nil"/>
            </w:tcBorders>
            <w:vAlign w:val="center"/>
          </w:tcPr>
          <w:p w14:paraId="2FA2D57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55" w:type="pct"/>
            <w:tcBorders>
              <w:tl2br w:val="nil"/>
              <w:tr2bl w:val="nil"/>
            </w:tcBorders>
            <w:vAlign w:val="center"/>
          </w:tcPr>
          <w:p w14:paraId="518640C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r>
      <w:tr w14:paraId="46B01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6983BCF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560" w:type="pct"/>
            <w:vMerge w:val="continue"/>
            <w:tcBorders>
              <w:tl2br w:val="nil"/>
              <w:tr2bl w:val="nil"/>
            </w:tcBorders>
            <w:vAlign w:val="center"/>
          </w:tcPr>
          <w:p w14:paraId="2AD284D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7C949B1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6AC4F97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06A52B2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回水量</w:t>
            </w:r>
          </w:p>
        </w:tc>
        <w:tc>
          <w:tcPr>
            <w:tcW w:w="376" w:type="pct"/>
            <w:tcBorders>
              <w:tl2br w:val="nil"/>
              <w:tr2bl w:val="nil"/>
            </w:tcBorders>
            <w:vAlign w:val="center"/>
          </w:tcPr>
          <w:p w14:paraId="144EFA7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c>
          <w:tcPr>
            <w:tcW w:w="455" w:type="pct"/>
            <w:tcBorders>
              <w:tl2br w:val="nil"/>
              <w:tr2bl w:val="nil"/>
            </w:tcBorders>
            <w:vAlign w:val="center"/>
          </w:tcPr>
          <w:p w14:paraId="4ACEA4E4">
            <w:pPr>
              <w:pStyle w:val="11"/>
              <w:spacing w:after="0" w:line="360" w:lineRule="exac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0</w:t>
            </w:r>
          </w:p>
        </w:tc>
      </w:tr>
      <w:tr w14:paraId="5754F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6DBEFF2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560" w:type="pct"/>
            <w:vMerge w:val="continue"/>
            <w:tcBorders>
              <w:tl2br w:val="nil"/>
              <w:tr2bl w:val="nil"/>
            </w:tcBorders>
            <w:vAlign w:val="center"/>
          </w:tcPr>
          <w:p w14:paraId="38F0ACF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0C649C0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5D521C5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2E07592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回水距离</w:t>
            </w:r>
          </w:p>
        </w:tc>
        <w:tc>
          <w:tcPr>
            <w:tcW w:w="376" w:type="pct"/>
            <w:tcBorders>
              <w:tl2br w:val="nil"/>
              <w:tr2bl w:val="nil"/>
            </w:tcBorders>
            <w:vAlign w:val="center"/>
          </w:tcPr>
          <w:p w14:paraId="022B6DA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55" w:type="pct"/>
            <w:tcBorders>
              <w:tl2br w:val="nil"/>
              <w:tr2bl w:val="nil"/>
            </w:tcBorders>
            <w:vAlign w:val="center"/>
          </w:tcPr>
          <w:p w14:paraId="1E07CF6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3EA1B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6D14341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560" w:type="pct"/>
            <w:vMerge w:val="continue"/>
            <w:tcBorders>
              <w:tl2br w:val="nil"/>
              <w:tr2bl w:val="nil"/>
            </w:tcBorders>
            <w:vAlign w:val="center"/>
          </w:tcPr>
          <w:p w14:paraId="17D58FA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2D484E4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restart"/>
            <w:tcBorders>
              <w:tl2br w:val="nil"/>
              <w:tr2bl w:val="nil"/>
            </w:tcBorders>
            <w:vAlign w:val="center"/>
          </w:tcPr>
          <w:p w14:paraId="0D002EE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防洪</w:t>
            </w:r>
          </w:p>
        </w:tc>
        <w:tc>
          <w:tcPr>
            <w:tcW w:w="1540" w:type="pct"/>
            <w:gridSpan w:val="2"/>
            <w:tcBorders>
              <w:tl2br w:val="nil"/>
              <w:tr2bl w:val="nil"/>
            </w:tcBorders>
            <w:vAlign w:val="center"/>
          </w:tcPr>
          <w:p w14:paraId="7CA4C99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库外截洪设施</w:t>
            </w:r>
          </w:p>
        </w:tc>
        <w:tc>
          <w:tcPr>
            <w:tcW w:w="376" w:type="pct"/>
            <w:tcBorders>
              <w:tl2br w:val="nil"/>
              <w:tr2bl w:val="nil"/>
            </w:tcBorders>
            <w:vAlign w:val="center"/>
          </w:tcPr>
          <w:p w14:paraId="397C2C3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5" w:type="pct"/>
            <w:tcBorders>
              <w:tl2br w:val="nil"/>
              <w:tr2bl w:val="nil"/>
            </w:tcBorders>
            <w:vAlign w:val="center"/>
          </w:tcPr>
          <w:p w14:paraId="3EE4AA9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r>
      <w:tr w14:paraId="6CBAF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1AEBCF1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560" w:type="pct"/>
            <w:vMerge w:val="continue"/>
            <w:tcBorders>
              <w:tl2br w:val="nil"/>
              <w:tr2bl w:val="nil"/>
            </w:tcBorders>
            <w:vAlign w:val="center"/>
          </w:tcPr>
          <w:p w14:paraId="164A92C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78FBAB27">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7110EF0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017A726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库内排洪设施</w:t>
            </w:r>
          </w:p>
        </w:tc>
        <w:tc>
          <w:tcPr>
            <w:tcW w:w="376" w:type="pct"/>
            <w:tcBorders>
              <w:tl2br w:val="nil"/>
              <w:tr2bl w:val="nil"/>
            </w:tcBorders>
            <w:vAlign w:val="center"/>
          </w:tcPr>
          <w:p w14:paraId="3CDFCCB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5" w:type="pct"/>
            <w:tcBorders>
              <w:tl2br w:val="nil"/>
              <w:tr2bl w:val="nil"/>
            </w:tcBorders>
            <w:vAlign w:val="center"/>
          </w:tcPr>
          <w:p w14:paraId="7B2D279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r>
      <w:tr w14:paraId="21800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48A0355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560" w:type="pct"/>
            <w:vMerge w:val="continue"/>
            <w:tcBorders>
              <w:tl2br w:val="nil"/>
              <w:tr2bl w:val="nil"/>
            </w:tcBorders>
            <w:vAlign w:val="center"/>
          </w:tcPr>
          <w:p w14:paraId="2792D1C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tcBorders>
              <w:tl2br w:val="nil"/>
              <w:tr2bl w:val="nil"/>
            </w:tcBorders>
            <w:vAlign w:val="center"/>
          </w:tcPr>
          <w:p w14:paraId="0377A4F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自然条件情况</w:t>
            </w:r>
          </w:p>
        </w:tc>
        <w:tc>
          <w:tcPr>
            <w:tcW w:w="2900" w:type="pct"/>
            <w:gridSpan w:val="3"/>
            <w:tcBorders>
              <w:tl2br w:val="nil"/>
              <w:tr2bl w:val="nil"/>
            </w:tcBorders>
            <w:vAlign w:val="center"/>
          </w:tcPr>
          <w:p w14:paraId="397C91F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是否处于按《地质灾害危险性评估技术要求（试行）》评定为“危害性中等”或“危害性大”的区域，或者处于地质灾害易灾区、岩溶（喀斯特）地貌区</w:t>
            </w:r>
          </w:p>
        </w:tc>
        <w:tc>
          <w:tcPr>
            <w:tcW w:w="376" w:type="pct"/>
            <w:tcBorders>
              <w:tl2br w:val="nil"/>
              <w:tr2bl w:val="nil"/>
            </w:tcBorders>
            <w:vAlign w:val="center"/>
          </w:tcPr>
          <w:p w14:paraId="1E7208F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455" w:type="pct"/>
            <w:tcBorders>
              <w:tl2br w:val="nil"/>
              <w:tr2bl w:val="nil"/>
            </w:tcBorders>
            <w:vAlign w:val="center"/>
          </w:tcPr>
          <w:p w14:paraId="22AA9BA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77537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121FACC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560" w:type="pct"/>
            <w:vMerge w:val="continue"/>
            <w:tcBorders>
              <w:tl2br w:val="nil"/>
              <w:tr2bl w:val="nil"/>
            </w:tcBorders>
            <w:vAlign w:val="center"/>
          </w:tcPr>
          <w:p w14:paraId="64611364">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tcBorders>
              <w:tl2br w:val="nil"/>
              <w:tr2bl w:val="nil"/>
            </w:tcBorders>
            <w:vAlign w:val="center"/>
          </w:tcPr>
          <w:p w14:paraId="3AF1CCE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生产安全情况</w:t>
            </w:r>
          </w:p>
        </w:tc>
        <w:tc>
          <w:tcPr>
            <w:tcW w:w="2900" w:type="pct"/>
            <w:gridSpan w:val="3"/>
            <w:tcBorders>
              <w:tl2br w:val="nil"/>
              <w:tr2bl w:val="nil"/>
            </w:tcBorders>
            <w:vAlign w:val="center"/>
          </w:tcPr>
          <w:p w14:paraId="27CD474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尾矿库安全度等别</w:t>
            </w:r>
          </w:p>
        </w:tc>
        <w:tc>
          <w:tcPr>
            <w:tcW w:w="376" w:type="pct"/>
            <w:tcBorders>
              <w:tl2br w:val="nil"/>
              <w:tr2bl w:val="nil"/>
            </w:tcBorders>
            <w:vAlign w:val="center"/>
          </w:tcPr>
          <w:p w14:paraId="0BA2BCC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5" w:type="pct"/>
            <w:tcBorders>
              <w:tl2br w:val="nil"/>
              <w:tr2bl w:val="nil"/>
            </w:tcBorders>
            <w:vAlign w:val="center"/>
          </w:tcPr>
          <w:p w14:paraId="0CCA2D3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29062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228F6CB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560" w:type="pct"/>
            <w:vMerge w:val="continue"/>
            <w:tcBorders>
              <w:tl2br w:val="nil"/>
              <w:tr2bl w:val="nil"/>
            </w:tcBorders>
            <w:vAlign w:val="center"/>
          </w:tcPr>
          <w:p w14:paraId="76A6861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restart"/>
            <w:tcBorders>
              <w:tl2br w:val="nil"/>
              <w:tr2bl w:val="nil"/>
            </w:tcBorders>
            <w:vAlign w:val="center"/>
          </w:tcPr>
          <w:p w14:paraId="6C99ADD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环境保护情况</w:t>
            </w:r>
          </w:p>
        </w:tc>
        <w:tc>
          <w:tcPr>
            <w:tcW w:w="1360" w:type="pct"/>
            <w:tcBorders>
              <w:tl2br w:val="nil"/>
              <w:tr2bl w:val="nil"/>
            </w:tcBorders>
            <w:vAlign w:val="center"/>
          </w:tcPr>
          <w:p w14:paraId="59A79FF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环保审批</w:t>
            </w:r>
          </w:p>
        </w:tc>
        <w:tc>
          <w:tcPr>
            <w:tcW w:w="1540" w:type="pct"/>
            <w:gridSpan w:val="2"/>
            <w:tcBorders>
              <w:tl2br w:val="nil"/>
              <w:tr2bl w:val="nil"/>
            </w:tcBorders>
            <w:vAlign w:val="center"/>
          </w:tcPr>
          <w:p w14:paraId="0B17447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是否通过“三同时”验收</w:t>
            </w:r>
          </w:p>
        </w:tc>
        <w:tc>
          <w:tcPr>
            <w:tcW w:w="376" w:type="pct"/>
            <w:tcBorders>
              <w:tl2br w:val="nil"/>
              <w:tr2bl w:val="nil"/>
            </w:tcBorders>
            <w:vAlign w:val="center"/>
          </w:tcPr>
          <w:p w14:paraId="4BF15FC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455" w:type="pct"/>
            <w:tcBorders>
              <w:tl2br w:val="nil"/>
              <w:tr2bl w:val="nil"/>
            </w:tcBorders>
            <w:vAlign w:val="center"/>
          </w:tcPr>
          <w:p w14:paraId="4687556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4215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5A7E2DB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560" w:type="pct"/>
            <w:vMerge w:val="continue"/>
            <w:tcBorders>
              <w:tl2br w:val="nil"/>
              <w:tr2bl w:val="nil"/>
            </w:tcBorders>
            <w:vAlign w:val="center"/>
          </w:tcPr>
          <w:p w14:paraId="395FB50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4840B3B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restart"/>
            <w:tcBorders>
              <w:tl2br w:val="nil"/>
              <w:tr2bl w:val="nil"/>
            </w:tcBorders>
            <w:vAlign w:val="center"/>
          </w:tcPr>
          <w:p w14:paraId="1A36CD5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污染防治</w:t>
            </w:r>
          </w:p>
        </w:tc>
        <w:tc>
          <w:tcPr>
            <w:tcW w:w="1540" w:type="pct"/>
            <w:gridSpan w:val="2"/>
            <w:tcBorders>
              <w:tl2br w:val="nil"/>
              <w:tr2bl w:val="nil"/>
            </w:tcBorders>
            <w:vAlign w:val="center"/>
          </w:tcPr>
          <w:p w14:paraId="0C2B231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水排放情况</w:t>
            </w:r>
          </w:p>
        </w:tc>
        <w:tc>
          <w:tcPr>
            <w:tcW w:w="376" w:type="pct"/>
            <w:tcBorders>
              <w:tl2br w:val="nil"/>
              <w:tr2bl w:val="nil"/>
            </w:tcBorders>
            <w:vAlign w:val="center"/>
          </w:tcPr>
          <w:p w14:paraId="435B853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455" w:type="pct"/>
            <w:tcBorders>
              <w:tl2br w:val="nil"/>
              <w:tr2bl w:val="nil"/>
            </w:tcBorders>
            <w:vAlign w:val="center"/>
          </w:tcPr>
          <w:p w14:paraId="095EDC7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20A06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321CAA59">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560" w:type="pct"/>
            <w:vMerge w:val="continue"/>
            <w:tcBorders>
              <w:tl2br w:val="nil"/>
              <w:tr2bl w:val="nil"/>
            </w:tcBorders>
            <w:vAlign w:val="center"/>
          </w:tcPr>
          <w:p w14:paraId="40723D4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21903D5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4C338E1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7E47B38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防流失情况</w:t>
            </w:r>
          </w:p>
        </w:tc>
        <w:tc>
          <w:tcPr>
            <w:tcW w:w="376" w:type="pct"/>
            <w:tcBorders>
              <w:tl2br w:val="nil"/>
              <w:tr2bl w:val="nil"/>
            </w:tcBorders>
            <w:vAlign w:val="center"/>
          </w:tcPr>
          <w:p w14:paraId="712E84A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5" w:type="pct"/>
            <w:tcBorders>
              <w:tl2br w:val="nil"/>
              <w:tr2bl w:val="nil"/>
            </w:tcBorders>
            <w:vAlign w:val="center"/>
          </w:tcPr>
          <w:p w14:paraId="193DAA3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034D7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516A813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560" w:type="pct"/>
            <w:vMerge w:val="continue"/>
            <w:tcBorders>
              <w:tl2br w:val="nil"/>
              <w:tr2bl w:val="nil"/>
            </w:tcBorders>
            <w:vAlign w:val="center"/>
          </w:tcPr>
          <w:p w14:paraId="481A595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1DDF108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1B7FAAC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5E4B415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防渗漏情况</w:t>
            </w:r>
          </w:p>
        </w:tc>
        <w:tc>
          <w:tcPr>
            <w:tcW w:w="376" w:type="pct"/>
            <w:tcBorders>
              <w:tl2br w:val="nil"/>
              <w:tr2bl w:val="nil"/>
            </w:tcBorders>
            <w:vAlign w:val="center"/>
          </w:tcPr>
          <w:p w14:paraId="66D3634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455" w:type="pct"/>
            <w:tcBorders>
              <w:tl2br w:val="nil"/>
              <w:tr2bl w:val="nil"/>
            </w:tcBorders>
            <w:vAlign w:val="center"/>
          </w:tcPr>
          <w:p w14:paraId="3CBDFF7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6D2A7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39750E3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560" w:type="pct"/>
            <w:vMerge w:val="continue"/>
            <w:tcBorders>
              <w:tl2br w:val="nil"/>
              <w:tr2bl w:val="nil"/>
            </w:tcBorders>
            <w:vAlign w:val="center"/>
          </w:tcPr>
          <w:p w14:paraId="03A4A0A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3DEC036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5CD39BE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5B290A4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防扬散情况</w:t>
            </w:r>
          </w:p>
        </w:tc>
        <w:tc>
          <w:tcPr>
            <w:tcW w:w="376" w:type="pct"/>
            <w:tcBorders>
              <w:tl2br w:val="nil"/>
              <w:tr2bl w:val="nil"/>
            </w:tcBorders>
            <w:vAlign w:val="center"/>
          </w:tcPr>
          <w:p w14:paraId="616BC1E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5" w:type="pct"/>
            <w:tcBorders>
              <w:tl2br w:val="nil"/>
              <w:tr2bl w:val="nil"/>
            </w:tcBorders>
            <w:vAlign w:val="center"/>
          </w:tcPr>
          <w:p w14:paraId="504BF28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6E211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25BC3C5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560" w:type="pct"/>
            <w:vMerge w:val="continue"/>
            <w:tcBorders>
              <w:tl2br w:val="nil"/>
              <w:tr2bl w:val="nil"/>
            </w:tcBorders>
            <w:vAlign w:val="center"/>
          </w:tcPr>
          <w:p w14:paraId="74FA90F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180536E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restart"/>
            <w:tcBorders>
              <w:tl2br w:val="nil"/>
              <w:tr2bl w:val="nil"/>
            </w:tcBorders>
            <w:vAlign w:val="center"/>
          </w:tcPr>
          <w:p w14:paraId="7E63FE3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w:t>
            </w:r>
          </w:p>
        </w:tc>
        <w:tc>
          <w:tcPr>
            <w:tcW w:w="704" w:type="pct"/>
            <w:vMerge w:val="restart"/>
            <w:tcBorders>
              <w:tl2br w:val="nil"/>
              <w:tr2bl w:val="nil"/>
            </w:tcBorders>
            <w:vAlign w:val="center"/>
          </w:tcPr>
          <w:p w14:paraId="07DCA91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环境应急设施</w:t>
            </w:r>
          </w:p>
        </w:tc>
        <w:tc>
          <w:tcPr>
            <w:tcW w:w="835" w:type="pct"/>
            <w:tcBorders>
              <w:tl2br w:val="nil"/>
              <w:tr2bl w:val="nil"/>
            </w:tcBorders>
            <w:vAlign w:val="center"/>
          </w:tcPr>
          <w:p w14:paraId="08ECAF5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事故应急池建设情况</w:t>
            </w:r>
          </w:p>
        </w:tc>
        <w:tc>
          <w:tcPr>
            <w:tcW w:w="376" w:type="pct"/>
            <w:tcBorders>
              <w:tl2br w:val="nil"/>
              <w:tr2bl w:val="nil"/>
            </w:tcBorders>
            <w:vAlign w:val="center"/>
          </w:tcPr>
          <w:p w14:paraId="28C39E9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455" w:type="pct"/>
            <w:tcBorders>
              <w:tl2br w:val="nil"/>
              <w:tr2bl w:val="nil"/>
            </w:tcBorders>
            <w:vAlign w:val="center"/>
          </w:tcPr>
          <w:p w14:paraId="5F4867E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5D357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272B98E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560" w:type="pct"/>
            <w:vMerge w:val="continue"/>
            <w:tcBorders>
              <w:tl2br w:val="nil"/>
              <w:tr2bl w:val="nil"/>
            </w:tcBorders>
            <w:vAlign w:val="center"/>
          </w:tcPr>
          <w:p w14:paraId="43B8F8A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1F27740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5E04885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04" w:type="pct"/>
            <w:vMerge w:val="continue"/>
            <w:tcBorders>
              <w:tl2br w:val="nil"/>
              <w:tr2bl w:val="nil"/>
            </w:tcBorders>
            <w:vAlign w:val="center"/>
          </w:tcPr>
          <w:p w14:paraId="0545BC2D">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35" w:type="pct"/>
            <w:tcBorders>
              <w:tl2br w:val="nil"/>
              <w:tr2bl w:val="nil"/>
            </w:tcBorders>
            <w:vAlign w:val="center"/>
          </w:tcPr>
          <w:p w14:paraId="5C99EDE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输送系统环境应急设施建设情况</w:t>
            </w:r>
          </w:p>
        </w:tc>
        <w:tc>
          <w:tcPr>
            <w:tcW w:w="376" w:type="pct"/>
            <w:tcBorders>
              <w:tl2br w:val="nil"/>
              <w:tr2bl w:val="nil"/>
            </w:tcBorders>
            <w:vAlign w:val="center"/>
          </w:tcPr>
          <w:p w14:paraId="6956144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5" w:type="pct"/>
            <w:tcBorders>
              <w:tl2br w:val="nil"/>
              <w:tr2bl w:val="nil"/>
            </w:tcBorders>
            <w:vAlign w:val="center"/>
          </w:tcPr>
          <w:p w14:paraId="798B9C5D">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00815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7739BAB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560" w:type="pct"/>
            <w:vMerge w:val="continue"/>
            <w:tcBorders>
              <w:tl2br w:val="nil"/>
              <w:tr2bl w:val="nil"/>
            </w:tcBorders>
            <w:vAlign w:val="center"/>
          </w:tcPr>
          <w:p w14:paraId="0DE3466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42DCA02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76B4A792">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04" w:type="pct"/>
            <w:vMerge w:val="continue"/>
            <w:tcBorders>
              <w:tl2br w:val="nil"/>
              <w:tr2bl w:val="nil"/>
            </w:tcBorders>
            <w:vAlign w:val="center"/>
          </w:tcPr>
          <w:p w14:paraId="206A9F8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35" w:type="pct"/>
            <w:tcBorders>
              <w:tl2br w:val="nil"/>
              <w:tr2bl w:val="nil"/>
            </w:tcBorders>
            <w:vAlign w:val="center"/>
          </w:tcPr>
          <w:p w14:paraId="1B48567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回水系统环境应急设施建设情况</w:t>
            </w:r>
          </w:p>
        </w:tc>
        <w:tc>
          <w:tcPr>
            <w:tcW w:w="376" w:type="pct"/>
            <w:tcBorders>
              <w:tl2br w:val="nil"/>
              <w:tr2bl w:val="nil"/>
            </w:tcBorders>
            <w:vAlign w:val="center"/>
          </w:tcPr>
          <w:p w14:paraId="0DDE681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5" w:type="pct"/>
            <w:tcBorders>
              <w:tl2br w:val="nil"/>
              <w:tr2bl w:val="nil"/>
            </w:tcBorders>
            <w:vAlign w:val="center"/>
          </w:tcPr>
          <w:p w14:paraId="6CBD30A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60D18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5C6E0F0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560" w:type="pct"/>
            <w:vMerge w:val="continue"/>
            <w:tcBorders>
              <w:tl2br w:val="nil"/>
              <w:tr2bl w:val="nil"/>
            </w:tcBorders>
            <w:vAlign w:val="center"/>
          </w:tcPr>
          <w:p w14:paraId="55390663">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5912DFB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36C9DD4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5605B3C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环境应急预案</w:t>
            </w:r>
          </w:p>
        </w:tc>
        <w:tc>
          <w:tcPr>
            <w:tcW w:w="376" w:type="pct"/>
            <w:tcBorders>
              <w:tl2br w:val="nil"/>
              <w:tr2bl w:val="nil"/>
            </w:tcBorders>
            <w:vAlign w:val="center"/>
          </w:tcPr>
          <w:p w14:paraId="78CE09D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w:t>
            </w:r>
          </w:p>
        </w:tc>
        <w:tc>
          <w:tcPr>
            <w:tcW w:w="455" w:type="pct"/>
            <w:tcBorders>
              <w:tl2br w:val="nil"/>
              <w:tr2bl w:val="nil"/>
            </w:tcBorders>
            <w:vAlign w:val="center"/>
          </w:tcPr>
          <w:p w14:paraId="2BD12AD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7DB6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5114EEA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560" w:type="pct"/>
            <w:vMerge w:val="continue"/>
            <w:tcBorders>
              <w:tl2br w:val="nil"/>
              <w:tr2bl w:val="nil"/>
            </w:tcBorders>
            <w:vAlign w:val="center"/>
          </w:tcPr>
          <w:p w14:paraId="22719FB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7BEC162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1F0651AF">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0133D04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环境应急资源</w:t>
            </w:r>
          </w:p>
        </w:tc>
        <w:tc>
          <w:tcPr>
            <w:tcW w:w="376" w:type="pct"/>
            <w:tcBorders>
              <w:tl2br w:val="nil"/>
              <w:tr2bl w:val="nil"/>
            </w:tcBorders>
            <w:vAlign w:val="center"/>
          </w:tcPr>
          <w:p w14:paraId="4443627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5" w:type="pct"/>
            <w:tcBorders>
              <w:tl2br w:val="nil"/>
              <w:tr2bl w:val="nil"/>
            </w:tcBorders>
            <w:vAlign w:val="center"/>
          </w:tcPr>
          <w:p w14:paraId="77EF529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06B46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15C82AE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560" w:type="pct"/>
            <w:vMerge w:val="continue"/>
            <w:tcBorders>
              <w:tl2br w:val="nil"/>
              <w:tr2bl w:val="nil"/>
            </w:tcBorders>
            <w:vAlign w:val="center"/>
          </w:tcPr>
          <w:p w14:paraId="1642652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4485B0C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4C99D23E">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04" w:type="pct"/>
            <w:vMerge w:val="restart"/>
            <w:tcBorders>
              <w:tl2br w:val="nil"/>
              <w:tr2bl w:val="nil"/>
            </w:tcBorders>
            <w:vAlign w:val="center"/>
          </w:tcPr>
          <w:p w14:paraId="23F61EF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环境监测预警与日常检查</w:t>
            </w:r>
          </w:p>
        </w:tc>
        <w:tc>
          <w:tcPr>
            <w:tcW w:w="835" w:type="pct"/>
            <w:tcBorders>
              <w:tl2br w:val="nil"/>
              <w:tr2bl w:val="nil"/>
            </w:tcBorders>
            <w:vAlign w:val="center"/>
          </w:tcPr>
          <w:p w14:paraId="21D9F52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监测预警</w:t>
            </w:r>
          </w:p>
        </w:tc>
        <w:tc>
          <w:tcPr>
            <w:tcW w:w="376" w:type="pct"/>
            <w:tcBorders>
              <w:tl2br w:val="nil"/>
              <w:tr2bl w:val="nil"/>
            </w:tcBorders>
            <w:vAlign w:val="center"/>
          </w:tcPr>
          <w:p w14:paraId="2F7F7C1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5" w:type="pct"/>
            <w:tcBorders>
              <w:tl2br w:val="nil"/>
              <w:tr2bl w:val="nil"/>
            </w:tcBorders>
            <w:vAlign w:val="center"/>
          </w:tcPr>
          <w:p w14:paraId="4BA5B9C4">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62D41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380C136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560" w:type="pct"/>
            <w:vMerge w:val="continue"/>
            <w:tcBorders>
              <w:tl2br w:val="nil"/>
              <w:tr2bl w:val="nil"/>
            </w:tcBorders>
            <w:vAlign w:val="center"/>
          </w:tcPr>
          <w:p w14:paraId="4073522B">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0BA7F78D">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1FD9E4DC">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04" w:type="pct"/>
            <w:vMerge w:val="continue"/>
            <w:tcBorders>
              <w:tl2br w:val="nil"/>
              <w:tr2bl w:val="nil"/>
            </w:tcBorders>
            <w:vAlign w:val="center"/>
          </w:tcPr>
          <w:p w14:paraId="7FCD9635">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35" w:type="pct"/>
            <w:tcBorders>
              <w:tl2br w:val="nil"/>
              <w:tr2bl w:val="nil"/>
            </w:tcBorders>
            <w:vAlign w:val="center"/>
          </w:tcPr>
          <w:p w14:paraId="02E6A56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日常检查</w:t>
            </w:r>
          </w:p>
        </w:tc>
        <w:tc>
          <w:tcPr>
            <w:tcW w:w="376" w:type="pct"/>
            <w:tcBorders>
              <w:tl2br w:val="nil"/>
              <w:tr2bl w:val="nil"/>
            </w:tcBorders>
            <w:vAlign w:val="center"/>
          </w:tcPr>
          <w:p w14:paraId="2D0C1893">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5" w:type="pct"/>
            <w:tcBorders>
              <w:tl2br w:val="nil"/>
              <w:tr2bl w:val="nil"/>
            </w:tcBorders>
            <w:vAlign w:val="center"/>
          </w:tcPr>
          <w:p w14:paraId="69549A5C">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803F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44D82B7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560" w:type="pct"/>
            <w:vMerge w:val="continue"/>
            <w:tcBorders>
              <w:tl2br w:val="nil"/>
              <w:tr2bl w:val="nil"/>
            </w:tcBorders>
            <w:vAlign w:val="center"/>
          </w:tcPr>
          <w:p w14:paraId="09CE69E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10499A2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7BA20ED8">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04" w:type="pct"/>
            <w:vMerge w:val="restart"/>
            <w:tcBorders>
              <w:tl2br w:val="nil"/>
              <w:tr2bl w:val="nil"/>
            </w:tcBorders>
            <w:vAlign w:val="center"/>
          </w:tcPr>
          <w:p w14:paraId="7763BDA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环境安全隐患排查与治理</w:t>
            </w:r>
          </w:p>
        </w:tc>
        <w:tc>
          <w:tcPr>
            <w:tcW w:w="835" w:type="pct"/>
            <w:tcBorders>
              <w:tl2br w:val="nil"/>
              <w:tr2bl w:val="nil"/>
            </w:tcBorders>
            <w:vAlign w:val="center"/>
          </w:tcPr>
          <w:p w14:paraId="16C66228">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安全隐患排查</w:t>
            </w:r>
          </w:p>
        </w:tc>
        <w:tc>
          <w:tcPr>
            <w:tcW w:w="376" w:type="pct"/>
            <w:tcBorders>
              <w:tl2br w:val="nil"/>
              <w:tr2bl w:val="nil"/>
            </w:tcBorders>
            <w:vAlign w:val="center"/>
          </w:tcPr>
          <w:p w14:paraId="7BACB532">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455" w:type="pct"/>
            <w:tcBorders>
              <w:tl2br w:val="nil"/>
              <w:tr2bl w:val="nil"/>
            </w:tcBorders>
            <w:vAlign w:val="center"/>
          </w:tcPr>
          <w:p w14:paraId="6EF1141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739FE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1FE049C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560" w:type="pct"/>
            <w:vMerge w:val="continue"/>
            <w:tcBorders>
              <w:tl2br w:val="nil"/>
              <w:tr2bl w:val="nil"/>
            </w:tcBorders>
            <w:vAlign w:val="center"/>
          </w:tcPr>
          <w:p w14:paraId="50CA1DA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06F4C61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304CA750">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04" w:type="pct"/>
            <w:vMerge w:val="continue"/>
            <w:tcBorders>
              <w:tl2br w:val="nil"/>
              <w:tr2bl w:val="nil"/>
            </w:tcBorders>
            <w:vAlign w:val="center"/>
          </w:tcPr>
          <w:p w14:paraId="038F722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35" w:type="pct"/>
            <w:tcBorders>
              <w:tl2br w:val="nil"/>
              <w:tr2bl w:val="nil"/>
            </w:tcBorders>
            <w:vAlign w:val="center"/>
          </w:tcPr>
          <w:p w14:paraId="67E5A5E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环境安全隐患治理</w:t>
            </w:r>
          </w:p>
        </w:tc>
        <w:tc>
          <w:tcPr>
            <w:tcW w:w="376" w:type="pct"/>
            <w:tcBorders>
              <w:tl2br w:val="nil"/>
              <w:tr2bl w:val="nil"/>
            </w:tcBorders>
            <w:vAlign w:val="center"/>
          </w:tcPr>
          <w:p w14:paraId="3045D69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455" w:type="pct"/>
            <w:tcBorders>
              <w:tl2br w:val="nil"/>
              <w:tr2bl w:val="nil"/>
            </w:tcBorders>
            <w:vAlign w:val="center"/>
          </w:tcPr>
          <w:p w14:paraId="35696BDE">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5D075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239A00C4">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560" w:type="pct"/>
            <w:vMerge w:val="continue"/>
            <w:tcBorders>
              <w:tl2br w:val="nil"/>
              <w:tr2bl w:val="nil"/>
            </w:tcBorders>
            <w:vAlign w:val="center"/>
          </w:tcPr>
          <w:p w14:paraId="15BEB416">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3FDD6C41">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tcBorders>
              <w:tl2br w:val="nil"/>
              <w:tr2bl w:val="nil"/>
            </w:tcBorders>
            <w:vAlign w:val="center"/>
          </w:tcPr>
          <w:p w14:paraId="00E57CB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环境违法与环境纠纷情况</w:t>
            </w:r>
          </w:p>
        </w:tc>
        <w:tc>
          <w:tcPr>
            <w:tcW w:w="1540" w:type="pct"/>
            <w:gridSpan w:val="2"/>
            <w:tcBorders>
              <w:tl2br w:val="nil"/>
              <w:tr2bl w:val="nil"/>
            </w:tcBorders>
            <w:vAlign w:val="center"/>
          </w:tcPr>
          <w:p w14:paraId="1A1EBD4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近三年来是否存在环境违法行为或与周边存在环境纠纷</w:t>
            </w:r>
          </w:p>
        </w:tc>
        <w:tc>
          <w:tcPr>
            <w:tcW w:w="376" w:type="pct"/>
            <w:tcBorders>
              <w:tl2br w:val="nil"/>
              <w:tr2bl w:val="nil"/>
            </w:tcBorders>
            <w:vAlign w:val="center"/>
          </w:tcPr>
          <w:p w14:paraId="21B48C3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455" w:type="pct"/>
            <w:tcBorders>
              <w:tl2br w:val="nil"/>
              <w:tr2bl w:val="nil"/>
            </w:tcBorders>
            <w:vAlign w:val="center"/>
          </w:tcPr>
          <w:p w14:paraId="42EC0E40">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3FF4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69CB4D87">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560" w:type="pct"/>
            <w:vMerge w:val="continue"/>
            <w:tcBorders>
              <w:tl2br w:val="nil"/>
              <w:tr2bl w:val="nil"/>
            </w:tcBorders>
            <w:vAlign w:val="center"/>
          </w:tcPr>
          <w:p w14:paraId="6ED03EA7">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restart"/>
            <w:tcBorders>
              <w:tl2br w:val="nil"/>
              <w:tr2bl w:val="nil"/>
            </w:tcBorders>
            <w:vAlign w:val="center"/>
          </w:tcPr>
          <w:p w14:paraId="35F03FC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历史事件情况</w:t>
            </w:r>
          </w:p>
        </w:tc>
        <w:tc>
          <w:tcPr>
            <w:tcW w:w="1360" w:type="pct"/>
            <w:vMerge w:val="restart"/>
            <w:tcBorders>
              <w:tl2br w:val="nil"/>
              <w:tr2bl w:val="nil"/>
            </w:tcBorders>
            <w:vAlign w:val="center"/>
          </w:tcPr>
          <w:p w14:paraId="161BBE1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近三年来发生事故或事件情况（包括安全和环境方面）</w:t>
            </w:r>
          </w:p>
        </w:tc>
        <w:tc>
          <w:tcPr>
            <w:tcW w:w="1540" w:type="pct"/>
            <w:gridSpan w:val="2"/>
            <w:tcBorders>
              <w:tl2br w:val="nil"/>
              <w:tr2bl w:val="nil"/>
            </w:tcBorders>
            <w:vAlign w:val="center"/>
          </w:tcPr>
          <w:p w14:paraId="0096C135">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事件等级</w:t>
            </w:r>
          </w:p>
        </w:tc>
        <w:tc>
          <w:tcPr>
            <w:tcW w:w="376" w:type="pct"/>
            <w:tcBorders>
              <w:tl2br w:val="nil"/>
              <w:tr2bl w:val="nil"/>
            </w:tcBorders>
            <w:vAlign w:val="center"/>
          </w:tcPr>
          <w:p w14:paraId="6F72D5C4">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455" w:type="pct"/>
            <w:tcBorders>
              <w:tl2br w:val="nil"/>
              <w:tr2bl w:val="nil"/>
            </w:tcBorders>
            <w:vAlign w:val="center"/>
          </w:tcPr>
          <w:p w14:paraId="4CC8AB9B">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30FB6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tcBorders>
              <w:tl2br w:val="nil"/>
              <w:tr2bl w:val="nil"/>
            </w:tcBorders>
            <w:vAlign w:val="center"/>
          </w:tcPr>
          <w:p w14:paraId="036838F6">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560" w:type="pct"/>
            <w:vMerge w:val="continue"/>
            <w:tcBorders>
              <w:tl2br w:val="nil"/>
              <w:tr2bl w:val="nil"/>
            </w:tcBorders>
            <w:vAlign w:val="center"/>
          </w:tcPr>
          <w:p w14:paraId="2413E2A9">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22" w:type="pct"/>
            <w:vMerge w:val="continue"/>
            <w:tcBorders>
              <w:tl2br w:val="nil"/>
              <w:tr2bl w:val="nil"/>
            </w:tcBorders>
            <w:vAlign w:val="center"/>
          </w:tcPr>
          <w:p w14:paraId="20DD327A">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360" w:type="pct"/>
            <w:vMerge w:val="continue"/>
            <w:tcBorders>
              <w:tl2br w:val="nil"/>
              <w:tr2bl w:val="nil"/>
            </w:tcBorders>
            <w:vAlign w:val="center"/>
          </w:tcPr>
          <w:p w14:paraId="775DC66D">
            <w:pPr>
              <w:pStyle w:val="11"/>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540" w:type="pct"/>
            <w:gridSpan w:val="2"/>
            <w:tcBorders>
              <w:tl2br w:val="nil"/>
              <w:tr2bl w:val="nil"/>
            </w:tcBorders>
            <w:vAlign w:val="center"/>
          </w:tcPr>
          <w:p w14:paraId="0F25ECAA">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事件次数</w:t>
            </w:r>
          </w:p>
        </w:tc>
        <w:tc>
          <w:tcPr>
            <w:tcW w:w="376" w:type="pct"/>
            <w:tcBorders>
              <w:tl2br w:val="nil"/>
              <w:tr2bl w:val="nil"/>
            </w:tcBorders>
            <w:vAlign w:val="center"/>
          </w:tcPr>
          <w:p w14:paraId="64E8321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455" w:type="pct"/>
            <w:tcBorders>
              <w:tl2br w:val="nil"/>
              <w:tr2bl w:val="nil"/>
            </w:tcBorders>
            <w:vAlign w:val="center"/>
          </w:tcPr>
          <w:p w14:paraId="42ED220F">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20081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4" w:type="pct"/>
            <w:gridSpan w:val="7"/>
            <w:tcBorders>
              <w:tl2br w:val="nil"/>
              <w:tr2bl w:val="nil"/>
            </w:tcBorders>
            <w:vAlign w:val="center"/>
          </w:tcPr>
          <w:p w14:paraId="763A16F1">
            <w:pPr>
              <w:pStyle w:val="11"/>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455" w:type="pct"/>
            <w:tcBorders>
              <w:tl2br w:val="nil"/>
              <w:tr2bl w:val="nil"/>
            </w:tcBorders>
            <w:vAlign w:val="center"/>
          </w:tcPr>
          <w:p w14:paraId="502A19F2">
            <w:pPr>
              <w:pStyle w:val="11"/>
              <w:spacing w:after="0" w:line="360" w:lineRule="exac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3.5</w:t>
            </w:r>
          </w:p>
        </w:tc>
      </w:tr>
    </w:tbl>
    <w:p w14:paraId="22574C0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依据尾矿库控制机制可靠性等别划分表，将控制机制可靠性（R）划分为R1、R2、R3三个等别，控制机制可靠性等别划分见表5.3-1</w:t>
      </w:r>
      <w:r>
        <w:rPr>
          <w:rFonts w:hint="default" w:cs="Times New Roman"/>
          <w:color w:val="auto"/>
          <w:highlight w:val="none"/>
          <w:lang w:val="en-US" w:eastAsia="zh-CN"/>
        </w:rPr>
        <w:t>1</w:t>
      </w:r>
      <w:r>
        <w:rPr>
          <w:rFonts w:hint="default" w:ascii="Times New Roman" w:hAnsi="Times New Roman" w:cs="Times New Roman"/>
          <w:color w:val="auto"/>
          <w:highlight w:val="none"/>
        </w:rPr>
        <w:t>。</w:t>
      </w:r>
    </w:p>
    <w:p w14:paraId="314744F2">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表5.3-1</w:t>
      </w:r>
      <w:r>
        <w:rPr>
          <w:rFonts w:hint="default" w:cs="Times New Roman"/>
          <w:b/>
          <w:color w:val="auto"/>
          <w:kern w:val="0"/>
          <w:highlight w:val="none"/>
          <w:lang w:val="en-US" w:eastAsia="zh-CN"/>
        </w:rPr>
        <w:t>1</w:t>
      </w:r>
      <w:r>
        <w:rPr>
          <w:rFonts w:hint="default" w:ascii="Times New Roman" w:hAnsi="Times New Roman" w:cs="Times New Roman"/>
          <w:b/>
          <w:color w:val="auto"/>
          <w:kern w:val="0"/>
          <w:highlight w:val="none"/>
        </w:rPr>
        <w:t xml:space="preserve">    尾矿库控制机制可靠性（R）等别划分表</w:t>
      </w:r>
    </w:p>
    <w:tbl>
      <w:tblPr>
        <w:tblStyle w:val="3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39ED3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510F5D6B">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尾矿库控制机制可靠性（D</w:t>
            </w:r>
            <w:r>
              <w:rPr>
                <w:rFonts w:hint="default" w:ascii="Times New Roman" w:hAnsi="Times New Roman" w:cs="Times New Roman"/>
                <w:b/>
                <w:color w:val="auto"/>
                <w:kern w:val="0"/>
                <w:szCs w:val="21"/>
                <w:highlight w:val="none"/>
                <w:vertAlign w:val="subscript"/>
              </w:rPr>
              <w:t>R</w:t>
            </w:r>
            <w:r>
              <w:rPr>
                <w:rFonts w:hint="default" w:ascii="Times New Roman" w:hAnsi="Times New Roman" w:cs="Times New Roman"/>
                <w:b/>
                <w:color w:val="auto"/>
                <w:kern w:val="0"/>
                <w:szCs w:val="21"/>
                <w:highlight w:val="none"/>
              </w:rPr>
              <w:t>）</w:t>
            </w:r>
          </w:p>
        </w:tc>
        <w:tc>
          <w:tcPr>
            <w:tcW w:w="4261" w:type="dxa"/>
            <w:tcBorders>
              <w:tl2br w:val="nil"/>
              <w:tr2bl w:val="nil"/>
            </w:tcBorders>
            <w:vAlign w:val="center"/>
          </w:tcPr>
          <w:p w14:paraId="347109A8">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尾矿库环境危害性（R）等别代码</w:t>
            </w:r>
          </w:p>
        </w:tc>
      </w:tr>
      <w:tr w14:paraId="4F50E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5E42F6C8">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D</w:t>
            </w:r>
            <w:r>
              <w:rPr>
                <w:rFonts w:hint="default" w:ascii="Times New Roman" w:hAnsi="Times New Roman" w:cs="Times New Roman"/>
                <w:bCs/>
                <w:color w:val="auto"/>
                <w:kern w:val="0"/>
                <w:szCs w:val="21"/>
                <w:highlight w:val="none"/>
                <w:vertAlign w:val="subscript"/>
              </w:rPr>
              <w:t>R</w:t>
            </w:r>
            <w:r>
              <w:rPr>
                <w:rFonts w:hint="default" w:ascii="Times New Roman" w:hAnsi="Times New Roman" w:cs="Times New Roman"/>
                <w:bCs/>
                <w:color w:val="auto"/>
                <w:kern w:val="0"/>
                <w:szCs w:val="21"/>
                <w:highlight w:val="none"/>
              </w:rPr>
              <w:t>&gt;60</w:t>
            </w:r>
          </w:p>
        </w:tc>
        <w:tc>
          <w:tcPr>
            <w:tcW w:w="4261" w:type="dxa"/>
            <w:tcBorders>
              <w:tl2br w:val="nil"/>
              <w:tr2bl w:val="nil"/>
            </w:tcBorders>
            <w:vAlign w:val="center"/>
          </w:tcPr>
          <w:p w14:paraId="3AF6A6D5">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R1</w:t>
            </w:r>
          </w:p>
        </w:tc>
      </w:tr>
      <w:tr w14:paraId="080EF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45D8837D">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30&lt;D</w:t>
            </w:r>
            <w:r>
              <w:rPr>
                <w:rFonts w:hint="default" w:ascii="Times New Roman" w:hAnsi="Times New Roman" w:cs="Times New Roman"/>
                <w:bCs/>
                <w:color w:val="auto"/>
                <w:kern w:val="0"/>
                <w:szCs w:val="21"/>
                <w:highlight w:val="none"/>
                <w:vertAlign w:val="subscript"/>
              </w:rPr>
              <w:t>R</w:t>
            </w:r>
            <w:r>
              <w:rPr>
                <w:rFonts w:hint="default" w:ascii="Times New Roman" w:hAnsi="Times New Roman" w:cs="Times New Roman"/>
                <w:bCs/>
                <w:color w:val="auto"/>
                <w:kern w:val="0"/>
                <w:szCs w:val="21"/>
                <w:highlight w:val="none"/>
              </w:rPr>
              <w:t>≦60</w:t>
            </w:r>
          </w:p>
        </w:tc>
        <w:tc>
          <w:tcPr>
            <w:tcW w:w="4261" w:type="dxa"/>
            <w:tcBorders>
              <w:tl2br w:val="nil"/>
              <w:tr2bl w:val="nil"/>
            </w:tcBorders>
            <w:vAlign w:val="center"/>
          </w:tcPr>
          <w:p w14:paraId="388B8673">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R2</w:t>
            </w:r>
          </w:p>
        </w:tc>
      </w:tr>
      <w:tr w14:paraId="344BE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219638FA">
            <w:pPr>
              <w:pStyle w:val="32"/>
              <w:spacing w:after="0" w:line="360" w:lineRule="exact"/>
              <w:ind w:left="0" w:leftChars="0" w:firstLine="0" w:firstLineChars="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kern w:val="0"/>
                <w:szCs w:val="21"/>
                <w:highlight w:val="none"/>
              </w:rPr>
              <w:t>D</w:t>
            </w:r>
            <w:r>
              <w:rPr>
                <w:rFonts w:hint="default" w:ascii="Times New Roman" w:hAnsi="Times New Roman" w:cs="Times New Roman"/>
                <w:b/>
                <w:bCs w:val="0"/>
                <w:color w:val="auto"/>
                <w:kern w:val="0"/>
                <w:szCs w:val="21"/>
                <w:highlight w:val="none"/>
                <w:vertAlign w:val="subscript"/>
              </w:rPr>
              <w:t>R</w:t>
            </w:r>
            <w:r>
              <w:rPr>
                <w:rFonts w:hint="default" w:ascii="Times New Roman" w:hAnsi="Times New Roman" w:cs="Times New Roman"/>
                <w:b/>
                <w:bCs w:val="0"/>
                <w:color w:val="auto"/>
                <w:kern w:val="0"/>
                <w:szCs w:val="21"/>
                <w:highlight w:val="none"/>
              </w:rPr>
              <w:t>≦30</w:t>
            </w:r>
          </w:p>
        </w:tc>
        <w:tc>
          <w:tcPr>
            <w:tcW w:w="4261" w:type="dxa"/>
            <w:tcBorders>
              <w:tl2br w:val="nil"/>
              <w:tr2bl w:val="nil"/>
            </w:tcBorders>
            <w:vAlign w:val="center"/>
          </w:tcPr>
          <w:p w14:paraId="475C5914">
            <w:pPr>
              <w:pStyle w:val="32"/>
              <w:spacing w:after="0" w:line="360" w:lineRule="exact"/>
              <w:ind w:left="0" w:leftChars="0" w:firstLine="0" w:firstLineChars="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R3</w:t>
            </w:r>
          </w:p>
        </w:tc>
      </w:tr>
    </w:tbl>
    <w:p w14:paraId="7C02D1C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根据《尾矿库环境风险评估技术导则（试行）》（HJ740-2015）附录D中各指标评分方法，本项目尾矿库总得分为</w:t>
      </w:r>
      <w:r>
        <w:rPr>
          <w:rFonts w:hint="default" w:cs="Times New Roman"/>
          <w:color w:val="auto"/>
          <w:highlight w:val="none"/>
          <w:lang w:val="en-US" w:eastAsia="zh-CN"/>
        </w:rPr>
        <w:t>3.5</w:t>
      </w:r>
      <w:r>
        <w:rPr>
          <w:rFonts w:hint="default" w:ascii="Times New Roman" w:hAnsi="Times New Roman" w:cs="Times New Roman"/>
          <w:color w:val="auto"/>
          <w:highlight w:val="none"/>
        </w:rPr>
        <w:t>，根据表5.3-1</w:t>
      </w:r>
      <w:r>
        <w:rPr>
          <w:rFonts w:hint="default" w:cs="Times New Roman"/>
          <w:color w:val="auto"/>
          <w:highlight w:val="none"/>
          <w:lang w:val="en-US" w:eastAsia="zh-CN"/>
        </w:rPr>
        <w:t>1</w:t>
      </w:r>
      <w:r>
        <w:rPr>
          <w:rFonts w:hint="default" w:ascii="Times New Roman" w:hAnsi="Times New Roman" w:cs="Times New Roman"/>
          <w:color w:val="auto"/>
          <w:highlight w:val="none"/>
        </w:rPr>
        <w:t>，控制机制可靠性等别均为R3。</w:t>
      </w:r>
    </w:p>
    <w:p w14:paraId="658AA837">
      <w:pPr>
        <w:overflowPunct w:val="0"/>
        <w:topLinePunct/>
        <w:ind w:firstLine="480"/>
        <w:rPr>
          <w:rFonts w:hint="default" w:ascii="Times New Roman" w:hAnsi="Times New Roman" w:cs="Times New Roman"/>
          <w:color w:val="auto"/>
          <w:szCs w:val="21"/>
          <w:highlight w:val="none"/>
          <w:lang w:val="zh-CN" w:bidi="ar"/>
        </w:rPr>
      </w:pPr>
      <w:r>
        <w:rPr>
          <w:rFonts w:hint="default" w:ascii="Times New Roman" w:hAnsi="Times New Roman" w:cs="Times New Roman"/>
          <w:color w:val="auto"/>
          <w:szCs w:val="21"/>
          <w:highlight w:val="none"/>
          <w:lang w:val="zh-CN" w:bidi="ar"/>
        </w:rPr>
        <w:t>结合尾矿库环境危害性（</w:t>
      </w:r>
      <w:r>
        <w:rPr>
          <w:rFonts w:hint="default" w:ascii="Times New Roman" w:hAnsi="Times New Roman" w:cs="Times New Roman"/>
          <w:color w:val="auto"/>
          <w:szCs w:val="21"/>
          <w:highlight w:val="none"/>
          <w:lang w:bidi="ar"/>
        </w:rPr>
        <w:t>H</w:t>
      </w:r>
      <w:r>
        <w:rPr>
          <w:rFonts w:hint="default" w:ascii="Times New Roman" w:hAnsi="Times New Roman" w:cs="Times New Roman"/>
          <w:color w:val="auto"/>
          <w:szCs w:val="21"/>
          <w:highlight w:val="none"/>
          <w:lang w:val="zh-CN" w:bidi="ar"/>
        </w:rPr>
        <w:t>）、周边环境敏感性（</w:t>
      </w:r>
      <w:r>
        <w:rPr>
          <w:rFonts w:hint="default" w:ascii="Times New Roman" w:hAnsi="Times New Roman" w:cs="Times New Roman"/>
          <w:color w:val="auto"/>
          <w:szCs w:val="21"/>
          <w:highlight w:val="none"/>
          <w:lang w:bidi="ar"/>
        </w:rPr>
        <w:t>S</w:t>
      </w:r>
      <w:r>
        <w:rPr>
          <w:rFonts w:hint="default" w:ascii="Times New Roman" w:hAnsi="Times New Roman" w:cs="Times New Roman"/>
          <w:color w:val="auto"/>
          <w:szCs w:val="21"/>
          <w:highlight w:val="none"/>
          <w:lang w:val="zh-CN" w:bidi="ar"/>
        </w:rPr>
        <w:t>）、控制机制可靠性（</w:t>
      </w:r>
      <w:r>
        <w:rPr>
          <w:rFonts w:hint="default" w:ascii="Times New Roman" w:hAnsi="Times New Roman" w:cs="Times New Roman"/>
          <w:color w:val="auto"/>
          <w:szCs w:val="21"/>
          <w:highlight w:val="none"/>
          <w:lang w:bidi="ar"/>
        </w:rPr>
        <w:t>R</w:t>
      </w:r>
      <w:r>
        <w:rPr>
          <w:rFonts w:hint="default" w:ascii="Times New Roman" w:hAnsi="Times New Roman" w:cs="Times New Roman"/>
          <w:color w:val="auto"/>
          <w:szCs w:val="21"/>
          <w:highlight w:val="none"/>
          <w:lang w:val="zh-CN" w:bidi="ar"/>
        </w:rPr>
        <w:t>）三方面的等别，对照尾矿库环境风险等级划分矩阵，将尾矿库环境风险划分为重大、较大、一般三个等级，见表</w:t>
      </w:r>
      <w:r>
        <w:rPr>
          <w:rFonts w:hint="default" w:ascii="Times New Roman" w:hAnsi="Times New Roman" w:cs="Times New Roman"/>
          <w:color w:val="auto"/>
          <w:szCs w:val="21"/>
          <w:highlight w:val="none"/>
          <w:lang w:bidi="ar"/>
        </w:rPr>
        <w:t>5.3-1</w:t>
      </w:r>
      <w:r>
        <w:rPr>
          <w:rFonts w:hint="default" w:cs="Times New Roman"/>
          <w:color w:val="auto"/>
          <w:szCs w:val="21"/>
          <w:highlight w:val="none"/>
          <w:lang w:val="en-US" w:eastAsia="zh-CN" w:bidi="ar"/>
        </w:rPr>
        <w:t>2</w:t>
      </w:r>
      <w:r>
        <w:rPr>
          <w:rFonts w:hint="default" w:ascii="Times New Roman" w:hAnsi="Times New Roman" w:cs="Times New Roman"/>
          <w:color w:val="auto"/>
          <w:szCs w:val="21"/>
          <w:highlight w:val="none"/>
          <w:lang w:val="zh-CN" w:bidi="ar"/>
        </w:rPr>
        <w:t>。</w:t>
      </w:r>
    </w:p>
    <w:p w14:paraId="73A02A63">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szCs w:val="21"/>
          <w:highlight w:val="none"/>
          <w:lang w:val="zh-CN" w:bidi="ar"/>
        </w:rPr>
        <w:t>表</w:t>
      </w:r>
      <w:r>
        <w:rPr>
          <w:rFonts w:hint="default" w:ascii="Times New Roman" w:hAnsi="Times New Roman" w:cs="Times New Roman"/>
          <w:b/>
          <w:color w:val="auto"/>
          <w:szCs w:val="21"/>
          <w:highlight w:val="none"/>
          <w:lang w:bidi="ar"/>
        </w:rPr>
        <w:t>5.3-1</w:t>
      </w:r>
      <w:r>
        <w:rPr>
          <w:rFonts w:hint="default" w:cs="Times New Roman"/>
          <w:b/>
          <w:color w:val="auto"/>
          <w:szCs w:val="21"/>
          <w:highlight w:val="none"/>
          <w:lang w:val="en-US" w:eastAsia="zh-CN" w:bidi="ar"/>
        </w:rPr>
        <w:t>2</w:t>
      </w:r>
      <w:r>
        <w:rPr>
          <w:rFonts w:hint="default" w:ascii="Times New Roman" w:hAnsi="Times New Roman" w:cs="Times New Roman"/>
          <w:b/>
          <w:color w:val="auto"/>
          <w:szCs w:val="21"/>
          <w:highlight w:val="none"/>
          <w:lang w:bidi="ar"/>
        </w:rPr>
        <w:t xml:space="preserve">    尾矿库环境风险等级划分矩阵</w:t>
      </w:r>
    </w:p>
    <w:tbl>
      <w:tblPr>
        <w:tblStyle w:val="33"/>
        <w:tblW w:w="851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810"/>
        <w:gridCol w:w="1751"/>
        <w:gridCol w:w="2040"/>
        <w:gridCol w:w="2134"/>
        <w:gridCol w:w="1782"/>
      </w:tblGrid>
      <w:tr w14:paraId="67084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blHeader/>
        </w:trPr>
        <w:tc>
          <w:tcPr>
            <w:tcW w:w="810" w:type="dxa"/>
            <w:vMerge w:val="restart"/>
            <w:tcBorders>
              <w:tl2br w:val="nil"/>
              <w:tr2bl w:val="nil"/>
            </w:tcBorders>
            <w:shd w:val="clear" w:color="auto" w:fill="auto"/>
            <w:vAlign w:val="center"/>
          </w:tcPr>
          <w:p w14:paraId="412F43E2">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序号</w:t>
            </w:r>
          </w:p>
        </w:tc>
        <w:tc>
          <w:tcPr>
            <w:tcW w:w="5925" w:type="dxa"/>
            <w:gridSpan w:val="3"/>
            <w:tcBorders>
              <w:tl2br w:val="nil"/>
              <w:tr2bl w:val="nil"/>
            </w:tcBorders>
            <w:shd w:val="clear" w:color="auto" w:fill="auto"/>
            <w:vAlign w:val="center"/>
          </w:tcPr>
          <w:p w14:paraId="6676DB1C">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情形</w:t>
            </w:r>
          </w:p>
        </w:tc>
        <w:tc>
          <w:tcPr>
            <w:tcW w:w="1782" w:type="dxa"/>
            <w:vMerge w:val="restart"/>
            <w:tcBorders>
              <w:tl2br w:val="nil"/>
              <w:tr2bl w:val="nil"/>
            </w:tcBorders>
            <w:shd w:val="clear" w:color="auto" w:fill="auto"/>
            <w:vAlign w:val="center"/>
          </w:tcPr>
          <w:p w14:paraId="38812468">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环境风险</w:t>
            </w:r>
          </w:p>
          <w:p w14:paraId="417947BC">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等级</w:t>
            </w:r>
          </w:p>
        </w:tc>
      </w:tr>
      <w:tr w14:paraId="3F840B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vMerge w:val="continue"/>
            <w:tcBorders>
              <w:tl2br w:val="nil"/>
              <w:tr2bl w:val="nil"/>
            </w:tcBorders>
            <w:shd w:val="clear" w:color="auto" w:fill="auto"/>
            <w:vAlign w:val="center"/>
          </w:tcPr>
          <w:p w14:paraId="67814981">
            <w:pPr>
              <w:ind w:firstLine="400"/>
              <w:rPr>
                <w:rFonts w:hint="default" w:ascii="Times New Roman" w:hAnsi="Times New Roman" w:cs="Times New Roman"/>
                <w:color w:val="auto"/>
                <w:sz w:val="20"/>
                <w:szCs w:val="20"/>
                <w:highlight w:val="none"/>
              </w:rPr>
            </w:pPr>
          </w:p>
        </w:tc>
        <w:tc>
          <w:tcPr>
            <w:tcW w:w="1751" w:type="dxa"/>
            <w:tcBorders>
              <w:tl2br w:val="nil"/>
              <w:tr2bl w:val="nil"/>
            </w:tcBorders>
            <w:shd w:val="clear" w:color="auto" w:fill="auto"/>
            <w:vAlign w:val="center"/>
          </w:tcPr>
          <w:p w14:paraId="459B8270">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环境危害性（H）</w:t>
            </w:r>
          </w:p>
        </w:tc>
        <w:tc>
          <w:tcPr>
            <w:tcW w:w="2040" w:type="dxa"/>
            <w:tcBorders>
              <w:tl2br w:val="nil"/>
              <w:tr2bl w:val="nil"/>
            </w:tcBorders>
            <w:shd w:val="clear" w:color="auto" w:fill="auto"/>
            <w:vAlign w:val="center"/>
          </w:tcPr>
          <w:p w14:paraId="6E522BCF">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周边环境敏感性（S）</w:t>
            </w:r>
          </w:p>
        </w:tc>
        <w:tc>
          <w:tcPr>
            <w:tcW w:w="2134" w:type="dxa"/>
            <w:tcBorders>
              <w:tl2br w:val="nil"/>
              <w:tr2bl w:val="nil"/>
            </w:tcBorders>
            <w:shd w:val="clear" w:color="auto" w:fill="auto"/>
            <w:vAlign w:val="center"/>
          </w:tcPr>
          <w:p w14:paraId="0DE4EE63">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控制机制可靠性（R）</w:t>
            </w:r>
          </w:p>
        </w:tc>
        <w:tc>
          <w:tcPr>
            <w:tcW w:w="1782" w:type="dxa"/>
            <w:vMerge w:val="continue"/>
            <w:tcBorders>
              <w:tl2br w:val="nil"/>
              <w:tr2bl w:val="nil"/>
            </w:tcBorders>
            <w:shd w:val="clear" w:color="auto" w:fill="auto"/>
            <w:vAlign w:val="center"/>
          </w:tcPr>
          <w:p w14:paraId="013CE082">
            <w:pPr>
              <w:ind w:firstLine="400"/>
              <w:rPr>
                <w:rFonts w:hint="default" w:ascii="Times New Roman" w:hAnsi="Times New Roman" w:cs="Times New Roman"/>
                <w:color w:val="auto"/>
                <w:sz w:val="20"/>
                <w:szCs w:val="20"/>
                <w:highlight w:val="none"/>
              </w:rPr>
            </w:pPr>
          </w:p>
        </w:tc>
      </w:tr>
      <w:tr w14:paraId="1745F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7752B2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w:t>
            </w:r>
          </w:p>
        </w:tc>
        <w:tc>
          <w:tcPr>
            <w:tcW w:w="1751" w:type="dxa"/>
            <w:vMerge w:val="restart"/>
            <w:tcBorders>
              <w:tl2br w:val="nil"/>
              <w:tr2bl w:val="nil"/>
            </w:tcBorders>
            <w:shd w:val="clear" w:color="auto" w:fill="auto"/>
            <w:vAlign w:val="center"/>
          </w:tcPr>
          <w:p w14:paraId="4898BC5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H1</w:t>
            </w:r>
          </w:p>
        </w:tc>
        <w:tc>
          <w:tcPr>
            <w:tcW w:w="2040" w:type="dxa"/>
            <w:vMerge w:val="restart"/>
            <w:tcBorders>
              <w:tl2br w:val="nil"/>
              <w:tr2bl w:val="nil"/>
            </w:tcBorders>
            <w:shd w:val="clear" w:color="auto" w:fill="auto"/>
            <w:vAlign w:val="center"/>
          </w:tcPr>
          <w:p w14:paraId="700E4F9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3ED5537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45920B9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6B42CB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C868F0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w:t>
            </w:r>
          </w:p>
        </w:tc>
        <w:tc>
          <w:tcPr>
            <w:tcW w:w="1751" w:type="dxa"/>
            <w:vMerge w:val="continue"/>
            <w:tcBorders>
              <w:tl2br w:val="nil"/>
              <w:tr2bl w:val="nil"/>
            </w:tcBorders>
            <w:shd w:val="clear" w:color="auto" w:fill="auto"/>
            <w:vAlign w:val="center"/>
          </w:tcPr>
          <w:p w14:paraId="41B0671E">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27FBCD5">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5044ED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15E712D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5F1C4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82C629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3</w:t>
            </w:r>
          </w:p>
        </w:tc>
        <w:tc>
          <w:tcPr>
            <w:tcW w:w="1751" w:type="dxa"/>
            <w:vMerge w:val="continue"/>
            <w:tcBorders>
              <w:tl2br w:val="nil"/>
              <w:tr2bl w:val="nil"/>
            </w:tcBorders>
            <w:shd w:val="clear" w:color="auto" w:fill="auto"/>
            <w:vAlign w:val="center"/>
          </w:tcPr>
          <w:p w14:paraId="7BFCECB9">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CE4EBA3">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A010A3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1BBC4DF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33EE1D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E8EA29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4</w:t>
            </w:r>
          </w:p>
        </w:tc>
        <w:tc>
          <w:tcPr>
            <w:tcW w:w="1751" w:type="dxa"/>
            <w:vMerge w:val="continue"/>
            <w:tcBorders>
              <w:tl2br w:val="nil"/>
              <w:tr2bl w:val="nil"/>
            </w:tcBorders>
            <w:shd w:val="clear" w:color="auto" w:fill="auto"/>
            <w:vAlign w:val="center"/>
          </w:tcPr>
          <w:p w14:paraId="49E412BD">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60529AA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2B5BD98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71380B9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415121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64649F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5</w:t>
            </w:r>
          </w:p>
        </w:tc>
        <w:tc>
          <w:tcPr>
            <w:tcW w:w="1751" w:type="dxa"/>
            <w:vMerge w:val="continue"/>
            <w:tcBorders>
              <w:tl2br w:val="nil"/>
              <w:tr2bl w:val="nil"/>
            </w:tcBorders>
            <w:shd w:val="clear" w:color="auto" w:fill="auto"/>
            <w:vAlign w:val="center"/>
          </w:tcPr>
          <w:p w14:paraId="654A3263">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8DB49F7">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052162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7493068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47C1C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CFF6EE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6</w:t>
            </w:r>
          </w:p>
        </w:tc>
        <w:tc>
          <w:tcPr>
            <w:tcW w:w="1751" w:type="dxa"/>
            <w:vMerge w:val="continue"/>
            <w:tcBorders>
              <w:tl2br w:val="nil"/>
              <w:tr2bl w:val="nil"/>
            </w:tcBorders>
            <w:shd w:val="clear" w:color="auto" w:fill="auto"/>
            <w:vAlign w:val="center"/>
          </w:tcPr>
          <w:p w14:paraId="4C132343">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7C37F85A">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6E09766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0D232D2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6B112C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53B8FE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7</w:t>
            </w:r>
          </w:p>
        </w:tc>
        <w:tc>
          <w:tcPr>
            <w:tcW w:w="1751" w:type="dxa"/>
            <w:vMerge w:val="continue"/>
            <w:tcBorders>
              <w:tl2br w:val="nil"/>
              <w:tr2bl w:val="nil"/>
            </w:tcBorders>
            <w:shd w:val="clear" w:color="auto" w:fill="auto"/>
            <w:vAlign w:val="center"/>
          </w:tcPr>
          <w:p w14:paraId="69428B66">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6EF8255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S3</w:t>
            </w:r>
          </w:p>
        </w:tc>
        <w:tc>
          <w:tcPr>
            <w:tcW w:w="2134" w:type="dxa"/>
            <w:tcBorders>
              <w:tl2br w:val="nil"/>
              <w:tr2bl w:val="nil"/>
            </w:tcBorders>
            <w:shd w:val="clear" w:color="auto" w:fill="auto"/>
            <w:vAlign w:val="center"/>
          </w:tcPr>
          <w:p w14:paraId="095F5B4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209766D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31420D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D57D1A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8</w:t>
            </w:r>
          </w:p>
        </w:tc>
        <w:tc>
          <w:tcPr>
            <w:tcW w:w="1751" w:type="dxa"/>
            <w:vMerge w:val="continue"/>
            <w:tcBorders>
              <w:tl2br w:val="nil"/>
              <w:tr2bl w:val="nil"/>
            </w:tcBorders>
            <w:shd w:val="clear" w:color="auto" w:fill="auto"/>
            <w:vAlign w:val="center"/>
          </w:tcPr>
          <w:p w14:paraId="6DD8F2DE">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E5BE672">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296DEA9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47D313D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1EF1E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C74357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9</w:t>
            </w:r>
          </w:p>
        </w:tc>
        <w:tc>
          <w:tcPr>
            <w:tcW w:w="1751" w:type="dxa"/>
            <w:vMerge w:val="continue"/>
            <w:tcBorders>
              <w:tl2br w:val="nil"/>
              <w:tr2bl w:val="nil"/>
            </w:tcBorders>
            <w:shd w:val="clear" w:color="auto" w:fill="auto"/>
            <w:vAlign w:val="center"/>
          </w:tcPr>
          <w:p w14:paraId="5C59FAB1">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72400DB0">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68D7D22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17643FC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6A2AEC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39AC49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10</w:t>
            </w:r>
          </w:p>
        </w:tc>
        <w:tc>
          <w:tcPr>
            <w:tcW w:w="1751" w:type="dxa"/>
            <w:vMerge w:val="restart"/>
            <w:tcBorders>
              <w:tl2br w:val="nil"/>
              <w:tr2bl w:val="nil"/>
            </w:tcBorders>
            <w:shd w:val="clear" w:color="auto" w:fill="auto"/>
            <w:vAlign w:val="center"/>
          </w:tcPr>
          <w:p w14:paraId="64A6F4B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H2</w:t>
            </w:r>
          </w:p>
        </w:tc>
        <w:tc>
          <w:tcPr>
            <w:tcW w:w="2040" w:type="dxa"/>
            <w:vMerge w:val="restart"/>
            <w:tcBorders>
              <w:tl2br w:val="nil"/>
              <w:tr2bl w:val="nil"/>
            </w:tcBorders>
            <w:shd w:val="clear" w:color="auto" w:fill="auto"/>
            <w:vAlign w:val="center"/>
          </w:tcPr>
          <w:p w14:paraId="262F026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4FD0157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259F034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4EFD50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CE9ABB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11</w:t>
            </w:r>
          </w:p>
        </w:tc>
        <w:tc>
          <w:tcPr>
            <w:tcW w:w="1751" w:type="dxa"/>
            <w:vMerge w:val="continue"/>
            <w:tcBorders>
              <w:tl2br w:val="nil"/>
              <w:tr2bl w:val="nil"/>
            </w:tcBorders>
            <w:shd w:val="clear" w:color="auto" w:fill="auto"/>
            <w:vAlign w:val="center"/>
          </w:tcPr>
          <w:p w14:paraId="4D44D3AB">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8F85673">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729A25E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1F27DDF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2E865D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A11889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12</w:t>
            </w:r>
          </w:p>
        </w:tc>
        <w:tc>
          <w:tcPr>
            <w:tcW w:w="1751" w:type="dxa"/>
            <w:vMerge w:val="continue"/>
            <w:tcBorders>
              <w:tl2br w:val="nil"/>
              <w:tr2bl w:val="nil"/>
            </w:tcBorders>
            <w:shd w:val="clear" w:color="auto" w:fill="auto"/>
            <w:vAlign w:val="center"/>
          </w:tcPr>
          <w:p w14:paraId="64FC9977">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2D1F767">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D2D031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1D08AEB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1B8FE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B5591E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13</w:t>
            </w:r>
          </w:p>
        </w:tc>
        <w:tc>
          <w:tcPr>
            <w:tcW w:w="1751" w:type="dxa"/>
            <w:vMerge w:val="continue"/>
            <w:tcBorders>
              <w:tl2br w:val="nil"/>
              <w:tr2bl w:val="nil"/>
            </w:tcBorders>
            <w:shd w:val="clear" w:color="auto" w:fill="auto"/>
            <w:vAlign w:val="center"/>
          </w:tcPr>
          <w:p w14:paraId="2B965CB3">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1ED9B85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3052231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6DE5DDC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74B40C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32EDB2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14</w:t>
            </w:r>
          </w:p>
        </w:tc>
        <w:tc>
          <w:tcPr>
            <w:tcW w:w="1751" w:type="dxa"/>
            <w:vMerge w:val="continue"/>
            <w:tcBorders>
              <w:tl2br w:val="nil"/>
              <w:tr2bl w:val="nil"/>
            </w:tcBorders>
            <w:shd w:val="clear" w:color="auto" w:fill="auto"/>
            <w:vAlign w:val="center"/>
          </w:tcPr>
          <w:p w14:paraId="7C06113F">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9F800B9">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4DE5CB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5C1BCD2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19F3D0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5B256D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15</w:t>
            </w:r>
          </w:p>
        </w:tc>
        <w:tc>
          <w:tcPr>
            <w:tcW w:w="1751" w:type="dxa"/>
            <w:vMerge w:val="continue"/>
            <w:tcBorders>
              <w:tl2br w:val="nil"/>
              <w:tr2bl w:val="nil"/>
            </w:tcBorders>
            <w:shd w:val="clear" w:color="auto" w:fill="auto"/>
            <w:vAlign w:val="center"/>
          </w:tcPr>
          <w:p w14:paraId="2E8675DD">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33388DFE">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3048656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1E0351F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2551F9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9E87F1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16</w:t>
            </w:r>
          </w:p>
        </w:tc>
        <w:tc>
          <w:tcPr>
            <w:tcW w:w="1751" w:type="dxa"/>
            <w:vMerge w:val="continue"/>
            <w:tcBorders>
              <w:tl2br w:val="nil"/>
              <w:tr2bl w:val="nil"/>
            </w:tcBorders>
            <w:shd w:val="clear" w:color="auto" w:fill="auto"/>
            <w:vAlign w:val="center"/>
          </w:tcPr>
          <w:p w14:paraId="6D364E34">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09D1034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S3</w:t>
            </w:r>
          </w:p>
        </w:tc>
        <w:tc>
          <w:tcPr>
            <w:tcW w:w="2134" w:type="dxa"/>
            <w:tcBorders>
              <w:tl2br w:val="nil"/>
              <w:tr2bl w:val="nil"/>
            </w:tcBorders>
            <w:shd w:val="clear" w:color="auto" w:fill="auto"/>
            <w:vAlign w:val="center"/>
          </w:tcPr>
          <w:p w14:paraId="016507C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149DFC7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089D0C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A3645A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17</w:t>
            </w:r>
          </w:p>
        </w:tc>
        <w:tc>
          <w:tcPr>
            <w:tcW w:w="1751" w:type="dxa"/>
            <w:vMerge w:val="continue"/>
            <w:tcBorders>
              <w:tl2br w:val="nil"/>
              <w:tr2bl w:val="nil"/>
            </w:tcBorders>
            <w:shd w:val="clear" w:color="auto" w:fill="auto"/>
            <w:vAlign w:val="center"/>
          </w:tcPr>
          <w:p w14:paraId="3CDA34A7">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0A81FBC">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3D80423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2A6E94E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42B1E4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C097D7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18</w:t>
            </w:r>
          </w:p>
        </w:tc>
        <w:tc>
          <w:tcPr>
            <w:tcW w:w="1751" w:type="dxa"/>
            <w:vMerge w:val="continue"/>
            <w:tcBorders>
              <w:tl2br w:val="nil"/>
              <w:tr2bl w:val="nil"/>
            </w:tcBorders>
            <w:shd w:val="clear" w:color="auto" w:fill="auto"/>
            <w:vAlign w:val="center"/>
          </w:tcPr>
          <w:p w14:paraId="31D60987">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4357262B">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3014F4E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R3</w:t>
            </w:r>
          </w:p>
        </w:tc>
        <w:tc>
          <w:tcPr>
            <w:tcW w:w="1782" w:type="dxa"/>
            <w:tcBorders>
              <w:tl2br w:val="nil"/>
              <w:tr2bl w:val="nil"/>
            </w:tcBorders>
            <w:shd w:val="clear" w:color="auto" w:fill="auto"/>
            <w:vAlign w:val="center"/>
          </w:tcPr>
          <w:p w14:paraId="4E5E0B8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lang w:bidi="ar"/>
              </w:rPr>
              <w:t>一般</w:t>
            </w:r>
          </w:p>
        </w:tc>
      </w:tr>
      <w:tr w14:paraId="43B8AE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1AAA02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19</w:t>
            </w:r>
          </w:p>
        </w:tc>
        <w:tc>
          <w:tcPr>
            <w:tcW w:w="1751" w:type="dxa"/>
            <w:vMerge w:val="restart"/>
            <w:tcBorders>
              <w:tl2br w:val="nil"/>
              <w:tr2bl w:val="nil"/>
            </w:tcBorders>
            <w:shd w:val="clear" w:color="auto" w:fill="auto"/>
            <w:vAlign w:val="center"/>
          </w:tcPr>
          <w:p w14:paraId="445B363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H3</w:t>
            </w:r>
          </w:p>
        </w:tc>
        <w:tc>
          <w:tcPr>
            <w:tcW w:w="2040" w:type="dxa"/>
            <w:vMerge w:val="restart"/>
            <w:tcBorders>
              <w:tl2br w:val="nil"/>
              <w:tr2bl w:val="nil"/>
            </w:tcBorders>
            <w:shd w:val="clear" w:color="auto" w:fill="auto"/>
            <w:vAlign w:val="center"/>
          </w:tcPr>
          <w:p w14:paraId="56016D4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7D359B8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3839A27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3FC58E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84E4D7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20</w:t>
            </w:r>
          </w:p>
        </w:tc>
        <w:tc>
          <w:tcPr>
            <w:tcW w:w="1751" w:type="dxa"/>
            <w:vMerge w:val="continue"/>
            <w:tcBorders>
              <w:tl2br w:val="nil"/>
              <w:tr2bl w:val="nil"/>
            </w:tcBorders>
            <w:shd w:val="clear" w:color="auto" w:fill="auto"/>
            <w:vAlign w:val="center"/>
          </w:tcPr>
          <w:p w14:paraId="39490E74">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7FD24A3F">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51915E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7BBD0D2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612A4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335AA37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21</w:t>
            </w:r>
          </w:p>
        </w:tc>
        <w:tc>
          <w:tcPr>
            <w:tcW w:w="1751" w:type="dxa"/>
            <w:vMerge w:val="continue"/>
            <w:tcBorders>
              <w:tl2br w:val="nil"/>
              <w:tr2bl w:val="nil"/>
            </w:tcBorders>
            <w:shd w:val="clear" w:color="auto" w:fill="auto"/>
            <w:vAlign w:val="center"/>
          </w:tcPr>
          <w:p w14:paraId="7D721BE9">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495D0AD2">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FFCDAC3">
            <w:pPr>
              <w:adjustRightInd w:val="0"/>
              <w:spacing w:line="360" w:lineRule="exact"/>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lang w:bidi="ar"/>
              </w:rPr>
              <w:t>R3</w:t>
            </w:r>
          </w:p>
        </w:tc>
        <w:tc>
          <w:tcPr>
            <w:tcW w:w="1782" w:type="dxa"/>
            <w:tcBorders>
              <w:tl2br w:val="nil"/>
              <w:tr2bl w:val="nil"/>
            </w:tcBorders>
            <w:shd w:val="clear" w:color="auto" w:fill="auto"/>
            <w:vAlign w:val="center"/>
          </w:tcPr>
          <w:p w14:paraId="29EEDB58">
            <w:pPr>
              <w:adjustRightInd w:val="0"/>
              <w:spacing w:line="360" w:lineRule="exact"/>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lang w:bidi="ar"/>
              </w:rPr>
              <w:t>一般</w:t>
            </w:r>
          </w:p>
        </w:tc>
      </w:tr>
      <w:tr w14:paraId="2F8E09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747A59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22</w:t>
            </w:r>
          </w:p>
        </w:tc>
        <w:tc>
          <w:tcPr>
            <w:tcW w:w="1751" w:type="dxa"/>
            <w:vMerge w:val="continue"/>
            <w:tcBorders>
              <w:tl2br w:val="nil"/>
              <w:tr2bl w:val="nil"/>
            </w:tcBorders>
            <w:shd w:val="clear" w:color="auto" w:fill="auto"/>
            <w:vAlign w:val="center"/>
          </w:tcPr>
          <w:p w14:paraId="00112AE9">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4738BB6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41A5970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1389965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37388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1131C81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23</w:t>
            </w:r>
          </w:p>
        </w:tc>
        <w:tc>
          <w:tcPr>
            <w:tcW w:w="1751" w:type="dxa"/>
            <w:vMerge w:val="continue"/>
            <w:tcBorders>
              <w:tl2br w:val="nil"/>
              <w:tr2bl w:val="nil"/>
            </w:tcBorders>
            <w:shd w:val="clear" w:color="auto" w:fill="auto"/>
            <w:vAlign w:val="center"/>
          </w:tcPr>
          <w:p w14:paraId="6138E339">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38E992F2">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37F985F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60ED298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503BAB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32303E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24</w:t>
            </w:r>
          </w:p>
        </w:tc>
        <w:tc>
          <w:tcPr>
            <w:tcW w:w="1751" w:type="dxa"/>
            <w:vMerge w:val="continue"/>
            <w:tcBorders>
              <w:tl2br w:val="nil"/>
              <w:tr2bl w:val="nil"/>
            </w:tcBorders>
            <w:shd w:val="clear" w:color="auto" w:fill="auto"/>
            <w:vAlign w:val="center"/>
          </w:tcPr>
          <w:p w14:paraId="57E69A7A">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1A06888">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36A47F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6E8A047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05D9B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CF0FEF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25</w:t>
            </w:r>
          </w:p>
        </w:tc>
        <w:tc>
          <w:tcPr>
            <w:tcW w:w="1751" w:type="dxa"/>
            <w:vMerge w:val="continue"/>
            <w:tcBorders>
              <w:tl2br w:val="nil"/>
              <w:tr2bl w:val="nil"/>
            </w:tcBorders>
            <w:shd w:val="clear" w:color="auto" w:fill="auto"/>
            <w:vAlign w:val="center"/>
          </w:tcPr>
          <w:p w14:paraId="4A88B899">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4FB3559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S3</w:t>
            </w:r>
          </w:p>
        </w:tc>
        <w:tc>
          <w:tcPr>
            <w:tcW w:w="2134" w:type="dxa"/>
            <w:tcBorders>
              <w:tl2br w:val="nil"/>
              <w:tr2bl w:val="nil"/>
            </w:tcBorders>
            <w:shd w:val="clear" w:color="auto" w:fill="auto"/>
            <w:vAlign w:val="center"/>
          </w:tcPr>
          <w:p w14:paraId="6C4C4AA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3ADD81C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04B3A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1CCA67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26</w:t>
            </w:r>
          </w:p>
        </w:tc>
        <w:tc>
          <w:tcPr>
            <w:tcW w:w="1751" w:type="dxa"/>
            <w:vMerge w:val="continue"/>
            <w:tcBorders>
              <w:tl2br w:val="nil"/>
              <w:tr2bl w:val="nil"/>
            </w:tcBorders>
            <w:shd w:val="clear" w:color="auto" w:fill="auto"/>
            <w:vAlign w:val="center"/>
          </w:tcPr>
          <w:p w14:paraId="72D162E6">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242DA41">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35E81A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759D969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6094E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8710C2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27</w:t>
            </w:r>
          </w:p>
        </w:tc>
        <w:tc>
          <w:tcPr>
            <w:tcW w:w="1751" w:type="dxa"/>
            <w:vMerge w:val="continue"/>
            <w:tcBorders>
              <w:tl2br w:val="nil"/>
              <w:tr2bl w:val="nil"/>
            </w:tcBorders>
            <w:shd w:val="clear" w:color="auto" w:fill="auto"/>
            <w:vAlign w:val="center"/>
          </w:tcPr>
          <w:p w14:paraId="5F8B6C11">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465A784">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6E63287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04F5B56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bl>
    <w:p w14:paraId="1B5C195E">
      <w:pPr>
        <w:overflowPunct w:val="0"/>
        <w:topLinePunct/>
        <w:ind w:firstLine="480"/>
        <w:rPr>
          <w:rFonts w:hint="default" w:ascii="Times New Roman" w:hAnsi="Times New Roman" w:cs="Times New Roman"/>
          <w:color w:val="auto"/>
          <w:szCs w:val="21"/>
          <w:highlight w:val="none"/>
          <w:lang w:val="zh-CN" w:bidi="ar"/>
        </w:rPr>
      </w:pPr>
      <w:r>
        <w:rPr>
          <w:rFonts w:hint="default" w:ascii="Times New Roman" w:hAnsi="Times New Roman" w:cs="Times New Roman"/>
          <w:color w:val="auto"/>
          <w:highlight w:val="none"/>
        </w:rPr>
        <w:t>根据以上判定，结合《尾矿库环境风险评估技术导则（试行）》（HJ740-2015）表7中等级划分矩阵，确定本次尾矿库环境风险等级为一般（H</w:t>
      </w:r>
      <w:r>
        <w:rPr>
          <w:rFonts w:hint="default" w:cs="Times New Roman"/>
          <w:color w:val="auto"/>
          <w:highlight w:val="none"/>
          <w:lang w:val="en-US" w:eastAsia="zh-CN"/>
        </w:rPr>
        <w:t>2</w:t>
      </w:r>
      <w:r>
        <w:rPr>
          <w:rFonts w:hint="default" w:ascii="Times New Roman" w:hAnsi="Times New Roman" w:cs="Times New Roman"/>
          <w:color w:val="auto"/>
          <w:highlight w:val="none"/>
        </w:rPr>
        <w:t>S</w:t>
      </w:r>
      <w:r>
        <w:rPr>
          <w:rFonts w:hint="default" w:cs="Times New Roman"/>
          <w:color w:val="auto"/>
          <w:highlight w:val="none"/>
          <w:lang w:val="en-US" w:eastAsia="zh-CN"/>
        </w:rPr>
        <w:t>3</w:t>
      </w:r>
      <w:r>
        <w:rPr>
          <w:rFonts w:hint="default" w:ascii="Times New Roman" w:hAnsi="Times New Roman" w:cs="Times New Roman"/>
          <w:color w:val="auto"/>
          <w:highlight w:val="none"/>
        </w:rPr>
        <w:t>R3）。</w:t>
      </w:r>
    </w:p>
    <w:p w14:paraId="6E9543D1">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5.3.3环境风险识别</w:t>
      </w:r>
    </w:p>
    <w:p w14:paraId="77ED49F9">
      <w:pPr>
        <w:overflowPunct w:val="0"/>
        <w:topLinePunct/>
        <w:adjustRightInd w:val="0"/>
        <w:snapToGrid w:val="0"/>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本项目属选矿加工建设项目，涉及部分易燃物质，同时涉及较多生产单元及尾矿库，各生产单元的潜在危险因素和潜在危害程度也不同。因此，对各生产单元的危险因素进行识别。</w:t>
      </w:r>
    </w:p>
    <w:p w14:paraId="4F919DE7">
      <w:pPr>
        <w:tabs>
          <w:tab w:val="left" w:pos="0"/>
          <w:tab w:val="left" w:pos="993"/>
        </w:tabs>
        <w:adjustRightInd w:val="0"/>
        <w:snapToGrid w:val="0"/>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表5.3-1</w:t>
      </w:r>
      <w:r>
        <w:rPr>
          <w:rFonts w:hint="default" w:cs="Times New Roman"/>
          <w:b/>
          <w:color w:val="auto"/>
          <w:szCs w:val="22"/>
          <w:highlight w:val="none"/>
          <w:lang w:val="en-US" w:eastAsia="zh-CN"/>
        </w:rPr>
        <w:t>3</w:t>
      </w:r>
      <w:r>
        <w:rPr>
          <w:rFonts w:hint="default" w:ascii="Times New Roman" w:hAnsi="Times New Roman" w:cs="Times New Roman"/>
          <w:b/>
          <w:color w:val="auto"/>
          <w:szCs w:val="22"/>
          <w:highlight w:val="none"/>
        </w:rPr>
        <w:t xml:space="preserve">    本项目生产各作业场所的危险有害因素分布</w:t>
      </w:r>
    </w:p>
    <w:tbl>
      <w:tblPr>
        <w:tblStyle w:val="99"/>
        <w:tblW w:w="833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02"/>
        <w:gridCol w:w="1075"/>
        <w:gridCol w:w="1067"/>
        <w:gridCol w:w="5692"/>
      </w:tblGrid>
      <w:tr w14:paraId="45A047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502" w:type="dxa"/>
            <w:vAlign w:val="center"/>
          </w:tcPr>
          <w:p w14:paraId="055FD40B">
            <w:pPr>
              <w:pStyle w:val="45"/>
              <w:spacing w:before="0" w:beforeAutospacing="0" w:line="360" w:lineRule="exact"/>
              <w:ind w:firstLine="0" w:firstLineChars="0"/>
              <w:jc w:val="center"/>
              <w:rPr>
                <w:rFonts w:hint="default" w:ascii="Times New Roman" w:hAnsi="Times New Roman" w:eastAsia="Times New Roman" w:cs="Times New Roman"/>
                <w:b/>
                <w:color w:val="auto"/>
                <w:sz w:val="21"/>
                <w:szCs w:val="21"/>
                <w:highlight w:val="none"/>
                <w:lang w:eastAsia="en-US"/>
              </w:rPr>
            </w:pPr>
            <w:r>
              <w:rPr>
                <w:rFonts w:hint="default" w:ascii="Times New Roman" w:hAnsi="Times New Roman" w:eastAsia="Times New Roman" w:cs="Times New Roman"/>
                <w:b/>
                <w:color w:val="auto"/>
                <w:sz w:val="21"/>
                <w:szCs w:val="21"/>
                <w:highlight w:val="none"/>
                <w:lang w:eastAsia="en-US"/>
              </w:rPr>
              <w:t>序号</w:t>
            </w:r>
          </w:p>
        </w:tc>
        <w:tc>
          <w:tcPr>
            <w:tcW w:w="1075" w:type="dxa"/>
            <w:vAlign w:val="center"/>
          </w:tcPr>
          <w:p w14:paraId="7FA3FCC8">
            <w:pPr>
              <w:pStyle w:val="45"/>
              <w:spacing w:before="0" w:beforeAutospacing="0" w:line="360" w:lineRule="exact"/>
              <w:ind w:firstLine="0" w:firstLineChars="0"/>
              <w:jc w:val="center"/>
              <w:rPr>
                <w:rFonts w:hint="default" w:ascii="Times New Roman" w:hAnsi="Times New Roman" w:eastAsia="Times New Roman" w:cs="Times New Roman"/>
                <w:b/>
                <w:color w:val="auto"/>
                <w:sz w:val="21"/>
                <w:szCs w:val="21"/>
                <w:highlight w:val="none"/>
                <w:lang w:eastAsia="en-US"/>
              </w:rPr>
            </w:pPr>
            <w:r>
              <w:rPr>
                <w:rFonts w:hint="default" w:ascii="Times New Roman" w:hAnsi="Times New Roman" w:eastAsia="Times New Roman" w:cs="Times New Roman"/>
                <w:b/>
                <w:color w:val="auto"/>
                <w:sz w:val="21"/>
                <w:szCs w:val="21"/>
                <w:highlight w:val="none"/>
                <w:lang w:eastAsia="en-US"/>
              </w:rPr>
              <w:t>风险单元</w:t>
            </w:r>
          </w:p>
        </w:tc>
        <w:tc>
          <w:tcPr>
            <w:tcW w:w="1067" w:type="dxa"/>
            <w:vAlign w:val="center"/>
          </w:tcPr>
          <w:p w14:paraId="5CE05375">
            <w:pPr>
              <w:pStyle w:val="45"/>
              <w:spacing w:before="0" w:beforeAutospacing="0" w:line="360" w:lineRule="exact"/>
              <w:ind w:firstLine="0" w:firstLineChars="0"/>
              <w:jc w:val="center"/>
              <w:rPr>
                <w:rFonts w:hint="default" w:ascii="Times New Roman" w:hAnsi="Times New Roman" w:eastAsia="Times New Roman" w:cs="Times New Roman"/>
                <w:b/>
                <w:color w:val="auto"/>
                <w:sz w:val="21"/>
                <w:szCs w:val="21"/>
                <w:highlight w:val="none"/>
                <w:lang w:eastAsia="en-US"/>
              </w:rPr>
            </w:pPr>
            <w:r>
              <w:rPr>
                <w:rFonts w:hint="default" w:ascii="Times New Roman" w:hAnsi="Times New Roman" w:eastAsia="Times New Roman" w:cs="Times New Roman"/>
                <w:b/>
                <w:color w:val="auto"/>
                <w:sz w:val="21"/>
                <w:szCs w:val="21"/>
                <w:highlight w:val="none"/>
                <w:lang w:eastAsia="en-US"/>
              </w:rPr>
              <w:t>事故类型</w:t>
            </w:r>
          </w:p>
        </w:tc>
        <w:tc>
          <w:tcPr>
            <w:tcW w:w="5692" w:type="dxa"/>
            <w:vAlign w:val="center"/>
          </w:tcPr>
          <w:p w14:paraId="2C6E4887">
            <w:pPr>
              <w:pStyle w:val="45"/>
              <w:spacing w:before="0" w:beforeAutospacing="0" w:line="360" w:lineRule="exact"/>
              <w:ind w:firstLine="0" w:firstLineChars="0"/>
              <w:jc w:val="center"/>
              <w:rPr>
                <w:rFonts w:hint="default" w:ascii="Times New Roman" w:hAnsi="Times New Roman" w:eastAsia="Times New Roman" w:cs="Times New Roman"/>
                <w:b/>
                <w:color w:val="auto"/>
                <w:sz w:val="21"/>
                <w:szCs w:val="21"/>
                <w:highlight w:val="none"/>
                <w:lang w:eastAsia="zh-CN"/>
              </w:rPr>
            </w:pPr>
            <w:r>
              <w:rPr>
                <w:rFonts w:hint="default" w:ascii="Times New Roman" w:hAnsi="Times New Roman" w:eastAsia="Times New Roman" w:cs="Times New Roman"/>
                <w:b/>
                <w:color w:val="auto"/>
                <w:sz w:val="21"/>
                <w:szCs w:val="21"/>
                <w:highlight w:val="none"/>
                <w:lang w:eastAsia="zh-CN"/>
              </w:rPr>
              <w:t>次生、衍生厂外环境污染</w:t>
            </w:r>
          </w:p>
        </w:tc>
      </w:tr>
      <w:tr w14:paraId="088F84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restart"/>
            <w:vAlign w:val="center"/>
          </w:tcPr>
          <w:p w14:paraId="7FCBCAA6">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1</w:t>
            </w:r>
          </w:p>
        </w:tc>
        <w:tc>
          <w:tcPr>
            <w:tcW w:w="1075" w:type="dxa"/>
            <w:vMerge w:val="restart"/>
            <w:vAlign w:val="center"/>
          </w:tcPr>
          <w:p w14:paraId="477F445D">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化学品贮存场所</w:t>
            </w:r>
          </w:p>
        </w:tc>
        <w:tc>
          <w:tcPr>
            <w:tcW w:w="1067" w:type="dxa"/>
            <w:vAlign w:val="center"/>
          </w:tcPr>
          <w:p w14:paraId="28278671">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泄漏</w:t>
            </w:r>
          </w:p>
        </w:tc>
        <w:tc>
          <w:tcPr>
            <w:tcW w:w="5692" w:type="dxa"/>
            <w:vAlign w:val="center"/>
          </w:tcPr>
          <w:p w14:paraId="4BF10608">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泄漏化学品收集处置措施不当，直接外排，污染地表水；泄漏化学品收集处置措施不当，流入土壤，污染土壤及地下水；用于收集吸附泄漏化学品的吸收吸附材料后期处理处置不当，污染环境；洗消被泄漏化学品污染的地面过程中产生的洗消废水直接外排，污染地表水；洗消被泄漏化学品污染的地面过程中产生的洗消废水流入土壤，污染土壤及地下水。</w:t>
            </w:r>
          </w:p>
        </w:tc>
      </w:tr>
      <w:tr w14:paraId="55663F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360FADDE">
            <w:pPr>
              <w:widowControl/>
              <w:spacing w:line="360" w:lineRule="exact"/>
              <w:ind w:firstLine="0" w:firstLineChars="0"/>
              <w:jc w:val="center"/>
              <w:rPr>
                <w:rFonts w:hint="default" w:ascii="Times New Roman" w:hAnsi="Times New Roman" w:eastAsia="Times New Roman" w:cs="Times New Roman"/>
                <w:color w:val="auto"/>
                <w:sz w:val="21"/>
                <w:szCs w:val="21"/>
                <w:highlight w:val="none"/>
                <w:lang w:eastAsia="zh-CN"/>
              </w:rPr>
            </w:pPr>
          </w:p>
        </w:tc>
        <w:tc>
          <w:tcPr>
            <w:tcW w:w="1075" w:type="dxa"/>
            <w:vMerge w:val="continue"/>
            <w:vAlign w:val="center"/>
          </w:tcPr>
          <w:p w14:paraId="317E6F19">
            <w:pPr>
              <w:widowControl/>
              <w:spacing w:line="360" w:lineRule="exact"/>
              <w:ind w:firstLine="0" w:firstLineChars="0"/>
              <w:jc w:val="center"/>
              <w:rPr>
                <w:rFonts w:hint="default" w:ascii="Times New Roman" w:hAnsi="Times New Roman" w:eastAsia="Times New Roman" w:cs="Times New Roman"/>
                <w:color w:val="auto"/>
                <w:sz w:val="21"/>
                <w:szCs w:val="21"/>
                <w:highlight w:val="none"/>
                <w:lang w:eastAsia="zh-CN"/>
              </w:rPr>
            </w:pPr>
          </w:p>
        </w:tc>
        <w:tc>
          <w:tcPr>
            <w:tcW w:w="1067" w:type="dxa"/>
            <w:vAlign w:val="center"/>
          </w:tcPr>
          <w:p w14:paraId="6F15BBEC">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火灾</w:t>
            </w:r>
          </w:p>
        </w:tc>
        <w:tc>
          <w:tcPr>
            <w:tcW w:w="5692" w:type="dxa"/>
            <w:vAlign w:val="center"/>
          </w:tcPr>
          <w:p w14:paraId="5A08159A">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可燃物质燃烧产生的烟尘、一氧化碳等污染物污染周围大气环境；可燃物质燃烧消防过程中产生的消防废水处置不当，直接外排，污染地表水；可燃物质燃烧消防过程中产生的消防废水处置不当，流入土壤，污染土壤及地下水。</w:t>
            </w:r>
          </w:p>
        </w:tc>
      </w:tr>
      <w:tr w14:paraId="19FF6A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2A769821">
            <w:pPr>
              <w:widowControl/>
              <w:spacing w:line="360" w:lineRule="exact"/>
              <w:ind w:firstLine="0" w:firstLineChars="0"/>
              <w:jc w:val="center"/>
              <w:rPr>
                <w:rFonts w:hint="default" w:ascii="Times New Roman" w:hAnsi="Times New Roman" w:eastAsia="Times New Roman" w:cs="Times New Roman"/>
                <w:color w:val="auto"/>
                <w:sz w:val="21"/>
                <w:szCs w:val="21"/>
                <w:highlight w:val="none"/>
                <w:lang w:eastAsia="zh-CN"/>
              </w:rPr>
            </w:pPr>
          </w:p>
        </w:tc>
        <w:tc>
          <w:tcPr>
            <w:tcW w:w="1075" w:type="dxa"/>
            <w:vMerge w:val="continue"/>
            <w:vAlign w:val="center"/>
          </w:tcPr>
          <w:p w14:paraId="2BD169ED">
            <w:pPr>
              <w:widowControl/>
              <w:spacing w:line="360" w:lineRule="exact"/>
              <w:ind w:firstLine="0" w:firstLineChars="0"/>
              <w:jc w:val="center"/>
              <w:rPr>
                <w:rFonts w:hint="default" w:ascii="Times New Roman" w:hAnsi="Times New Roman" w:eastAsia="Times New Roman" w:cs="Times New Roman"/>
                <w:color w:val="auto"/>
                <w:sz w:val="21"/>
                <w:szCs w:val="21"/>
                <w:highlight w:val="none"/>
                <w:lang w:eastAsia="zh-CN"/>
              </w:rPr>
            </w:pPr>
          </w:p>
        </w:tc>
        <w:tc>
          <w:tcPr>
            <w:tcW w:w="1067" w:type="dxa"/>
            <w:vAlign w:val="center"/>
          </w:tcPr>
          <w:p w14:paraId="676FF181">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爆炸</w:t>
            </w:r>
          </w:p>
        </w:tc>
        <w:tc>
          <w:tcPr>
            <w:tcW w:w="5692" w:type="dxa"/>
            <w:vAlign w:val="center"/>
          </w:tcPr>
          <w:p w14:paraId="3BE8BF7C">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可燃物质爆炸后化学品燃烧产生的烟尘、一氧化碳等污染物污染周围大气环境；可燃物质爆炸后泄漏化学品直接外排，污染地表水；可燃物质爆炸后泄漏化学品流入土壤，污染土壤及地下水</w:t>
            </w:r>
          </w:p>
        </w:tc>
      </w:tr>
      <w:tr w14:paraId="3EE8C5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restart"/>
            <w:vAlign w:val="center"/>
          </w:tcPr>
          <w:p w14:paraId="76C057C9">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2</w:t>
            </w:r>
          </w:p>
        </w:tc>
        <w:tc>
          <w:tcPr>
            <w:tcW w:w="1075" w:type="dxa"/>
            <w:vMerge w:val="restart"/>
            <w:vAlign w:val="center"/>
          </w:tcPr>
          <w:p w14:paraId="562C3A65">
            <w:pPr>
              <w:pStyle w:val="45"/>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eastAsia="宋体" w:cs="Times New Roman"/>
                <w:color w:val="auto"/>
                <w:sz w:val="21"/>
                <w:szCs w:val="21"/>
                <w:highlight w:val="none"/>
                <w:lang w:eastAsia="zh-CN"/>
              </w:rPr>
              <w:t>危废贮存点</w:t>
            </w:r>
          </w:p>
        </w:tc>
        <w:tc>
          <w:tcPr>
            <w:tcW w:w="1067" w:type="dxa"/>
            <w:vAlign w:val="center"/>
          </w:tcPr>
          <w:p w14:paraId="4E49D9BF">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泄漏</w:t>
            </w:r>
          </w:p>
        </w:tc>
        <w:tc>
          <w:tcPr>
            <w:tcW w:w="5692" w:type="dxa"/>
            <w:vAlign w:val="center"/>
          </w:tcPr>
          <w:p w14:paraId="7C845FD0">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泄漏/撒漏危险废物收集处置措施不当，直接外排，污染地表水；泄漏/撒漏危险废物收集处置措施不当，流入土壤，污染土壤及地下水；用于收集吸附泄漏/撒漏危险废物的吸收吸附材料后期处理处置不当，污染环境；洗消被泄漏/撒漏危险废物污染的地面过程中产生的洗消废水直接外排，污染地表水；洗消被泄漏/撒漏危险废物污染的地面过程中产生的洗消废水流入土壤，污染土壤及地下水。</w:t>
            </w:r>
          </w:p>
        </w:tc>
      </w:tr>
      <w:tr w14:paraId="2E6631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507285DD">
            <w:pPr>
              <w:widowControl/>
              <w:spacing w:line="360" w:lineRule="exact"/>
              <w:ind w:firstLine="0" w:firstLineChars="0"/>
              <w:jc w:val="center"/>
              <w:rPr>
                <w:rFonts w:hint="default" w:ascii="Times New Roman" w:hAnsi="Times New Roman" w:eastAsia="Times New Roman" w:cs="Times New Roman"/>
                <w:color w:val="auto"/>
                <w:sz w:val="21"/>
                <w:szCs w:val="21"/>
                <w:highlight w:val="none"/>
                <w:lang w:eastAsia="zh-CN"/>
              </w:rPr>
            </w:pPr>
          </w:p>
        </w:tc>
        <w:tc>
          <w:tcPr>
            <w:tcW w:w="1075" w:type="dxa"/>
            <w:vMerge w:val="continue"/>
            <w:vAlign w:val="center"/>
          </w:tcPr>
          <w:p w14:paraId="17F69C49">
            <w:pPr>
              <w:widowControl/>
              <w:spacing w:line="360" w:lineRule="exact"/>
              <w:ind w:firstLine="0" w:firstLineChars="0"/>
              <w:jc w:val="center"/>
              <w:rPr>
                <w:rFonts w:hint="default" w:ascii="Times New Roman" w:hAnsi="Times New Roman" w:eastAsia="Times New Roman" w:cs="Times New Roman"/>
                <w:color w:val="auto"/>
                <w:sz w:val="21"/>
                <w:szCs w:val="21"/>
                <w:highlight w:val="none"/>
                <w:lang w:eastAsia="zh-CN"/>
              </w:rPr>
            </w:pPr>
          </w:p>
        </w:tc>
        <w:tc>
          <w:tcPr>
            <w:tcW w:w="1067" w:type="dxa"/>
            <w:vAlign w:val="center"/>
          </w:tcPr>
          <w:p w14:paraId="71E3CC79">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火灾</w:t>
            </w:r>
          </w:p>
        </w:tc>
        <w:tc>
          <w:tcPr>
            <w:tcW w:w="5692" w:type="dxa"/>
            <w:vAlign w:val="center"/>
          </w:tcPr>
          <w:p w14:paraId="4D889AE7">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危废燃烧产生的烟尘、一氧化碳等污染物污染周围大气环境； 危废燃烧消防过程中产生的消防废水处置不当，直接外排，污染地表水；危废燃烧消防过程中产生的消防废水处置不当，流入土壤，污染土壤及地下水。</w:t>
            </w:r>
          </w:p>
        </w:tc>
      </w:tr>
      <w:tr w14:paraId="562C05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2BD7384C">
            <w:pPr>
              <w:spacing w:line="360" w:lineRule="exact"/>
              <w:ind w:firstLine="0" w:firstLineChars="0"/>
              <w:jc w:val="center"/>
              <w:rPr>
                <w:rFonts w:hint="default" w:ascii="Times New Roman" w:hAnsi="Times New Roman" w:eastAsia="Times New Roman" w:cs="Times New Roman"/>
                <w:color w:val="auto"/>
                <w:sz w:val="21"/>
                <w:highlight w:val="none"/>
                <w:lang w:eastAsia="zh-CN"/>
              </w:rPr>
            </w:pPr>
          </w:p>
        </w:tc>
        <w:tc>
          <w:tcPr>
            <w:tcW w:w="1075" w:type="dxa"/>
            <w:vMerge w:val="continue"/>
            <w:vAlign w:val="center"/>
          </w:tcPr>
          <w:p w14:paraId="38A6D19A">
            <w:pPr>
              <w:spacing w:line="360" w:lineRule="exact"/>
              <w:ind w:firstLine="0" w:firstLineChars="0"/>
              <w:jc w:val="center"/>
              <w:rPr>
                <w:rFonts w:hint="default" w:ascii="Times New Roman" w:hAnsi="Times New Roman" w:eastAsia="Times New Roman" w:cs="Times New Roman"/>
                <w:color w:val="auto"/>
                <w:sz w:val="21"/>
                <w:highlight w:val="none"/>
                <w:lang w:eastAsia="zh-CN"/>
              </w:rPr>
            </w:pPr>
          </w:p>
        </w:tc>
        <w:tc>
          <w:tcPr>
            <w:tcW w:w="1067" w:type="dxa"/>
            <w:vAlign w:val="center"/>
          </w:tcPr>
          <w:p w14:paraId="53057CE1">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爆炸</w:t>
            </w:r>
          </w:p>
        </w:tc>
        <w:tc>
          <w:tcPr>
            <w:tcW w:w="5692" w:type="dxa"/>
            <w:vAlign w:val="center"/>
          </w:tcPr>
          <w:p w14:paraId="5BD2FAA1">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eastAsia="Times New Roman" w:cs="Times New Roman"/>
                <w:color w:val="auto"/>
                <w:sz w:val="21"/>
                <w:szCs w:val="21"/>
                <w:highlight w:val="none"/>
                <w:lang w:eastAsia="zh-CN"/>
              </w:rPr>
              <w:t>危废贮存点</w:t>
            </w:r>
            <w:r>
              <w:rPr>
                <w:rFonts w:hint="default" w:ascii="Times New Roman" w:hAnsi="Times New Roman" w:eastAsia="Times New Roman" w:cs="Times New Roman"/>
                <w:color w:val="auto"/>
                <w:sz w:val="21"/>
                <w:szCs w:val="21"/>
                <w:highlight w:val="none"/>
                <w:lang w:eastAsia="zh-CN"/>
              </w:rPr>
              <w:t>爆炸后危废燃烧产生的烟尘、一氧化碳等污染物污染周围大气环境；</w:t>
            </w:r>
            <w:r>
              <w:rPr>
                <w:rFonts w:hint="default" w:eastAsia="Times New Roman" w:cs="Times New Roman"/>
                <w:color w:val="auto"/>
                <w:sz w:val="21"/>
                <w:szCs w:val="21"/>
                <w:highlight w:val="none"/>
                <w:lang w:eastAsia="zh-CN"/>
              </w:rPr>
              <w:t>危废贮存点</w:t>
            </w:r>
            <w:r>
              <w:rPr>
                <w:rFonts w:hint="default" w:ascii="Times New Roman" w:hAnsi="Times New Roman" w:eastAsia="Times New Roman" w:cs="Times New Roman"/>
                <w:color w:val="auto"/>
                <w:sz w:val="21"/>
                <w:szCs w:val="21"/>
                <w:highlight w:val="none"/>
                <w:lang w:eastAsia="zh-CN"/>
              </w:rPr>
              <w:t>爆炸后泄漏危废直接外排，污染地表水；</w:t>
            </w:r>
            <w:r>
              <w:rPr>
                <w:rFonts w:hint="default" w:eastAsia="Times New Roman" w:cs="Times New Roman"/>
                <w:color w:val="auto"/>
                <w:sz w:val="21"/>
                <w:szCs w:val="21"/>
                <w:highlight w:val="none"/>
                <w:lang w:eastAsia="zh-CN"/>
              </w:rPr>
              <w:t>危废贮存点</w:t>
            </w:r>
            <w:r>
              <w:rPr>
                <w:rFonts w:hint="default" w:ascii="Times New Roman" w:hAnsi="Times New Roman" w:eastAsia="Times New Roman" w:cs="Times New Roman"/>
                <w:color w:val="auto"/>
                <w:sz w:val="21"/>
                <w:szCs w:val="21"/>
                <w:highlight w:val="none"/>
                <w:lang w:eastAsia="zh-CN"/>
              </w:rPr>
              <w:t>爆炸后泄漏危废流入土壤，污染土壤及地下水。</w:t>
            </w:r>
          </w:p>
        </w:tc>
      </w:tr>
      <w:tr w14:paraId="41F956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Align w:val="center"/>
          </w:tcPr>
          <w:p w14:paraId="560498D5">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3</w:t>
            </w:r>
          </w:p>
        </w:tc>
        <w:tc>
          <w:tcPr>
            <w:tcW w:w="1075" w:type="dxa"/>
            <w:vAlign w:val="center"/>
          </w:tcPr>
          <w:p w14:paraId="3CDBAC4A">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废水输送系统管道</w:t>
            </w:r>
          </w:p>
        </w:tc>
        <w:tc>
          <w:tcPr>
            <w:tcW w:w="1067" w:type="dxa"/>
            <w:vAlign w:val="center"/>
          </w:tcPr>
          <w:p w14:paraId="64D52C8E">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泄漏</w:t>
            </w:r>
          </w:p>
        </w:tc>
        <w:tc>
          <w:tcPr>
            <w:tcW w:w="5692" w:type="dxa"/>
            <w:vAlign w:val="center"/>
          </w:tcPr>
          <w:p w14:paraId="094BB481">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废水输送系统管道破裂、接头和阀门损坏易导致污水外溢，污染地表水及地下水。</w:t>
            </w:r>
          </w:p>
        </w:tc>
      </w:tr>
      <w:tr w14:paraId="241841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Align w:val="center"/>
          </w:tcPr>
          <w:p w14:paraId="4ED5BEC1">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4</w:t>
            </w:r>
          </w:p>
        </w:tc>
        <w:tc>
          <w:tcPr>
            <w:tcW w:w="1075" w:type="dxa"/>
            <w:vAlign w:val="center"/>
          </w:tcPr>
          <w:p w14:paraId="615C99F6">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尾矿库</w:t>
            </w:r>
          </w:p>
        </w:tc>
        <w:tc>
          <w:tcPr>
            <w:tcW w:w="1067" w:type="dxa"/>
            <w:vAlign w:val="center"/>
          </w:tcPr>
          <w:p w14:paraId="69499334">
            <w:pPr>
              <w:pStyle w:val="45"/>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溃坝</w:t>
            </w:r>
          </w:p>
        </w:tc>
        <w:tc>
          <w:tcPr>
            <w:tcW w:w="5692" w:type="dxa"/>
            <w:vAlign w:val="center"/>
          </w:tcPr>
          <w:p w14:paraId="56E22B1E">
            <w:pPr>
              <w:pStyle w:val="45"/>
              <w:spacing w:before="0" w:beforeAutospacing="0" w:line="360" w:lineRule="exact"/>
              <w:ind w:firstLine="0" w:firstLineChars="0"/>
              <w:jc w:val="both"/>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排水设施堵塞或损坏、坝体裂缝、滑坡、洪水漫顶等导致的溃坝事故，污染土壤及地下水，破坏生态环境。</w:t>
            </w:r>
          </w:p>
        </w:tc>
      </w:tr>
    </w:tbl>
    <w:p w14:paraId="1614E9F1">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5.3.4环境风险影响评价</w:t>
      </w:r>
    </w:p>
    <w:p w14:paraId="0A0BAF5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（1）火灾事故环境空气影响分析</w:t>
      </w:r>
    </w:p>
    <w:p w14:paraId="4149ADA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物料发生火灾时将放出大量辐射热，同时还散发出大量的浓烟，浓烟是由燃烧物质释放出的高温蒸汽和毒气、被分解和凝聚的未燃烧物质、被火焰加热而带入上升气流中的大量空气等多种物质组成。它不但含有大量的热量，而且含有毒气体和弥散的固体微粒。因此浓烟对火场周围人员的生命安全危害程度远超过火灾本身，并对周围的大气环境质量造成很大的污染和破坏。</w:t>
      </w:r>
    </w:p>
    <w:p w14:paraId="6CF42B0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（2）化学品泄漏风险影响</w:t>
      </w:r>
    </w:p>
    <w:p w14:paraId="0CCFA0C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运输危险物品的车辆是一个流动的危险源，本项目运输2#油、废矿物油</w:t>
      </w:r>
      <w:r>
        <w:rPr>
          <w:rFonts w:hint="default" w:ascii="Times New Roman" w:hAnsi="Times New Roman" w:cs="Times New Roman"/>
          <w:color w:val="auto"/>
          <w:highlight w:val="none"/>
          <w:lang w:eastAsia="zh-CN"/>
        </w:rPr>
        <w:t>、</w:t>
      </w:r>
      <w:r>
        <w:rPr>
          <w:rFonts w:hint="default" w:cs="Times New Roman"/>
          <w:color w:val="auto"/>
          <w:highlight w:val="none"/>
          <w:lang w:val="en-US" w:eastAsia="zh-CN"/>
        </w:rPr>
        <w:t>废油桶、</w:t>
      </w:r>
      <w:r>
        <w:rPr>
          <w:rFonts w:hint="default" w:ascii="Times New Roman" w:hAnsi="Times New Roman" w:cs="Times New Roman"/>
          <w:color w:val="auto"/>
          <w:highlight w:val="none"/>
          <w:lang w:val="en-US" w:eastAsia="zh-CN"/>
        </w:rPr>
        <w:t>丁基黄药、丁胺黄药</w:t>
      </w:r>
      <w:r>
        <w:rPr>
          <w:rFonts w:hint="default" w:ascii="Times New Roman" w:hAnsi="Times New Roman" w:cs="Times New Roman"/>
          <w:color w:val="auto"/>
          <w:highlight w:val="none"/>
        </w:rPr>
        <w:t>的车辆，一旦发生事故，造成危险品泄漏，可能造成事故发生地地表水体、土壤的污染。本项目危险品运输量较小，可能造成的化学品泄漏风险较小。</w:t>
      </w:r>
    </w:p>
    <w:p w14:paraId="439EE48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（3）风险事故水环境影响分析</w:t>
      </w:r>
    </w:p>
    <w:p w14:paraId="5BFB1B51">
      <w:pPr>
        <w:overflowPunct w:val="0"/>
        <w:topLinePunct/>
        <w:ind w:firstLine="480"/>
        <w:rPr>
          <w:rFonts w:hint="default" w:ascii="Times New Roman" w:hAnsi="Times New Roman" w:cs="Times New Roman"/>
          <w:color w:val="auto"/>
          <w:highlight w:val="none"/>
        </w:rPr>
      </w:pPr>
      <w:r>
        <w:rPr>
          <w:rFonts w:hint="default" w:cs="Times New Roman"/>
          <w:color w:val="auto"/>
          <w:highlight w:val="none"/>
          <w:lang w:eastAsia="zh-CN"/>
        </w:rPr>
        <w:t>项目</w:t>
      </w:r>
      <w:r>
        <w:rPr>
          <w:rFonts w:hint="default" w:ascii="Times New Roman" w:hAnsi="Times New Roman" w:cs="Times New Roman"/>
          <w:color w:val="auto"/>
          <w:highlight w:val="none"/>
        </w:rPr>
        <w:t>区内火灾除对空气会造成一定影响外，采用雾状水作灭火剂时，消防水处理不当也会对地表水体造成影响。因此，建设单位在运营时既要充分考虑火灾对大气的影响，又要特别重视事故处理过程中消防水的收集和处理问题，防止因火灾对周围水体造成二次污染。</w:t>
      </w:r>
    </w:p>
    <w:p w14:paraId="4F65C12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项目区不处于饮用水源保护区，地下水为Ⅲ类，不属于敏感区，项目运行后采用公路运输。因此，只对风险事故发生后产生的水环境影响进行分析。</w:t>
      </w:r>
    </w:p>
    <w:p w14:paraId="451451E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（4）对地下水的风险影响分析</w:t>
      </w:r>
    </w:p>
    <w:p w14:paraId="3D068966">
      <w:pPr>
        <w:overflowPunct w:val="0"/>
        <w:topLinePunct/>
        <w:ind w:firstLine="480"/>
        <w:rPr>
          <w:rFonts w:hint="default" w:ascii="Times New Roman" w:hAnsi="Times New Roman" w:cs="Times New Roman"/>
          <w:color w:val="auto"/>
          <w:highlight w:val="none"/>
        </w:rPr>
      </w:pPr>
      <w:r>
        <w:rPr>
          <w:rFonts w:hint="default" w:cs="Times New Roman"/>
          <w:color w:val="auto"/>
          <w:highlight w:val="none"/>
          <w:lang w:val="en-US" w:eastAsia="zh-CN"/>
        </w:rPr>
        <w:t>回</w:t>
      </w:r>
      <w:r>
        <w:rPr>
          <w:rFonts w:hint="default" w:ascii="Times New Roman" w:hAnsi="Times New Roman" w:cs="Times New Roman"/>
          <w:color w:val="auto"/>
          <w:highlight w:val="none"/>
        </w:rPr>
        <w:t>水池、选矿车间、管道等一旦发生泄漏事故，如不能收集进入回水池，选矿水可能通过下渗污染地下水。</w:t>
      </w:r>
      <w:r>
        <w:rPr>
          <w:rFonts w:hint="default" w:ascii="Times New Roman" w:hAnsi="Times New Roman" w:cs="Times New Roman"/>
          <w:color w:val="auto"/>
          <w:spacing w:val="-4"/>
          <w:highlight w:val="none"/>
        </w:rPr>
        <w:t>本项目在生产过程中，一旦发生火灾等事故，在处理过程中，消防水会携带大量粉尘形成有悬浮物的废水，由于消防用水瞬时量比较大，悬浮物含量也较高，任其漫流会导致</w:t>
      </w:r>
      <w:r>
        <w:rPr>
          <w:rFonts w:hint="default" w:ascii="Times New Roman" w:hAnsi="Times New Roman" w:cs="Times New Roman"/>
          <w:color w:val="auto"/>
          <w:spacing w:val="-85"/>
          <w:highlight w:val="none"/>
        </w:rPr>
        <w:t xml:space="preserve"> </w:t>
      </w:r>
      <w:r>
        <w:rPr>
          <w:rFonts w:hint="default" w:ascii="Times New Roman" w:hAnsi="Times New Roman" w:cs="Times New Roman"/>
          <w:color w:val="auto"/>
          <w:highlight w:val="none"/>
        </w:rPr>
        <w:t>污水通过雨水管网排入综合排水沟，污染地下水水质。项目区内事故废水统一收集至事故水池，因此，如项目区发生事故时，基本不会对地下水造成污染。</w:t>
      </w:r>
    </w:p>
    <w:p w14:paraId="35654B0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（5）事故废水防控体系的风险影响分析</w:t>
      </w:r>
    </w:p>
    <w:p w14:paraId="52FCAEC1">
      <w:pPr>
        <w:overflowPunct w:val="0"/>
        <w:topLinePunct/>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当火灾事故发生时，企业要建立消防废水、全厂废水的事故废水防控体系。消防废水防控体系：当项目生产储运区发生火灾事故时，使大量消防废水进入项目区沉淀池中。如果</w:t>
      </w:r>
      <w:r>
        <w:rPr>
          <w:rFonts w:hint="default" w:ascii="Times New Roman" w:hAnsi="Times New Roman" w:cs="Times New Roman"/>
          <w:color w:val="auto"/>
          <w:spacing w:val="-85"/>
          <w:highlight w:val="none"/>
        </w:rPr>
        <w:t xml:space="preserve"> </w:t>
      </w:r>
      <w:r>
        <w:rPr>
          <w:rFonts w:hint="default" w:ascii="Times New Roman" w:hAnsi="Times New Roman" w:cs="Times New Roman"/>
          <w:color w:val="auto"/>
          <w:spacing w:val="-4"/>
          <w:highlight w:val="none"/>
        </w:rPr>
        <w:t>部分废水漫流进入雨水管网，应立即关闭雨水排放口，将雨水管网与</w:t>
      </w:r>
      <w:r>
        <w:rPr>
          <w:rFonts w:hint="default" w:ascii="Times New Roman" w:hAnsi="Times New Roman" w:cs="Times New Roman"/>
          <w:color w:val="auto"/>
          <w:highlight w:val="none"/>
        </w:rPr>
        <w:t>沉淀池相连，使废水进入池中，避免进入外环境。以上措施作为企业消防废水防控措施，</w:t>
      </w:r>
      <w:r>
        <w:rPr>
          <w:rFonts w:hint="default" w:ascii="Times New Roman" w:hAnsi="Times New Roman" w:cs="Times New Roman"/>
          <w:color w:val="auto"/>
          <w:spacing w:val="-4"/>
          <w:highlight w:val="none"/>
        </w:rPr>
        <w:t>目的在于切断污染物与外界的通道，将污染物导入沉淀池内，将污染控制在项目区，防止产</w:t>
      </w:r>
      <w:r>
        <w:rPr>
          <w:rFonts w:hint="default" w:ascii="Times New Roman" w:hAnsi="Times New Roman" w:cs="Times New Roman"/>
          <w:color w:val="auto"/>
          <w:spacing w:val="-85"/>
          <w:highlight w:val="none"/>
        </w:rPr>
        <w:t xml:space="preserve"> </w:t>
      </w:r>
      <w:r>
        <w:rPr>
          <w:rFonts w:hint="default" w:ascii="Times New Roman" w:hAnsi="Times New Roman" w:cs="Times New Roman"/>
          <w:color w:val="auto"/>
          <w:highlight w:val="none"/>
        </w:rPr>
        <w:t>生的消防废水造成环境污染。</w:t>
      </w:r>
    </w:p>
    <w:p w14:paraId="2B6C6A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（6）洪水环境风险影响分析</w:t>
      </w:r>
    </w:p>
    <w:p w14:paraId="0BD63CF9">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本项目尾矿库汇水面积内洪水源自大气降水及冰雪融水。根据尾矿库设计资料，</w:t>
      </w:r>
      <w:r>
        <w:rPr>
          <w:rFonts w:hint="default" w:cs="Times New Roman"/>
          <w:color w:val="auto"/>
          <w:highlight w:val="none"/>
          <w:lang w:val="en-US" w:eastAsia="zh-CN"/>
        </w:rPr>
        <w:t>本项目尾矿</w:t>
      </w:r>
      <w:r>
        <w:rPr>
          <w:rFonts w:hint="default" w:ascii="Times New Roman" w:hAnsi="Times New Roman" w:eastAsia="宋体" w:cs="Times New Roman"/>
          <w:color w:val="auto"/>
          <w:highlight w:val="none"/>
          <w:lang w:val="en-US" w:eastAsia="zh-CN"/>
        </w:rPr>
        <w:t>库库区排洪方式采用溢洪道-明渠系统。尾矿库的溢洪道-明渠系统位于库区的东北侧，溢洪道-明渠系统由进水口、泄槽、消力池及库外明渠段组成。溢洪道进水标高1101m，溢洪道进口宽度为1.2m，C25钢筋混凝土结构；泄槽段断面尺寸为B×H=1.2×1.0m，C25钢筋混凝土结构</w:t>
      </w:r>
      <w:r>
        <w:rPr>
          <w:rFonts w:hint="default" w:cs="Times New Roman"/>
          <w:color w:val="auto"/>
          <w:highlight w:val="none"/>
          <w:lang w:val="en-US" w:eastAsia="zh-CN"/>
        </w:rPr>
        <w:t>；</w:t>
      </w:r>
      <w:r>
        <w:rPr>
          <w:rFonts w:hint="default" w:ascii="Times New Roman" w:hAnsi="Times New Roman" w:eastAsia="宋体" w:cs="Times New Roman"/>
          <w:color w:val="auto"/>
          <w:highlight w:val="none"/>
          <w:lang w:val="en-US" w:eastAsia="zh-CN"/>
        </w:rPr>
        <w:t>消力池尺寸为5.0×5.0×2.0m。C25钢筋混凝土结构带防水；库外明渠段为C25钢筋混凝土结构，矩形断面，断面尺寸B×H=1.0×1.0m。明渠段布置底坡i≥0.01，排水明渠末端汇流至集水池。</w:t>
      </w:r>
    </w:p>
    <w:p w14:paraId="16487A35">
      <w:pPr>
        <w:overflowPunct w:val="0"/>
        <w:topLinePunct/>
        <w:ind w:firstLine="480"/>
        <w:rPr>
          <w:rFonts w:hint="default" w:ascii="Times New Roman" w:hAnsi="Times New Roman" w:cs="Times New Roman"/>
          <w:color w:val="auto"/>
          <w:highlight w:val="none"/>
        </w:rPr>
      </w:pPr>
      <w:r>
        <w:rPr>
          <w:rFonts w:hint="default" w:cs="Times New Roman"/>
          <w:color w:val="auto"/>
          <w:highlight w:val="none"/>
          <w:lang w:val="en-US" w:eastAsia="zh-CN"/>
        </w:rPr>
        <w:t>本项目</w:t>
      </w:r>
      <w:r>
        <w:rPr>
          <w:rFonts w:hint="default" w:ascii="Times New Roman" w:hAnsi="Times New Roman" w:cs="Times New Roman"/>
          <w:color w:val="auto"/>
          <w:highlight w:val="none"/>
        </w:rPr>
        <w:t>尾矿库的防洪标准按200年洪水重现期设计，根据防洪标准，设计在尾矿库留出足够的调洪库容及库内</w:t>
      </w:r>
      <w:r>
        <w:rPr>
          <w:rFonts w:hint="default" w:cs="Times New Roman"/>
          <w:color w:val="auto"/>
          <w:highlight w:val="none"/>
          <w:lang w:eastAsia="zh-CN"/>
        </w:rPr>
        <w:t>设置</w:t>
      </w:r>
      <w:r>
        <w:rPr>
          <w:rFonts w:hint="default" w:ascii="Times New Roman" w:hAnsi="Times New Roman" w:cs="Times New Roman"/>
          <w:color w:val="auto"/>
          <w:highlight w:val="none"/>
        </w:rPr>
        <w:t>回水设施，根据调洪验算和排洪系统泄洪能力分析，尾矿库汇水面积内洪水可通过排洪系统排出库区，满足《尾矿设施设计规范》（GB50863-2013）。尾矿库严格按照设计方案进行建设则不存在洪水漫库的环境风险。</w:t>
      </w:r>
    </w:p>
    <w:p w14:paraId="10F7BEF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（7）尾矿库溃坝的风险影响分析</w:t>
      </w:r>
    </w:p>
    <w:p w14:paraId="64EDB81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本项目</w:t>
      </w:r>
      <w:r>
        <w:rPr>
          <w:rFonts w:hint="default" w:ascii="Times New Roman" w:hAnsi="Times New Roman" w:cs="Times New Roman"/>
          <w:color w:val="auto"/>
          <w:highlight w:val="none"/>
        </w:rPr>
        <w:t>尾矿库为新建尾矿库，设计坝高为15m，即设计坝顶标高110</w:t>
      </w:r>
      <w:r>
        <w:rPr>
          <w:rFonts w:hint="default" w:cs="Times New Roman"/>
          <w:color w:val="auto"/>
          <w:highlight w:val="none"/>
          <w:lang w:val="en-US" w:eastAsia="zh-CN"/>
        </w:rPr>
        <w:t>4</w:t>
      </w:r>
      <w:r>
        <w:rPr>
          <w:rFonts w:hint="default" w:ascii="Times New Roman" w:hAnsi="Times New Roman" w:cs="Times New Roman"/>
          <w:color w:val="auto"/>
          <w:highlight w:val="none"/>
        </w:rPr>
        <w:t>m，坝底标高108</w:t>
      </w:r>
      <w:r>
        <w:rPr>
          <w:rFonts w:hint="default" w:cs="Times New Roman"/>
          <w:color w:val="auto"/>
          <w:highlight w:val="none"/>
          <w:lang w:val="en-US" w:eastAsia="zh-CN"/>
        </w:rPr>
        <w:t>6</w:t>
      </w:r>
      <w:r>
        <w:rPr>
          <w:rFonts w:hint="default" w:ascii="Times New Roman" w:hAnsi="Times New Roman" w:cs="Times New Roman"/>
          <w:color w:val="auto"/>
          <w:highlight w:val="none"/>
        </w:rPr>
        <w:t>m。形成的尾矿库总库容为1</w:t>
      </w:r>
      <w:r>
        <w:rPr>
          <w:rFonts w:hint="default" w:cs="Times New Roman"/>
          <w:color w:val="auto"/>
          <w:highlight w:val="none"/>
          <w:lang w:val="en-US" w:eastAsia="zh-CN"/>
        </w:rPr>
        <w:t>30.5</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有效库容</w:t>
      </w:r>
      <w:r>
        <w:rPr>
          <w:rFonts w:hint="default" w:cs="Times New Roman"/>
          <w:color w:val="auto"/>
          <w:highlight w:val="none"/>
          <w:lang w:val="en-US" w:eastAsia="zh-CN"/>
        </w:rPr>
        <w:t>104.4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为四等别平地型尾矿库。选矿厂年产尾砂量14.5</w:t>
      </w:r>
      <w:r>
        <w:rPr>
          <w:rFonts w:hint="default" w:cs="Times New Roman"/>
          <w:color w:val="auto"/>
          <w:highlight w:val="none"/>
          <w:lang w:val="en-US" w:eastAsia="zh-CN"/>
        </w:rPr>
        <w:t>8</w:t>
      </w:r>
      <w:r>
        <w:rPr>
          <w:rFonts w:hint="default" w:ascii="Times New Roman" w:hAnsi="Times New Roman" w:cs="Times New Roman"/>
          <w:color w:val="auto"/>
          <w:highlight w:val="none"/>
        </w:rPr>
        <w:t>万t/a；选矿厂排出的尾砂部分用于井下充填，剩余输送至尾矿库堆存；充填量</w:t>
      </w:r>
      <w:r>
        <w:rPr>
          <w:rFonts w:hint="default" w:cs="Times New Roman"/>
          <w:color w:val="auto"/>
          <w:highlight w:val="none"/>
          <w:lang w:val="en-US" w:eastAsia="zh-CN"/>
        </w:rPr>
        <w:t>8.88</w:t>
      </w:r>
      <w:r>
        <w:rPr>
          <w:rFonts w:hint="default" w:ascii="Times New Roman" w:hAnsi="Times New Roman" w:cs="Times New Roman"/>
          <w:color w:val="auto"/>
          <w:highlight w:val="none"/>
        </w:rPr>
        <w:t>万t/a；入库尾砂量</w:t>
      </w:r>
      <w:r>
        <w:rPr>
          <w:rFonts w:hint="default" w:cs="Times New Roman"/>
          <w:color w:val="auto"/>
          <w:highlight w:val="none"/>
          <w:lang w:val="en-US" w:eastAsia="zh-CN"/>
        </w:rPr>
        <w:t>5.7</w:t>
      </w:r>
      <w:r>
        <w:rPr>
          <w:rFonts w:hint="default" w:ascii="Times New Roman" w:hAnsi="Times New Roman" w:cs="Times New Roman"/>
          <w:color w:val="auto"/>
          <w:highlight w:val="none"/>
        </w:rPr>
        <w:t>万t/a，合约</w:t>
      </w:r>
      <w:r>
        <w:rPr>
          <w:rFonts w:hint="default" w:cs="Times New Roman"/>
          <w:color w:val="auto"/>
          <w:highlight w:val="none"/>
          <w:lang w:val="en-US" w:eastAsia="zh-CN"/>
        </w:rPr>
        <w:t>4.1</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/a，尾矿库服务年限约</w:t>
      </w:r>
      <w:r>
        <w:rPr>
          <w:rFonts w:hint="default" w:cs="Times New Roman"/>
          <w:color w:val="auto"/>
          <w:highlight w:val="none"/>
          <w:lang w:val="en-US" w:eastAsia="zh-CN"/>
        </w:rPr>
        <w:t>25</w:t>
      </w:r>
      <w:r>
        <w:rPr>
          <w:rFonts w:hint="default" w:ascii="Times New Roman" w:hAnsi="Times New Roman" w:cs="Times New Roman"/>
          <w:color w:val="auto"/>
          <w:highlight w:val="none"/>
        </w:rPr>
        <w:t>年。</w:t>
      </w:r>
    </w:p>
    <w:p w14:paraId="55A0D9E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溃坝是在蠕变拉裂一剪断复合机制下形成的，在重力和残余剪切强度作用下，自坡脚区材料强度破坏开始，缓慢累进性破坏，其过程初为坡脚蠕变，接着沿接裂扩张，然后中部剪断贯通，当贯通剪断面形成时，斜坡开始高速滑动，与此相应，溃坝过程由静止、加速并达到整体滑动的最大速度，其后滑体自后部至前锋依次减速构成，溃坝过程往往在几分钟内完成。溃坝液体下泄时一般以涌波形式运动，涌波的高度是不断变化的，同时逐渐向下游形成扇形流推进，最后流进附近地势较低处，溃坝对下游区域生态环境会造成一定影响。</w:t>
      </w:r>
    </w:p>
    <w:p w14:paraId="331CD8F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根据《尾矿库环境风险评估技术导则（试行）》（HJ740-2015），确定项目为一般风险源，根据附录B、附录D，确定项目环境危险因素主要为坝体的溃坝风险。</w:t>
      </w:r>
      <w:r>
        <w:rPr>
          <w:rFonts w:hint="default" w:ascii="Times New Roman" w:hAnsi="Times New Roman" w:cs="Times New Roman"/>
          <w:color w:val="auto"/>
          <w:highlight w:val="none"/>
          <w:lang w:val="zh-CN"/>
        </w:rPr>
        <w:t>本项目尾矿库库型为</w:t>
      </w:r>
      <w:r>
        <w:rPr>
          <w:rFonts w:hint="default" w:cs="Times New Roman"/>
          <w:color w:val="auto"/>
          <w:highlight w:val="none"/>
          <w:lang w:val="en-US" w:eastAsia="zh-CN"/>
        </w:rPr>
        <w:t>平底型尾矿库</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一旦发生溃坝事故时，尾矿水携带尾矿砂流向尾矿库</w:t>
      </w:r>
      <w:r>
        <w:rPr>
          <w:rFonts w:hint="default" w:cs="Times New Roman"/>
          <w:color w:val="auto"/>
          <w:highlight w:val="none"/>
          <w:lang w:val="en-US" w:eastAsia="zh-CN"/>
        </w:rPr>
        <w:t>下游</w:t>
      </w:r>
      <w:r>
        <w:rPr>
          <w:rFonts w:hint="default" w:ascii="Times New Roman" w:hAnsi="Times New Roman" w:cs="Times New Roman"/>
          <w:color w:val="auto"/>
          <w:highlight w:val="none"/>
        </w:rPr>
        <w:t>，本项目涉及的环境敏感目标为</w:t>
      </w:r>
      <w:r>
        <w:rPr>
          <w:rFonts w:hint="default" w:cs="Times New Roman"/>
          <w:color w:val="auto"/>
          <w:highlight w:val="none"/>
          <w:lang w:val="en-US" w:eastAsia="zh-CN"/>
        </w:rPr>
        <w:t>白杨沟村及喀拉通克河左支一河</w:t>
      </w:r>
      <w:r>
        <w:rPr>
          <w:rFonts w:hint="default" w:ascii="Times New Roman" w:hAnsi="Times New Roman" w:cs="Times New Roman"/>
          <w:color w:val="auto"/>
          <w:highlight w:val="none"/>
        </w:rPr>
        <w:t>。根据项目地势判断，</w:t>
      </w:r>
      <w:r>
        <w:rPr>
          <w:rFonts w:hint="default" w:cs="Times New Roman"/>
          <w:color w:val="auto"/>
          <w:highlight w:val="none"/>
          <w:lang w:val="en-US" w:eastAsia="zh-CN"/>
        </w:rPr>
        <w:t>白杨沟村及喀拉通克河左支一河均不在尾矿库下游，因此</w:t>
      </w:r>
      <w:r>
        <w:rPr>
          <w:rFonts w:hint="default" w:ascii="Times New Roman" w:hAnsi="Times New Roman" w:cs="Times New Roman"/>
          <w:color w:val="auto"/>
          <w:highlight w:val="none"/>
        </w:rPr>
        <w:t>主要受冲击的是</w:t>
      </w:r>
      <w:r>
        <w:rPr>
          <w:rFonts w:hint="default" w:cs="Times New Roman"/>
          <w:color w:val="auto"/>
          <w:highlight w:val="none"/>
          <w:lang w:val="en-US" w:eastAsia="zh-CN"/>
        </w:rPr>
        <w:t>下游低</w:t>
      </w:r>
      <w:r>
        <w:rPr>
          <w:rFonts w:hint="default" w:ascii="Times New Roman" w:hAnsi="Times New Roman" w:cs="Times New Roman"/>
          <w:color w:val="auto"/>
          <w:highlight w:val="none"/>
        </w:rPr>
        <w:t>覆盖度草地，将会对周边生态环境产生较大影响。本次针对尾矿库溃坝进行分析。</w:t>
      </w:r>
    </w:p>
    <w:p w14:paraId="221BFDF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①尾矿库溃坝影响预测</w:t>
      </w:r>
    </w:p>
    <w:p w14:paraId="7F6D791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本项目尾矿库为不透水坝，设计坝高为15m，即设计坝顶标高110</w:t>
      </w:r>
      <w:r>
        <w:rPr>
          <w:rFonts w:hint="default" w:cs="Times New Roman"/>
          <w:color w:val="auto"/>
          <w:highlight w:val="none"/>
          <w:lang w:val="en-US" w:eastAsia="zh-CN"/>
        </w:rPr>
        <w:t>4</w:t>
      </w:r>
      <w:r>
        <w:rPr>
          <w:rFonts w:hint="default" w:ascii="Times New Roman" w:hAnsi="Times New Roman" w:cs="Times New Roman"/>
          <w:color w:val="auto"/>
          <w:highlight w:val="none"/>
        </w:rPr>
        <w:t>m，坝底标高108</w:t>
      </w:r>
      <w:r>
        <w:rPr>
          <w:rFonts w:hint="default" w:cs="Times New Roman"/>
          <w:color w:val="auto"/>
          <w:highlight w:val="none"/>
          <w:lang w:val="en-US" w:eastAsia="zh-CN"/>
        </w:rPr>
        <w:t>9</w:t>
      </w:r>
      <w:r>
        <w:rPr>
          <w:rFonts w:hint="default" w:ascii="Times New Roman" w:hAnsi="Times New Roman" w:cs="Times New Roman"/>
          <w:color w:val="auto"/>
          <w:highlight w:val="none"/>
        </w:rPr>
        <w:t>m。形成的尾矿库总库容为130.5万m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有效库容104.4万m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为四等别平地型尾矿库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尾矿库服务年限约</w:t>
      </w:r>
      <w:r>
        <w:rPr>
          <w:rFonts w:hint="default"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尾矿库溃坝情景为尾矿坝堆满时溃坝。</w:t>
      </w:r>
    </w:p>
    <w:p w14:paraId="5C6F64B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A、溃口宽度</w:t>
      </w:r>
    </w:p>
    <w:p w14:paraId="4A1E0F78">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b=0.1KW</w:t>
      </w:r>
      <w:r>
        <w:rPr>
          <w:rFonts w:hint="default" w:ascii="Times New Roman" w:hAnsi="Times New Roman" w:cs="Times New Roman"/>
          <w:color w:val="auto"/>
          <w:highlight w:val="none"/>
          <w:vertAlign w:val="superscript"/>
        </w:rPr>
        <w:t>0.25</w:t>
      </w:r>
      <w:r>
        <w:rPr>
          <w:rFonts w:hint="default" w:ascii="Times New Roman" w:hAnsi="Times New Roman" w:cs="Times New Roman"/>
          <w:color w:val="auto"/>
          <w:highlight w:val="none"/>
        </w:rPr>
        <w:t>B</w:t>
      </w:r>
      <w:r>
        <w:rPr>
          <w:rFonts w:hint="default" w:ascii="Times New Roman" w:hAnsi="Times New Roman" w:cs="Times New Roman"/>
          <w:color w:val="auto"/>
          <w:highlight w:val="none"/>
          <w:vertAlign w:val="superscript"/>
        </w:rPr>
        <w:t>0.25</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perscript"/>
        </w:rPr>
        <w:t>0.5</w:t>
      </w:r>
      <w:r>
        <w:rPr>
          <w:rFonts w:hint="default" w:ascii="Times New Roman" w:hAnsi="Times New Roman" w:cs="Times New Roman"/>
          <w:color w:val="auto"/>
          <w:highlight w:val="none"/>
        </w:rPr>
        <w:t>（黄河水利委员会经验公式）</w:t>
      </w:r>
    </w:p>
    <w:p w14:paraId="6B84D768">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上式中，W—下泄尾砂量，取有效库容的50%，为</w:t>
      </w:r>
      <w:r>
        <w:rPr>
          <w:rFonts w:hint="default" w:cs="Times New Roman" w:eastAsiaTheme="minorEastAsia"/>
          <w:color w:val="auto"/>
          <w:highlight w:val="none"/>
          <w:lang w:val="en-US" w:eastAsia="zh-CN"/>
        </w:rPr>
        <w:t>52.2</w:t>
      </w:r>
      <w:r>
        <w:rPr>
          <w:rFonts w:hint="default" w:ascii="Times New Roman" w:hAnsi="Times New Roman" w:cs="Times New Roman" w:eastAsiaTheme="minorEastAsia"/>
          <w:color w:val="auto"/>
          <w:highlight w:val="none"/>
        </w:rPr>
        <w:t>万m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w:t>
      </w:r>
    </w:p>
    <w:p w14:paraId="2A47532B">
      <w:pPr>
        <w:adjustRightInd w:val="0"/>
        <w:snapToGrid w:val="0"/>
        <w:spacing w:line="460" w:lineRule="atLeast"/>
        <w:ind w:firstLine="1440" w:firstLineChars="6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B—坝顶长度，为</w:t>
      </w:r>
      <w:r>
        <w:rPr>
          <w:rFonts w:hint="default" w:cs="Times New Roman" w:eastAsiaTheme="minorEastAsia"/>
          <w:color w:val="auto"/>
          <w:highlight w:val="none"/>
          <w:lang w:val="en-US" w:eastAsia="zh-CN"/>
        </w:rPr>
        <w:t>295</w:t>
      </w:r>
      <w:r>
        <w:rPr>
          <w:rFonts w:hint="default" w:ascii="Times New Roman" w:hAnsi="Times New Roman" w:cs="Times New Roman" w:eastAsiaTheme="minorEastAsia"/>
          <w:color w:val="auto"/>
          <w:highlight w:val="none"/>
        </w:rPr>
        <w:t>m；</w:t>
      </w:r>
    </w:p>
    <w:p w14:paraId="79124EC6">
      <w:pPr>
        <w:adjustRightInd w:val="0"/>
        <w:snapToGrid w:val="0"/>
        <w:spacing w:line="460" w:lineRule="atLeast"/>
        <w:ind w:firstLine="1440" w:firstLineChars="6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H—坝高，为</w:t>
      </w:r>
      <w:r>
        <w:rPr>
          <w:rFonts w:hint="default" w:cs="Times New Roman" w:eastAsiaTheme="minorEastAsia"/>
          <w:color w:val="auto"/>
          <w:highlight w:val="none"/>
          <w:lang w:val="en-US" w:eastAsia="zh-CN"/>
        </w:rPr>
        <w:t>15</w:t>
      </w:r>
      <w:r>
        <w:rPr>
          <w:rFonts w:hint="default" w:ascii="Times New Roman" w:hAnsi="Times New Roman" w:cs="Times New Roman" w:eastAsiaTheme="minorEastAsia"/>
          <w:color w:val="auto"/>
          <w:highlight w:val="none"/>
        </w:rPr>
        <w:t>m；</w:t>
      </w:r>
    </w:p>
    <w:p w14:paraId="5A1C57FA">
      <w:pPr>
        <w:adjustRightInd w:val="0"/>
        <w:snapToGrid w:val="0"/>
        <w:spacing w:line="460" w:lineRule="atLeast"/>
        <w:ind w:firstLine="1440" w:firstLineChars="6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K—与坝体土质有关的经验系数，粘土取0.65。</w:t>
      </w:r>
    </w:p>
    <w:p w14:paraId="7335B3A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经计算，b=</w:t>
      </w:r>
      <w:r>
        <w:rPr>
          <w:rFonts w:hint="default" w:cs="Times New Roman"/>
          <w:color w:val="auto"/>
          <w:highlight w:val="none"/>
          <w:lang w:val="en-US" w:eastAsia="zh-CN"/>
        </w:rPr>
        <w:t>2.76</w:t>
      </w:r>
      <w:r>
        <w:rPr>
          <w:rFonts w:hint="default" w:ascii="Times New Roman" w:hAnsi="Times New Roman" w:cs="Times New Roman"/>
          <w:color w:val="auto"/>
          <w:highlight w:val="none"/>
        </w:rPr>
        <w:t>m。即极端天气下，尾矿库瞬间溃坝口宽度为</w:t>
      </w:r>
      <w:r>
        <w:rPr>
          <w:rFonts w:hint="default" w:cs="Times New Roman"/>
          <w:color w:val="auto"/>
          <w:highlight w:val="none"/>
          <w:lang w:val="en-US" w:eastAsia="zh-CN"/>
        </w:rPr>
        <w:t>2.76</w:t>
      </w:r>
      <w:r>
        <w:rPr>
          <w:rFonts w:hint="default" w:ascii="Times New Roman" w:hAnsi="Times New Roman" w:cs="Times New Roman"/>
          <w:color w:val="auto"/>
          <w:highlight w:val="none"/>
        </w:rPr>
        <w:t>m。</w:t>
      </w:r>
    </w:p>
    <w:p w14:paraId="5A17FEB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B、最大下泄流量</w:t>
      </w:r>
    </w:p>
    <w:p w14:paraId="451EBE9E">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position w:val="-28"/>
          <w:highlight w:val="none"/>
        </w:rPr>
        <w:object>
          <v:shape id="_x0000_i1050" o:spt="75" type="#_x0000_t75" style="height:36pt;width:126pt;" o:ole="t" filled="f" o:preferrelative="t" stroked="f" coordsize="21600,21600">
            <v:path/>
            <v:fill on="f" focussize="0,0"/>
            <v:stroke on="f" joinstyle="miter"/>
            <v:imagedata r:id="rId103" o:title=""/>
            <o:lock v:ext="edit" aspectratio="t"/>
            <w10:wrap type="none"/>
            <w10:anchorlock/>
          </v:shape>
          <o:OLEObject Type="Embed" ProgID="Equation.3" ShapeID="_x0000_i1050" DrawAspect="Content" ObjectID="_1468075752" r:id="rId102">
            <o:LockedField>false</o:LockedField>
          </o:OLEObject>
        </w:object>
      </w:r>
    </w:p>
    <w:p w14:paraId="19D2F56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式中：b——溃口宽度，</w:t>
      </w:r>
      <w:r>
        <w:rPr>
          <w:rFonts w:hint="default" w:ascii="Times New Roman" w:hAnsi="Times New Roman" w:cs="Times New Roman" w:eastAsiaTheme="minorEastAsia"/>
          <w:color w:val="auto"/>
          <w:highlight w:val="none"/>
        </w:rPr>
        <w:t>为</w:t>
      </w:r>
      <w:r>
        <w:rPr>
          <w:rFonts w:hint="default" w:cs="Times New Roman" w:eastAsiaTheme="minorEastAsia"/>
          <w:color w:val="auto"/>
          <w:highlight w:val="none"/>
          <w:lang w:val="en-US" w:eastAsia="zh-CN"/>
        </w:rPr>
        <w:t>2.76</w:t>
      </w:r>
      <w:r>
        <w:rPr>
          <w:rFonts w:hint="default" w:ascii="Times New Roman" w:hAnsi="Times New Roman" w:cs="Times New Roman"/>
          <w:color w:val="auto"/>
          <w:highlight w:val="none"/>
        </w:rPr>
        <w:t>m</w:t>
      </w:r>
      <w:r>
        <w:rPr>
          <w:rFonts w:hint="default" w:ascii="Times New Roman" w:hAnsi="Times New Roman" w:cs="Times New Roman" w:eastAsiaTheme="minorEastAsia"/>
          <w:color w:val="auto"/>
          <w:highlight w:val="none"/>
        </w:rPr>
        <w:t>；</w:t>
      </w:r>
    </w:p>
    <w:p w14:paraId="662BF27A">
      <w:pPr>
        <w:overflowPunct w:val="0"/>
        <w:topLinePunct/>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B——尾矿库主坝长度，</w:t>
      </w:r>
      <w:r>
        <w:rPr>
          <w:rFonts w:hint="default" w:ascii="Times New Roman" w:hAnsi="Times New Roman" w:cs="Times New Roman" w:eastAsiaTheme="minorEastAsia"/>
          <w:color w:val="auto"/>
          <w:highlight w:val="none"/>
        </w:rPr>
        <w:t>为</w:t>
      </w:r>
      <w:r>
        <w:rPr>
          <w:rFonts w:hint="default" w:cs="Times New Roman" w:eastAsiaTheme="minorEastAsia"/>
          <w:color w:val="auto"/>
          <w:highlight w:val="none"/>
          <w:lang w:val="en-US" w:eastAsia="zh-CN"/>
        </w:rPr>
        <w:t>295m</w:t>
      </w:r>
      <w:r>
        <w:rPr>
          <w:rFonts w:hint="default" w:ascii="Times New Roman" w:hAnsi="Times New Roman" w:cs="Times New Roman"/>
          <w:color w:val="auto"/>
          <w:highlight w:val="none"/>
        </w:rPr>
        <w:t>；</w:t>
      </w:r>
    </w:p>
    <w:p w14:paraId="4262524A">
      <w:pPr>
        <w:overflowPunct w:val="0"/>
        <w:topLinePunct/>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G——重力加速度，9.8</w:t>
      </w:r>
      <w:r>
        <w:rPr>
          <w:rFonts w:hint="default" w:ascii="Times New Roman" w:hAnsi="Times New Roman" w:cs="Times New Roman" w:eastAsiaTheme="minorEastAsia"/>
          <w:color w:val="auto"/>
          <w:highlight w:val="none"/>
        </w:rPr>
        <w:t>m/s</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color w:val="auto"/>
          <w:highlight w:val="none"/>
        </w:rPr>
        <w:t>；</w:t>
      </w:r>
    </w:p>
    <w:p w14:paraId="056BC385">
      <w:pPr>
        <w:overflowPunct w:val="0"/>
        <w:topLinePunct/>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——坝前上游水深，取1.5m。</w:t>
      </w:r>
    </w:p>
    <w:p w14:paraId="6F0D3EC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通过计算可得，尾矿库最大下泄流量为</w:t>
      </w:r>
      <w:r>
        <w:rPr>
          <w:rFonts w:hint="default" w:cs="Times New Roman"/>
          <w:color w:val="auto"/>
          <w:highlight w:val="none"/>
          <w:lang w:val="en-US" w:eastAsia="zh-CN"/>
        </w:rPr>
        <w:t>15.12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w:t>
      </w:r>
    </w:p>
    <w:p w14:paraId="76D269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C、溃坝尾砂流到达时间</w:t>
      </w:r>
    </w:p>
    <w:p w14:paraId="667A006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eastAsiaTheme="minorEastAsia"/>
          <w:bCs/>
          <w:color w:val="auto"/>
          <w:highlight w:val="none"/>
        </w:rPr>
        <w:t>根据尾矿泄漏量和最大泄砂流量可以计算，溃坝尾矿下泄最小总历时，计算公式如下：</w:t>
      </w:r>
    </w:p>
    <w:p w14:paraId="771BFC30">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bCs/>
          <w:color w:val="auto"/>
          <w:highlight w:val="none"/>
        </w:rPr>
        <w:drawing>
          <wp:inline distT="0" distB="0" distL="0" distR="0">
            <wp:extent cx="541020" cy="438785"/>
            <wp:effectExtent l="0" t="0" r="0" b="1841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41020" cy="438785"/>
                    </a:xfrm>
                    <a:prstGeom prst="rect">
                      <a:avLst/>
                    </a:prstGeom>
                    <a:noFill/>
                    <a:ln>
                      <a:noFill/>
                    </a:ln>
                  </pic:spPr>
                </pic:pic>
              </a:graphicData>
            </a:graphic>
          </wp:inline>
        </w:drawing>
      </w:r>
    </w:p>
    <w:p w14:paraId="3B46F41B">
      <w:pPr>
        <w:adjustRightInd w:val="0"/>
        <w:snapToGrid w:val="0"/>
        <w:spacing w:line="460" w:lineRule="atLeast"/>
        <w:ind w:firstLine="48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式中：V－尾矿最大下泄量，</w:t>
      </w:r>
      <w:r>
        <w:rPr>
          <w:rFonts w:hint="default" w:ascii="Times New Roman" w:hAnsi="Times New Roman" w:cs="Times New Roman" w:eastAsiaTheme="minorEastAsia"/>
          <w:color w:val="auto"/>
          <w:highlight w:val="none"/>
        </w:rPr>
        <w:t>取有效库容的50%，为</w:t>
      </w:r>
      <w:r>
        <w:rPr>
          <w:rFonts w:hint="default" w:cs="Times New Roman" w:eastAsiaTheme="minorEastAsia"/>
          <w:color w:val="auto"/>
          <w:highlight w:val="none"/>
          <w:lang w:val="en-US" w:eastAsia="zh-CN"/>
        </w:rPr>
        <w:t>52.2</w:t>
      </w:r>
      <w:r>
        <w:rPr>
          <w:rFonts w:hint="default" w:ascii="Times New Roman" w:hAnsi="Times New Roman" w:cs="Times New Roman" w:eastAsiaTheme="minorEastAsia"/>
          <w:color w:val="auto"/>
          <w:highlight w:val="none"/>
        </w:rPr>
        <w:t>万m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bCs/>
          <w:color w:val="auto"/>
          <w:highlight w:val="none"/>
        </w:rPr>
        <w:t>。</w:t>
      </w:r>
    </w:p>
    <w:p w14:paraId="18CDA437">
      <w:pPr>
        <w:adjustRightInd w:val="0"/>
        <w:snapToGrid w:val="0"/>
        <w:spacing w:line="460" w:lineRule="atLeast"/>
        <w:ind w:firstLine="1200" w:firstLineChars="50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Qmax－最大泄砂流量，</w:t>
      </w:r>
      <w:r>
        <w:rPr>
          <w:rFonts w:hint="default" w:ascii="Times New Roman" w:hAnsi="Times New Roman" w:cs="Times New Roman"/>
          <w:color w:val="auto"/>
          <w:highlight w:val="none"/>
        </w:rPr>
        <w:t>为</w:t>
      </w:r>
      <w:r>
        <w:rPr>
          <w:rFonts w:hint="default" w:cs="Times New Roman"/>
          <w:color w:val="auto"/>
          <w:highlight w:val="none"/>
          <w:lang w:val="en-US" w:eastAsia="zh-CN"/>
        </w:rPr>
        <w:t>15.12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w:t>
      </w:r>
      <w:r>
        <w:rPr>
          <w:rFonts w:hint="default" w:ascii="Times New Roman" w:hAnsi="Times New Roman" w:cs="Times New Roman" w:eastAsiaTheme="minorEastAsia"/>
          <w:bCs/>
          <w:color w:val="auto"/>
          <w:highlight w:val="none"/>
        </w:rPr>
        <w:t>。</w:t>
      </w:r>
    </w:p>
    <w:p w14:paraId="643EF19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eastAsiaTheme="minorEastAsia"/>
          <w:bCs/>
          <w:color w:val="auto"/>
          <w:highlight w:val="none"/>
        </w:rPr>
        <w:t>经计算，尾矿下泄最小总历时为</w:t>
      </w:r>
      <w:r>
        <w:rPr>
          <w:rFonts w:hint="default" w:cs="Times New Roman" w:eastAsiaTheme="minorEastAsia"/>
          <w:bCs/>
          <w:color w:val="auto"/>
          <w:highlight w:val="none"/>
          <w:lang w:val="en-US" w:eastAsia="zh-CN"/>
        </w:rPr>
        <w:t>325396.8</w:t>
      </w:r>
      <w:r>
        <w:rPr>
          <w:rFonts w:hint="default" w:ascii="Times New Roman" w:hAnsi="Times New Roman" w:cs="Times New Roman" w:eastAsiaTheme="minorEastAsia"/>
          <w:bCs/>
          <w:color w:val="auto"/>
          <w:highlight w:val="none"/>
        </w:rPr>
        <w:t>s</w:t>
      </w:r>
      <w:r>
        <w:rPr>
          <w:rFonts w:hint="default" w:cs="Times New Roman" w:eastAsiaTheme="minorEastAsia"/>
          <w:bCs/>
          <w:color w:val="auto"/>
          <w:highlight w:val="none"/>
          <w:lang w:eastAsia="zh-CN"/>
        </w:rPr>
        <w:t>（</w:t>
      </w:r>
      <w:r>
        <w:rPr>
          <w:rFonts w:hint="default" w:cs="Times New Roman" w:eastAsiaTheme="minorEastAsia"/>
          <w:bCs/>
          <w:color w:val="auto"/>
          <w:highlight w:val="none"/>
          <w:lang w:val="en-US" w:eastAsia="zh-CN"/>
        </w:rPr>
        <w:t>约90.4h</w:t>
      </w:r>
      <w:r>
        <w:rPr>
          <w:rFonts w:hint="default" w:cs="Times New Roman" w:eastAsiaTheme="minorEastAsia"/>
          <w:bCs/>
          <w:color w:val="auto"/>
          <w:highlight w:val="none"/>
          <w:lang w:eastAsia="zh-CN"/>
        </w:rPr>
        <w:t>）</w:t>
      </w:r>
      <w:r>
        <w:rPr>
          <w:rFonts w:hint="default" w:ascii="Times New Roman" w:hAnsi="Times New Roman" w:cs="Times New Roman" w:eastAsiaTheme="minorEastAsia"/>
          <w:bCs/>
          <w:color w:val="auto"/>
          <w:highlight w:val="none"/>
        </w:rPr>
        <w:t>。</w:t>
      </w:r>
    </w:p>
    <w:p w14:paraId="70C9777C">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D、</w:t>
      </w:r>
      <w:r>
        <w:rPr>
          <w:rFonts w:hint="default" w:ascii="Times New Roman" w:hAnsi="Times New Roman" w:cs="Times New Roman" w:eastAsiaTheme="minorEastAsia"/>
          <w:color w:val="auto"/>
          <w:highlight w:val="none"/>
        </w:rPr>
        <w:t>环境影响范围</w:t>
      </w:r>
    </w:p>
    <w:p w14:paraId="1D35B3B8">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总结国内外曾发生的尾矿库溃坝事故实例，溃坝影响范围与坝高和下游坡度有较大的关系，一般溃坝影响范围是坝高的10~50倍。本项目尾矿库下游坡度约为3%左右，根据经验值估算，溃坝事故的环境影响范围取总坝高的50倍，本项目尾矿库主坝坝高最大值</w:t>
      </w:r>
      <w:r>
        <w:rPr>
          <w:rFonts w:hint="default" w:cs="Times New Roman" w:eastAsiaTheme="minorEastAsia"/>
          <w:color w:val="auto"/>
          <w:highlight w:val="none"/>
          <w:lang w:val="en-US" w:eastAsia="zh-CN"/>
        </w:rPr>
        <w:t>15</w:t>
      </w:r>
      <w:r>
        <w:rPr>
          <w:rFonts w:hint="default" w:ascii="Times New Roman" w:hAnsi="Times New Roman" w:cs="Times New Roman" w:eastAsiaTheme="minorEastAsia"/>
          <w:color w:val="auto"/>
          <w:highlight w:val="none"/>
        </w:rPr>
        <w:t>m，库体周围为</w:t>
      </w:r>
      <w:r>
        <w:rPr>
          <w:rFonts w:hint="default" w:cs="Times New Roman" w:eastAsiaTheme="minorEastAsia"/>
          <w:color w:val="auto"/>
          <w:highlight w:val="none"/>
          <w:lang w:val="en-US" w:eastAsia="zh-CN"/>
        </w:rPr>
        <w:t>低覆盖度草地</w:t>
      </w:r>
      <w:r>
        <w:rPr>
          <w:rFonts w:hint="default" w:ascii="Times New Roman" w:hAnsi="Times New Roman" w:cs="Times New Roman" w:eastAsiaTheme="minorEastAsia"/>
          <w:color w:val="auto"/>
          <w:highlight w:val="none"/>
        </w:rPr>
        <w:t>，则本次主坝溃坝风险影响范围为主坝下游</w:t>
      </w:r>
      <w:r>
        <w:rPr>
          <w:rFonts w:hint="default" w:cs="Times New Roman" w:eastAsiaTheme="minorEastAsia"/>
          <w:color w:val="auto"/>
          <w:highlight w:val="none"/>
          <w:lang w:val="en-US" w:eastAsia="zh-CN"/>
        </w:rPr>
        <w:t>75</w:t>
      </w:r>
      <w:r>
        <w:rPr>
          <w:rFonts w:hint="default" w:ascii="Times New Roman" w:hAnsi="Times New Roman" w:cs="Times New Roman" w:eastAsiaTheme="minorEastAsia"/>
          <w:color w:val="auto"/>
          <w:highlight w:val="none"/>
        </w:rPr>
        <w:t>0m范围。</w:t>
      </w:r>
    </w:p>
    <w:p w14:paraId="121DAB7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本项目的尾矿砂属于Ⅱ类固体废物，</w:t>
      </w:r>
      <w:r>
        <w:rPr>
          <w:rFonts w:hint="default" w:cs="Times New Roman"/>
          <w:color w:val="auto"/>
          <w:highlight w:val="none"/>
          <w:lang w:eastAsia="zh-CN"/>
        </w:rPr>
        <w:t>即使</w:t>
      </w:r>
      <w:r>
        <w:rPr>
          <w:rFonts w:hint="default" w:ascii="Times New Roman" w:hAnsi="Times New Roman" w:cs="Times New Roman"/>
          <w:color w:val="auto"/>
          <w:highlight w:val="none"/>
        </w:rPr>
        <w:t>尾矿外泄，由于尾矿砂不属于有毒有害物质的大面积扩散，不构成重大危险事故源。但根据预测结果，当尾矿库发生溃坝事件时，下泄流量将达到</w:t>
      </w:r>
      <w:r>
        <w:rPr>
          <w:rFonts w:hint="default" w:cs="Times New Roman"/>
          <w:color w:val="auto"/>
          <w:highlight w:val="none"/>
          <w:lang w:val="en-US" w:eastAsia="zh-CN"/>
        </w:rPr>
        <w:t>15.12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/s，一旦发生溃坝事件将对尾矿库下游的生态环境产生较大的冲击，因此本次环评要求加强尾矿库的监管及隐患排查工作，避免出现尾矿库溃坝现象对下游环境目标产生影响。</w:t>
      </w:r>
    </w:p>
    <w:p w14:paraId="4A8A317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②环境影响分析</w:t>
      </w:r>
    </w:p>
    <w:p w14:paraId="2C26941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根据现场踏勘及收集资料显示，本项目尾矿库距离</w:t>
      </w:r>
      <w:r>
        <w:rPr>
          <w:rFonts w:hint="default" w:cs="Times New Roman"/>
          <w:color w:val="auto"/>
          <w:highlight w:val="none"/>
          <w:lang w:val="en-US" w:eastAsia="zh-CN"/>
        </w:rPr>
        <w:t>北侧</w:t>
      </w:r>
      <w:r>
        <w:rPr>
          <w:rFonts w:hint="default" w:ascii="Times New Roman" w:hAnsi="Times New Roman" w:cs="Times New Roman"/>
          <w:color w:val="auto"/>
          <w:highlight w:val="none"/>
        </w:rPr>
        <w:t>喀拉通克河左支一河约</w:t>
      </w:r>
      <w:r>
        <w:rPr>
          <w:rFonts w:hint="default" w:cs="Times New Roman"/>
          <w:color w:val="auto"/>
          <w:highlight w:val="none"/>
          <w:lang w:val="en-US" w:eastAsia="zh-CN"/>
        </w:rPr>
        <w:t>1.02</w:t>
      </w:r>
      <w:r>
        <w:rPr>
          <w:rFonts w:hint="default" w:ascii="Times New Roman" w:hAnsi="Times New Roman" w:cs="Times New Roman"/>
          <w:color w:val="auto"/>
          <w:highlight w:val="none"/>
        </w:rPr>
        <w:t>km，</w:t>
      </w:r>
      <w:r>
        <w:rPr>
          <w:rFonts w:hint="default" w:cs="Times New Roman"/>
          <w:color w:val="auto"/>
          <w:highlight w:val="none"/>
          <w:lang w:val="en-US" w:eastAsia="zh-CN"/>
        </w:rPr>
        <w:t>且与本项目尾矿库下游冲沟平行，对</w:t>
      </w:r>
      <w:r>
        <w:rPr>
          <w:rFonts w:hint="default" w:ascii="Times New Roman" w:hAnsi="Times New Roman" w:cs="Times New Roman"/>
          <w:color w:val="auto"/>
          <w:highlight w:val="none"/>
        </w:rPr>
        <w:t>喀拉通克河左支一河</w:t>
      </w:r>
      <w:r>
        <w:rPr>
          <w:rFonts w:hint="default" w:ascii="Times New Roman" w:hAnsi="Times New Roman" w:cs="Times New Roman"/>
          <w:color w:val="auto"/>
          <w:highlight w:val="none"/>
          <w:lang w:val="en-US" w:eastAsia="zh-CN"/>
        </w:rPr>
        <w:t>影响较小。</w:t>
      </w:r>
      <w:r>
        <w:rPr>
          <w:rFonts w:hint="default" w:ascii="Times New Roman" w:hAnsi="Times New Roman" w:cs="Times New Roman"/>
          <w:color w:val="auto"/>
          <w:highlight w:val="none"/>
        </w:rPr>
        <w:t>因此本项目尾矿溃坝的影响主要为附近生态环境影响两个方面：</w:t>
      </w:r>
    </w:p>
    <w:p w14:paraId="77B649F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A、为防止尾矿库溃坝对喀拉通克河左支一河造成污染影响，本次评价要求加强尾矿库的监管及隐患排查工作，</w:t>
      </w:r>
      <w:r>
        <w:rPr>
          <w:rFonts w:hint="default" w:cs="Times New Roman"/>
          <w:color w:val="auto"/>
          <w:highlight w:val="none"/>
          <w:lang w:val="en-US" w:eastAsia="zh-CN"/>
        </w:rPr>
        <w:t>以防止发生溃坝事</w:t>
      </w:r>
      <w:r>
        <w:rPr>
          <w:rFonts w:hint="default" w:ascii="Times New Roman" w:hAnsi="Times New Roman" w:cs="Times New Roman"/>
          <w:color w:val="auto"/>
          <w:highlight w:val="none"/>
        </w:rPr>
        <w:t>对喀拉通克河左支一河水质造成污染影响、河流及两侧生态环境的影响。</w:t>
      </w:r>
    </w:p>
    <w:p w14:paraId="01E1990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B、当发生溃坝事故时，大量尾矿和洪水混合形成泥石流顺沟而下，将严重堵塞</w:t>
      </w:r>
      <w:r>
        <w:rPr>
          <w:rFonts w:hint="default" w:cs="Times New Roman"/>
          <w:color w:val="auto"/>
          <w:highlight w:val="none"/>
          <w:lang w:val="en-US" w:eastAsia="zh-CN"/>
        </w:rPr>
        <w:t>尾矿库下游</w:t>
      </w:r>
      <w:r>
        <w:rPr>
          <w:rFonts w:hint="default" w:ascii="Times New Roman" w:hAnsi="Times New Roman" w:cs="Times New Roman"/>
          <w:color w:val="auto"/>
          <w:highlight w:val="none"/>
        </w:rPr>
        <w:t>的冲沟，影响行洪。按最不利情况（后期溃坝）分析将会造成坝址下游冲沟内及两侧沟坡植被受到破坏，冲沟会被尾矿渣堵塞，坝址下游的生态环境将受到严重破坏，从而影响区域生态功能。</w:t>
      </w:r>
    </w:p>
    <w:p w14:paraId="78A4A2E6">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5.3.5环境风险防范措施</w:t>
      </w:r>
    </w:p>
    <w:p w14:paraId="2F10D3B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（1）火灾事故防范措施</w:t>
      </w:r>
    </w:p>
    <w:p w14:paraId="6166607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①车间内配备相应品种和数量的消防器材及泄漏应急处理设备。</w:t>
      </w:r>
    </w:p>
    <w:p w14:paraId="29E445C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②安排专人每周对化学品储存桶进行使用安全检查，并将检查情况记录在“储存设备检查记录表”上，检查内容包括：储存桶是否泄漏、是否完好、各阀门、胶管及接头是否正常、管道或阀门有无泄漏、各种</w:t>
      </w:r>
      <w:r>
        <w:rPr>
          <w:rFonts w:hint="default" w:cs="Times New Roman"/>
          <w:color w:val="auto"/>
          <w:highlight w:val="none"/>
          <w:lang w:eastAsia="zh-CN"/>
        </w:rPr>
        <w:t>警示标志</w:t>
      </w:r>
      <w:r>
        <w:rPr>
          <w:rFonts w:hint="default" w:ascii="Times New Roman" w:hAnsi="Times New Roman" w:cs="Times New Roman"/>
          <w:color w:val="auto"/>
          <w:highlight w:val="none"/>
        </w:rPr>
        <w:t>是否齐全、周边消防设施是否正常等。</w:t>
      </w:r>
    </w:p>
    <w:p w14:paraId="633DDE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③操作人员必须经过专门培训，严格遵守操作规程。搬运时要轻装轻卸，防止包装及容器损坏。</w:t>
      </w:r>
    </w:p>
    <w:p w14:paraId="57201EB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④车间内工作人员不得携带易燃易爆、易腐烂危险品或与生产无关物品。控制明火，不得在车间任何区域吸烟。</w:t>
      </w:r>
    </w:p>
    <w:p w14:paraId="657F8F2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通过采取以上防范措施，可以有效降低火灾事故发生概率。</w:t>
      </w:r>
    </w:p>
    <w:p w14:paraId="4F69EE0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（2）化学品运输风险防范措施</w:t>
      </w:r>
    </w:p>
    <w:p w14:paraId="4E35563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①运输危险物料的单位，应有资质，车辆应有危险废物运输许可证，司机、押运员有上岗证，具备运输危险品的资格，熟悉所运输的危险品的毒性及应急防范措施。包装物、容器应是定点单位生产。</w:t>
      </w:r>
    </w:p>
    <w:p w14:paraId="4AADB56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②运输途中，要平稳行车、安全驾驶。物流公司运输化学品的司机要技术精湛，并且不吸烟。驾驶中要尽量少用紧急刹车，以保持货物的稳定。</w:t>
      </w:r>
    </w:p>
    <w:p w14:paraId="22BED95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③行车途中勤检查化学品是否有</w:t>
      </w:r>
      <w:r>
        <w:rPr>
          <w:rFonts w:hint="default" w:cs="Times New Roman"/>
          <w:color w:val="auto"/>
          <w:highlight w:val="none"/>
          <w:lang w:eastAsia="zh-CN"/>
        </w:rPr>
        <w:t>泄漏</w:t>
      </w:r>
      <w:r>
        <w:rPr>
          <w:rFonts w:hint="default" w:ascii="Times New Roman" w:hAnsi="Times New Roman" w:cs="Times New Roman"/>
          <w:color w:val="auto"/>
          <w:highlight w:val="none"/>
        </w:rPr>
        <w:t>。由于行车途中车辆颠簸震动，往往容易造成包装破损从而造成</w:t>
      </w:r>
      <w:r>
        <w:rPr>
          <w:rFonts w:hint="default" w:cs="Times New Roman"/>
          <w:color w:val="auto"/>
          <w:highlight w:val="none"/>
          <w:lang w:eastAsia="zh-CN"/>
        </w:rPr>
        <w:t>化学品泄漏</w:t>
      </w:r>
      <w:r>
        <w:rPr>
          <w:rFonts w:hint="default" w:ascii="Times New Roman" w:hAnsi="Times New Roman" w:cs="Times New Roman"/>
          <w:color w:val="auto"/>
          <w:highlight w:val="none"/>
        </w:rPr>
        <w:t>。因此，物流人员要定时查看一下桶盖上有无溢出。再来检查一下铁桶之间的充填物有无跌落，车厢底部四周有</w:t>
      </w:r>
      <w:r>
        <w:rPr>
          <w:rFonts w:hint="default" w:cs="Times New Roman"/>
          <w:color w:val="auto"/>
          <w:highlight w:val="none"/>
          <w:lang w:eastAsia="zh-CN"/>
        </w:rPr>
        <w:t>无泄漏</w:t>
      </w:r>
      <w:r>
        <w:rPr>
          <w:rFonts w:hint="default" w:ascii="Times New Roman" w:hAnsi="Times New Roman" w:cs="Times New Roman"/>
          <w:color w:val="auto"/>
          <w:highlight w:val="none"/>
        </w:rPr>
        <w:t>液体。</w:t>
      </w:r>
    </w:p>
    <w:p w14:paraId="111156A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④在运输危险化学品前事先对道路、天气等进行调查，慎重选择路线，并制定相应的预防措施；严禁运输危险品的车辆在中途随意改变路线，随意停车。</w:t>
      </w:r>
    </w:p>
    <w:p w14:paraId="7FDD7731">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通过采取以上防范措施，可以有效降低化学品运输过程事故发生概率。</w:t>
      </w:r>
    </w:p>
    <w:p w14:paraId="7448997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（3）地下水风险防范措施</w:t>
      </w:r>
    </w:p>
    <w:p w14:paraId="309BEF52">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①源头控制措施</w:t>
      </w:r>
    </w:p>
    <w:p w14:paraId="0024F0BE">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项目建设、生产过程中，除了按照既定方案处理废水外，应严格把关工程质量：</w:t>
      </w:r>
    </w:p>
    <w:p w14:paraId="14327BA1">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a设备采购中要按照国家相关标准严格把关设备质量；</w:t>
      </w:r>
    </w:p>
    <w:p w14:paraId="360ED03E">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b施工过程中要按照国家相关建设标准严格把关建设质量；</w:t>
      </w:r>
    </w:p>
    <w:p w14:paraId="37508BF3">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c施工过程中要对管道采取防腐措施，运行期间要定期进行防腐检测；</w:t>
      </w:r>
    </w:p>
    <w:p w14:paraId="769AF7B3">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d投产前应按要求进行试运行，并对管道进行试压，对焊缝质量进行检验；</w:t>
      </w:r>
    </w:p>
    <w:p w14:paraId="4CBC8907">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e运行期间要定期检查各设备、管线及其连接部位，确保无跑冒滴漏现象。</w:t>
      </w:r>
    </w:p>
    <w:p w14:paraId="29A540B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②严格做好工程防渗</w:t>
      </w:r>
    </w:p>
    <w:p w14:paraId="10AAEBDA">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bidi="ar"/>
        </w:rPr>
        <w:t>为防止地下水污染事故，本项目针对各生产车间、尾矿库等要求其进行分区防渗，具体分区防渗措施见第六章，采取分区防渗后可从源头控制对地下水的影响。</w:t>
      </w:r>
    </w:p>
    <w:p w14:paraId="25AD03D6">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③防渗层维护</w:t>
      </w:r>
    </w:p>
    <w:p w14:paraId="5141D10D">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项目日常运营过</w:t>
      </w:r>
      <w:r>
        <w:rPr>
          <w:rFonts w:hint="default" w:cs="Times New Roman"/>
          <w:color w:val="auto"/>
          <w:kern w:val="0"/>
          <w:szCs w:val="24"/>
          <w:highlight w:val="none"/>
          <w:lang w:eastAsia="zh-CN"/>
        </w:rPr>
        <w:t>程中</w:t>
      </w:r>
      <w:r>
        <w:rPr>
          <w:rFonts w:hint="default" w:ascii="Times New Roman" w:hAnsi="Times New Roman" w:cs="Times New Roman"/>
          <w:color w:val="auto"/>
          <w:kern w:val="0"/>
          <w:szCs w:val="24"/>
          <w:highlight w:val="none"/>
        </w:rPr>
        <w:t>，要定期对防渗措施进行检查和维护，确保防渗层的防渗效果，一旦发现防渗层有开裂、腐蚀等问题，应及时修补，避免事故状态下对项目区地下水造成污染。</w:t>
      </w:r>
    </w:p>
    <w:p w14:paraId="48F3CBAE">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经采取上述措施后，事故状态下产生的废水对区域地下水周围环境的影响较小。</w:t>
      </w:r>
    </w:p>
    <w:p w14:paraId="01A98DD5">
      <w:pPr>
        <w:pStyle w:val="41"/>
        <w:overflowPunct w:val="0"/>
        <w:topLinePunct/>
        <w:spacing w:line="480" w:lineRule="exact"/>
        <w:ind w:left="48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（4）尾矿库环境风险防范措施</w:t>
      </w:r>
    </w:p>
    <w:p w14:paraId="0A29C863">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本尾矿库必须严格按照《选矿安全规程</w:t>
      </w:r>
      <w:r>
        <w:rPr>
          <w:rFonts w:hint="default" w:cs="Times New Roman"/>
          <w:color w:val="auto"/>
          <w:highlight w:val="none"/>
          <w:lang w:eastAsia="zh-CN"/>
        </w:rPr>
        <w:t>》《</w:t>
      </w:r>
      <w:r>
        <w:rPr>
          <w:rFonts w:hint="default" w:ascii="Times New Roman" w:hAnsi="Times New Roman" w:cs="Times New Roman"/>
          <w:color w:val="auto"/>
          <w:highlight w:val="none"/>
        </w:rPr>
        <w:t>选矿厂尾矿库设施设计规范》及《尾矿库安全监督管理规定</w:t>
      </w:r>
      <w:r>
        <w:rPr>
          <w:rFonts w:hint="default" w:cs="Times New Roman"/>
          <w:color w:val="auto"/>
          <w:highlight w:val="none"/>
          <w:lang w:eastAsia="zh-CN"/>
        </w:rPr>
        <w:t>》《</w:t>
      </w:r>
      <w:r>
        <w:rPr>
          <w:rFonts w:hint="default" w:ascii="Times New Roman" w:hAnsi="Times New Roman" w:cs="Times New Roman"/>
          <w:color w:val="auto"/>
          <w:highlight w:val="none"/>
        </w:rPr>
        <w:t>尾矿库安全规程》等相关规范对尾矿库进行设计、施工、生产运行、关闭及安全监督管理与维护，以防止发生溃坝等严重事故，并按《建筑抗震设计</w:t>
      </w:r>
      <w:r>
        <w:rPr>
          <w:rFonts w:hint="default" w:cs="Times New Roman"/>
          <w:color w:val="auto"/>
          <w:highlight w:val="none"/>
          <w:lang w:val="en-US" w:eastAsia="zh-CN"/>
        </w:rPr>
        <w:t>标准</w:t>
      </w:r>
      <w:r>
        <w:rPr>
          <w:rFonts w:hint="default" w:ascii="Times New Roman" w:hAnsi="Times New Roman" w:cs="Times New Roman"/>
          <w:color w:val="auto"/>
          <w:highlight w:val="none"/>
        </w:rPr>
        <w:t>》进行抗震验算，同时环评要求本尾矿库在未闭库之前其安全管理必须严格按有关规范执行。尾矿库主要风险防范措施如下：</w:t>
      </w:r>
    </w:p>
    <w:p w14:paraId="792A973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1）尾矿库溃坝的防范措施</w:t>
      </w:r>
    </w:p>
    <w:p w14:paraId="35C6B63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A.要坚持对尾矿坝的定期观测，包括坝体变形、坝内浸润线观测；通过坝体的渗透流量观测以及排洪隧洞的土压力及变形观测等，以保证能够及时发现问题，及时解决，防患于未然。</w:t>
      </w:r>
    </w:p>
    <w:p w14:paraId="7D40B8A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B.本项目修建有溢洪道-明渠系统等排水设施。应对尾矿库进行管理和维护，随时检查尾矿库排水、排洪等构筑物的排洪情况，特别是在雨季、汛期，要坚持24小时值班，以保证遇到险情及时报告、及时排除。</w:t>
      </w:r>
    </w:p>
    <w:p w14:paraId="027CDB9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C.项目设置位移监测设施，包括位移监测点及监测基点。定期对坝体变形、坝内浸润线进行观测；通过坝体的渗透流量观测及变形观测等，以保证能够及时发现问题，及时解决，防患于未然。</w:t>
      </w:r>
    </w:p>
    <w:p w14:paraId="63088E2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D.服务期满后要在试验研究的基础上及时制定覆土、植被或复田的实施方案，并对坝体的稳定性进行检验，确保尾矿坝的安全。同时应做到及时封场并恢复植被，禁止尾矿库排入尾矿量超过设计指标。</w:t>
      </w:r>
    </w:p>
    <w:p w14:paraId="0594F75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E.根据国内外尾矿库的建设与运行实践，只要在尾矿库的设计、施工和运行过程中严格执行《选矿厂尾矿设施设计规程》和《尾矿设施管理规程》，保证施工质量，尾矿库垮坝的事故是可以避免的。</w:t>
      </w:r>
    </w:p>
    <w:p w14:paraId="14EA106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2）尾矿库维护管理</w:t>
      </w:r>
    </w:p>
    <w:p w14:paraId="517FBBDC">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加强回水系统维护和检修，预防矿浆溢流事故发生；发生矿浆溢流事故时应及时采取防控措施，确保溢流矿浆全部排入应急环保坝，防止污染地下水环境及土壤环境。强化尾矿库安全管理，严格按照相关标准和规范要求建设尾矿库，并确保尾矿库干滩长度（库内水边线至滩顶的水平距离）不低于《尾矿设施设计规范》（GB50863-2013）及相关应急安全管理部门要求，以降低尾矿库溃坝风险。按照《尾矿库环境应急管理工作指南（试行）》（环办〔2010〕138号）、《关于防范尾矿库垮塌引发突发环境事件的通知》（环发〔2006〕132号）及《尾矿污染环境防治管理办法》（生态环境部令 第26号）等要求，规范尾矿库的环境应急管理工作，有效防范和妥善处置尾矿库引发的突发环境事件。强化、落实操作环节风险防范措施，并细化和完善应急预案，与所在辖区建立区域应急联动机制，并加强应急演练。</w:t>
      </w:r>
    </w:p>
    <w:p w14:paraId="0598B7D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B.尾矿库运行过程中，必须按照设计和有关技术规定，认真做好作业平台、待作业平台的维护管理工作。</w:t>
      </w:r>
    </w:p>
    <w:p w14:paraId="4979827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C.建立健全巡坝护坝工作责任制度，安排专人巡视尾矿坝和整个尾矿库区，保护好尾矿库内相关观测设施，做好坝体安全监测工作。</w:t>
      </w:r>
    </w:p>
    <w:p w14:paraId="7D38E88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D.发现尾矿坝外坡出现局部隆起、坍塌、流沙（土）、管涌等异常现象，应立即分析研究原因，制定处理措施并及时实施处理方案，同时加密观测次数并报告有关部门。</w:t>
      </w:r>
    </w:p>
    <w:p w14:paraId="324504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E.针对尾矿库实际情况，制定尾矿库管理维护和运行细则。安排专人定期检查维护排洪设施、排渗设施等。</w:t>
      </w:r>
    </w:p>
    <w:p w14:paraId="5628DFE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F.当接到震情预报时，根据实际情况作出防震计划和安排。</w:t>
      </w:r>
    </w:p>
    <w:p w14:paraId="512C12C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G.在库区内严禁爆破、采石、挖土、滥挖尾矿等危害尾矿库安全的活动。如企业需要回采或综合利用库区尾矿时，必须做开发工程设计并经上级主管部门批准后方可进行。</w:t>
      </w:r>
    </w:p>
    <w:p w14:paraId="3A037A8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H.坝面覆土、种草，不能用碎石护坡；坝面不得种植乔木和农作物。</w:t>
      </w:r>
    </w:p>
    <w:p w14:paraId="447B476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I.每级子坝堆筑完毕，应进行质量检验，检验记录与报告需经技术人员签字后存档。</w:t>
      </w:r>
    </w:p>
    <w:p w14:paraId="3B49F90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3）尾矿库渡汛</w:t>
      </w:r>
    </w:p>
    <w:p w14:paraId="273AF9F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A.汛前应按下列要求制定渡汛方案：</w:t>
      </w:r>
    </w:p>
    <w:p w14:paraId="777EF8C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B.对坝体必须进行详细检查和可靠的维护，确保排洪通道畅通。</w:t>
      </w:r>
    </w:p>
    <w:p w14:paraId="78F9E4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C.应准备好必要的抢险、交通、通讯、供电及照明器材或设施，维护整修上坝道路，并确保安全畅通。</w:t>
      </w:r>
    </w:p>
    <w:p w14:paraId="35FF0F5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D.应了解掌握汛期水情和气象预报。</w:t>
      </w:r>
    </w:p>
    <w:p w14:paraId="3A92F84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4）尾矿库渗流控制</w:t>
      </w:r>
    </w:p>
    <w:p w14:paraId="1989184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A.应防止坝肩、坝体及坝基出现渗透破坏。</w:t>
      </w:r>
    </w:p>
    <w:p w14:paraId="73F55B8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B.当发现坝体裂缝、坍塌、管涌、渗水量增大或渗透水浑浊等异常情况时，应立即采取处理措施，同时加强观察并报告有关部门。</w:t>
      </w:r>
    </w:p>
    <w:p w14:paraId="223F31C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5）检查和观测</w:t>
      </w:r>
    </w:p>
    <w:p w14:paraId="6046EB0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A.尾矿库检查</w:t>
      </w:r>
    </w:p>
    <w:p w14:paraId="15A639F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尾矿库的检查工作可分为经常检查、定期检查、特别检查和安全鉴定：</w:t>
      </w:r>
    </w:p>
    <w:p w14:paraId="236218F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按照《尾矿库安全监督管理规定》（国家安全生产监督管理总局令第38号）加强尾矿库安全管理，加强坝体监测，加强尾矿输送管线沿线巡查和日常管理，一旦出现爆管现象，首先停止尾矿输送，从源头上切断输送源，再到现场清理溢出的尾砂；对于“跑、冒、滴、漏”，及时清理，同时定期检修管线；经常检查由基层管理机构组织进行，检查项目可根据各尾矿库的具体情况自行决定。</w:t>
      </w:r>
    </w:p>
    <w:p w14:paraId="6C80DE5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b.定期检查由上级管理机构组织进行，每年汛前、汛后，应对尾矿库进行全面检查。</w:t>
      </w:r>
    </w:p>
    <w:p w14:paraId="71388CF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c.特别检查，当发生特大洪水、暴雨、强烈地震及重大事故等非常情况后，基层管理单位应及时组织检查，必要时报上级有关单位会同检查。</w:t>
      </w:r>
    </w:p>
    <w:p w14:paraId="4B8C444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d.安全鉴定：应根据具体情况按现行规范进行一至两次以抗洪、稳定为重点的安全鉴定，以指导后期尾矿库的管理工作。</w:t>
      </w:r>
    </w:p>
    <w:p w14:paraId="2D35EB2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通过检查尾矿库的实际运行情况可及时掌握导流坝及环保坝的工作状态，为正确管理、处理事故、维修等提供依据；及时发现不正常的迹象，可分析原因、采取措施，从而防止事故发生。</w:t>
      </w:r>
    </w:p>
    <w:p w14:paraId="7317C5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对尾矿库的检查应按照以下要求具体执行：</w:t>
      </w:r>
    </w:p>
    <w:p w14:paraId="040F135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当尾矿设施遇到特殊运行情况或遭受严重外界影响时，例如排矿初期，暴风雨、温度聚变或地震等，对工程的薄弱部位和重要部位，应特别仔细检查，如发现对工程安全有严重威胁的情况，必须昼夜连续监视，并采取有效控制措施。</w:t>
      </w:r>
    </w:p>
    <w:p w14:paraId="32EE457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b.对导流坝、环保坝和其他土工构筑物的检查应注意它们有无裂缝、塌陷、隆起、流土、管涌、滑裂或滑落等现象，坝坡有无冲刷破坏，导渗降压设施是否完好等。</w:t>
      </w:r>
    </w:p>
    <w:p w14:paraId="47A76F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c.对于混凝土构筑物应针对不同工程的结构特点，注意检查结构有无裂缝，表面</w:t>
      </w:r>
      <w:r>
        <w:rPr>
          <w:rFonts w:hint="default" w:cs="Times New Roman"/>
          <w:color w:val="auto"/>
          <w:highlight w:val="none"/>
          <w:lang w:eastAsia="zh-CN"/>
        </w:rPr>
        <w:t>有无</w:t>
      </w:r>
      <w:r>
        <w:rPr>
          <w:rFonts w:hint="default" w:ascii="Times New Roman" w:hAnsi="Times New Roman" w:cs="Times New Roman"/>
          <w:color w:val="auto"/>
          <w:highlight w:val="none"/>
        </w:rPr>
        <w:t>剥蚀、脱落，有无冲刷、渗漏等。</w:t>
      </w:r>
    </w:p>
    <w:p w14:paraId="043CF40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B.尾矿库观测</w:t>
      </w:r>
    </w:p>
    <w:p w14:paraId="047D6B2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尾矿库观测应满足下列基本要求：</w:t>
      </w:r>
    </w:p>
    <w:p w14:paraId="1914115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a.尾矿库工程观测必须按设计和管理规定的内容和时间进行全面、系统和连续的观测，相关的观测项目应配合进行。</w:t>
      </w:r>
    </w:p>
    <w:p w14:paraId="578532E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b.必须保证观测结果准确。</w:t>
      </w:r>
    </w:p>
    <w:p w14:paraId="344E710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c.专业技术人员应对观测成果及时进行整编分析、绘制图表，如有异常现象时应进行复测，并根据复测结果提出处理意见。</w:t>
      </w:r>
    </w:p>
    <w:p w14:paraId="070BC2B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d.尾矿设施的观测项目应根据运行要求、结构物特点、工程规模和技术水平等实际情况确定。</w:t>
      </w:r>
    </w:p>
    <w:p w14:paraId="306C9A3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e.检查观测都应详细记录，交给专业技术人员审阅分析后存档。</w:t>
      </w:r>
    </w:p>
    <w:p w14:paraId="473B959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f.定期检查、特别检查和安全鉴定的技术文件，观测结果的分析意见和主要参数，都应形成书面报告，除本单位存档外，同时报上级主管部门和监督站。</w:t>
      </w:r>
    </w:p>
    <w:p w14:paraId="1FC9324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6）抗震</w:t>
      </w:r>
    </w:p>
    <w:p w14:paraId="159DDD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抗震工作应贯彻预防为主的方针。当接到震情预防时，应根据实际情况做出防震、抗震技术和安排，其内容应包括：</w:t>
      </w:r>
    </w:p>
    <w:p w14:paraId="70207FE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A.按照设计文件的要求进行尾矿库抗震检查，根据检查结果，采取预防措施。</w:t>
      </w:r>
    </w:p>
    <w:p w14:paraId="0F7AE30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B.做好人员组织、物资、交通、通讯、照明、报警、抢险和救护等各项抗震准备工作，同时加强震前值班、巡坝工作。</w:t>
      </w:r>
    </w:p>
    <w:p w14:paraId="0ECC510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项目在实际运行的过程中应同时加强尾矿输送过程的管理，定期对管道进行检查，发现问题及时解决，防止由于管道磨损或破裂造成尾矿泄漏。</w:t>
      </w:r>
    </w:p>
    <w:p w14:paraId="36F3F9D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7）导流渠、堵塞的防范措施</w:t>
      </w:r>
    </w:p>
    <w:p w14:paraId="70E004A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①加强排洪导流渠的日常巡查，防止堵塞导致废水溢流。一旦出现废水溢流现象，立即组织抢险队伍进行抢险，并做好安全警示工作；并加强进水口杂物的清理工作，避免隧洞、导流渠入口堵塞，保证排水通畅；</w:t>
      </w:r>
    </w:p>
    <w:p w14:paraId="319A60C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②定期检查水流是否正常、导流渠上是否有过重荷载、是否有违章接入的管线等情况；</w:t>
      </w:r>
    </w:p>
    <w:p w14:paraId="6EBBD3F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8）尾矿库服务期满</w:t>
      </w:r>
    </w:p>
    <w:p w14:paraId="4534F68B">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建设单位在尾矿库停止使用后必须进行处置，保证不污染环境，消除污染事故隐患。对尾矿库的环境污染防治设施、生态保护工程进行闭库验收，验收时应对尾矿库中的尾砂进行环境达标监测。关闭尾矿环保设施必须经企业主管部门报当地省环境保护行政部门验收、批准。经验收移交后的尾矿设施其污染防治由接收单位负责。利用处置过的环保设施，需经地区、县生态环境行政部门批准，并报省生态环境行政部门备案。</w:t>
      </w:r>
    </w:p>
    <w:p w14:paraId="122E07B5">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尾矿库使用到最终设计高程时，选矿厂应停止生产并进行闭库设计，做好闭库后尾矿库的管理工作。建设单位应当根据尾矿库设计资料，在尾矿库闭库前1年，委托具有相应资质的设计单位进行尾矿库闭库设计。</w:t>
      </w:r>
    </w:p>
    <w:p w14:paraId="26688590">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（4）地表水环境突发环境事件处置措施</w:t>
      </w:r>
    </w:p>
    <w:p w14:paraId="30214484">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企业建立消防废水防控体系，若生产、储运区发生火灾事故，消防废水导入沉淀池，将污染控制在项目区，防止污染水环境。</w:t>
      </w:r>
    </w:p>
    <w:p w14:paraId="63BFBD70">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若尾矿浆或尾矿砂、尾矿渗滤水少量泄漏进入地表水体，环境监测组联系当地环境监测站迅速在河道上下游及河流汇合处设置应急监测点进行监测，按照相应应急预案采取应急治理措施，在下游河道适宜位置设计并建造拦截吸附坝基础工程，对水体中污染物进行治理。</w:t>
      </w:r>
    </w:p>
    <w:p w14:paraId="288ECDC2">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（5）地下水环境及土壤突发环境事件处置措施</w:t>
      </w:r>
    </w:p>
    <w:p w14:paraId="7D3E4681">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若尾矿浆或尾矿砂、尾矿渗滤水大量泄漏，由于地下水及土壤的污染与地表水的表现相比行程比较漫长，因此突发事件发生后，环境监测组</w:t>
      </w:r>
      <w:r>
        <w:rPr>
          <w:rFonts w:hint="default" w:cs="Times New Roman"/>
          <w:color w:val="auto"/>
          <w:highlight w:val="none"/>
          <w:lang w:eastAsia="zh-CN"/>
        </w:rPr>
        <w:t>协调</w:t>
      </w:r>
      <w:r>
        <w:rPr>
          <w:rFonts w:hint="default" w:ascii="Times New Roman" w:hAnsi="Times New Roman" w:cs="Times New Roman"/>
          <w:color w:val="auto"/>
          <w:highlight w:val="none"/>
        </w:rPr>
        <w:t>当地环境监测站在项目周围设置地下水及土壤的监测点，监测项目根据突发事件泄漏的物料决定，地下水主要监测因子为pH、总硬度、溶解性总固体、硫酸盐、铁、锰、铜、高锰酸盐指数、氨氮、氟化物、铜、汞、砷、铅；土壤主要监测因子为铜、汞、砷、铅、石油类。</w:t>
      </w:r>
    </w:p>
    <w:p w14:paraId="239E984B">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周期需要从突发事件发生到突发事件处理结束，恢复正常生产，污水出水水质恢复正常。定期监测地下水和土壤相关污染物含量，了解突发事件对地下水及土壤的污染情况。根据污染情况，及时委托专业部门制定治理措施，防止污染的扩散。</w:t>
      </w:r>
    </w:p>
    <w:p w14:paraId="16817305">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（6）自然灾害引发突发环境事件应急处置措施</w:t>
      </w:r>
    </w:p>
    <w:p w14:paraId="5358F482">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因地震、洪涝、滑坡、山洪泥石流等自然灾害原因引发突发环境事件时，采取以下处置措施：</w:t>
      </w:r>
    </w:p>
    <w:p w14:paraId="6B2C504F">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①当有地震、洪涝、滑坡、山洪泥石流等自然灾害预警信息发布时，建设单位应急指挥中心提前协助上级政府部门做好下游可能受影响区域人员的转移工作，并妥善安置。</w:t>
      </w:r>
    </w:p>
    <w:p w14:paraId="064A422D">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②一旦发生尾矿库溃坝事故后，抢修救援组立即到达事故现场实施救援，警戒疏散组根据事故安全范围，建立警戒区，疏散与抢险无关人员至安全区域。</w:t>
      </w:r>
    </w:p>
    <w:p w14:paraId="5D082670">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③若可能对地表水、地下水造成污染，则环境监测组组织人员对可能污染的地表水、地下水、土壤等实施应急监测。</w:t>
      </w:r>
    </w:p>
    <w:p w14:paraId="0C4CB47A">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④后勤保障组及时调剂物资及动力设施的供应。</w:t>
      </w:r>
    </w:p>
    <w:p w14:paraId="7CAA6415">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⑤信息联络组负责救援行动中的信息收集和内部信息传递。</w:t>
      </w:r>
    </w:p>
    <w:p w14:paraId="2974441E">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5.3.6尾矿库环境安全隐患排查</w:t>
      </w:r>
    </w:p>
    <w:p w14:paraId="6967645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（1）尾矿库环境安全隐患排查治理</w:t>
      </w:r>
    </w:p>
    <w:p w14:paraId="7E8F46C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同类型尾矿库隐患及事故分析，本项目隐患排查应当建立台账，实行“一库一档”档案管理，对存在的环境违法问题和安全隐患进行全面整改，有效遏制突发环境事故的发生。本项目隐患排查注意从如下几方面进行：</w:t>
      </w:r>
    </w:p>
    <w:p w14:paraId="3E4D4BF9">
      <w:pPr>
        <w:ind w:firstLine="0" w:firstLineChars="0"/>
        <w:jc w:val="center"/>
        <w:rPr>
          <w:rFonts w:hint="default" w:ascii="Times New Roman" w:hAnsi="Times New Roman" w:cs="Times New Roman"/>
          <w:color w:val="auto"/>
          <w:highlight w:val="none"/>
        </w:rPr>
      </w:pPr>
      <w:bookmarkStart w:id="783" w:name="_Toc20886_WPSOffice_Level2"/>
      <w:r>
        <w:rPr>
          <w:rFonts w:hint="default" w:ascii="Times New Roman" w:hAnsi="Times New Roman" w:cs="Times New Roman"/>
          <w:b/>
          <w:bCs/>
          <w:color w:val="auto"/>
          <w:highlight w:val="none"/>
        </w:rPr>
        <w:t>表5.3-1</w:t>
      </w:r>
      <w:r>
        <w:rPr>
          <w:rFonts w:hint="default" w:cs="Times New Roman"/>
          <w:b/>
          <w:bCs/>
          <w:color w:val="auto"/>
          <w:highlight w:val="none"/>
          <w:lang w:val="en-US" w:eastAsia="zh-CN"/>
        </w:rPr>
        <w:t>4</w:t>
      </w:r>
      <w:r>
        <w:rPr>
          <w:rFonts w:hint="default" w:ascii="Times New Roman" w:hAnsi="Times New Roman" w:cs="Times New Roman"/>
          <w:b/>
          <w:bCs/>
          <w:color w:val="auto"/>
          <w:highlight w:val="none"/>
        </w:rPr>
        <w:t xml:space="preserve">    尾矿库隐患排查记录表</w:t>
      </w:r>
      <w:bookmarkEnd w:id="783"/>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41"/>
        <w:gridCol w:w="3970"/>
        <w:gridCol w:w="1266"/>
        <w:gridCol w:w="2044"/>
      </w:tblGrid>
      <w:tr w14:paraId="51A09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1" w:type="dxa"/>
            <w:tcBorders>
              <w:tl2br w:val="nil"/>
              <w:tr2bl w:val="nil"/>
            </w:tcBorders>
            <w:vAlign w:val="center"/>
          </w:tcPr>
          <w:p w14:paraId="475422B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741" w:type="dxa"/>
            <w:tcBorders>
              <w:tl2br w:val="nil"/>
              <w:tr2bl w:val="nil"/>
            </w:tcBorders>
            <w:vAlign w:val="center"/>
          </w:tcPr>
          <w:p w14:paraId="564A8C7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检查内容</w:t>
            </w:r>
          </w:p>
        </w:tc>
        <w:tc>
          <w:tcPr>
            <w:tcW w:w="3970" w:type="dxa"/>
            <w:tcBorders>
              <w:tl2br w:val="nil"/>
              <w:tr2bl w:val="nil"/>
            </w:tcBorders>
            <w:vAlign w:val="center"/>
          </w:tcPr>
          <w:p w14:paraId="1550001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检查标准或依据</w:t>
            </w:r>
          </w:p>
        </w:tc>
        <w:tc>
          <w:tcPr>
            <w:tcW w:w="1266" w:type="dxa"/>
            <w:tcBorders>
              <w:tl2br w:val="nil"/>
              <w:tr2bl w:val="nil"/>
            </w:tcBorders>
            <w:vAlign w:val="center"/>
          </w:tcPr>
          <w:p w14:paraId="6EAB55C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法规依据</w:t>
            </w:r>
          </w:p>
        </w:tc>
        <w:tc>
          <w:tcPr>
            <w:tcW w:w="2044" w:type="dxa"/>
            <w:tcBorders>
              <w:tl2br w:val="nil"/>
              <w:tr2bl w:val="nil"/>
            </w:tcBorders>
            <w:vAlign w:val="center"/>
          </w:tcPr>
          <w:p w14:paraId="0B54069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检查方法</w:t>
            </w:r>
          </w:p>
        </w:tc>
      </w:tr>
      <w:tr w14:paraId="5D8D0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restart"/>
            <w:tcBorders>
              <w:tl2br w:val="nil"/>
              <w:tr2bl w:val="nil"/>
            </w:tcBorders>
            <w:vAlign w:val="center"/>
          </w:tcPr>
          <w:p w14:paraId="7C6594B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741" w:type="dxa"/>
            <w:vMerge w:val="restart"/>
            <w:tcBorders>
              <w:tl2br w:val="nil"/>
              <w:tr2bl w:val="nil"/>
            </w:tcBorders>
            <w:vAlign w:val="center"/>
          </w:tcPr>
          <w:p w14:paraId="6C4CB45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尾矿坝</w:t>
            </w:r>
          </w:p>
        </w:tc>
        <w:tc>
          <w:tcPr>
            <w:tcW w:w="3970" w:type="dxa"/>
            <w:tcBorders>
              <w:tl2br w:val="nil"/>
              <w:tr2bl w:val="nil"/>
            </w:tcBorders>
            <w:vAlign w:val="center"/>
          </w:tcPr>
          <w:p w14:paraId="0A62A4C6">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坝体</w:t>
            </w:r>
            <w:r>
              <w:rPr>
                <w:rFonts w:hint="default" w:ascii="Times New Roman" w:hAnsi="Times New Roman" w:cs="Times New Roman"/>
                <w:color w:val="auto"/>
                <w:sz w:val="21"/>
                <w:szCs w:val="21"/>
                <w:highlight w:val="none"/>
              </w:rPr>
              <w:t>上下游坡比应满足规程要求，同时不陡于设计规定的坡度</w:t>
            </w:r>
          </w:p>
        </w:tc>
        <w:tc>
          <w:tcPr>
            <w:tcW w:w="1266" w:type="dxa"/>
            <w:vMerge w:val="restart"/>
            <w:tcBorders>
              <w:tl2br w:val="nil"/>
              <w:tr2bl w:val="nil"/>
            </w:tcBorders>
            <w:vAlign w:val="center"/>
          </w:tcPr>
          <w:p w14:paraId="5B58677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《尾矿库安全规程》（GB39496-2020）</w:t>
            </w:r>
          </w:p>
        </w:tc>
        <w:tc>
          <w:tcPr>
            <w:tcW w:w="2044" w:type="dxa"/>
            <w:tcBorders>
              <w:tl2br w:val="nil"/>
              <w:tr2bl w:val="nil"/>
            </w:tcBorders>
            <w:vAlign w:val="center"/>
          </w:tcPr>
          <w:p w14:paraId="4280606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查阅设计资料，检查初期坝</w:t>
            </w:r>
          </w:p>
        </w:tc>
      </w:tr>
      <w:tr w14:paraId="641C1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5133B189">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FA02573">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4C99E49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坝下渗水量正常，水质清澈，无</w:t>
            </w:r>
            <w:r>
              <w:rPr>
                <w:rFonts w:hint="default" w:cs="Times New Roman"/>
                <w:color w:val="auto"/>
                <w:sz w:val="21"/>
                <w:szCs w:val="21"/>
                <w:highlight w:val="none"/>
                <w:lang w:eastAsia="zh-CN"/>
              </w:rPr>
              <w:t>浑水</w:t>
            </w:r>
            <w:r>
              <w:rPr>
                <w:rFonts w:hint="default" w:ascii="Times New Roman" w:hAnsi="Times New Roman" w:cs="Times New Roman"/>
                <w:color w:val="auto"/>
                <w:sz w:val="21"/>
                <w:szCs w:val="21"/>
                <w:highlight w:val="none"/>
              </w:rPr>
              <w:t>渗出</w:t>
            </w:r>
          </w:p>
        </w:tc>
        <w:tc>
          <w:tcPr>
            <w:tcW w:w="1266" w:type="dxa"/>
            <w:vMerge w:val="continue"/>
            <w:tcBorders>
              <w:tl2br w:val="nil"/>
              <w:tr2bl w:val="nil"/>
            </w:tcBorders>
            <w:vAlign w:val="center"/>
          </w:tcPr>
          <w:p w14:paraId="0C66F9C8">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5430014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检查坝体渗水量和是否浑浊</w:t>
            </w:r>
          </w:p>
        </w:tc>
      </w:tr>
      <w:tr w14:paraId="271DD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51098EB8">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41F0DB5">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282D3D2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堆积坡比符合设计要求，不应陡于设计规定</w:t>
            </w:r>
          </w:p>
        </w:tc>
        <w:tc>
          <w:tcPr>
            <w:tcW w:w="1266" w:type="dxa"/>
            <w:vMerge w:val="continue"/>
            <w:tcBorders>
              <w:tl2br w:val="nil"/>
              <w:tr2bl w:val="nil"/>
            </w:tcBorders>
            <w:vAlign w:val="center"/>
          </w:tcPr>
          <w:p w14:paraId="14C37C8D">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0CAC4D5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检查尾矿坝现场，查阅设计资料</w:t>
            </w:r>
          </w:p>
        </w:tc>
      </w:tr>
      <w:tr w14:paraId="62B9E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525E277D">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2BB6753C">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5F58C66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下游坡面无严重冲沟、裂缝、塌坑和滑坡等不良现象</w:t>
            </w:r>
          </w:p>
        </w:tc>
        <w:tc>
          <w:tcPr>
            <w:tcW w:w="1266" w:type="dxa"/>
            <w:vMerge w:val="continue"/>
            <w:tcBorders>
              <w:tl2br w:val="nil"/>
              <w:tr2bl w:val="nil"/>
            </w:tcBorders>
            <w:vAlign w:val="center"/>
          </w:tcPr>
          <w:p w14:paraId="1294C593">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1109C69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检查尾矿坝下游坡面</w:t>
            </w:r>
          </w:p>
        </w:tc>
      </w:tr>
      <w:tr w14:paraId="3CEA5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5620BA29">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90A3FE9">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3D7ACEE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尾矿坝下游坡面上不得有积水坑</w:t>
            </w:r>
          </w:p>
        </w:tc>
        <w:tc>
          <w:tcPr>
            <w:tcW w:w="1266" w:type="dxa"/>
            <w:vMerge w:val="continue"/>
            <w:tcBorders>
              <w:tl2br w:val="nil"/>
              <w:tr2bl w:val="nil"/>
            </w:tcBorders>
            <w:vAlign w:val="center"/>
          </w:tcPr>
          <w:p w14:paraId="32801CBC">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47D02A6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检查尾矿坝下游坡面</w:t>
            </w:r>
          </w:p>
        </w:tc>
      </w:tr>
      <w:tr w14:paraId="1B179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31990000">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6A537DB5">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0C2C115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堆积坝下游坡面上宜用土石覆盖或用其他方式植被绿化，并可结合排渗设施每隔6～10m高差设置排水沟</w:t>
            </w:r>
          </w:p>
        </w:tc>
        <w:tc>
          <w:tcPr>
            <w:tcW w:w="1266" w:type="dxa"/>
            <w:vMerge w:val="continue"/>
            <w:tcBorders>
              <w:tl2br w:val="nil"/>
              <w:tr2bl w:val="nil"/>
            </w:tcBorders>
            <w:vAlign w:val="center"/>
          </w:tcPr>
          <w:p w14:paraId="1F3C96A9">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01621FF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检查尾矿坝下游坡面有无绿化和排水沟</w:t>
            </w:r>
          </w:p>
        </w:tc>
      </w:tr>
      <w:tr w14:paraId="5C20E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3A6F7A47">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CEC2682">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644386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尾矿堆积坝下游坡与两岸山坡结合处应设置截水沟</w:t>
            </w:r>
          </w:p>
        </w:tc>
        <w:tc>
          <w:tcPr>
            <w:tcW w:w="1266" w:type="dxa"/>
            <w:vMerge w:val="continue"/>
            <w:tcBorders>
              <w:tl2br w:val="nil"/>
              <w:tr2bl w:val="nil"/>
            </w:tcBorders>
            <w:vAlign w:val="center"/>
          </w:tcPr>
          <w:p w14:paraId="370F11F8">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4285C3A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检查尾矿坝有无截水沟</w:t>
            </w:r>
          </w:p>
        </w:tc>
      </w:tr>
      <w:tr w14:paraId="6C26F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6677EAE3">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6E7B053">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026C6D0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严格按设计要求控制坝体浸润线埋深</w:t>
            </w:r>
          </w:p>
        </w:tc>
        <w:tc>
          <w:tcPr>
            <w:tcW w:w="1266" w:type="dxa"/>
            <w:vMerge w:val="continue"/>
            <w:tcBorders>
              <w:tl2br w:val="nil"/>
              <w:tr2bl w:val="nil"/>
            </w:tcBorders>
            <w:vAlign w:val="center"/>
          </w:tcPr>
          <w:p w14:paraId="194C37C5">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2BD125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查阅设计资料、浸润线观测资料、现场检查</w:t>
            </w:r>
          </w:p>
        </w:tc>
      </w:tr>
      <w:tr w14:paraId="416F8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32DC0576">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77F099EA">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51134A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4级以上尾矿坝应设置坝体位移和坝体浸润线观测设施</w:t>
            </w:r>
          </w:p>
        </w:tc>
        <w:tc>
          <w:tcPr>
            <w:tcW w:w="1266" w:type="dxa"/>
            <w:vMerge w:val="continue"/>
            <w:tcBorders>
              <w:tl2br w:val="nil"/>
              <w:tr2bl w:val="nil"/>
            </w:tcBorders>
            <w:vAlign w:val="center"/>
          </w:tcPr>
          <w:p w14:paraId="2E3246AD">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52E669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检查尾矿库现场、查阅监测资料</w:t>
            </w:r>
          </w:p>
        </w:tc>
      </w:tr>
      <w:tr w14:paraId="17CA0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73A1DF74">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7C9A0CF2">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417D83D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副坝坝高、坝型、上下游坡比应满足设计要求</w:t>
            </w:r>
          </w:p>
        </w:tc>
        <w:tc>
          <w:tcPr>
            <w:tcW w:w="1266" w:type="dxa"/>
            <w:vMerge w:val="continue"/>
            <w:tcBorders>
              <w:tl2br w:val="nil"/>
              <w:tr2bl w:val="nil"/>
            </w:tcBorders>
            <w:vAlign w:val="center"/>
          </w:tcPr>
          <w:p w14:paraId="42E0AB4A">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238E2FB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现场检查和查看设计资料</w:t>
            </w:r>
          </w:p>
        </w:tc>
      </w:tr>
      <w:tr w14:paraId="25157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2238ECBC">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2B56F27">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0217A9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建设单位应组织施工、监理、设计等单位的人员组成交工验收机构，进行初期坝、副坝、观测设施等工程验收，并编写验收报告</w:t>
            </w:r>
          </w:p>
        </w:tc>
        <w:tc>
          <w:tcPr>
            <w:tcW w:w="1266" w:type="dxa"/>
            <w:tcBorders>
              <w:tl2br w:val="nil"/>
              <w:tr2bl w:val="nil"/>
            </w:tcBorders>
            <w:vAlign w:val="center"/>
          </w:tcPr>
          <w:p w14:paraId="6FE14B6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cs="Times New Roman"/>
                <w:color w:val="auto"/>
                <w:sz w:val="21"/>
                <w:szCs w:val="21"/>
                <w:highlight w:val="none"/>
                <w:lang w:eastAsia="zh-CN"/>
              </w:rPr>
              <w:t>尾矿设施施工及验收规范</w:t>
            </w:r>
            <w:r>
              <w:rPr>
                <w:rFonts w:hint="default" w:ascii="Times New Roman" w:hAnsi="Times New Roman" w:cs="Times New Roman"/>
                <w:color w:val="auto"/>
                <w:sz w:val="21"/>
                <w:szCs w:val="21"/>
                <w:highlight w:val="none"/>
              </w:rPr>
              <w:t>》</w:t>
            </w:r>
            <w:r>
              <w:rPr>
                <w:rFonts w:hint="default" w:cs="Times New Roman"/>
                <w:color w:val="auto"/>
                <w:sz w:val="21"/>
                <w:szCs w:val="21"/>
                <w:highlight w:val="none"/>
                <w:lang w:eastAsia="zh-CN"/>
              </w:rPr>
              <w:t>GB 50864-2013</w:t>
            </w:r>
          </w:p>
        </w:tc>
        <w:tc>
          <w:tcPr>
            <w:tcW w:w="2044" w:type="dxa"/>
            <w:tcBorders>
              <w:tl2br w:val="nil"/>
              <w:tr2bl w:val="nil"/>
            </w:tcBorders>
            <w:vAlign w:val="center"/>
          </w:tcPr>
          <w:p w14:paraId="0A8AD0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查阅验收报告资料</w:t>
            </w:r>
          </w:p>
        </w:tc>
      </w:tr>
      <w:tr w14:paraId="43F5E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5F023ED3">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56B63400">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42CEBAB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尾矿初期坝与堆积坝坝坡的抗滑稳定性系数应满足规程关于抗滑稳定安全系数要求</w:t>
            </w:r>
          </w:p>
        </w:tc>
        <w:tc>
          <w:tcPr>
            <w:tcW w:w="1266" w:type="dxa"/>
            <w:tcBorders>
              <w:tl2br w:val="nil"/>
              <w:tr2bl w:val="nil"/>
            </w:tcBorders>
            <w:vAlign w:val="center"/>
          </w:tcPr>
          <w:p w14:paraId="0287C7A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《选矿厂尾矿设施设计规范》</w:t>
            </w:r>
          </w:p>
        </w:tc>
        <w:tc>
          <w:tcPr>
            <w:tcW w:w="2044" w:type="dxa"/>
            <w:tcBorders>
              <w:tl2br w:val="nil"/>
              <w:tr2bl w:val="nil"/>
            </w:tcBorders>
            <w:vAlign w:val="center"/>
          </w:tcPr>
          <w:p w14:paraId="60B9481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查阅有无坝体稳定性计算资料</w:t>
            </w:r>
          </w:p>
        </w:tc>
      </w:tr>
      <w:tr w14:paraId="11947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restart"/>
            <w:tcBorders>
              <w:tl2br w:val="nil"/>
              <w:tr2bl w:val="nil"/>
            </w:tcBorders>
            <w:vAlign w:val="center"/>
          </w:tcPr>
          <w:p w14:paraId="4CCFC42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741" w:type="dxa"/>
            <w:vMerge w:val="restart"/>
            <w:tcBorders>
              <w:tl2br w:val="nil"/>
              <w:tr2bl w:val="nil"/>
            </w:tcBorders>
            <w:vAlign w:val="center"/>
          </w:tcPr>
          <w:p w14:paraId="0DB30DB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排洪防汛</w:t>
            </w:r>
          </w:p>
        </w:tc>
        <w:tc>
          <w:tcPr>
            <w:tcW w:w="3970" w:type="dxa"/>
            <w:tcBorders>
              <w:tl2br w:val="nil"/>
              <w:tr2bl w:val="nil"/>
            </w:tcBorders>
            <w:vAlign w:val="center"/>
          </w:tcPr>
          <w:p w14:paraId="55B4D66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根据设计或尾矿库安全生产年度计划，应保证在洪水来临并达到最高洪水水位时，滩顶安全超高和干滩长度满足规程和设计要求</w:t>
            </w:r>
          </w:p>
        </w:tc>
        <w:tc>
          <w:tcPr>
            <w:tcW w:w="1266" w:type="dxa"/>
            <w:vMerge w:val="restart"/>
            <w:tcBorders>
              <w:tl2br w:val="nil"/>
              <w:tr2bl w:val="nil"/>
            </w:tcBorders>
            <w:vAlign w:val="center"/>
          </w:tcPr>
          <w:p w14:paraId="53C0130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《尾矿库安全规程》</w:t>
            </w:r>
          </w:p>
        </w:tc>
        <w:tc>
          <w:tcPr>
            <w:tcW w:w="2044" w:type="dxa"/>
            <w:tcBorders>
              <w:tl2br w:val="nil"/>
              <w:tr2bl w:val="nil"/>
            </w:tcBorders>
            <w:vAlign w:val="center"/>
          </w:tcPr>
          <w:p w14:paraId="42EB8E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现场检查、查阅设计资料及安全生产年度计划</w:t>
            </w:r>
          </w:p>
        </w:tc>
      </w:tr>
      <w:tr w14:paraId="06770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7C47B4B6">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EBA75B6">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5D3677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防洪标准应满足规程中有关不同等别尾矿库防洪标准的要求</w:t>
            </w:r>
          </w:p>
        </w:tc>
        <w:tc>
          <w:tcPr>
            <w:tcW w:w="1266" w:type="dxa"/>
            <w:vMerge w:val="continue"/>
            <w:tcBorders>
              <w:tl2br w:val="nil"/>
              <w:tr2bl w:val="nil"/>
            </w:tcBorders>
            <w:vAlign w:val="center"/>
          </w:tcPr>
          <w:p w14:paraId="3518E38A">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43AE450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查阅设计报告</w:t>
            </w:r>
          </w:p>
        </w:tc>
      </w:tr>
      <w:tr w14:paraId="1C5E0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39E8CFCD">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55D91D4B">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3F6EC00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排洪系统现状能够满足设计要求的泄水能力，当24小时洪水总量小于调洪库容时，洪水排出时间不宜超过72小时</w:t>
            </w:r>
          </w:p>
        </w:tc>
        <w:tc>
          <w:tcPr>
            <w:tcW w:w="1266" w:type="dxa"/>
            <w:vMerge w:val="continue"/>
            <w:tcBorders>
              <w:tl2br w:val="nil"/>
              <w:tr2bl w:val="nil"/>
            </w:tcBorders>
            <w:vAlign w:val="center"/>
          </w:tcPr>
          <w:p w14:paraId="61C660FC">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61419E8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查阅设计资料、检查排洪设施是否完好</w:t>
            </w:r>
          </w:p>
        </w:tc>
      </w:tr>
      <w:tr w14:paraId="5E2C2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3667947E">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017E0AFD">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2AAF43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在排水构筑物上或尾矿库内适当地点，应设置清晰醒目的水位标尺，标明正常运行水位和警戒水位</w:t>
            </w:r>
          </w:p>
        </w:tc>
        <w:tc>
          <w:tcPr>
            <w:tcW w:w="1266" w:type="dxa"/>
            <w:vMerge w:val="continue"/>
            <w:tcBorders>
              <w:tl2br w:val="nil"/>
              <w:tr2bl w:val="nil"/>
            </w:tcBorders>
            <w:vAlign w:val="center"/>
          </w:tcPr>
          <w:p w14:paraId="66823BFB">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64F16FE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检查尾矿库有无设置明显水位标尺</w:t>
            </w:r>
          </w:p>
        </w:tc>
      </w:tr>
      <w:tr w14:paraId="0E3E5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06A9FBB2">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73566F6A">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64B5938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汛期前应对排洪设施进行检查、维修和疏浚，确保排洪设施畅通。根据确定的排洪底坎高程，将排洪底坎以上1.5倍调洪高度内的挡板全部打开，清除排洪口前水面漂浮物</w:t>
            </w:r>
          </w:p>
        </w:tc>
        <w:tc>
          <w:tcPr>
            <w:tcW w:w="1266" w:type="dxa"/>
            <w:vMerge w:val="continue"/>
            <w:tcBorders>
              <w:tl2br w:val="nil"/>
              <w:tr2bl w:val="nil"/>
            </w:tcBorders>
            <w:vAlign w:val="center"/>
          </w:tcPr>
          <w:p w14:paraId="55193610">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32E60E4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现场检查排洪设施和查阅记录</w:t>
            </w:r>
          </w:p>
        </w:tc>
      </w:tr>
      <w:tr w14:paraId="4C926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68569386">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1AA9099E">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6C0846F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洪水过后应对排洪构筑物进行全面认真的检查与清理，发现问题及时修复，同时，采取措施降低库水位，防止连续降雨后发生垮坝事故</w:t>
            </w:r>
          </w:p>
        </w:tc>
        <w:tc>
          <w:tcPr>
            <w:tcW w:w="1266" w:type="dxa"/>
            <w:vMerge w:val="continue"/>
            <w:tcBorders>
              <w:tl2br w:val="nil"/>
              <w:tr2bl w:val="nil"/>
            </w:tcBorders>
            <w:vAlign w:val="center"/>
          </w:tcPr>
          <w:p w14:paraId="69213B53">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03D015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查阅检查记录</w:t>
            </w:r>
          </w:p>
        </w:tc>
      </w:tr>
      <w:tr w14:paraId="34DF8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4CE2C6A0">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2B10D5ED">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76487B2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尾矿库排水构筑物停用后，必须严格按设计要求及时封堵，并确保施工质量。严禁在排水井井筒顶部封堵</w:t>
            </w:r>
          </w:p>
        </w:tc>
        <w:tc>
          <w:tcPr>
            <w:tcW w:w="1266" w:type="dxa"/>
            <w:vMerge w:val="continue"/>
            <w:tcBorders>
              <w:tl2br w:val="nil"/>
              <w:tr2bl w:val="nil"/>
            </w:tcBorders>
            <w:vAlign w:val="center"/>
          </w:tcPr>
          <w:p w14:paraId="68A0396F">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3DC0A00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现场检查和查阅封堵记录</w:t>
            </w:r>
          </w:p>
        </w:tc>
      </w:tr>
      <w:tr w14:paraId="55D51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restart"/>
            <w:tcBorders>
              <w:tl2br w:val="nil"/>
              <w:tr2bl w:val="nil"/>
            </w:tcBorders>
            <w:vAlign w:val="center"/>
          </w:tcPr>
          <w:p w14:paraId="6E0F040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741" w:type="dxa"/>
            <w:vMerge w:val="restart"/>
            <w:tcBorders>
              <w:tl2br w:val="nil"/>
              <w:tr2bl w:val="nil"/>
            </w:tcBorders>
            <w:vAlign w:val="center"/>
          </w:tcPr>
          <w:p w14:paraId="1D53F8D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排放筑坝</w:t>
            </w:r>
          </w:p>
        </w:tc>
        <w:tc>
          <w:tcPr>
            <w:tcW w:w="3970" w:type="dxa"/>
            <w:tcBorders>
              <w:tl2br w:val="nil"/>
              <w:tr2bl w:val="nil"/>
            </w:tcBorders>
            <w:vAlign w:val="center"/>
          </w:tcPr>
          <w:p w14:paraId="77E07E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上游式筑坝法，应于坝前均匀放矿，维持坝体均匀上升，不得任意在库后或一侧岸坡放矿</w:t>
            </w:r>
          </w:p>
        </w:tc>
        <w:tc>
          <w:tcPr>
            <w:tcW w:w="1266" w:type="dxa"/>
            <w:vMerge w:val="continue"/>
            <w:tcBorders>
              <w:tl2br w:val="nil"/>
              <w:tr2bl w:val="nil"/>
            </w:tcBorders>
            <w:vAlign w:val="center"/>
          </w:tcPr>
          <w:p w14:paraId="14D23680">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1358B77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现场检查是否均匀放矿</w:t>
            </w:r>
          </w:p>
        </w:tc>
      </w:tr>
      <w:tr w14:paraId="6D57E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01CC5FB4">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E5B1DA1">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44A1F85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坝体较长时应采用分段交替作业，使坝体均匀上升，应避免滩面出现侧坡、扇形坡或细粒尾矿大量集中沉积于某端或某侧</w:t>
            </w:r>
          </w:p>
        </w:tc>
        <w:tc>
          <w:tcPr>
            <w:tcW w:w="1266" w:type="dxa"/>
            <w:vMerge w:val="continue"/>
            <w:tcBorders>
              <w:tl2br w:val="nil"/>
              <w:tr2bl w:val="nil"/>
            </w:tcBorders>
            <w:vAlign w:val="center"/>
          </w:tcPr>
          <w:p w14:paraId="4729F022">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107EE1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检查尾矿坝现场</w:t>
            </w:r>
          </w:p>
        </w:tc>
      </w:tr>
      <w:tr w14:paraId="2F204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vAlign w:val="center"/>
          </w:tcPr>
          <w:p w14:paraId="78831A78">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C856706">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4AA6A01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每期子坝堆筑完毕，应进行质量检查，检查记录需经主管技术人员签字后存档备查</w:t>
            </w:r>
          </w:p>
        </w:tc>
        <w:tc>
          <w:tcPr>
            <w:tcW w:w="1266" w:type="dxa"/>
            <w:vMerge w:val="continue"/>
            <w:tcBorders>
              <w:tl2br w:val="nil"/>
              <w:tr2bl w:val="nil"/>
            </w:tcBorders>
            <w:vAlign w:val="center"/>
          </w:tcPr>
          <w:p w14:paraId="218B4F93">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3DD35C2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查阅堆坝记录</w:t>
            </w:r>
          </w:p>
        </w:tc>
      </w:tr>
    </w:tbl>
    <w:p w14:paraId="514021B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排查发现的问题，应及时消除环境隐患，积极整改，确保尾矿库环境风险可控。如发现重大环境风险安全隐患，应立即预警，并启动应急预案，及时报告当地生态环境部门，并邀请相关行业专家进行现场评估及出具尾矿库整改方案，积极整改到位，消除风险安全隐患。</w:t>
      </w:r>
    </w:p>
    <w:p w14:paraId="0484023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（2）尾矿库环境安全隐患治理计划</w:t>
      </w:r>
    </w:p>
    <w:p w14:paraId="10B59D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一库一档”的要求，对历史遗留，要落实责任，制定整改方案，加强资金、技术、保障等方面的统筹，明确整治计划和期限，采取有力措施逐步消除安全和环境隐患。重点对尾矿库履行环评审批及建设项目“三同时”制度，相关环保设施设计、施工建设，尾矿库“三防措施”落实，污染物排放，尾矿库环境风险防范和应急管理等情况进行检查。具体内容见下表：</w:t>
      </w:r>
    </w:p>
    <w:p w14:paraId="372088BF">
      <w:pPr>
        <w:ind w:firstLine="0" w:firstLineChars="0"/>
        <w:jc w:val="center"/>
        <w:rPr>
          <w:rFonts w:hint="default" w:ascii="Times New Roman" w:hAnsi="Times New Roman" w:cs="Times New Roman"/>
          <w:color w:val="auto"/>
          <w:highlight w:val="none"/>
        </w:rPr>
      </w:pPr>
      <w:bookmarkStart w:id="784" w:name="_Toc12268_WPSOffice_Level2"/>
      <w:r>
        <w:rPr>
          <w:rFonts w:hint="default" w:ascii="Times New Roman" w:hAnsi="Times New Roman" w:cs="Times New Roman"/>
          <w:b/>
          <w:bCs/>
          <w:color w:val="auto"/>
          <w:highlight w:val="none"/>
        </w:rPr>
        <w:t>表5.3-1</w:t>
      </w:r>
      <w:r>
        <w:rPr>
          <w:rFonts w:hint="default" w:cs="Times New Roman"/>
          <w:b/>
          <w:bCs/>
          <w:color w:val="auto"/>
          <w:highlight w:val="none"/>
          <w:lang w:val="en-US" w:eastAsia="zh-CN"/>
        </w:rPr>
        <w:t>5</w:t>
      </w:r>
      <w:r>
        <w:rPr>
          <w:rFonts w:hint="default" w:ascii="Times New Roman" w:hAnsi="Times New Roman" w:cs="Times New Roman"/>
          <w:b/>
          <w:bCs/>
          <w:color w:val="auto"/>
          <w:highlight w:val="none"/>
        </w:rPr>
        <w:t xml:space="preserve">    尾矿库安全隐患治理计划表</w:t>
      </w:r>
      <w:bookmarkEnd w:id="784"/>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702"/>
        <w:gridCol w:w="1142"/>
        <w:gridCol w:w="2040"/>
      </w:tblGrid>
      <w:tr w14:paraId="10AB6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38" w:type="dxa"/>
            <w:tcBorders>
              <w:tl2br w:val="nil"/>
              <w:tr2bl w:val="nil"/>
            </w:tcBorders>
            <w:vAlign w:val="center"/>
          </w:tcPr>
          <w:p w14:paraId="7B6B19B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4702" w:type="dxa"/>
            <w:tcBorders>
              <w:tl2br w:val="nil"/>
              <w:tr2bl w:val="nil"/>
            </w:tcBorders>
            <w:vAlign w:val="center"/>
          </w:tcPr>
          <w:p w14:paraId="36A7137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治理内容</w:t>
            </w:r>
          </w:p>
        </w:tc>
        <w:tc>
          <w:tcPr>
            <w:tcW w:w="1142" w:type="dxa"/>
            <w:tcBorders>
              <w:tl2br w:val="nil"/>
              <w:tr2bl w:val="nil"/>
            </w:tcBorders>
            <w:vAlign w:val="center"/>
          </w:tcPr>
          <w:p w14:paraId="1771431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法规依据</w:t>
            </w:r>
          </w:p>
        </w:tc>
        <w:tc>
          <w:tcPr>
            <w:tcW w:w="2040" w:type="dxa"/>
            <w:tcBorders>
              <w:tl2br w:val="nil"/>
              <w:tr2bl w:val="nil"/>
            </w:tcBorders>
            <w:vAlign w:val="center"/>
          </w:tcPr>
          <w:p w14:paraId="024A819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检查方法</w:t>
            </w:r>
          </w:p>
        </w:tc>
      </w:tr>
      <w:tr w14:paraId="3E950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5D8B90B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702" w:type="dxa"/>
            <w:tcBorders>
              <w:tl2br w:val="nil"/>
              <w:tr2bl w:val="nil"/>
            </w:tcBorders>
            <w:vAlign w:val="center"/>
          </w:tcPr>
          <w:p w14:paraId="0CEEDB2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尾矿库及其相应的选矿项目，必须依法进行环境影响评价。</w:t>
            </w:r>
          </w:p>
        </w:tc>
        <w:tc>
          <w:tcPr>
            <w:tcW w:w="1142" w:type="dxa"/>
            <w:tcBorders>
              <w:tl2br w:val="nil"/>
              <w:tr2bl w:val="nil"/>
            </w:tcBorders>
            <w:vAlign w:val="center"/>
          </w:tcPr>
          <w:p w14:paraId="5147FE3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757E0EC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查阅资料</w:t>
            </w:r>
          </w:p>
        </w:tc>
      </w:tr>
      <w:tr w14:paraId="2ADCD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7E3ED5E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702" w:type="dxa"/>
            <w:tcBorders>
              <w:tl2br w:val="nil"/>
              <w:tr2bl w:val="nil"/>
            </w:tcBorders>
            <w:vAlign w:val="center"/>
          </w:tcPr>
          <w:p w14:paraId="0528566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按要求开展自行监测，公开排污信息。</w:t>
            </w:r>
          </w:p>
        </w:tc>
        <w:tc>
          <w:tcPr>
            <w:tcW w:w="1142" w:type="dxa"/>
            <w:vMerge w:val="restart"/>
            <w:tcBorders>
              <w:tl2br w:val="nil"/>
              <w:tr2bl w:val="nil"/>
            </w:tcBorders>
            <w:vAlign w:val="center"/>
          </w:tcPr>
          <w:p w14:paraId="63ADF04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排污许可证</w:t>
            </w:r>
          </w:p>
        </w:tc>
        <w:tc>
          <w:tcPr>
            <w:tcW w:w="2040" w:type="dxa"/>
            <w:tcBorders>
              <w:tl2br w:val="nil"/>
              <w:tr2bl w:val="nil"/>
            </w:tcBorders>
            <w:vAlign w:val="center"/>
          </w:tcPr>
          <w:p w14:paraId="2785B77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检查排污许可及公开情况</w:t>
            </w:r>
          </w:p>
        </w:tc>
      </w:tr>
      <w:tr w14:paraId="0761E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1E84EB5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702" w:type="dxa"/>
            <w:tcBorders>
              <w:tl2br w:val="nil"/>
              <w:tr2bl w:val="nil"/>
            </w:tcBorders>
            <w:vAlign w:val="center"/>
          </w:tcPr>
          <w:p w14:paraId="02FD877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尾矿库按规范设置监控井，加强地下水监测，封场后地下水监测系统应继续维持正常运转。</w:t>
            </w:r>
          </w:p>
        </w:tc>
        <w:tc>
          <w:tcPr>
            <w:tcW w:w="1142" w:type="dxa"/>
            <w:vMerge w:val="continue"/>
            <w:tcBorders>
              <w:tl2br w:val="nil"/>
              <w:tr2bl w:val="nil"/>
            </w:tcBorders>
            <w:vAlign w:val="center"/>
          </w:tcPr>
          <w:p w14:paraId="799F768E">
            <w:pPr>
              <w:spacing w:line="360" w:lineRule="exact"/>
              <w:ind w:firstLine="0" w:firstLineChars="0"/>
              <w:jc w:val="center"/>
              <w:rPr>
                <w:rFonts w:hint="default" w:ascii="Times New Roman" w:hAnsi="Times New Roman" w:cs="Times New Roman"/>
                <w:color w:val="auto"/>
                <w:sz w:val="21"/>
                <w:szCs w:val="21"/>
                <w:highlight w:val="none"/>
              </w:rPr>
            </w:pPr>
          </w:p>
        </w:tc>
        <w:tc>
          <w:tcPr>
            <w:tcW w:w="2040" w:type="dxa"/>
            <w:tcBorders>
              <w:tl2br w:val="nil"/>
              <w:tr2bl w:val="nil"/>
            </w:tcBorders>
            <w:vAlign w:val="center"/>
          </w:tcPr>
          <w:p w14:paraId="037B558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w:t>
            </w:r>
          </w:p>
        </w:tc>
      </w:tr>
      <w:tr w14:paraId="064CD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5C5C39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4702" w:type="dxa"/>
            <w:tcBorders>
              <w:tl2br w:val="nil"/>
              <w:tr2bl w:val="nil"/>
            </w:tcBorders>
            <w:vAlign w:val="center"/>
          </w:tcPr>
          <w:p w14:paraId="6DE0A4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加强环境质量监测，及时掌握环境质量状况及其变化趋势。</w:t>
            </w:r>
          </w:p>
        </w:tc>
        <w:tc>
          <w:tcPr>
            <w:tcW w:w="1142" w:type="dxa"/>
            <w:vMerge w:val="continue"/>
            <w:tcBorders>
              <w:tl2br w:val="nil"/>
              <w:tr2bl w:val="nil"/>
            </w:tcBorders>
            <w:vAlign w:val="center"/>
          </w:tcPr>
          <w:p w14:paraId="64AF8C74">
            <w:pPr>
              <w:spacing w:line="360" w:lineRule="exact"/>
              <w:ind w:firstLine="0" w:firstLineChars="0"/>
              <w:jc w:val="center"/>
              <w:rPr>
                <w:rFonts w:hint="default" w:ascii="Times New Roman" w:hAnsi="Times New Roman" w:cs="Times New Roman"/>
                <w:color w:val="auto"/>
                <w:sz w:val="21"/>
                <w:szCs w:val="21"/>
                <w:highlight w:val="none"/>
              </w:rPr>
            </w:pPr>
          </w:p>
        </w:tc>
        <w:tc>
          <w:tcPr>
            <w:tcW w:w="2040" w:type="dxa"/>
            <w:tcBorders>
              <w:tl2br w:val="nil"/>
              <w:tr2bl w:val="nil"/>
            </w:tcBorders>
            <w:vAlign w:val="center"/>
          </w:tcPr>
          <w:p w14:paraId="508424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查阅资料</w:t>
            </w:r>
          </w:p>
        </w:tc>
      </w:tr>
      <w:tr w14:paraId="56B3C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5BA202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702" w:type="dxa"/>
            <w:tcBorders>
              <w:tl2br w:val="nil"/>
              <w:tr2bl w:val="nil"/>
            </w:tcBorders>
            <w:vAlign w:val="center"/>
          </w:tcPr>
          <w:p w14:paraId="39129FA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按照原环保部《突发环境事件应急管理办法》（环境保护部令第34号）等有关要求，落实环境隐患排查治理主体责任，开展环境隐患排查治理、环境风险评估，制定突发环境事件应急预案并报环保部门备案。</w:t>
            </w:r>
          </w:p>
        </w:tc>
        <w:tc>
          <w:tcPr>
            <w:tcW w:w="1142" w:type="dxa"/>
            <w:tcBorders>
              <w:tl2br w:val="nil"/>
              <w:tr2bl w:val="nil"/>
            </w:tcBorders>
            <w:vAlign w:val="center"/>
          </w:tcPr>
          <w:p w14:paraId="449F050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突发环境事件应急预案</w:t>
            </w:r>
          </w:p>
        </w:tc>
        <w:tc>
          <w:tcPr>
            <w:tcW w:w="2040" w:type="dxa"/>
            <w:tcBorders>
              <w:tl2br w:val="nil"/>
              <w:tr2bl w:val="nil"/>
            </w:tcBorders>
            <w:vAlign w:val="center"/>
          </w:tcPr>
          <w:p w14:paraId="2407E5E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查询资料及现场核查</w:t>
            </w:r>
          </w:p>
        </w:tc>
      </w:tr>
      <w:tr w14:paraId="0BC63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201489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4702" w:type="dxa"/>
            <w:tcBorders>
              <w:tl2br w:val="nil"/>
              <w:tr2bl w:val="nil"/>
            </w:tcBorders>
            <w:vAlign w:val="center"/>
          </w:tcPr>
          <w:p w14:paraId="796F10C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应具备完整的截排水系统，应设置收集管网、坝下收集池对尾矿库溢流水进行收集，确保溢流水处理设施正常运行，外排废水达到相应排放标准。尾矿库闭库后，渗滤液处理设施应继续维持正常运转，直至水质稳定达标。</w:t>
            </w:r>
          </w:p>
        </w:tc>
        <w:tc>
          <w:tcPr>
            <w:tcW w:w="1142" w:type="dxa"/>
            <w:tcBorders>
              <w:tl2br w:val="nil"/>
              <w:tr2bl w:val="nil"/>
            </w:tcBorders>
            <w:vAlign w:val="center"/>
          </w:tcPr>
          <w:p w14:paraId="4F38FA8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17A86CF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现场检查、查阅设计资料</w:t>
            </w:r>
          </w:p>
        </w:tc>
      </w:tr>
      <w:tr w14:paraId="19F1A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4DF2750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4702" w:type="dxa"/>
            <w:tcBorders>
              <w:tl2br w:val="nil"/>
              <w:tr2bl w:val="nil"/>
            </w:tcBorders>
            <w:vAlign w:val="center"/>
          </w:tcPr>
          <w:p w14:paraId="7DDF6F9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尾矿库禁止危险废物和生活垃圾混入，无法综合处理的尾砂应进入符合规范要求的尾矿库进行安全堆存。</w:t>
            </w:r>
          </w:p>
        </w:tc>
        <w:tc>
          <w:tcPr>
            <w:tcW w:w="1142" w:type="dxa"/>
            <w:tcBorders>
              <w:tl2br w:val="nil"/>
              <w:tr2bl w:val="nil"/>
            </w:tcBorders>
            <w:vAlign w:val="center"/>
          </w:tcPr>
          <w:p w14:paraId="20F933B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621BA7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w:t>
            </w:r>
          </w:p>
        </w:tc>
      </w:tr>
      <w:tr w14:paraId="6DC66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64449FE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4702" w:type="dxa"/>
            <w:tcBorders>
              <w:tl2br w:val="nil"/>
              <w:tr2bl w:val="nil"/>
            </w:tcBorders>
            <w:vAlign w:val="center"/>
          </w:tcPr>
          <w:p w14:paraId="6961F6F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完善覆膜、压土、排洪、堤坝加固等隐患治理和闭库措施，阻断污染扩散途径。在尾矿库停止使用后必须进行处置，保证坝体安全，不污染环境，消除污染事故隐患。</w:t>
            </w:r>
          </w:p>
          <w:p w14:paraId="79418A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关闭尾矿设施必须报上级生态环境主管部门验收、批准。利用处置过的尾矿或其设施，需经上级生态环境主管部门批准，并备案。</w:t>
            </w:r>
          </w:p>
        </w:tc>
        <w:tc>
          <w:tcPr>
            <w:tcW w:w="1142" w:type="dxa"/>
            <w:tcBorders>
              <w:tl2br w:val="nil"/>
              <w:tr2bl w:val="nil"/>
            </w:tcBorders>
            <w:vAlign w:val="center"/>
          </w:tcPr>
          <w:p w14:paraId="05D557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47F2FBD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查阅设计资料、现场检查</w:t>
            </w:r>
          </w:p>
        </w:tc>
      </w:tr>
    </w:tbl>
    <w:p w14:paraId="4F0D1A78">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5.3.7尾矿库环境风险三级防控体系</w:t>
      </w:r>
    </w:p>
    <w:p w14:paraId="2E90124E">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根据《尾矿库环境应急管理工作指南（试行）》（环办〔2010〕138号）要求，尾矿库企业应执行尾矿库三级防控体系进行分组防控。在车间、库区和流域三个层级设防布控，防止尾矿库企业发生污染事件。其中尾矿库企业应采取措施对车间及库区范围内可能发生的突发环境事件进行防控，地方人民政府组织企业建设流域防控措施。</w:t>
      </w:r>
    </w:p>
    <w:p w14:paraId="41267DA6">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（1）第一级防控：车间级</w:t>
      </w:r>
    </w:p>
    <w:p w14:paraId="31E8846D">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第一级防控主要</w:t>
      </w:r>
      <w:r>
        <w:rPr>
          <w:rFonts w:hint="default" w:cs="Times New Roman"/>
          <w:color w:val="auto"/>
          <w:szCs w:val="20"/>
          <w:highlight w:val="none"/>
          <w:lang w:eastAsia="zh-CN"/>
        </w:rPr>
        <w:t>预防</w:t>
      </w:r>
      <w:r>
        <w:rPr>
          <w:rFonts w:hint="default" w:ascii="Times New Roman" w:hAnsi="Times New Roman" w:cs="Times New Roman"/>
          <w:color w:val="auto"/>
          <w:szCs w:val="20"/>
          <w:highlight w:val="none"/>
        </w:rPr>
        <w:t>尾矿库回水泵故障造成尾矿废水溢流。</w:t>
      </w:r>
    </w:p>
    <w:p w14:paraId="6B8472C7">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第一级防控主要措施为及时检修尾矿库相关设备，发现故障立即启用备用设备。同时联系选矿厂做好尾矿输送调度安排。</w:t>
      </w:r>
    </w:p>
    <w:p w14:paraId="7ACE31B9">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（2）第二级防控：厂区级</w:t>
      </w:r>
    </w:p>
    <w:p w14:paraId="52DC2495">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第二级防控主要预防排水系统出现堵塞、管道破裂而发生</w:t>
      </w:r>
      <w:r>
        <w:rPr>
          <w:rFonts w:hint="default" w:cs="Times New Roman"/>
          <w:color w:val="auto"/>
          <w:szCs w:val="20"/>
          <w:highlight w:val="none"/>
          <w:lang w:eastAsia="zh-CN"/>
        </w:rPr>
        <w:t>泄漏</w:t>
      </w:r>
      <w:r>
        <w:rPr>
          <w:rFonts w:hint="default" w:ascii="Times New Roman" w:hAnsi="Times New Roman" w:cs="Times New Roman"/>
          <w:color w:val="auto"/>
          <w:szCs w:val="20"/>
          <w:highlight w:val="none"/>
        </w:rPr>
        <w:t>。</w:t>
      </w:r>
    </w:p>
    <w:p w14:paraId="2C942ECC">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二级防控主要措施为平时加强尾矿库排水系统的维护，定期检修。尾矿排水管道破裂或堵塞时，应立即停止使用、切换到备用管道。尾矿库上游设置截水坝，两侧设置排水沟，减少坝外回水进入尾矿库。通过采取以上措施可以减少事故条件下下泄水量，有效地降低尾矿排水事故对下游的影响。</w:t>
      </w:r>
    </w:p>
    <w:p w14:paraId="10782AD4">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（3）第三级防控：流域级</w:t>
      </w:r>
    </w:p>
    <w:p w14:paraId="1C45C519">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第三级防控主要预防尾矿库发生溃坝，滑坡等事故，发生尾矿</w:t>
      </w:r>
      <w:r>
        <w:rPr>
          <w:rFonts w:hint="default" w:cs="Times New Roman"/>
          <w:color w:val="auto"/>
          <w:szCs w:val="20"/>
          <w:highlight w:val="none"/>
          <w:lang w:eastAsia="zh-CN"/>
        </w:rPr>
        <w:t>泄漏</w:t>
      </w:r>
      <w:r>
        <w:rPr>
          <w:rFonts w:hint="default" w:ascii="Times New Roman" w:hAnsi="Times New Roman" w:cs="Times New Roman"/>
          <w:color w:val="auto"/>
          <w:szCs w:val="20"/>
          <w:highlight w:val="none"/>
        </w:rPr>
        <w:t>，一、二级防控失败条件下的防控措施。</w:t>
      </w:r>
    </w:p>
    <w:p w14:paraId="6673A2CD">
      <w:pPr>
        <w:pStyle w:val="41"/>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建议当地有关部门按照《尾矿库环境应急管理工作指南（试行）》（环办〔2010〕138号）的有关要求编制流域级防治规定，并定期演练。主要措施包括在受尾矿库溃坝事故影响的流域下游设置具有拦截降解作用的设施，包括拦截坝等；在尾矿库上游建设</w:t>
      </w:r>
      <w:r>
        <w:rPr>
          <w:rFonts w:hint="default" w:cs="Times New Roman"/>
          <w:color w:val="auto"/>
          <w:highlight w:val="none"/>
          <w:lang w:eastAsia="zh-CN"/>
        </w:rPr>
        <w:t>应急物资</w:t>
      </w:r>
      <w:r>
        <w:rPr>
          <w:rFonts w:hint="default" w:ascii="Times New Roman" w:hAnsi="Times New Roman" w:cs="Times New Roman"/>
          <w:color w:val="auto"/>
          <w:highlight w:val="none"/>
        </w:rPr>
        <w:t>储备库，储备沙袋、水泥管等应急物资等。待当地流域级尾矿库环境应急防治规划出台后，本项目应严格履行相关规定，落实规划防治措施要求，并配合当地定期演练。</w:t>
      </w:r>
    </w:p>
    <w:p w14:paraId="7D6A4A93">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5.3.8应急预案</w:t>
      </w:r>
    </w:p>
    <w:p w14:paraId="3BF69515">
      <w:pPr>
        <w:overflowPunct w:val="0"/>
        <w:topLinePunct/>
        <w:ind w:firstLine="480"/>
        <w:rPr>
          <w:rFonts w:hint="default" w:ascii="Times New Roman" w:hAnsi="Times New Roman" w:cs="Times New Roman"/>
          <w:b/>
          <w:bCs/>
          <w:color w:val="auto"/>
          <w:sz w:val="30"/>
          <w:szCs w:val="32"/>
          <w:highlight w:val="none"/>
        </w:rPr>
      </w:pPr>
      <w:r>
        <w:rPr>
          <w:rFonts w:hint="default" w:ascii="Times New Roman" w:hAnsi="Times New Roman" w:cs="Times New Roman"/>
          <w:color w:val="auto"/>
          <w:highlight w:val="none"/>
          <w:lang w:bidi="ar"/>
        </w:rPr>
        <w:t>为应对项目可能产生的各类突发性环境污染事件以及生态破坏事故，</w:t>
      </w:r>
      <w:r>
        <w:rPr>
          <w:rFonts w:hint="default" w:ascii="Times New Roman" w:hAnsi="Times New Roman" w:cs="Times New Roman"/>
          <w:color w:val="auto"/>
          <w:highlight w:val="none"/>
        </w:rPr>
        <w:t>新疆江诣矿业有限公司</w:t>
      </w:r>
      <w:r>
        <w:rPr>
          <w:rFonts w:hint="default" w:cs="Times New Roman"/>
          <w:color w:val="auto"/>
          <w:highlight w:val="none"/>
          <w:lang w:val="en-US" w:eastAsia="zh-CN"/>
        </w:rPr>
        <w:t>应在本项目投运前</w:t>
      </w:r>
      <w:r>
        <w:rPr>
          <w:rFonts w:hint="default" w:ascii="Times New Roman" w:hAnsi="Times New Roman" w:cs="Times New Roman"/>
          <w:color w:val="auto"/>
          <w:highlight w:val="none"/>
        </w:rPr>
        <w:t>制定《新疆富蕴县阿克塔斯矿区金矿选矿及尾矿库项目环境突发事故应急救援预案》</w:t>
      </w:r>
      <w:r>
        <w:rPr>
          <w:rFonts w:hint="default" w:ascii="Times New Roman" w:hAnsi="Times New Roman" w:cs="Times New Roman"/>
          <w:color w:val="auto"/>
          <w:kern w:val="0"/>
          <w:highlight w:val="none"/>
          <w:lang w:bidi="ar"/>
        </w:rPr>
        <w:t>并备案，定期开展应急演练。</w:t>
      </w:r>
    </w:p>
    <w:p w14:paraId="447C66DC">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5.3.8.1应急计划要求</w:t>
      </w:r>
    </w:p>
    <w:p w14:paraId="77EB526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①明确应急计划区，确定风险源和环境保护目标。</w:t>
      </w:r>
    </w:p>
    <w:p w14:paraId="43F62A1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②应急组织要坚持“主动预防、积极抢救”的原则，能够处理各种突发事件，快速反应和正确处理相结合。</w:t>
      </w:r>
    </w:p>
    <w:p w14:paraId="60E95A58">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③正确的措施</w:t>
      </w:r>
    </w:p>
    <w:p w14:paraId="43D8EFC9">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保护和设置避难通道和安全联络设备，撤离灾区人员。采取必要措施切断风险源，防止事故扩大。</w:t>
      </w:r>
    </w:p>
    <w:p w14:paraId="3D5C1443">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5.3.8.2应急组织机构和人员</w:t>
      </w:r>
    </w:p>
    <w:p w14:paraId="36C7A4D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根据应急级别不同，常备应急组织人员分别由事故应急指挥领导小组，由总经理、生产技术部、保障部、计财部、各施工单位等部门领导组成，下设应急救援办公室（设在安环部）日常工作由安环部兼管。</w:t>
      </w:r>
    </w:p>
    <w:p w14:paraId="372AD689">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各应急机构职责为：</w:t>
      </w:r>
    </w:p>
    <w:p w14:paraId="790E92F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（1）领导小组</w:t>
      </w:r>
    </w:p>
    <w:p w14:paraId="641CA97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①负责事故应急救援预案的编制；</w:t>
      </w:r>
    </w:p>
    <w:p w14:paraId="5BA784F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②组建应急救援专业队伍，并组织实施和演练；</w:t>
      </w:r>
    </w:p>
    <w:p w14:paraId="5742AC6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③检查督促做好重大事故的预防措施和应急救援的各项准备工作；</w:t>
      </w:r>
    </w:p>
    <w:p w14:paraId="19080B7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④负责与上级事故救援领导小组的联络及开展相应工作。</w:t>
      </w:r>
    </w:p>
    <w:p w14:paraId="51CAFB3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（2）指挥部</w:t>
      </w:r>
    </w:p>
    <w:p w14:paraId="2213DA0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①发生事故时，由指挥部发布和解除应急救援命令、信号；</w:t>
      </w:r>
    </w:p>
    <w:p w14:paraId="0F552CA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②组织指挥救援队伍实施救援行动；</w:t>
      </w:r>
    </w:p>
    <w:p w14:paraId="0F2599D0">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③向上级汇报和向友邻单位通报事故情况，必要时向有关单位发出救援请求；</w:t>
      </w:r>
    </w:p>
    <w:p w14:paraId="2D2C8550">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④组织事故调查，总结应急救援工作的经验教训。</w:t>
      </w:r>
    </w:p>
    <w:p w14:paraId="246B06D7">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（3）指挥部人员分工</w:t>
      </w:r>
    </w:p>
    <w:p w14:paraId="0CF2C97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总指挥：组织指挥全公司的应急救援工作；</w:t>
      </w:r>
    </w:p>
    <w:p w14:paraId="43805238">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常务副总指挥：负责应急救援的具体指挥工作；</w:t>
      </w:r>
    </w:p>
    <w:p w14:paraId="6E71BA6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副总指挥：协助常务副总指挥负责分管范围内应急救援的具体指挥与落实工作。</w:t>
      </w:r>
    </w:p>
    <w:p w14:paraId="0E18734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（4）综合办公室</w:t>
      </w:r>
    </w:p>
    <w:p w14:paraId="26DA733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①协助总指挥做好事故报警，情况通报及事故的处置工作；</w:t>
      </w:r>
    </w:p>
    <w:p w14:paraId="6AF32F3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②负责组织控</w:t>
      </w:r>
      <w:r>
        <w:rPr>
          <w:rFonts w:hint="default" w:cs="Times New Roman"/>
          <w:color w:val="auto"/>
          <w:szCs w:val="21"/>
          <w:highlight w:val="none"/>
          <w:lang w:eastAsia="zh-CN"/>
        </w:rPr>
        <w:t>制和</w:t>
      </w:r>
      <w:r>
        <w:rPr>
          <w:rFonts w:hint="default" w:ascii="Times New Roman" w:hAnsi="Times New Roman" w:cs="Times New Roman"/>
          <w:color w:val="auto"/>
          <w:szCs w:val="21"/>
          <w:highlight w:val="none"/>
        </w:rPr>
        <w:t>消除现场隐患、警戒、治安、保卫、疏散、道路管制工作；</w:t>
      </w:r>
    </w:p>
    <w:p w14:paraId="3E5B290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③负责事故现场通讯联系和对外联系；</w:t>
      </w:r>
    </w:p>
    <w:p w14:paraId="5B256BB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④必要时代表指挥部对外发布有关信息。</w:t>
      </w:r>
    </w:p>
    <w:p w14:paraId="36593E6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（5）公司总调度室</w:t>
      </w:r>
    </w:p>
    <w:p w14:paraId="0BCDC79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协助总指挥负责有关工程抢险，抢修的现场指挥和设备调配。</w:t>
      </w:r>
    </w:p>
    <w:p w14:paraId="4967177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（6）公司保障部</w:t>
      </w:r>
    </w:p>
    <w:p w14:paraId="55068767">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负责抢险救援物资的供应和运输工作。</w:t>
      </w:r>
    </w:p>
    <w:p w14:paraId="63842F4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（7）安环部</w:t>
      </w:r>
    </w:p>
    <w:p w14:paraId="1387582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负责现场的监测和事故的分析工作。</w:t>
      </w:r>
    </w:p>
    <w:p w14:paraId="57E99782">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5.3.8.3预案分级及响应程序</w:t>
      </w:r>
    </w:p>
    <w:p w14:paraId="52372298">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根据事故的可控性、严重程度和影响范围，将应急预案分为四级，即特别重大环境事件（Ⅰ级）、重大环境事件（Ⅱ级）、较大环境事件（Ⅲ级）和一般环境事件（Ⅳ级）四级。</w:t>
      </w:r>
    </w:p>
    <w:p w14:paraId="62C032C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（1）I级应急：</w:t>
      </w:r>
    </w:p>
    <w:p w14:paraId="1B55574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因环境污染直接导致30人以上死亡或100人以上中毒或重伤的；</w:t>
      </w:r>
    </w:p>
    <w:p w14:paraId="7795D1C1">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因环境污染疏散、转移人员5万人以上的；</w:t>
      </w:r>
    </w:p>
    <w:p w14:paraId="06ECE111">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因环境污染造成直接经济损失1亿元以上的；</w:t>
      </w:r>
    </w:p>
    <w:p w14:paraId="6013571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因环境污染造成区域生态功能丧失或该区域国家重点保护物种灭绝的；</w:t>
      </w:r>
    </w:p>
    <w:p w14:paraId="3CF7DA1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因环境污染造成设区的市级以上城市集中式饮用水水源地取水中断的；</w:t>
      </w:r>
    </w:p>
    <w:p w14:paraId="30B04C3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6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Ⅰ、Ⅱ类放射源丢失、被盗、失控并造成大范围严重辐射污染后果的；放射性同位素和射线装置失控导致3人以上急性死亡的；放射性物质泄漏，造成大范围辐射污染后果的；</w:t>
      </w:r>
    </w:p>
    <w:p w14:paraId="031686D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7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造成重大跨国境影响的境内突发环境事件。</w:t>
      </w:r>
    </w:p>
    <w:p w14:paraId="7CB65817">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级应急：</w:t>
      </w:r>
    </w:p>
    <w:p w14:paraId="3700714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因环境污染直接导致10人以上30人以下死亡或50人以上100人以下中毒或重伤的；</w:t>
      </w:r>
    </w:p>
    <w:p w14:paraId="4443EA3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因环境污染疏散、转移人员1万人以上5万人以下的；</w:t>
      </w:r>
    </w:p>
    <w:p w14:paraId="621F695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因环境污染造成直接经济损失2000万元以上1亿元以下的；</w:t>
      </w:r>
    </w:p>
    <w:p w14:paraId="6E44E29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因环境污染造成区域生态功能部分丧失或该区域国家重点保护野生动植物种群大批死亡的；</w:t>
      </w:r>
    </w:p>
    <w:p w14:paraId="1740813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因环境污染造成县级城市集中式饮用水水源地取水中断的；</w:t>
      </w:r>
    </w:p>
    <w:p w14:paraId="42F583FE">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6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Ⅰ、Ⅱ类放射源丢失、被盗的；放射性同位素和射线装置失控导致3人以下急性死亡或者10人以上急性重度放射病、局部器官残疾的；放射性物质泄漏，造成较大范围辐射污染后果的；</w:t>
      </w:r>
    </w:p>
    <w:p w14:paraId="37808B4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7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造成跨省级行政区域影响的突发环境事件。</w:t>
      </w:r>
    </w:p>
    <w:p w14:paraId="4776211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一旦发生</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级较大事故，应该迅速报告事故应急指挥领导小组，启动</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级应急预案，上报</w:t>
      </w:r>
      <w:r>
        <w:rPr>
          <w:rFonts w:hint="default" w:cs="Times New Roman"/>
          <w:color w:val="auto"/>
          <w:szCs w:val="21"/>
          <w:highlight w:val="none"/>
          <w:lang w:val="en-US" w:eastAsia="zh-CN"/>
        </w:rPr>
        <w:t>阿勒泰</w:t>
      </w:r>
      <w:r>
        <w:rPr>
          <w:rFonts w:hint="default" w:ascii="Times New Roman" w:hAnsi="Times New Roman" w:cs="Times New Roman"/>
          <w:color w:val="auto"/>
          <w:szCs w:val="21"/>
          <w:highlight w:val="none"/>
        </w:rPr>
        <w:t>人民政府，通知当地生态环境主管部门到现场进行事故评估。厂区主要配合应急小组处理事故现场。厂区各职能部门</w:t>
      </w:r>
      <w:r>
        <w:rPr>
          <w:rFonts w:hint="default" w:cs="Times New Roman"/>
          <w:color w:val="auto"/>
          <w:szCs w:val="21"/>
          <w:highlight w:val="none"/>
          <w:lang w:eastAsia="zh-CN"/>
        </w:rPr>
        <w:t>在</w:t>
      </w:r>
      <w:r>
        <w:rPr>
          <w:rFonts w:hint="default" w:ascii="Times New Roman" w:hAnsi="Times New Roman" w:cs="Times New Roman"/>
          <w:color w:val="auto"/>
          <w:szCs w:val="21"/>
          <w:highlight w:val="none"/>
        </w:rPr>
        <w:t>发生事故时各自履行各自职责，环境监测站到现场进行事故影响监测。</w:t>
      </w:r>
    </w:p>
    <w:p w14:paraId="75304E07">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级应急：</w:t>
      </w:r>
    </w:p>
    <w:p w14:paraId="7EE93E7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因环境污染直接导致3人以上10人以下死亡或10人以上50人以下中毒或重伤的；</w:t>
      </w:r>
    </w:p>
    <w:p w14:paraId="211A310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因环境污染疏散、转移人员5000人以上1万人以下的；</w:t>
      </w:r>
    </w:p>
    <w:p w14:paraId="5294556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因环境污染造成直接经济损失500万元以上2000万元以下的；</w:t>
      </w:r>
    </w:p>
    <w:p w14:paraId="7148E4C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因环境污染造成国家重点保护的动植物物种受到破坏的；</w:t>
      </w:r>
    </w:p>
    <w:p w14:paraId="4245D49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因环境污染造成乡镇集中式饮用水水源地取水中断的；</w:t>
      </w:r>
    </w:p>
    <w:p w14:paraId="4C880B5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6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Ⅲ类放射源丢失、被盗的；放射性同位素和射线装置失控导致10人以下急性重度放射病、局部器官残疾的；放射性物质泄漏，造成小范围辐射污染后果的；</w:t>
      </w:r>
    </w:p>
    <w:p w14:paraId="4B90858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7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造成跨设区的市级行政区域影响的突发环境事件。</w:t>
      </w:r>
    </w:p>
    <w:p w14:paraId="136EC11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（4）Ⅳ级应急：</w:t>
      </w:r>
    </w:p>
    <w:p w14:paraId="2EB170D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因环境污染直接导致3人以下死亡或10人以下中毒或重伤的；</w:t>
      </w:r>
    </w:p>
    <w:p w14:paraId="0C89354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因环境污染疏散、转移人员5000人以下的；</w:t>
      </w:r>
    </w:p>
    <w:p w14:paraId="61BD489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因环境污染造成直接经济损失500万元以下的；</w:t>
      </w:r>
    </w:p>
    <w:p w14:paraId="2F2EFF4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因环境污染造成跨县级行政区域纠纷，引起一般性群体影响的；</w:t>
      </w:r>
    </w:p>
    <w:p w14:paraId="7FF51C1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Ⅳ、Ⅴ类放射源丢失、被盗的；放射性同位素和射线装置失控导致人员受到超过年剂量限值的照射的；放射性物质泄漏，造成厂区内或设施内局部辐射污染后果的；铀矿冶、伴生矿超标排放，造成环境辐射污染后果的；</w:t>
      </w:r>
    </w:p>
    <w:p w14:paraId="4823166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6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对环境造成一定影响，尚未达到较大突发环境事件级别的。</w:t>
      </w:r>
    </w:p>
    <w:p w14:paraId="2F0CC0AE">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一般环境事故发生时，当班人员报告给车间主任，车间主任根据事故大小确定应急级别，若为一般性事故，启动</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级应急预案。由车间主任任指挥，现场人员组成救援和应急小组，根据提前制定的应急程序准备救援。委托第三方监测单位到现场进行监测和事故评估，</w:t>
      </w:r>
      <w:r>
        <w:rPr>
          <w:rFonts w:hint="default" w:cs="Times New Roman"/>
          <w:color w:val="auto"/>
          <w:szCs w:val="21"/>
          <w:highlight w:val="none"/>
          <w:lang w:eastAsia="zh-CN"/>
        </w:rPr>
        <w:t>待</w:t>
      </w:r>
      <w:r>
        <w:rPr>
          <w:rFonts w:hint="default" w:ascii="Times New Roman" w:hAnsi="Times New Roman" w:cs="Times New Roman"/>
          <w:color w:val="auto"/>
          <w:szCs w:val="21"/>
          <w:highlight w:val="none"/>
        </w:rPr>
        <w:t>事故处理妥当，确定危险结束时才能再开始恢复生产。</w:t>
      </w:r>
    </w:p>
    <w:p w14:paraId="0C4E24B3">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5.3.8.4应急救援保障</w:t>
      </w:r>
    </w:p>
    <w:p w14:paraId="1054844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（1）应急救援队伍</w:t>
      </w:r>
    </w:p>
    <w:p w14:paraId="162D7E88">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由现场工作人员迅速组织救援小组，同时上报给车间主任和厂区事故应急指挥领导小组，发布报警信息，组织疏散和撤离。</w:t>
      </w:r>
    </w:p>
    <w:p w14:paraId="184209E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（2）预备应急设施、设备及器材</w:t>
      </w:r>
    </w:p>
    <w:p w14:paraId="5AAE4E5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（3）交通管制</w:t>
      </w:r>
    </w:p>
    <w:p w14:paraId="0CBFCD3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对事故区实施交通管制，保证救援通道畅通。</w:t>
      </w:r>
    </w:p>
    <w:p w14:paraId="3C0C1F59">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5.3.8.5应急物资</w:t>
      </w:r>
    </w:p>
    <w:p w14:paraId="667C983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本次环评后需根据建设情况</w:t>
      </w:r>
      <w:r>
        <w:rPr>
          <w:rFonts w:hint="default" w:cs="Times New Roman"/>
          <w:color w:val="auto"/>
          <w:highlight w:val="none"/>
          <w:lang w:val="en-US" w:eastAsia="zh-CN"/>
        </w:rPr>
        <w:t>编制</w:t>
      </w:r>
      <w:r>
        <w:rPr>
          <w:rFonts w:hint="default" w:ascii="Times New Roman" w:hAnsi="Times New Roman" w:cs="Times New Roman"/>
          <w:color w:val="auto"/>
          <w:highlight w:val="none"/>
        </w:rPr>
        <w:t>突发环境事件应急预案并备案，同时按照要求</w:t>
      </w:r>
      <w:r>
        <w:rPr>
          <w:rFonts w:hint="default" w:cs="Times New Roman"/>
          <w:color w:val="auto"/>
          <w:highlight w:val="none"/>
          <w:lang w:val="en-US" w:eastAsia="zh-CN"/>
        </w:rPr>
        <w:t>配备相应的</w:t>
      </w:r>
      <w:r>
        <w:rPr>
          <w:rFonts w:hint="default" w:ascii="Times New Roman" w:hAnsi="Times New Roman" w:cs="Times New Roman"/>
          <w:color w:val="auto"/>
          <w:highlight w:val="none"/>
        </w:rPr>
        <w:t>应急物资。</w:t>
      </w:r>
    </w:p>
    <w:p w14:paraId="4407A522">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5.3.8.6报警、通讯联络方式</w:t>
      </w:r>
    </w:p>
    <w:p w14:paraId="07E00A59">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一旦事故发生，要迅速报警，联络各职能部门。报警器材平时必须配备好，联络方式要能快速查到。遇到大事故，事故发现者立即用对讲机通知主操作室人员，由班长安</w:t>
      </w:r>
      <w:r>
        <w:rPr>
          <w:rFonts w:hint="default" w:cs="Times New Roman"/>
          <w:color w:val="auto"/>
          <w:szCs w:val="21"/>
          <w:highlight w:val="none"/>
          <w:lang w:eastAsia="zh-CN"/>
        </w:rPr>
        <w:t>排责</w:t>
      </w:r>
      <w:r>
        <w:rPr>
          <w:rFonts w:hint="default" w:ascii="Times New Roman" w:hAnsi="Times New Roman" w:cs="Times New Roman"/>
          <w:color w:val="auto"/>
          <w:szCs w:val="21"/>
          <w:highlight w:val="none"/>
        </w:rPr>
        <w:t>任人报警和通知车间人员、调度指挥中心。发生大事故时，直接向事故应急指挥领导小组汇报。</w:t>
      </w:r>
    </w:p>
    <w:p w14:paraId="739BEF43">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5.3.8.7抢险、救援及控制措施</w:t>
      </w:r>
    </w:p>
    <w:p w14:paraId="63C9F69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接到事故报警时，现场人员根据事故大小对事故现场进行侦察，如为重大事故，立即通知安环部等职能部门，对现场进行监测评估，为指挥部门提供决策依据。</w:t>
      </w:r>
    </w:p>
    <w:p w14:paraId="6A06C68B">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5.3.8.8应急环境监测</w:t>
      </w:r>
    </w:p>
    <w:p w14:paraId="5418525E">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事故应急监测方案应与项目所在地附近环境监测部门共同</w:t>
      </w:r>
      <w:r>
        <w:rPr>
          <w:rFonts w:hint="default" w:cs="Times New Roman"/>
          <w:color w:val="auto"/>
          <w:szCs w:val="21"/>
          <w:highlight w:val="none"/>
          <w:lang w:eastAsia="zh-CN"/>
        </w:rPr>
        <w:t>制定</w:t>
      </w:r>
      <w:r>
        <w:rPr>
          <w:rFonts w:hint="default" w:ascii="Times New Roman" w:hAnsi="Times New Roman" w:cs="Times New Roman"/>
          <w:color w:val="auto"/>
          <w:szCs w:val="21"/>
          <w:highlight w:val="none"/>
        </w:rPr>
        <w:t>和实施，环境监测人员必须迅速到达事故现场，在采样24h必须报出，应急监测报告在48h内报出。根据事故发生源，污染物</w:t>
      </w:r>
      <w:r>
        <w:rPr>
          <w:rFonts w:hint="default" w:cs="Times New Roman"/>
          <w:color w:val="auto"/>
          <w:szCs w:val="21"/>
          <w:highlight w:val="none"/>
          <w:lang w:eastAsia="zh-CN"/>
        </w:rPr>
        <w:t>泄漏</w:t>
      </w:r>
      <w:r>
        <w:rPr>
          <w:rFonts w:hint="default" w:ascii="Times New Roman" w:hAnsi="Times New Roman" w:cs="Times New Roman"/>
          <w:color w:val="auto"/>
          <w:szCs w:val="21"/>
          <w:highlight w:val="none"/>
        </w:rPr>
        <w:t>种类的分析成果，检测事故的特征因子，对事故源附近的辐射圈周界进行采样监测，重点监测可能受影响的区域。本项目的环境监测主要委托第三方监测单位完成。</w:t>
      </w:r>
    </w:p>
    <w:p w14:paraId="45384E09">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5.3.8.9事故应急救援关闭程序与恢复</w:t>
      </w:r>
    </w:p>
    <w:p w14:paraId="4EBC2ED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经环境监测站监测结果和事故评估组认定风险已解除时，应急状态才终止。事故结束后，应组织进行事故现场善后处理与恢复，解除区域事故警戒。</w:t>
      </w:r>
    </w:p>
    <w:p w14:paraId="6E7B17E7">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5.3.8.10应急培训计划</w:t>
      </w:r>
    </w:p>
    <w:p w14:paraId="4CAA140E">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应急计划制定后，由各车间定期安排人员培训与演练。同时，对项目影响区居民开展公众教育，培训和发布有关应急信息。项目具体事故应急预案主要内容见表5.3-1</w:t>
      </w:r>
      <w:r>
        <w:rPr>
          <w:rFonts w:hint="default" w:cs="Times New Roman"/>
          <w:color w:val="auto"/>
          <w:szCs w:val="21"/>
          <w:highlight w:val="none"/>
          <w:lang w:val="en-US" w:eastAsia="zh-CN"/>
        </w:rPr>
        <w:t>6</w:t>
      </w:r>
      <w:r>
        <w:rPr>
          <w:rFonts w:hint="default" w:ascii="Times New Roman" w:hAnsi="Times New Roman" w:cs="Times New Roman"/>
          <w:color w:val="auto"/>
          <w:szCs w:val="21"/>
          <w:highlight w:val="none"/>
        </w:rPr>
        <w:t>。</w:t>
      </w:r>
    </w:p>
    <w:p w14:paraId="125607BB">
      <w:pPr>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表5.3-1</w:t>
      </w:r>
      <w:r>
        <w:rPr>
          <w:rFonts w:hint="default" w:cs="Times New Roman"/>
          <w:b/>
          <w:bCs/>
          <w:color w:val="auto"/>
          <w:szCs w:val="21"/>
          <w:highlight w:val="none"/>
          <w:lang w:val="en-US" w:eastAsia="zh-CN"/>
        </w:rPr>
        <w:t>6</w:t>
      </w:r>
      <w:r>
        <w:rPr>
          <w:rFonts w:hint="default" w:ascii="Times New Roman" w:hAnsi="Times New Roman" w:cs="Times New Roman"/>
          <w:b/>
          <w:bCs/>
          <w:color w:val="auto"/>
          <w:szCs w:val="21"/>
          <w:highlight w:val="none"/>
        </w:rPr>
        <w:t xml:space="preserve">    事故应急预案主要内容汇总表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2520"/>
        <w:gridCol w:w="5355"/>
      </w:tblGrid>
      <w:tr w14:paraId="07B84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47" w:type="dxa"/>
            <w:vAlign w:val="center"/>
          </w:tcPr>
          <w:p w14:paraId="624AE5B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520" w:type="dxa"/>
            <w:vAlign w:val="center"/>
          </w:tcPr>
          <w:p w14:paraId="7E87634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355" w:type="dxa"/>
            <w:vAlign w:val="center"/>
          </w:tcPr>
          <w:p w14:paraId="032D978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内容及要求</w:t>
            </w:r>
          </w:p>
        </w:tc>
      </w:tr>
      <w:tr w14:paraId="7356A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142A9F9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520" w:type="dxa"/>
            <w:vAlign w:val="center"/>
          </w:tcPr>
          <w:p w14:paraId="09BF53C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应急计划区</w:t>
            </w:r>
          </w:p>
        </w:tc>
        <w:tc>
          <w:tcPr>
            <w:tcW w:w="5355" w:type="dxa"/>
            <w:vAlign w:val="center"/>
          </w:tcPr>
          <w:p w14:paraId="221BD9C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选矿厂、尾矿库、尾矿输送系统、回用水系统。</w:t>
            </w:r>
          </w:p>
        </w:tc>
      </w:tr>
      <w:tr w14:paraId="36059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41C3BF9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520" w:type="dxa"/>
            <w:vAlign w:val="center"/>
          </w:tcPr>
          <w:p w14:paraId="1C6AB9C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应急组织结构、人员</w:t>
            </w:r>
          </w:p>
        </w:tc>
        <w:tc>
          <w:tcPr>
            <w:tcW w:w="5355" w:type="dxa"/>
            <w:vAlign w:val="center"/>
          </w:tcPr>
          <w:p w14:paraId="588D54A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应急组织机构分级，各级别主要负责人为应急计划、协调第一人，应急人员必须为培训上岗熟练工；区域应急组织结构由</w:t>
            </w:r>
            <w:r>
              <w:rPr>
                <w:rFonts w:hint="default" w:cs="Times New Roman"/>
                <w:color w:val="auto"/>
                <w:sz w:val="21"/>
                <w:szCs w:val="21"/>
                <w:highlight w:val="none"/>
                <w:lang w:val="en-US" w:eastAsia="zh-CN"/>
              </w:rPr>
              <w:t>阿勒泰地区人民</w:t>
            </w:r>
            <w:r>
              <w:rPr>
                <w:rFonts w:hint="default" w:ascii="Times New Roman" w:hAnsi="Times New Roman" w:cs="Times New Roman"/>
                <w:color w:val="auto"/>
                <w:sz w:val="21"/>
                <w:szCs w:val="21"/>
                <w:highlight w:val="none"/>
              </w:rPr>
              <w:t>政府、相关行业专家、卫生安全相关单位组成，并由</w:t>
            </w:r>
            <w:r>
              <w:rPr>
                <w:rFonts w:hint="default" w:cs="Times New Roman"/>
                <w:color w:val="auto"/>
                <w:sz w:val="21"/>
                <w:szCs w:val="21"/>
                <w:highlight w:val="none"/>
                <w:lang w:val="en-US" w:eastAsia="zh-CN"/>
              </w:rPr>
              <w:t>阿勒泰地区人民</w:t>
            </w:r>
            <w:r>
              <w:rPr>
                <w:rFonts w:hint="default" w:ascii="Times New Roman" w:hAnsi="Times New Roman" w:cs="Times New Roman"/>
                <w:color w:val="auto"/>
                <w:sz w:val="21"/>
                <w:szCs w:val="21"/>
                <w:highlight w:val="none"/>
              </w:rPr>
              <w:t>政府进行统一调度。</w:t>
            </w:r>
          </w:p>
        </w:tc>
      </w:tr>
      <w:tr w14:paraId="177CA4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6EF3F25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520" w:type="dxa"/>
            <w:vAlign w:val="center"/>
          </w:tcPr>
          <w:p w14:paraId="7A97DA6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预案分级响应条件</w:t>
            </w:r>
          </w:p>
        </w:tc>
        <w:tc>
          <w:tcPr>
            <w:tcW w:w="5355" w:type="dxa"/>
            <w:vAlign w:val="center"/>
          </w:tcPr>
          <w:p w14:paraId="08673C5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根据事故的严重程度制定相应级别的应急预案，以及适合相应情况的处理措施。</w:t>
            </w:r>
          </w:p>
        </w:tc>
      </w:tr>
      <w:tr w14:paraId="53296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1B1C8C4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520" w:type="dxa"/>
            <w:vAlign w:val="center"/>
          </w:tcPr>
          <w:p w14:paraId="234175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应急救援保障</w:t>
            </w:r>
          </w:p>
        </w:tc>
        <w:tc>
          <w:tcPr>
            <w:tcW w:w="5355" w:type="dxa"/>
            <w:vAlign w:val="center"/>
          </w:tcPr>
          <w:p w14:paraId="47B55DB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应急设施、设备与器材等。</w:t>
            </w:r>
          </w:p>
        </w:tc>
      </w:tr>
      <w:tr w14:paraId="5CD7E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508988E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520" w:type="dxa"/>
            <w:vAlign w:val="center"/>
          </w:tcPr>
          <w:p w14:paraId="7D0AF99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报警、通讯联络方式</w:t>
            </w:r>
          </w:p>
        </w:tc>
        <w:tc>
          <w:tcPr>
            <w:tcW w:w="5355" w:type="dxa"/>
            <w:vAlign w:val="center"/>
          </w:tcPr>
          <w:p w14:paraId="50C6541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逐一细化应急状态下各主要负责单位的报警通讯方式、地点、电话号码以及相关配套的交通保障、管制、消防联络方法。</w:t>
            </w:r>
          </w:p>
        </w:tc>
      </w:tr>
      <w:tr w14:paraId="074223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45914DF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520" w:type="dxa"/>
            <w:vAlign w:val="center"/>
          </w:tcPr>
          <w:p w14:paraId="72F785C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应急环境监测、抢险、救援控制措施</w:t>
            </w:r>
          </w:p>
        </w:tc>
        <w:tc>
          <w:tcPr>
            <w:tcW w:w="5355" w:type="dxa"/>
            <w:vAlign w:val="center"/>
          </w:tcPr>
          <w:p w14:paraId="6E142AD2">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组织专业队伍负责对事故现场进行侦察监测，对事故性质、参数与后果进行评估，专为指挥部门提供决策依据。</w:t>
            </w:r>
          </w:p>
        </w:tc>
      </w:tr>
      <w:tr w14:paraId="61F48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1919099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520" w:type="dxa"/>
            <w:vAlign w:val="center"/>
          </w:tcPr>
          <w:p w14:paraId="31734B4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应急监测、防护措施、清除</w:t>
            </w:r>
            <w:r>
              <w:rPr>
                <w:rFonts w:hint="default" w:cs="Times New Roman"/>
                <w:color w:val="auto"/>
                <w:sz w:val="21"/>
                <w:szCs w:val="21"/>
                <w:highlight w:val="none"/>
                <w:lang w:eastAsia="zh-CN"/>
              </w:rPr>
              <w:t>泄漏</w:t>
            </w:r>
            <w:r>
              <w:rPr>
                <w:rFonts w:hint="default" w:ascii="Times New Roman" w:hAnsi="Times New Roman" w:cs="Times New Roman"/>
                <w:color w:val="auto"/>
                <w:sz w:val="21"/>
                <w:szCs w:val="21"/>
                <w:highlight w:val="none"/>
              </w:rPr>
              <w:t>措施和器材</w:t>
            </w:r>
          </w:p>
        </w:tc>
        <w:tc>
          <w:tcPr>
            <w:tcW w:w="5355" w:type="dxa"/>
            <w:vAlign w:val="center"/>
          </w:tcPr>
          <w:p w14:paraId="71B086F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严格规定事故多发区、事故现场、邻近区域、设置控制和清除污染措施及相应设备的数量、使用方法、使用人员。</w:t>
            </w:r>
          </w:p>
        </w:tc>
      </w:tr>
      <w:tr w14:paraId="15283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11E62E9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520" w:type="dxa"/>
            <w:vAlign w:val="center"/>
          </w:tcPr>
          <w:p w14:paraId="2654849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人员紧急撤离、疏散计划</w:t>
            </w:r>
          </w:p>
        </w:tc>
        <w:tc>
          <w:tcPr>
            <w:tcW w:w="5355" w:type="dxa"/>
            <w:vAlign w:val="center"/>
          </w:tcPr>
          <w:p w14:paraId="1B39CF7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制定紧急撤离组织计划和救护，医疗救护与公众健康。</w:t>
            </w:r>
          </w:p>
        </w:tc>
      </w:tr>
      <w:tr w14:paraId="52E38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0EAD8EE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520" w:type="dxa"/>
            <w:vAlign w:val="center"/>
          </w:tcPr>
          <w:p w14:paraId="275075C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事故应急救援关闭程序</w:t>
            </w:r>
          </w:p>
        </w:tc>
        <w:tc>
          <w:tcPr>
            <w:tcW w:w="5355" w:type="dxa"/>
            <w:vAlign w:val="center"/>
          </w:tcPr>
          <w:p w14:paraId="332800E6">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制定相关应急状态终止程序，事故现场、受影响范围内的善后处理、恢复措施，邻近区域解除事故警戒及善后恢复措施。</w:t>
            </w:r>
          </w:p>
        </w:tc>
      </w:tr>
      <w:tr w14:paraId="7463C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3E587B7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520" w:type="dxa"/>
            <w:vAlign w:val="center"/>
          </w:tcPr>
          <w:p w14:paraId="3EE3455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事故恢复措施</w:t>
            </w:r>
          </w:p>
        </w:tc>
        <w:tc>
          <w:tcPr>
            <w:tcW w:w="5355" w:type="dxa"/>
            <w:vAlign w:val="center"/>
          </w:tcPr>
          <w:p w14:paraId="2DD9212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制定有关的环境恢复措施（包括生态环境、水体），组织专业人员对事故后的环境变化进行监测，对事故应急措施的环境可行性进行后影响评价。</w:t>
            </w:r>
          </w:p>
        </w:tc>
      </w:tr>
      <w:tr w14:paraId="56CB1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647" w:type="dxa"/>
            <w:vAlign w:val="center"/>
          </w:tcPr>
          <w:p w14:paraId="5833991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520" w:type="dxa"/>
            <w:vAlign w:val="center"/>
          </w:tcPr>
          <w:p w14:paraId="7E3AC57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应急培训计划</w:t>
            </w:r>
          </w:p>
        </w:tc>
        <w:tc>
          <w:tcPr>
            <w:tcW w:w="5355" w:type="dxa"/>
            <w:vAlign w:val="center"/>
          </w:tcPr>
          <w:p w14:paraId="1BA029B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定期安排有关人员进行培训与演练。</w:t>
            </w:r>
          </w:p>
        </w:tc>
      </w:tr>
      <w:tr w14:paraId="17FB3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13AECEA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520" w:type="dxa"/>
            <w:vAlign w:val="center"/>
          </w:tcPr>
          <w:p w14:paraId="072000D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公众教育和信息</w:t>
            </w:r>
          </w:p>
        </w:tc>
        <w:tc>
          <w:tcPr>
            <w:tcW w:w="5355" w:type="dxa"/>
            <w:vAlign w:val="center"/>
          </w:tcPr>
          <w:p w14:paraId="7625EFA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对工厂邻近地区开展公众教育、培训和发布有关信息。</w:t>
            </w:r>
          </w:p>
        </w:tc>
      </w:tr>
    </w:tbl>
    <w:p w14:paraId="1A87E73C">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5.3.9环境风险评价小结</w:t>
      </w:r>
    </w:p>
    <w:p w14:paraId="1412DFE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企业在严格落实本次评价提出的各项环境风险防控措施的情况下，发生风险事故概率较小，项目环境风险可防可控。本次评价建议项目运营过</w:t>
      </w:r>
      <w:r>
        <w:rPr>
          <w:rFonts w:hint="default" w:cs="Times New Roman"/>
          <w:color w:val="auto"/>
          <w:highlight w:val="none"/>
          <w:lang w:eastAsia="zh-CN"/>
        </w:rPr>
        <w:t>程中</w:t>
      </w:r>
      <w:r>
        <w:rPr>
          <w:rFonts w:hint="default" w:ascii="Times New Roman" w:hAnsi="Times New Roman" w:cs="Times New Roman"/>
          <w:color w:val="auto"/>
          <w:highlight w:val="none"/>
        </w:rPr>
        <w:t>应根据生产运行工况以及各类危险物质的实际消耗量，尽可能减少危险物质在项目区内的存在量，减轻环境风险隐患；针对项目区存在的环境风险防控问题，尽快进行整改，同时应加强日常风险管理，加强员工安全培训，杜绝人为造成的环境风险隐患。</w:t>
      </w:r>
    </w:p>
    <w:p w14:paraId="1D3FE7B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建设项目环境风险简单分析</w:t>
      </w:r>
      <w:r>
        <w:rPr>
          <w:rFonts w:hint="default" w:cs="Times New Roman"/>
          <w:color w:val="auto"/>
          <w:highlight w:val="none"/>
          <w:lang w:eastAsia="zh-CN"/>
        </w:rPr>
        <w:t>内容</w:t>
      </w:r>
      <w:r>
        <w:rPr>
          <w:rFonts w:hint="default" w:ascii="Times New Roman" w:hAnsi="Times New Roman" w:cs="Times New Roman"/>
          <w:color w:val="auto"/>
          <w:highlight w:val="none"/>
        </w:rPr>
        <w:t>见下表。</w:t>
      </w:r>
    </w:p>
    <w:p w14:paraId="3D292F04">
      <w:pPr>
        <w:overflowPunct w:val="0"/>
        <w:topLinePunct/>
        <w:ind w:firstLine="0" w:firstLineChars="0"/>
        <w:jc w:val="center"/>
        <w:rPr>
          <w:rFonts w:hint="default" w:ascii="Times New Roman" w:hAnsi="Times New Roman" w:cs="Times New Roman"/>
          <w:b/>
          <w:bCs/>
          <w:color w:val="auto"/>
          <w:spacing w:val="1"/>
          <w:kern w:val="0"/>
          <w:szCs w:val="21"/>
          <w:highlight w:val="none"/>
        </w:rPr>
      </w:pPr>
      <w:r>
        <w:rPr>
          <w:rFonts w:hint="default" w:ascii="Times New Roman" w:hAnsi="Times New Roman" w:cs="Times New Roman"/>
          <w:b/>
          <w:bCs/>
          <w:color w:val="auto"/>
          <w:szCs w:val="21"/>
          <w:highlight w:val="none"/>
        </w:rPr>
        <w:t>表5.3-1</w:t>
      </w:r>
      <w:r>
        <w:rPr>
          <w:rFonts w:hint="default" w:cs="Times New Roman"/>
          <w:b/>
          <w:bCs/>
          <w:color w:val="auto"/>
          <w:szCs w:val="21"/>
          <w:highlight w:val="none"/>
          <w:lang w:val="en-US" w:eastAsia="zh-CN"/>
        </w:rPr>
        <w:t>7</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pacing w:val="1"/>
          <w:kern w:val="0"/>
          <w:szCs w:val="21"/>
          <w:highlight w:val="none"/>
        </w:rPr>
        <w:t>简单内容分析表</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02"/>
        <w:gridCol w:w="2032"/>
        <w:gridCol w:w="845"/>
        <w:gridCol w:w="1638"/>
        <w:gridCol w:w="1063"/>
      </w:tblGrid>
      <w:tr w14:paraId="4E582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5D17B26A">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6980" w:type="dxa"/>
            <w:gridSpan w:val="5"/>
            <w:tcBorders>
              <w:tl2br w:val="nil"/>
              <w:tr2bl w:val="nil"/>
            </w:tcBorders>
            <w:vAlign w:val="center"/>
          </w:tcPr>
          <w:p w14:paraId="38151F7D">
            <w:pPr>
              <w:spacing w:line="360" w:lineRule="exact"/>
              <w:ind w:firstLine="0" w:firstLineChars="0"/>
              <w:jc w:val="center"/>
              <w:rPr>
                <w:rFonts w:hint="default" w:ascii="Times New Roman" w:hAnsi="Times New Roman" w:cs="Times New Roman"/>
                <w:color w:val="auto"/>
                <w:sz w:val="21"/>
                <w:szCs w:val="21"/>
                <w:highlight w:val="none"/>
              </w:rPr>
            </w:pPr>
            <w:r>
              <w:rPr>
                <w:rFonts w:hint="default"/>
                <w:color w:val="auto"/>
                <w:sz w:val="21"/>
                <w:szCs w:val="21"/>
                <w:highlight w:val="none"/>
              </w:rPr>
              <w:t>新疆富蕴县阿克塔斯矿区金矿选矿及尾矿库项目</w:t>
            </w:r>
          </w:p>
        </w:tc>
      </w:tr>
      <w:tr w14:paraId="55FD1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0B2FB86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1402" w:type="dxa"/>
            <w:tcBorders>
              <w:tl2br w:val="nil"/>
              <w:tr2bl w:val="nil"/>
            </w:tcBorders>
            <w:vAlign w:val="center"/>
          </w:tcPr>
          <w:p w14:paraId="7C3CF7F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w:t>
            </w:r>
          </w:p>
        </w:tc>
        <w:tc>
          <w:tcPr>
            <w:tcW w:w="2032" w:type="dxa"/>
            <w:tcBorders>
              <w:tl2br w:val="nil"/>
              <w:tr2bl w:val="nil"/>
            </w:tcBorders>
            <w:vAlign w:val="center"/>
          </w:tcPr>
          <w:p w14:paraId="0BD43FFD">
            <w:pPr>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阿勒泰地区</w:t>
            </w:r>
          </w:p>
        </w:tc>
        <w:tc>
          <w:tcPr>
            <w:tcW w:w="845" w:type="dxa"/>
            <w:tcBorders>
              <w:tl2br w:val="nil"/>
              <w:tr2bl w:val="nil"/>
            </w:tcBorders>
            <w:vAlign w:val="center"/>
          </w:tcPr>
          <w:p w14:paraId="436429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w:t>
            </w:r>
          </w:p>
        </w:tc>
        <w:tc>
          <w:tcPr>
            <w:tcW w:w="1638" w:type="dxa"/>
            <w:tcBorders>
              <w:tl2br w:val="nil"/>
              <w:tr2bl w:val="nil"/>
            </w:tcBorders>
            <w:vAlign w:val="center"/>
          </w:tcPr>
          <w:p w14:paraId="468B27E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cs="Times New Roman"/>
                <w:color w:val="auto"/>
                <w:sz w:val="21"/>
                <w:szCs w:val="21"/>
                <w:highlight w:val="none"/>
                <w:lang w:val="en-US" w:eastAsia="zh-CN"/>
              </w:rPr>
              <w:t>富蕴</w:t>
            </w:r>
            <w:r>
              <w:rPr>
                <w:rFonts w:hint="default" w:ascii="Times New Roman" w:hAnsi="Times New Roman" w:cs="Times New Roman"/>
                <w:color w:val="auto"/>
                <w:sz w:val="21"/>
                <w:szCs w:val="21"/>
                <w:highlight w:val="none"/>
              </w:rPr>
              <w:t>）县</w:t>
            </w:r>
          </w:p>
        </w:tc>
        <w:tc>
          <w:tcPr>
            <w:tcW w:w="1063" w:type="dxa"/>
            <w:tcBorders>
              <w:tl2br w:val="nil"/>
              <w:tr2bl w:val="nil"/>
            </w:tcBorders>
            <w:vAlign w:val="center"/>
          </w:tcPr>
          <w:p w14:paraId="7F931A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（）园区</w:t>
            </w:r>
          </w:p>
        </w:tc>
      </w:tr>
      <w:tr w14:paraId="37787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0ED484FC">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1402" w:type="dxa"/>
            <w:tcBorders>
              <w:tl2br w:val="nil"/>
              <w:tr2bl w:val="nil"/>
            </w:tcBorders>
            <w:vAlign w:val="center"/>
          </w:tcPr>
          <w:p w14:paraId="60BF973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2032" w:type="dxa"/>
            <w:tcBorders>
              <w:tl2br w:val="nil"/>
              <w:tr2bl w:val="nil"/>
            </w:tcBorders>
            <w:vAlign w:val="center"/>
          </w:tcPr>
          <w:p w14:paraId="036ED64F">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东经</w:t>
            </w:r>
            <w:r>
              <w:rPr>
                <w:rFonts w:hint="default" w:ascii="Times New Roman" w:hAnsi="Times New Roman" w:eastAsia="宋体" w:cs="Times New Roman"/>
                <w:color w:val="auto"/>
                <w:sz w:val="21"/>
                <w:szCs w:val="21"/>
                <w:highlight w:val="none"/>
                <w:lang w:val="en-US" w:eastAsia="zh-CN"/>
              </w:rPr>
              <w:t>89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48'27.18"</w:t>
            </w:r>
          </w:p>
        </w:tc>
        <w:tc>
          <w:tcPr>
            <w:tcW w:w="845" w:type="dxa"/>
            <w:tcBorders>
              <w:tl2br w:val="nil"/>
              <w:tr2bl w:val="nil"/>
            </w:tcBorders>
            <w:vAlign w:val="center"/>
          </w:tcPr>
          <w:p w14:paraId="26FC23A4">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2701" w:type="dxa"/>
            <w:gridSpan w:val="2"/>
            <w:tcBorders>
              <w:tl2br w:val="nil"/>
              <w:tr2bl w:val="nil"/>
            </w:tcBorders>
            <w:vAlign w:val="center"/>
          </w:tcPr>
          <w:p w14:paraId="6BF59188">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北纬</w:t>
            </w:r>
            <w:r>
              <w:rPr>
                <w:rFonts w:hint="default"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45'19.30"</w:t>
            </w:r>
          </w:p>
        </w:tc>
      </w:tr>
      <w:tr w14:paraId="0B96B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6A346CE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主要危险物质及分布</w:t>
            </w:r>
          </w:p>
        </w:tc>
        <w:tc>
          <w:tcPr>
            <w:tcW w:w="6980" w:type="dxa"/>
            <w:gridSpan w:val="5"/>
            <w:tcBorders>
              <w:tl2br w:val="nil"/>
              <w:tr2bl w:val="nil"/>
            </w:tcBorders>
            <w:vAlign w:val="center"/>
          </w:tcPr>
          <w:p w14:paraId="0CEB2B40">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2#油、</w:t>
            </w:r>
            <w:r>
              <w:rPr>
                <w:rFonts w:hint="default" w:ascii="Times New Roman" w:hAnsi="Times New Roman" w:eastAsia="宋体" w:cs="Times New Roman"/>
                <w:color w:val="auto"/>
                <w:sz w:val="21"/>
                <w:szCs w:val="21"/>
                <w:highlight w:val="none"/>
                <w:lang w:val="en-US" w:eastAsia="zh-CN"/>
              </w:rPr>
              <w:t>丁基黄药、丁胺黄药</w:t>
            </w:r>
            <w:r>
              <w:rPr>
                <w:rFonts w:hint="default" w:ascii="Times New Roman" w:hAnsi="Times New Roman" w:eastAsia="宋体" w:cs="Times New Roman"/>
                <w:color w:val="auto"/>
                <w:sz w:val="21"/>
                <w:szCs w:val="21"/>
                <w:highlight w:val="none"/>
              </w:rPr>
              <w:t>暂存于储存库</w:t>
            </w:r>
            <w:r>
              <w:rPr>
                <w:rFonts w:hint="default" w:ascii="Times New Roman" w:hAnsi="Times New Roman" w:eastAsia="宋体" w:cs="Times New Roman"/>
                <w:color w:val="auto"/>
                <w:sz w:val="21"/>
                <w:szCs w:val="21"/>
                <w:highlight w:val="none"/>
                <w:lang w:eastAsia="zh-CN"/>
              </w:rPr>
              <w:t>；</w:t>
            </w:r>
          </w:p>
          <w:p w14:paraId="4D2373E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废矿物油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废油桶暂存于</w:t>
            </w:r>
            <w:r>
              <w:rPr>
                <w:rFonts w:hint="default" w:cs="Times New Roman"/>
                <w:color w:val="auto"/>
                <w:sz w:val="21"/>
                <w:szCs w:val="21"/>
                <w:highlight w:val="none"/>
                <w:lang w:val="en-US" w:eastAsia="zh-CN"/>
              </w:rPr>
              <w:t>危废贮存点</w:t>
            </w:r>
          </w:p>
        </w:tc>
      </w:tr>
      <w:tr w14:paraId="7BFF6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508AA19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环境影响途径及危害后果（大气、地下水等）</w:t>
            </w:r>
          </w:p>
        </w:tc>
        <w:tc>
          <w:tcPr>
            <w:tcW w:w="6980" w:type="dxa"/>
            <w:gridSpan w:val="5"/>
            <w:tcBorders>
              <w:tl2br w:val="nil"/>
              <w:tr2bl w:val="nil"/>
            </w:tcBorders>
            <w:vAlign w:val="center"/>
          </w:tcPr>
          <w:p w14:paraId="0C30AFD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在管理、存放、加工使用过程中会因管理和使用不当造成事故。</w:t>
            </w:r>
            <w:r>
              <w:rPr>
                <w:rFonts w:hint="default" w:ascii="Times New Roman" w:hAnsi="Times New Roman" w:cs="Times New Roman"/>
                <w:color w:val="auto"/>
                <w:sz w:val="21"/>
                <w:highlight w:val="none"/>
              </w:rPr>
              <w:t>化学品发生火灾事故对周围的大气环境质量造成很大的污染和破坏；危险品泄漏，可能造成事故发生地地表水体、土壤的污染；消防水处理不当也会对地表水体造成影响；循环水系统故障造成选矿废水事故排放；尾矿库溃坝造成的人身安全、财产损失、环境污染、生态破坏等环境伤害。</w:t>
            </w:r>
          </w:p>
        </w:tc>
      </w:tr>
      <w:tr w14:paraId="3F009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2DA5C62A">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风险防范措施要求</w:t>
            </w:r>
          </w:p>
        </w:tc>
        <w:tc>
          <w:tcPr>
            <w:tcW w:w="6980" w:type="dxa"/>
            <w:gridSpan w:val="5"/>
            <w:tcBorders>
              <w:tl2br w:val="nil"/>
              <w:tr2bl w:val="nil"/>
            </w:tcBorders>
            <w:vAlign w:val="center"/>
          </w:tcPr>
          <w:p w14:paraId="32E39460">
            <w:pPr>
              <w:spacing w:line="360" w:lineRule="exact"/>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（1）火灾事故防范措施：车间内配备相应品种和数量的消防器材及泄漏应急处理设备；安排专人每周对化学品储存桶进行使用安全检查；严格遵守操作规程。</w:t>
            </w:r>
          </w:p>
          <w:p w14:paraId="0DC495D8">
            <w:pPr>
              <w:spacing w:line="360" w:lineRule="exact"/>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化学品运输风险防范措施：运输危险物料的单位，应有资质，车辆应有危险废物运输许可证，司机、押运员有上岗证，具备运输危险品的资格，熟悉所运输的危险品的毒性及应急防范措施。包装物、容器应是定点单位生产。运输途中，要平稳行车、安全驾驶。行车途中勤检查化学品是否有</w:t>
            </w:r>
            <w:r>
              <w:rPr>
                <w:rFonts w:hint="default" w:cs="Times New Roman"/>
                <w:color w:val="auto"/>
                <w:sz w:val="21"/>
                <w:highlight w:val="none"/>
                <w:lang w:eastAsia="zh-CN"/>
              </w:rPr>
              <w:t>泄漏</w:t>
            </w:r>
            <w:r>
              <w:rPr>
                <w:rFonts w:hint="default" w:ascii="Times New Roman" w:hAnsi="Times New Roman" w:cs="Times New Roman"/>
                <w:color w:val="auto"/>
                <w:sz w:val="21"/>
                <w:highlight w:val="none"/>
              </w:rPr>
              <w:t>。</w:t>
            </w:r>
          </w:p>
          <w:p w14:paraId="68B37843">
            <w:pPr>
              <w:spacing w:line="360" w:lineRule="exact"/>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（3）地下水风险防范措施：源头控制、严格做好工程防渗，定期对防渗措施进行检查和维护，确保防渗层的防渗效果，一旦发现防渗层有开裂、腐蚀等问题，应及时修补。</w:t>
            </w:r>
          </w:p>
          <w:p w14:paraId="59C9B4E1">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highlight w:val="none"/>
              </w:rPr>
              <w:t>（4）尾矿库溃坝风险防范措施：采取库外排洪的方式，设置截洪沟，该截洪沟将尾矿库上游洪水直接排泄至尾矿库两侧，不进入库区。</w:t>
            </w:r>
          </w:p>
        </w:tc>
      </w:tr>
      <w:tr w14:paraId="17266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0" w:type="dxa"/>
            <w:gridSpan w:val="6"/>
            <w:tcBorders>
              <w:tl2br w:val="nil"/>
              <w:tr2bl w:val="nil"/>
            </w:tcBorders>
            <w:vAlign w:val="center"/>
          </w:tcPr>
          <w:p w14:paraId="717167D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填表说明（列出项目相关信息及评价说明）：</w:t>
            </w:r>
          </w:p>
          <w:p w14:paraId="6FEDADE8">
            <w:pPr>
              <w:overflowPunct w:val="0"/>
              <w:topLinePunct/>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highlight w:val="none"/>
                <w:lang w:bidi="ar"/>
              </w:rPr>
              <w:t>本项目Q值＜1，风险潜势为I，因此本次环评仅对事故影响进行简要分析，提出防范、减缓和应急措施。根据《尾矿库环境风险评估技术导则（试行）》（HJ740-2015）从尾矿库的环境危害性（H）、周边环境敏感性（S）、控制机制可靠性（R）三个方面进行环境风险的辨识。由风险评价等级相关章节分析可知，本项目环境危险性等别为H</w:t>
            </w:r>
            <w:r>
              <w:rPr>
                <w:rFonts w:hint="default" w:cs="Times New Roman"/>
                <w:color w:val="auto"/>
                <w:sz w:val="21"/>
                <w:highlight w:val="none"/>
                <w:lang w:val="en-US" w:eastAsia="zh-CN" w:bidi="ar"/>
              </w:rPr>
              <w:t>2</w:t>
            </w:r>
            <w:r>
              <w:rPr>
                <w:rFonts w:hint="default" w:ascii="Times New Roman" w:hAnsi="Times New Roman" w:cs="Times New Roman"/>
                <w:color w:val="auto"/>
                <w:sz w:val="21"/>
                <w:highlight w:val="none"/>
                <w:lang w:bidi="ar"/>
              </w:rPr>
              <w:t>，周边环境敏感性等别为S</w:t>
            </w:r>
            <w:r>
              <w:rPr>
                <w:rFonts w:hint="default" w:cs="Times New Roman"/>
                <w:color w:val="auto"/>
                <w:sz w:val="21"/>
                <w:highlight w:val="none"/>
                <w:lang w:val="en-US" w:eastAsia="zh-CN" w:bidi="ar"/>
              </w:rPr>
              <w:t>3</w:t>
            </w:r>
            <w:r>
              <w:rPr>
                <w:rFonts w:hint="default" w:ascii="Times New Roman" w:hAnsi="Times New Roman" w:cs="Times New Roman"/>
                <w:color w:val="auto"/>
                <w:sz w:val="21"/>
                <w:highlight w:val="none"/>
                <w:lang w:bidi="ar"/>
              </w:rPr>
              <w:t>，控制机制可靠性等别为R</w:t>
            </w:r>
            <w:r>
              <w:rPr>
                <w:rFonts w:hint="default" w:cs="Times New Roman"/>
                <w:color w:val="auto"/>
                <w:sz w:val="21"/>
                <w:highlight w:val="none"/>
                <w:lang w:val="en-US" w:eastAsia="zh-CN" w:bidi="ar"/>
              </w:rPr>
              <w:t>3</w:t>
            </w:r>
            <w:r>
              <w:rPr>
                <w:rFonts w:hint="default" w:ascii="Times New Roman" w:hAnsi="Times New Roman" w:cs="Times New Roman"/>
                <w:color w:val="auto"/>
                <w:sz w:val="21"/>
                <w:highlight w:val="none"/>
                <w:lang w:bidi="ar"/>
              </w:rPr>
              <w:t>。根据以上判定，结合《尾矿库环境风险评估技术导则（试行）》（HJ740-2015）表7中等级划分矩阵，确定本次尾矿库风险等级为一般。最终确定环境风险可控，处于可接受水平。</w:t>
            </w:r>
          </w:p>
        </w:tc>
      </w:tr>
    </w:tbl>
    <w:p w14:paraId="4E0EEF83">
      <w:pPr>
        <w:pStyle w:val="3"/>
        <w:rPr>
          <w:rFonts w:hint="default" w:ascii="Times New Roman" w:hAnsi="Times New Roman" w:cs="Times New Roman"/>
          <w:color w:val="auto"/>
          <w:highlight w:val="none"/>
        </w:rPr>
      </w:pPr>
      <w:bookmarkStart w:id="785" w:name="_Toc29060"/>
      <w:bookmarkStart w:id="786" w:name="_Toc107414667"/>
      <w:bookmarkStart w:id="787" w:name="_Toc22411"/>
      <w:bookmarkStart w:id="788" w:name="_Toc25110"/>
      <w:bookmarkStart w:id="789" w:name="_Toc107413900"/>
      <w:bookmarkStart w:id="790" w:name="_Toc21783"/>
      <w:bookmarkStart w:id="791" w:name="_Toc15541"/>
      <w:r>
        <w:rPr>
          <w:rFonts w:hint="default" w:ascii="Times New Roman" w:hAnsi="Times New Roman" w:cs="Times New Roman"/>
          <w:color w:val="auto"/>
          <w:highlight w:val="none"/>
        </w:rPr>
        <w:t>5.4退役期环境影响分析</w:t>
      </w:r>
      <w:bookmarkEnd w:id="785"/>
      <w:bookmarkEnd w:id="786"/>
      <w:bookmarkEnd w:id="787"/>
      <w:bookmarkEnd w:id="788"/>
      <w:bookmarkEnd w:id="789"/>
      <w:bookmarkEnd w:id="790"/>
      <w:bookmarkEnd w:id="791"/>
    </w:p>
    <w:p w14:paraId="27D75FE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退役期相对来说是正影响的过程，是对景观及生态的恢复过程，不会对环境继续产生破坏。退役</w:t>
      </w:r>
      <w:r>
        <w:rPr>
          <w:rFonts w:hint="default" w:cs="Times New Roman"/>
          <w:color w:val="auto"/>
          <w:highlight w:val="none"/>
          <w:lang w:eastAsia="zh-CN"/>
        </w:rPr>
        <w:t>期间</w:t>
      </w:r>
      <w:r>
        <w:rPr>
          <w:rFonts w:hint="default" w:ascii="Times New Roman" w:hAnsi="Times New Roman" w:cs="Times New Roman"/>
          <w:color w:val="auto"/>
          <w:highlight w:val="none"/>
        </w:rPr>
        <w:t>如不落实水土保持方案、复垦计划以及生态恢复，则对开发区域带来的环境影响是极为严重的。其主要的环境问题是植被破坏造成的水土流失、改变土地利用方式对地貌景观的破坏等问题。因此退役期的环境保护措施和生态恢复是本项目环境保护的重要环节。分析论证建设方和水土保持方案制定的可行性，为有效控制项目新增水土流失，保护和恢复项目区内植被，保障当地生态环境建设与经济协调发展，对水土保持方案设计原则与目标等进行论证。做到选矿厂、尾矿库退役的同时，水土保持工程同年完成。</w:t>
      </w:r>
    </w:p>
    <w:p w14:paraId="486FB4F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本项目服务期满后应按照《尾矿库闭库安全监督管理规定》进行闭库。</w:t>
      </w:r>
    </w:p>
    <w:p w14:paraId="2C35AE03">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5.4.1退役期大气环境影响分析</w:t>
      </w:r>
    </w:p>
    <w:p w14:paraId="2B5C792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bCs/>
          <w:color w:val="auto"/>
          <w:highlight w:val="none"/>
        </w:rPr>
        <w:t>退役期</w:t>
      </w:r>
      <w:r>
        <w:rPr>
          <w:rFonts w:hint="default" w:ascii="Times New Roman" w:hAnsi="Times New Roman" w:cs="Times New Roman"/>
          <w:color w:val="auto"/>
          <w:highlight w:val="none"/>
        </w:rPr>
        <w:t>废气主要为尾矿库内干滩扬尘。闭库期如管理不善，干滩扬尘将难以得到有效控制，对周边空气环境造成影响。故在闭库过程中应利用尾矿库内蓄积废水对干滩区域定期进行洒水保湿，以减少闭库中尾矿库干滩扬尘。闭库后应及时进行复垦，通过压实及覆盖植被等措施防止尾矿渣体大面积裸露，从而可起到抑制尾矿库干滩扬尘的作用。为减小尾矿干滩对周围环境的影响，报告提出项目建设方应在尾矿库闭库期采取以下措施：</w:t>
      </w:r>
    </w:p>
    <w:p w14:paraId="5191688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（1）继续利用尾矿库内蓄积废水对干滩区域定期进行洒水保湿以减少扬尘量。</w:t>
      </w:r>
    </w:p>
    <w:p w14:paraId="79FE738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（2）尾矿库应及时闭库复垦，进行覆土、压实等措施防止尾矿渣体大面积裸露，从而可起到抑制尾矿库干滩扬尘的作用。</w:t>
      </w:r>
    </w:p>
    <w:p w14:paraId="0A424B5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综合分析，在采取以上措施后可有效减轻闭库期及之后扬尘对周边空气环境的影响。</w:t>
      </w:r>
    </w:p>
    <w:p w14:paraId="2C13452E">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5.4.2退役期水环境影响分析</w:t>
      </w:r>
    </w:p>
    <w:p w14:paraId="6821626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退役期废水主要为尾矿库内汇入收集的大气降水形成的尾矿库内废水。这部分废水如管理不善直接外排将污染地下水及周边地表水体。</w:t>
      </w:r>
    </w:p>
    <w:p w14:paraId="4F855C3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为防止退役期这部分废水外排造成对周边地下水及地表水污染，对于闭库期尾矿库内蓄积废水，应回用于尾矿库库区洒水，防止其因缺乏管理外排污染周边地下水环境。</w:t>
      </w:r>
    </w:p>
    <w:p w14:paraId="1F1C83CB">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5.4.3退役期声环境影响分析</w:t>
      </w:r>
    </w:p>
    <w:p w14:paraId="51515E6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退役期各类机械环境</w:t>
      </w:r>
      <w:r>
        <w:rPr>
          <w:rFonts w:hint="default" w:cs="Times New Roman"/>
          <w:color w:val="auto"/>
          <w:highlight w:val="none"/>
          <w:lang w:eastAsia="zh-CN"/>
        </w:rPr>
        <w:t>噪音</w:t>
      </w:r>
      <w:r>
        <w:rPr>
          <w:rFonts w:hint="default" w:ascii="Times New Roman" w:hAnsi="Times New Roman" w:cs="Times New Roman"/>
          <w:color w:val="auto"/>
          <w:highlight w:val="none"/>
        </w:rPr>
        <w:t>、车辆产生的噪声将消失，噪声较运营期将大幅降低，并逐渐恢复到环境背景值。因此，噪声对项目区及周围环境影响较小。</w:t>
      </w:r>
    </w:p>
    <w:p w14:paraId="4A765468">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5.4.4退役期固体废弃物环境影响分析</w:t>
      </w:r>
    </w:p>
    <w:p w14:paraId="5946433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退役期固体废弃物主要为项目区周边废弃建筑物。对废弃建筑物应统一拆除，建筑垃圾按照当地环卫部门要求进行处理。同时尾矿库闭库要求如下：</w:t>
      </w:r>
    </w:p>
    <w:p w14:paraId="76C59E2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（1）尾矿库应按《尾矿库闭库安全监督管理规定》进行闭库；</w:t>
      </w:r>
    </w:p>
    <w:p w14:paraId="326B103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（2）在尾矿库闭库前1年，委托具有相应资质的评价机构进行尾矿库安全评价；</w:t>
      </w:r>
    </w:p>
    <w:p w14:paraId="490C5AF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（3）在尾矿库闭库前1年，委托具有相应资质的设计单位进行尾矿库闭库设计；</w:t>
      </w:r>
    </w:p>
    <w:p w14:paraId="4EB04DB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（4）按照《</w:t>
      </w:r>
      <w:r>
        <w:rPr>
          <w:rFonts w:hint="default" w:cs="Times New Roman"/>
          <w:color w:val="auto"/>
          <w:highlight w:val="none"/>
          <w:lang w:eastAsia="zh-CN"/>
        </w:rPr>
        <w:t>尾矿设施施工及验收规范</w:t>
      </w:r>
      <w:r>
        <w:rPr>
          <w:rFonts w:hint="default" w:ascii="Times New Roman" w:hAnsi="Times New Roman" w:cs="Times New Roman"/>
          <w:color w:val="auto"/>
          <w:highlight w:val="none"/>
        </w:rPr>
        <w:t>》（</w:t>
      </w:r>
      <w:r>
        <w:rPr>
          <w:rFonts w:hint="default" w:cs="Times New Roman"/>
          <w:color w:val="auto"/>
          <w:highlight w:val="none"/>
          <w:lang w:eastAsia="zh-CN"/>
        </w:rPr>
        <w:t>GB 50864-2013</w:t>
      </w:r>
      <w:r>
        <w:rPr>
          <w:rFonts w:hint="default" w:ascii="Times New Roman" w:hAnsi="Times New Roman" w:cs="Times New Roman"/>
          <w:color w:val="auto"/>
          <w:highlight w:val="none"/>
        </w:rPr>
        <w:t>）进行闭库验收；</w:t>
      </w:r>
    </w:p>
    <w:p w14:paraId="16F931D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（5）尾矿库周边警示</w:t>
      </w:r>
      <w:r>
        <w:rPr>
          <w:rFonts w:hint="default" w:cs="Times New Roman"/>
          <w:color w:val="auto"/>
          <w:highlight w:val="none"/>
          <w:lang w:eastAsia="zh-CN"/>
        </w:rPr>
        <w:t>标识</w:t>
      </w:r>
      <w:r>
        <w:rPr>
          <w:rFonts w:hint="default" w:ascii="Times New Roman" w:hAnsi="Times New Roman" w:cs="Times New Roman"/>
          <w:color w:val="auto"/>
          <w:highlight w:val="none"/>
        </w:rPr>
        <w:t>及尾矿库观测点应予以保留。</w:t>
      </w:r>
    </w:p>
    <w:p w14:paraId="009432B3">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5.4.5退役期生态环境影响分析</w:t>
      </w:r>
    </w:p>
    <w:p w14:paraId="394B86F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退役期生态环境影响主要是遗留废弃建筑物未按要求处置对今后周边生态环境带来的影响。</w:t>
      </w:r>
    </w:p>
    <w:p w14:paraId="580274B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尾矿库在闭库前需进行闭库设计。加强地质灾害防治工作，消除地质灾害隐患。对边坡进行稳定治理；对不稳定的岩块进行及时清理。</w:t>
      </w:r>
    </w:p>
    <w:p w14:paraId="675C248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随着项目区土地复垦的实施及植被的恢复，项目区将会恢复到原貌，使生态系统顺向演替。</w:t>
      </w:r>
    </w:p>
    <w:p w14:paraId="38388508">
      <w:pPr>
        <w:pStyle w:val="41"/>
        <w:overflowPunct w:val="0"/>
        <w:topLinePunct/>
        <w:spacing w:line="480" w:lineRule="exact"/>
        <w:ind w:firstLine="480"/>
        <w:rPr>
          <w:rFonts w:hint="default" w:ascii="Times New Roman" w:hAnsi="Times New Roman" w:cs="Times New Roman"/>
          <w:color w:val="auto"/>
          <w:szCs w:val="24"/>
          <w:highlight w:val="none"/>
        </w:rPr>
        <w:sectPr>
          <w:footerReference r:id="rId31" w:type="default"/>
          <w:footerReference r:id="rId32" w:type="even"/>
          <w:pgSz w:w="11906" w:h="16838"/>
          <w:pgMar w:top="1440" w:right="1800" w:bottom="1440" w:left="1800" w:header="851" w:footer="992" w:gutter="0"/>
          <w:cols w:space="425" w:num="1"/>
          <w:docGrid w:type="lines" w:linePitch="312" w:charSpace="0"/>
        </w:sectPr>
      </w:pPr>
    </w:p>
    <w:p w14:paraId="3CA84ED4">
      <w:pPr>
        <w:pStyle w:val="2"/>
        <w:spacing w:line="720" w:lineRule="exact"/>
        <w:rPr>
          <w:rFonts w:hint="default" w:ascii="Times New Roman" w:hAnsi="Times New Roman" w:cs="Times New Roman"/>
          <w:color w:val="auto"/>
          <w:highlight w:val="none"/>
        </w:rPr>
      </w:pPr>
      <w:bookmarkStart w:id="792" w:name="_Toc11617"/>
      <w:bookmarkStart w:id="793" w:name="_Toc107414668"/>
      <w:bookmarkStart w:id="794" w:name="_Toc21463"/>
      <w:bookmarkStart w:id="795" w:name="_Toc107413901"/>
      <w:bookmarkStart w:id="796" w:name="_Toc4827"/>
      <w:bookmarkStart w:id="797" w:name="_Toc8627"/>
      <w:bookmarkStart w:id="798" w:name="_Toc11463"/>
      <w:r>
        <w:rPr>
          <w:rFonts w:hint="default" w:ascii="Times New Roman" w:hAnsi="Times New Roman" w:cs="Times New Roman"/>
          <w:color w:val="auto"/>
          <w:highlight w:val="none"/>
        </w:rPr>
        <w:t>6环境保护措施及其可行性论证</w:t>
      </w:r>
      <w:bookmarkEnd w:id="792"/>
      <w:bookmarkEnd w:id="793"/>
      <w:bookmarkEnd w:id="794"/>
      <w:bookmarkEnd w:id="795"/>
      <w:bookmarkEnd w:id="796"/>
      <w:bookmarkEnd w:id="797"/>
      <w:bookmarkEnd w:id="798"/>
    </w:p>
    <w:p w14:paraId="34B496C6">
      <w:pPr>
        <w:pStyle w:val="3"/>
        <w:rPr>
          <w:rFonts w:hint="default" w:ascii="Times New Roman" w:hAnsi="Times New Roman" w:cs="Times New Roman"/>
          <w:color w:val="auto"/>
          <w:highlight w:val="none"/>
        </w:rPr>
      </w:pPr>
      <w:bookmarkStart w:id="799" w:name="_Toc29276"/>
      <w:bookmarkStart w:id="800" w:name="_Toc107413902"/>
      <w:bookmarkStart w:id="801" w:name="_Toc20330"/>
      <w:bookmarkStart w:id="802" w:name="_Toc26453"/>
      <w:bookmarkStart w:id="803" w:name="_Toc107414669"/>
      <w:bookmarkStart w:id="804" w:name="_Toc838"/>
      <w:bookmarkStart w:id="805" w:name="_Toc14461"/>
      <w:r>
        <w:rPr>
          <w:rFonts w:hint="default" w:ascii="Times New Roman" w:hAnsi="Times New Roman" w:cs="Times New Roman"/>
          <w:color w:val="auto"/>
          <w:highlight w:val="none"/>
        </w:rPr>
        <w:t>6.1施工期环境保护措施及其可行性论证</w:t>
      </w:r>
      <w:bookmarkEnd w:id="799"/>
      <w:bookmarkEnd w:id="800"/>
      <w:bookmarkEnd w:id="801"/>
      <w:bookmarkEnd w:id="802"/>
      <w:bookmarkEnd w:id="803"/>
      <w:bookmarkEnd w:id="804"/>
      <w:bookmarkEnd w:id="805"/>
    </w:p>
    <w:p w14:paraId="2180182C">
      <w:pPr>
        <w:pStyle w:val="4"/>
        <w:rPr>
          <w:rFonts w:hint="default" w:ascii="Times New Roman" w:hAnsi="Times New Roman" w:cs="Times New Roman"/>
          <w:color w:val="auto"/>
          <w:highlight w:val="none"/>
        </w:rPr>
      </w:pPr>
      <w:bookmarkStart w:id="806" w:name="_Toc2237"/>
      <w:bookmarkStart w:id="807" w:name="_Toc19579"/>
      <w:bookmarkStart w:id="808" w:name="_Toc6475"/>
      <w:r>
        <w:rPr>
          <w:rFonts w:hint="default" w:ascii="Times New Roman" w:hAnsi="Times New Roman" w:cs="Times New Roman"/>
          <w:color w:val="auto"/>
          <w:highlight w:val="none"/>
        </w:rPr>
        <w:t>6.1.1大气污染防护措施</w:t>
      </w:r>
      <w:bookmarkEnd w:id="806"/>
      <w:bookmarkEnd w:id="807"/>
      <w:bookmarkEnd w:id="808"/>
    </w:p>
    <w:p w14:paraId="014B462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施工期间必须采取合理可行的控制措施，提高施工现场管理水平，尽量减轻扬尘对附近大气环境的污染，缩小其影响范围。要求采取如下技术方案：</w:t>
      </w:r>
    </w:p>
    <w:p w14:paraId="6710825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（1）土石方挖掘</w:t>
      </w:r>
      <w:r>
        <w:rPr>
          <w:rFonts w:hint="default" w:cs="Times New Roman"/>
          <w:color w:val="auto"/>
          <w:highlight w:val="none"/>
          <w:lang w:eastAsia="zh-CN"/>
        </w:rPr>
        <w:t>完成</w:t>
      </w:r>
      <w:r>
        <w:rPr>
          <w:rFonts w:hint="default" w:ascii="Times New Roman" w:hAnsi="Times New Roman" w:cs="Times New Roman"/>
          <w:color w:val="auto"/>
          <w:highlight w:val="none"/>
        </w:rPr>
        <w:t>后，要及时回填，剩余土方应及时运到需要填方的低洼处并喷水碾压，或临近堆放在施工生活区主导风向的下风向，减轻对施工生活区的影响，同时防止水土流失；</w:t>
      </w:r>
    </w:p>
    <w:p w14:paraId="5C01197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（2）易产生扬尘的建筑材料不得随意露天堆放，应设置专门的堆场，且堆场四周有围挡设施，以免产生扬尘，对周围环境造成影响；</w:t>
      </w:r>
    </w:p>
    <w:p w14:paraId="61D0348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（3）混凝土搅拌机应设在指定场地内，散落在地上的建筑材料要经常清理；</w:t>
      </w:r>
    </w:p>
    <w:p w14:paraId="40DAF40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（4）为防止运输过程产生的二次扬尘污染，要对施工道路定时洒水，在大风天气，停止土石方施工，对容易产生二次扬尘污染的重点施工现场进行遮盖；</w:t>
      </w:r>
    </w:p>
    <w:p w14:paraId="7440824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（5）运输建筑材料和设备的车辆不得超载，运输颗粒物料车辆的装载高度不得超过车槽，并加盖篷布，不得沿路</w:t>
      </w:r>
      <w:r>
        <w:rPr>
          <w:rFonts w:hint="default" w:cs="Times New Roman"/>
          <w:color w:val="auto"/>
          <w:highlight w:val="none"/>
          <w:lang w:eastAsia="zh-CN"/>
        </w:rPr>
        <w:t>抛撒</w:t>
      </w:r>
      <w:r>
        <w:rPr>
          <w:rFonts w:hint="default" w:ascii="Times New Roman" w:hAnsi="Times New Roman" w:cs="Times New Roman"/>
          <w:color w:val="auto"/>
          <w:highlight w:val="none"/>
        </w:rPr>
        <w:t>；</w:t>
      </w:r>
    </w:p>
    <w:p w14:paraId="4B273D6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（6）建设期规划施工车辆行驶路线，对路面进行硬化处理，指定机械停放点，设置洒水车对道路、料场等处洒水降尘。加强对施工车辆的检修和维护。</w:t>
      </w:r>
    </w:p>
    <w:p w14:paraId="14808321">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采取以上措施后，施工期废气影响将降至最低，对周围环境影响较小，本项目施工期大气治理措施可行。</w:t>
      </w:r>
    </w:p>
    <w:p w14:paraId="552812E2">
      <w:pPr>
        <w:pStyle w:val="4"/>
        <w:rPr>
          <w:rFonts w:hint="default" w:ascii="Times New Roman" w:hAnsi="Times New Roman" w:cs="Times New Roman"/>
          <w:color w:val="auto"/>
          <w:highlight w:val="none"/>
        </w:rPr>
      </w:pPr>
      <w:bookmarkStart w:id="809" w:name="_Toc10638"/>
      <w:bookmarkStart w:id="810" w:name="_Toc17455"/>
      <w:bookmarkStart w:id="811" w:name="_Toc3718"/>
      <w:r>
        <w:rPr>
          <w:rFonts w:hint="default" w:ascii="Times New Roman" w:hAnsi="Times New Roman" w:cs="Times New Roman"/>
          <w:color w:val="auto"/>
          <w:highlight w:val="none"/>
        </w:rPr>
        <w:t>6.1.2废水污染防护措施</w:t>
      </w:r>
      <w:bookmarkEnd w:id="809"/>
      <w:bookmarkEnd w:id="810"/>
      <w:bookmarkEnd w:id="811"/>
    </w:p>
    <w:p w14:paraId="2CDE24C6">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施工过程产生废水主要为生活污水、施工废水，本环评提出的处理措施如下：</w:t>
      </w:r>
    </w:p>
    <w:p w14:paraId="131894BD">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（1）施工场地设置临时隔油沉淀池，将施工废水隔油、沉淀处理后回用于施工工序，如洒水降尘等，对区域水环境影响较小。</w:t>
      </w:r>
    </w:p>
    <w:p w14:paraId="6089232E">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kern w:val="0"/>
          <w:highlight w:val="none"/>
          <w:lang w:val="zh-CN"/>
        </w:rPr>
        <w:t>施工期</w:t>
      </w:r>
      <w:r>
        <w:rPr>
          <w:rFonts w:hint="default" w:ascii="Times New Roman" w:hAnsi="Times New Roman" w:cs="Times New Roman"/>
          <w:color w:val="auto"/>
          <w:kern w:val="0"/>
          <w:highlight w:val="none"/>
          <w:lang w:val="en-US" w:eastAsia="zh-CN"/>
        </w:rPr>
        <w:t>建议先建设</w:t>
      </w:r>
      <w:r>
        <w:rPr>
          <w:rFonts w:hint="default" w:ascii="Times New Roman" w:hAnsi="Times New Roman" w:cs="Times New Roman"/>
          <w:color w:val="auto"/>
          <w:kern w:val="0"/>
          <w:highlight w:val="none"/>
          <w:lang w:val="zh-CN"/>
        </w:rPr>
        <w:t>生活区</w:t>
      </w:r>
      <w:r>
        <w:rPr>
          <w:rFonts w:hint="default" w:ascii="Times New Roman" w:hAnsi="Times New Roman" w:cs="Times New Roman"/>
          <w:color w:val="auto"/>
          <w:szCs w:val="28"/>
          <w:highlight w:val="none"/>
        </w:rPr>
        <w:t>污水处理设施处理，</w:t>
      </w:r>
      <w:r>
        <w:rPr>
          <w:rFonts w:hint="default" w:ascii="Times New Roman" w:hAnsi="Times New Roman" w:cs="Times New Roman"/>
          <w:color w:val="auto"/>
          <w:highlight w:val="none"/>
        </w:rPr>
        <w:t>施工人员生活污水</w:t>
      </w:r>
      <w:r>
        <w:rPr>
          <w:rFonts w:hint="default" w:ascii="Times New Roman" w:hAnsi="Times New Roman" w:cs="Times New Roman"/>
          <w:color w:val="auto"/>
          <w:highlight w:val="none"/>
          <w:lang w:val="en-US" w:eastAsia="zh-CN"/>
        </w:rPr>
        <w:t>经</w:t>
      </w:r>
      <w:r>
        <w:rPr>
          <w:rFonts w:hint="default" w:ascii="Times New Roman" w:hAnsi="Times New Roman" w:cs="Times New Roman"/>
          <w:color w:val="auto"/>
          <w:highlight w:val="none"/>
        </w:rPr>
        <w:t>生活区污水处理设施处理后</w:t>
      </w:r>
      <w:r>
        <w:rPr>
          <w:rFonts w:hint="default" w:ascii="Times New Roman" w:hAnsi="Times New Roman" w:cs="Times New Roman"/>
          <w:color w:val="auto"/>
          <w:kern w:val="0"/>
          <w:highlight w:val="none"/>
          <w:lang w:val="zh-CN"/>
        </w:rPr>
        <w:t>满足</w:t>
      </w:r>
      <w:r>
        <w:rPr>
          <w:rFonts w:hint="default" w:ascii="Times New Roman" w:hAnsi="Times New Roman" w:cs="Times New Roman"/>
          <w:color w:val="auto"/>
          <w:highlight w:val="none"/>
        </w:rPr>
        <w:t>《农村生活污水处理排放标准》（DB65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kern w:val="0"/>
          <w:highlight w:val="none"/>
          <w:lang w:val="zh-CN"/>
        </w:rPr>
        <w:t>，不外排</w:t>
      </w:r>
      <w:r>
        <w:rPr>
          <w:rFonts w:hint="default" w:ascii="Times New Roman" w:hAnsi="Times New Roman" w:cs="Times New Roman"/>
          <w:color w:val="auto"/>
          <w:highlight w:val="none"/>
        </w:rPr>
        <w:t>，对区域水环境影响甚微。</w:t>
      </w:r>
    </w:p>
    <w:p w14:paraId="53D6212A">
      <w:pPr>
        <w:pStyle w:val="4"/>
        <w:rPr>
          <w:rFonts w:hint="default" w:ascii="Times New Roman" w:hAnsi="Times New Roman" w:cs="Times New Roman"/>
          <w:color w:val="auto"/>
          <w:highlight w:val="none"/>
        </w:rPr>
      </w:pPr>
      <w:bookmarkStart w:id="812" w:name="_Toc2672"/>
      <w:bookmarkStart w:id="813" w:name="_Toc8334"/>
      <w:bookmarkStart w:id="814" w:name="_Toc17119"/>
      <w:r>
        <w:rPr>
          <w:rFonts w:hint="default" w:ascii="Times New Roman" w:hAnsi="Times New Roman" w:cs="Times New Roman"/>
          <w:color w:val="auto"/>
          <w:highlight w:val="none"/>
        </w:rPr>
        <w:t>6.1.3噪声污染防护措施</w:t>
      </w:r>
      <w:bookmarkEnd w:id="812"/>
      <w:bookmarkEnd w:id="813"/>
      <w:bookmarkEnd w:id="814"/>
    </w:p>
    <w:p w14:paraId="58F80AF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为了减轻施工噪声对周围环境的影响，建设方应采取有效措施控制施工期噪声。施工期噪声污染控制对策：</w:t>
      </w:r>
    </w:p>
    <w:p w14:paraId="51D90AC5">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bookmarkStart w:id="815" w:name="_Toc12893_WPSOffice_Level3"/>
      <w:r>
        <w:rPr>
          <w:rFonts w:hint="default" w:ascii="Times New Roman" w:hAnsi="Times New Roman" w:cs="Times New Roman"/>
          <w:color w:val="auto"/>
          <w:highlight w:val="none"/>
        </w:rPr>
        <w:t>（1）施工机械噪声控制措施</w:t>
      </w:r>
      <w:bookmarkEnd w:id="815"/>
    </w:p>
    <w:p w14:paraId="49D0B147">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①施工现场周围采用符合规定强度的硬质材料（夹芯彩钢板、砌体）设置不低于2.5m的密闭</w:t>
      </w:r>
      <w:r>
        <w:rPr>
          <w:rFonts w:hint="default" w:cs="Times New Roman"/>
          <w:color w:val="auto"/>
          <w:highlight w:val="none"/>
          <w:lang w:eastAsia="zh-CN"/>
        </w:rPr>
        <w:t>围挡</w:t>
      </w:r>
      <w:r>
        <w:rPr>
          <w:rFonts w:hint="default" w:ascii="Times New Roman" w:hAnsi="Times New Roman" w:cs="Times New Roman"/>
          <w:color w:val="auto"/>
          <w:highlight w:val="none"/>
        </w:rPr>
        <w:t>，确保基础牢固，表面平整和清洁。</w:t>
      </w:r>
    </w:p>
    <w:p w14:paraId="6850DFB4">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②将易产生噪声的作业设备，尽可能设置在设有隔音功能的临房、临棚内操作，从空间布置上减少噪声污染。</w:t>
      </w:r>
    </w:p>
    <w:p w14:paraId="0FFD2592">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③夜间施工按规定办理夜间施工许可与备案手续并向社会公示。夜间施工不准进行</w:t>
      </w:r>
      <w:r>
        <w:rPr>
          <w:rFonts w:hint="default" w:cs="Times New Roman"/>
          <w:color w:val="auto"/>
          <w:highlight w:val="none"/>
          <w:lang w:eastAsia="zh-CN"/>
        </w:rPr>
        <w:t>锤打</w:t>
      </w:r>
      <w:r>
        <w:rPr>
          <w:rFonts w:hint="default" w:ascii="Times New Roman" w:hAnsi="Times New Roman" w:cs="Times New Roman"/>
          <w:color w:val="auto"/>
          <w:highlight w:val="none"/>
        </w:rPr>
        <w:t>、敲击和锯割等作业。</w:t>
      </w:r>
    </w:p>
    <w:p w14:paraId="6775A28C">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④禁止使用国家明令禁止的环境噪声污染严重的设备。</w:t>
      </w:r>
    </w:p>
    <w:p w14:paraId="3B09E955">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bookmarkStart w:id="816" w:name="_Toc18134_WPSOffice_Level3"/>
      <w:r>
        <w:rPr>
          <w:rFonts w:hint="default" w:ascii="Times New Roman" w:hAnsi="Times New Roman" w:cs="Times New Roman"/>
          <w:color w:val="auto"/>
          <w:highlight w:val="none"/>
        </w:rPr>
        <w:t>（2）施工运输车辆交通噪声控制措施</w:t>
      </w:r>
      <w:bookmarkEnd w:id="816"/>
    </w:p>
    <w:p w14:paraId="3B272066">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各种运输车辆的运行，还将会引起公路沿线噪声级的增加。根据类比调查，重型车辆怠速行驶时噪声值约为65～80dB（A），正常行驶时约为65～90dB（A），施工期间不可避免对周边环境造成一定的影响。因此，建设方应在通道两侧设置隔声屏障，同时加强对运输车辆的管理，尽量压缩施工区汽车数量和行车密度，设置禁鸣警示牌。</w:t>
      </w:r>
    </w:p>
    <w:p w14:paraId="04B2FA0B">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bookmarkStart w:id="817" w:name="_Toc19315_WPSOffice_Level3"/>
      <w:r>
        <w:rPr>
          <w:rFonts w:hint="default" w:ascii="Times New Roman" w:hAnsi="Times New Roman" w:cs="Times New Roman"/>
          <w:color w:val="auto"/>
          <w:highlight w:val="none"/>
        </w:rPr>
        <w:t>（3）土方工程施工噪声控制措施</w:t>
      </w:r>
      <w:bookmarkEnd w:id="817"/>
    </w:p>
    <w:p w14:paraId="65F1D74F">
      <w:pPr>
        <w:pStyle w:val="13"/>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①挖掘机、推土机、重型运输汽车等产生噪声的施工机械进场必须先试车，确定润滑良好，各紧固件无松动，无不良噪声后方可投入使用，运行过程中应经常检查保养，不准带“病”运转；</w:t>
      </w:r>
    </w:p>
    <w:p w14:paraId="68B4EAAE">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highlight w:val="none"/>
        </w:rPr>
        <w:t>②尽量避免夜间施工</w:t>
      </w:r>
      <w:r>
        <w:rPr>
          <w:rFonts w:hint="default" w:ascii="Times New Roman" w:hAnsi="Times New Roman" w:cs="Times New Roman"/>
          <w:color w:val="auto"/>
          <w:szCs w:val="22"/>
          <w:highlight w:val="none"/>
        </w:rPr>
        <w:t>。</w:t>
      </w:r>
    </w:p>
    <w:p w14:paraId="59C33238">
      <w:pPr>
        <w:pStyle w:val="4"/>
        <w:rPr>
          <w:rFonts w:hint="default" w:ascii="Times New Roman" w:hAnsi="Times New Roman" w:cs="Times New Roman"/>
          <w:color w:val="auto"/>
          <w:highlight w:val="none"/>
        </w:rPr>
      </w:pPr>
      <w:bookmarkStart w:id="818" w:name="_Toc31795"/>
      <w:bookmarkStart w:id="819" w:name="_Toc13140"/>
      <w:bookmarkStart w:id="820" w:name="_Toc25985"/>
      <w:r>
        <w:rPr>
          <w:rFonts w:hint="default" w:ascii="Times New Roman" w:hAnsi="Times New Roman" w:cs="Times New Roman"/>
          <w:color w:val="auto"/>
          <w:highlight w:val="none"/>
        </w:rPr>
        <w:t>6.1.4固体废物污染防护措施</w:t>
      </w:r>
      <w:bookmarkEnd w:id="818"/>
      <w:bookmarkEnd w:id="819"/>
      <w:bookmarkEnd w:id="820"/>
    </w:p>
    <w:p w14:paraId="652B9746">
      <w:pPr>
        <w:pStyle w:val="13"/>
        <w:overflowPunct w:val="0"/>
        <w:topLinePunct/>
        <w:spacing w:after="0"/>
        <w:ind w:left="0" w:lef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施工时由于工业场地建设平整土地、建设构筑物等过程中会产生一定量的施工弃土、弃渣和设备安装过</w:t>
      </w:r>
      <w:r>
        <w:rPr>
          <w:rFonts w:hint="default" w:cs="Times New Roman"/>
          <w:color w:val="auto"/>
          <w:highlight w:val="none"/>
          <w:lang w:eastAsia="zh-CN"/>
        </w:rPr>
        <w:t>程中</w:t>
      </w:r>
      <w:r>
        <w:rPr>
          <w:rFonts w:hint="default" w:ascii="Times New Roman" w:hAnsi="Times New Roman" w:cs="Times New Roman"/>
          <w:color w:val="auto"/>
          <w:highlight w:val="none"/>
        </w:rPr>
        <w:t>产生的金属废料等。</w:t>
      </w:r>
    </w:p>
    <w:p w14:paraId="5C7C931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施工区垃圾具有分散、不易收集等特点，对其处理措施有以下几方面：</w:t>
      </w:r>
    </w:p>
    <w:p w14:paraId="2DE688A3">
      <w:pPr>
        <w:overflowPunct w:val="0"/>
        <w:topLinePunct/>
        <w:ind w:firstLine="480"/>
        <w:rPr>
          <w:rFonts w:hint="default" w:ascii="Times New Roman" w:hAnsi="Times New Roman" w:cs="Times New Roman"/>
          <w:color w:val="auto"/>
          <w:highlight w:val="none"/>
        </w:rPr>
      </w:pPr>
      <w:r>
        <w:rPr>
          <w:rStyle w:val="40"/>
          <w:rFonts w:hint="default" w:ascii="Times New Roman" w:hAnsi="Times New Roman" w:cs="Times New Roman"/>
          <w:color w:val="auto"/>
          <w:sz w:val="24"/>
          <w:szCs w:val="24"/>
          <w:highlight w:val="none"/>
        </w:rPr>
        <w:t>（1）</w:t>
      </w:r>
      <w:r>
        <w:rPr>
          <w:rFonts w:hint="default" w:ascii="Times New Roman" w:hAnsi="Times New Roman" w:cs="Times New Roman"/>
          <w:color w:val="auto"/>
          <w:highlight w:val="none"/>
        </w:rPr>
        <w:t>根据施工布置，设置加盖垃圾箱2个，向广大施工人员</w:t>
      </w:r>
      <w:r>
        <w:rPr>
          <w:rFonts w:hint="default" w:cs="Times New Roman"/>
          <w:color w:val="auto"/>
          <w:highlight w:val="none"/>
          <w:lang w:eastAsia="zh-CN"/>
        </w:rPr>
        <w:t>做好</w:t>
      </w:r>
      <w:r>
        <w:rPr>
          <w:rFonts w:hint="default" w:ascii="Times New Roman" w:hAnsi="Times New Roman" w:cs="Times New Roman"/>
          <w:color w:val="auto"/>
          <w:highlight w:val="none"/>
        </w:rPr>
        <w:t>卫生宣传工作，使他们养成向垃圾收集站投放垃圾的习惯。</w:t>
      </w:r>
    </w:p>
    <w:p w14:paraId="62EE2CE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（2）配设垃圾清运员及相应工具，由专人及时进行垃圾的清运工作。生活垃圾集中收集后，定期清运</w:t>
      </w:r>
      <w:r>
        <w:rPr>
          <w:rFonts w:hint="default" w:ascii="Times New Roman" w:hAnsi="Times New Roman" w:cs="Times New Roman"/>
          <w:color w:val="auto"/>
          <w:highlight w:val="none"/>
          <w:lang w:val="en-US" w:eastAsia="zh-CN"/>
        </w:rPr>
        <w:t>至</w:t>
      </w:r>
      <w:r>
        <w:rPr>
          <w:rFonts w:hint="default" w:cs="Times New Roman"/>
          <w:color w:val="auto"/>
          <w:highlight w:val="none"/>
          <w:lang w:val="en-US" w:eastAsia="zh-CN"/>
        </w:rPr>
        <w:t>富蕴县杜热镇生活垃圾填埋场</w:t>
      </w:r>
      <w:r>
        <w:rPr>
          <w:rFonts w:hint="default" w:ascii="Times New Roman" w:hAnsi="Times New Roman" w:cs="Times New Roman"/>
          <w:color w:val="auto"/>
          <w:highlight w:val="none"/>
          <w:lang w:val="en-US" w:eastAsia="zh-CN"/>
        </w:rPr>
        <w:t>填埋处置</w:t>
      </w:r>
      <w:r>
        <w:rPr>
          <w:rFonts w:hint="default" w:ascii="Times New Roman" w:hAnsi="Times New Roman" w:cs="Times New Roman"/>
          <w:color w:val="auto"/>
          <w:highlight w:val="none"/>
        </w:rPr>
        <w:t>。</w:t>
      </w:r>
    </w:p>
    <w:p w14:paraId="013611E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做好垃圾收集及处理的规划工作，将清运后的垃圾倒入指定的垃圾处理场中，避免由于垃圾处置不当而造成二次污染。金属废料施工后可进行回收，不能回收利用的集中收集后送至当地建筑垃圾填埋场填埋处理。施工所产生的弃土、弃渣应全部用于回填取土坑，平整。</w:t>
      </w:r>
    </w:p>
    <w:p w14:paraId="54C9268E">
      <w:pPr>
        <w:pStyle w:val="41"/>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szCs w:val="24"/>
          <w:highlight w:val="none"/>
        </w:rPr>
        <w:t>（4）各施工区作业结束后，要及时、全面地进行清场工作，不得</w:t>
      </w:r>
      <w:r>
        <w:rPr>
          <w:rFonts w:hint="default" w:cs="Times New Roman"/>
          <w:color w:val="auto"/>
          <w:szCs w:val="24"/>
          <w:highlight w:val="none"/>
          <w:lang w:eastAsia="zh-CN"/>
        </w:rPr>
        <w:t>遗留</w:t>
      </w:r>
      <w:r>
        <w:rPr>
          <w:rFonts w:hint="default" w:ascii="Times New Roman" w:hAnsi="Times New Roman" w:cs="Times New Roman"/>
          <w:color w:val="auto"/>
          <w:szCs w:val="24"/>
          <w:highlight w:val="none"/>
        </w:rPr>
        <w:t>垃圾。</w:t>
      </w:r>
    </w:p>
    <w:p w14:paraId="05BF0977">
      <w:pPr>
        <w:pStyle w:val="4"/>
        <w:rPr>
          <w:rFonts w:hint="default" w:ascii="Times New Roman" w:hAnsi="Times New Roman" w:cs="Times New Roman"/>
          <w:color w:val="auto"/>
          <w:highlight w:val="none"/>
        </w:rPr>
      </w:pPr>
      <w:bookmarkStart w:id="821" w:name="_Toc13123"/>
      <w:bookmarkStart w:id="822" w:name="_Toc29927"/>
      <w:bookmarkStart w:id="823" w:name="_Toc677"/>
      <w:r>
        <w:rPr>
          <w:rFonts w:hint="default" w:ascii="Times New Roman" w:hAnsi="Times New Roman" w:cs="Times New Roman"/>
          <w:color w:val="auto"/>
          <w:highlight w:val="none"/>
        </w:rPr>
        <w:t>6.1.5生态环境保护措施</w:t>
      </w:r>
      <w:bookmarkEnd w:id="821"/>
      <w:bookmarkEnd w:id="822"/>
      <w:bookmarkEnd w:id="823"/>
    </w:p>
    <w:p w14:paraId="18590CAF">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工程</w:t>
      </w:r>
      <w:r>
        <w:rPr>
          <w:rFonts w:hint="default" w:ascii="Times New Roman" w:hAnsi="Times New Roman" w:cs="Times New Roman"/>
          <w:color w:val="auto"/>
          <w:szCs w:val="22"/>
          <w:highlight w:val="none"/>
          <w:lang w:val="zh-TW" w:eastAsia="zh-TW"/>
        </w:rPr>
        <w:t>建设</w:t>
      </w:r>
      <w:r>
        <w:rPr>
          <w:rFonts w:hint="default" w:ascii="Times New Roman" w:hAnsi="Times New Roman" w:cs="Times New Roman"/>
          <w:color w:val="auto"/>
          <w:szCs w:val="22"/>
          <w:highlight w:val="none"/>
        </w:rPr>
        <w:t>期在项目区修筑</w:t>
      </w:r>
      <w:r>
        <w:rPr>
          <w:rFonts w:hint="default" w:ascii="Times New Roman" w:hAnsi="Times New Roman" w:cs="Times New Roman"/>
          <w:color w:val="auto"/>
          <w:szCs w:val="22"/>
          <w:highlight w:val="none"/>
          <w:lang w:val="en-US" w:eastAsia="zh-CN"/>
        </w:rPr>
        <w:t>选矿厂</w:t>
      </w: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val="en-US" w:eastAsia="zh-CN"/>
        </w:rPr>
        <w:t>尾矿库</w:t>
      </w:r>
      <w:r>
        <w:rPr>
          <w:rFonts w:hint="default" w:ascii="Times New Roman" w:hAnsi="Times New Roman" w:cs="Times New Roman"/>
          <w:color w:val="auto"/>
          <w:szCs w:val="22"/>
          <w:highlight w:val="none"/>
        </w:rPr>
        <w:t>等建设活动时，永久占地将改变现有的土地利用方式，被</w:t>
      </w:r>
      <w:r>
        <w:rPr>
          <w:rFonts w:hint="default" w:cs="Times New Roman"/>
          <w:color w:val="auto"/>
          <w:szCs w:val="22"/>
          <w:highlight w:val="none"/>
          <w:lang w:eastAsia="zh-CN"/>
        </w:rPr>
        <w:t>占用</w:t>
      </w:r>
      <w:r>
        <w:rPr>
          <w:rFonts w:hint="default" w:ascii="Times New Roman" w:hAnsi="Times New Roman" w:cs="Times New Roman"/>
          <w:color w:val="auto"/>
          <w:szCs w:val="22"/>
          <w:highlight w:val="none"/>
        </w:rPr>
        <w:t>土地的地表植被破坏，使原自然生态系统所有功能完全损失，对生态系统完整性有一定影响并导致一定程度的水土流失。要求按《冶金行业绿色矿山建设规范》（DZ/T 0319-2018）的有关要求进行合理规划及建设，尽量减少占地；严格控制扰动面积，工程施工结束后，对于临时占地和新开辟的临时便道等生态扰动区域进行土地平整、生态恢复，弃方合理利用和清运，减少水土流失；加强运输调度管理，充分利用现有道路，禁止任意开辟施工道路，禁止车辆在非工作道路上随意碾压；科学合理地组织施工、设计，尽量少挖方、少填方，最大限度地保持原有地貌；占用的高覆盖度草地在施工前将表土剥离、分层堆放，用于后期生态恢复；施工作业结束后，因地制宜地做好施工场地的恢复工作，并采取水土保持措施。主要分为以下几方面：</w:t>
      </w:r>
    </w:p>
    <w:p w14:paraId="78C1AFE7">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（1）生态环境保护管理</w:t>
      </w:r>
    </w:p>
    <w:p w14:paraId="1D4CA745">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①设置施工期环境管理、监理机构，明确其职能，落实生态环境影响保护与恢复的监督管理措施。</w:t>
      </w:r>
    </w:p>
    <w:p w14:paraId="6D47AF87">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②加强施工人员生态环境保护意识的宣传教育，严禁在施工区域外随意乱砍滥伐树木。</w:t>
      </w:r>
    </w:p>
    <w:p w14:paraId="23384A21">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③按照施工总体布置，严格设置各施工生产、生活营地和施工临时道路。严格限制施工活动范围，禁止施工车辆在规划的道路以外超范围行驶，禁止施工机械碾压非施工区域，减少对土壤和植被的</w:t>
      </w:r>
      <w:r>
        <w:rPr>
          <w:rFonts w:hint="default" w:cs="Times New Roman"/>
          <w:color w:val="auto"/>
          <w:szCs w:val="22"/>
          <w:highlight w:val="none"/>
          <w:lang w:eastAsia="zh-CN"/>
        </w:rPr>
        <w:t>碾压</w:t>
      </w:r>
      <w:r>
        <w:rPr>
          <w:rFonts w:hint="default" w:ascii="Times New Roman" w:hAnsi="Times New Roman" w:cs="Times New Roman"/>
          <w:color w:val="auto"/>
          <w:szCs w:val="22"/>
          <w:highlight w:val="none"/>
        </w:rPr>
        <w:t>扰动，做到文明施工。</w:t>
      </w:r>
    </w:p>
    <w:p w14:paraId="32B6CF4B">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④优化施工范围，</w:t>
      </w:r>
      <w:r>
        <w:rPr>
          <w:rFonts w:hint="default" w:cs="Times New Roman"/>
          <w:color w:val="auto"/>
          <w:szCs w:val="22"/>
          <w:highlight w:val="none"/>
          <w:lang w:eastAsia="zh-CN"/>
        </w:rPr>
        <w:t>尽量减少</w:t>
      </w:r>
      <w:r>
        <w:rPr>
          <w:rFonts w:hint="default" w:ascii="Times New Roman" w:hAnsi="Times New Roman" w:cs="Times New Roman"/>
          <w:color w:val="auto"/>
          <w:szCs w:val="22"/>
          <w:highlight w:val="none"/>
        </w:rPr>
        <w:t>对区域植被的破坏，同时严格监督施工后的土地平整及植被恢复工作。</w:t>
      </w:r>
    </w:p>
    <w:p w14:paraId="26D3C5AB">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（2）土壤环境保护与恢复措施</w:t>
      </w:r>
    </w:p>
    <w:p w14:paraId="1201CCD5">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①充分利用区域内地形地貌，尽可能减少占地面积，减小对土壤、植被的破坏面积；减少挖方、填方量，尽量做到工程自身土石方平衡。施工期应避开雨天与大风天气，减少水土流失量。</w:t>
      </w:r>
    </w:p>
    <w:p w14:paraId="7565B2EB">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②在开挖地表、平整土地时，尽可能将表土、底土和适于植物生长的土壤进行保护堆存，及时堆放在表土临时堆场，作为本项目各场地绿化覆土。</w:t>
      </w:r>
    </w:p>
    <w:p w14:paraId="51D0E085">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③由于表层土结构良好，肥力较高，是不可再生的珍贵耕作层土壤，剥离表土的施工应避开雨季，减少水土流失。</w:t>
      </w:r>
    </w:p>
    <w:p w14:paraId="29171E07">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④剥离的表土采取集中堆放、梯形堆放方式，表土四周采用土袋进行砌护，堆土表面采用密目网进行遮盖；并在旁边立一警示牌，标明属于表土堆存地，若表土堆放时间大于1年，应在表土上播撒草籽，减少土壤养分的流失。</w:t>
      </w:r>
    </w:p>
    <w:p w14:paraId="2917F54A">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⑤施工完毕后应尽快清理施工现场，对可以进行植被恢复的场地覆盖表土，做到及时对场地绿化。</w:t>
      </w:r>
    </w:p>
    <w:p w14:paraId="2E4EAED1">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（3）道路工程及管线工程施工生态保护措施</w:t>
      </w:r>
    </w:p>
    <w:p w14:paraId="6504F069">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①道路及管线建设中，选线尽量避开植被茂盛的地段，土壤侵蚀强度大的区域，如滑坡、坡度大、结构松散而且重力作用明显以及冲沟多的地段，一方</w:t>
      </w:r>
      <w:r>
        <w:rPr>
          <w:rFonts w:hint="default" w:cs="Times New Roman"/>
          <w:color w:val="auto"/>
          <w:szCs w:val="22"/>
          <w:highlight w:val="none"/>
          <w:lang w:eastAsia="zh-CN"/>
        </w:rPr>
        <w:t>面有</w:t>
      </w:r>
      <w:r>
        <w:rPr>
          <w:rFonts w:hint="default" w:ascii="Times New Roman" w:hAnsi="Times New Roman" w:cs="Times New Roman"/>
          <w:color w:val="auto"/>
          <w:szCs w:val="22"/>
          <w:highlight w:val="none"/>
        </w:rPr>
        <w:t>利于施工，再一方面可减少草地的破坏。施工中严格限定施工的工作范围，禁止在施工范围外加设施工营地、施工便道。为保护好的土壤层，弃土堆和便道等临时用地应设置在荒地，还应当将上层草皮和腐殖土层收集堆放起来，堆放在拟扩建道路两侧，以便公路建成后及时回填恢复好的土壤环境。</w:t>
      </w:r>
    </w:p>
    <w:p w14:paraId="7CC8F3E4">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②临时征用土地，必须补报。严禁乱挖、乱弃。道路修筑时一定要将开路产生的挖方作为公路另一侧的填方，并事先修好挡土墙后，才能进行填方。在道路内侧修排水沟，经过沟谷，视过水的大小，完善过水路面、桥涵工程，保证场内道路的过水能力。路面处理所需砾石为剥离物中的砾石，不设专门料场。</w:t>
      </w:r>
    </w:p>
    <w:p w14:paraId="6E7E56D7">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③运输过程中应加强管理：限制超载，限制车速，采取车辆加</w:t>
      </w:r>
      <w:r>
        <w:rPr>
          <w:rFonts w:hint="default" w:cs="Times New Roman"/>
          <w:color w:val="auto"/>
          <w:szCs w:val="22"/>
          <w:highlight w:val="none"/>
          <w:lang w:eastAsia="zh-CN"/>
        </w:rPr>
        <w:t>篷布</w:t>
      </w:r>
      <w:r>
        <w:rPr>
          <w:rFonts w:hint="default" w:ascii="Times New Roman" w:hAnsi="Times New Roman" w:cs="Times New Roman"/>
          <w:color w:val="auto"/>
          <w:szCs w:val="22"/>
          <w:highlight w:val="none"/>
        </w:rPr>
        <w:t>等措施，避免破坏路面、沿途洒落，减轻扬尘污染。杜绝汽车沿路抛洒，定时在路面上洒水，及时做好公路涵洞、排水设施的清理工作，防止淤积。做好路面的维修保养，对受损路面应及时修复。保持道路良好的运营状态，在有条件的道路两侧种植</w:t>
      </w:r>
      <w:r>
        <w:rPr>
          <w:rFonts w:hint="default" w:ascii="Times New Roman" w:hAnsi="Times New Roman" w:cs="Times New Roman"/>
          <w:color w:val="auto"/>
          <w:szCs w:val="22"/>
          <w:highlight w:val="none"/>
          <w:lang w:val="en-US" w:eastAsia="zh-CN"/>
        </w:rPr>
        <w:t>绢蒿</w:t>
      </w:r>
      <w:r>
        <w:rPr>
          <w:rFonts w:hint="default" w:ascii="Times New Roman" w:hAnsi="Times New Roman" w:cs="Times New Roman"/>
          <w:color w:val="auto"/>
          <w:szCs w:val="22"/>
          <w:highlight w:val="none"/>
        </w:rPr>
        <w:t>等本土植被，以改善景观生态环境并减缓机动车尾气污染。</w:t>
      </w:r>
    </w:p>
    <w:p w14:paraId="432539BD">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④在便道出入口和优质草场地段区，竖立保护自然生态环境（包括水源涵养区）和保护自然植被的警示牌，以提醒施工作业人员。</w:t>
      </w:r>
    </w:p>
    <w:p w14:paraId="7AA22010">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⑤严禁在大风、大雨天气下施工，特别是路基修筑、高填、深挖作业等。</w:t>
      </w:r>
    </w:p>
    <w:p w14:paraId="78F90499">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⑥加强</w:t>
      </w:r>
      <w:r>
        <w:rPr>
          <w:rFonts w:hint="default" w:cs="Times New Roman"/>
          <w:color w:val="auto"/>
          <w:szCs w:val="22"/>
          <w:highlight w:val="none"/>
          <w:lang w:eastAsia="zh-CN"/>
        </w:rPr>
        <w:t>水土保持</w:t>
      </w:r>
      <w:r>
        <w:rPr>
          <w:rFonts w:hint="default" w:ascii="Times New Roman" w:hAnsi="Times New Roman" w:cs="Times New Roman"/>
          <w:color w:val="auto"/>
          <w:szCs w:val="22"/>
          <w:highlight w:val="none"/>
        </w:rPr>
        <w:t>法制宣传，有关部门应积极主动，加强水土保持执法管理，将其纳入依法办理的轨道上来，对道路施工人员进行培训和教育，自觉保持</w:t>
      </w:r>
      <w:r>
        <w:rPr>
          <w:rFonts w:hint="default" w:cs="Times New Roman"/>
          <w:color w:val="auto"/>
          <w:szCs w:val="22"/>
          <w:highlight w:val="none"/>
          <w:lang w:eastAsia="zh-CN"/>
        </w:rPr>
        <w:t>水土保持</w:t>
      </w:r>
      <w:r>
        <w:rPr>
          <w:rFonts w:hint="default" w:ascii="Times New Roman" w:hAnsi="Times New Roman" w:cs="Times New Roman"/>
          <w:color w:val="auto"/>
          <w:szCs w:val="22"/>
          <w:highlight w:val="none"/>
        </w:rPr>
        <w:t>植被，宣传保护生态环境的重要性。</w:t>
      </w:r>
    </w:p>
    <w:p w14:paraId="6FC09AE0">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（4）其他生态措施</w:t>
      </w:r>
    </w:p>
    <w:p w14:paraId="20FF2D6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①工程施工前按照相关法律法规的规定办理占用的各项审批手续，编制施工结束后生态恢复的可行性方案，获得相关主管部门批准后方可开始施工。</w:t>
      </w:r>
    </w:p>
    <w:p w14:paraId="48F0786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②开工前，施工单位对临时设施进行严格的规划，以达到既方便施工，又少占草场的目的。</w:t>
      </w:r>
    </w:p>
    <w:p w14:paraId="6937607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③施工过程中，加强施工人员的管理，禁止施工人员对野生植被</w:t>
      </w:r>
      <w:r>
        <w:rPr>
          <w:rFonts w:hint="default" w:cs="Times New Roman"/>
          <w:color w:val="auto"/>
          <w:highlight w:val="none"/>
          <w:lang w:eastAsia="zh-CN"/>
        </w:rPr>
        <w:t>乱砍滥伐</w:t>
      </w:r>
      <w:r>
        <w:rPr>
          <w:rFonts w:hint="default" w:ascii="Times New Roman" w:hAnsi="Times New Roman" w:cs="Times New Roman"/>
          <w:color w:val="auto"/>
          <w:highlight w:val="none"/>
        </w:rPr>
        <w:t>、乱捕</w:t>
      </w:r>
      <w:r>
        <w:rPr>
          <w:rFonts w:hint="default" w:cs="Times New Roman"/>
          <w:color w:val="auto"/>
          <w:highlight w:val="none"/>
          <w:lang w:eastAsia="zh-CN"/>
        </w:rPr>
        <w:t>滥</w:t>
      </w:r>
      <w:r>
        <w:rPr>
          <w:rFonts w:hint="default" w:ascii="Times New Roman" w:hAnsi="Times New Roman" w:cs="Times New Roman"/>
          <w:color w:val="auto"/>
          <w:highlight w:val="none"/>
        </w:rPr>
        <w:t>猎野生动物，严格限制人员的活动范围，破坏沿线的生态环境。</w:t>
      </w:r>
    </w:p>
    <w:p w14:paraId="11D1129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④确保施工人员和车辆在规定范围内作业，严禁车辆碾压植被；尽量减少对作业区周围植被的影响。</w:t>
      </w:r>
    </w:p>
    <w:p w14:paraId="1B70572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⑤要减少夜间作业，避免灯光、噪声对夜间动物活动的惊扰；不准随便破坏动物居住场所，严禁捕捉各种鸟类，划定其在非施工期间的活动范围。</w:t>
      </w:r>
    </w:p>
    <w:p w14:paraId="4B24371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⑥尽量缩短施工期，减轻对野生动物的干扰，并使土壤暴露时间缩短，施工结束后，施工单位应负责及时清理现场，使之尽快恢复原状，减少对生态景观的影响。</w:t>
      </w:r>
    </w:p>
    <w:p w14:paraId="2CB2273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⑦应充分利用现有道路作为施工道路进行施工作业，尽量缩小活动范围，减少对地表的破坏。</w:t>
      </w:r>
    </w:p>
    <w:p w14:paraId="384934F4">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t>⑧加大培训力度，</w:t>
      </w:r>
      <w:r>
        <w:rPr>
          <w:rFonts w:hint="default" w:cs="Times New Roman"/>
          <w:color w:val="auto"/>
          <w:highlight w:val="none"/>
          <w:lang w:eastAsia="zh-CN"/>
        </w:rPr>
        <w:t>增强</w:t>
      </w:r>
      <w:r>
        <w:rPr>
          <w:rFonts w:hint="default" w:ascii="Times New Roman" w:hAnsi="Times New Roman" w:cs="Times New Roman"/>
          <w:color w:val="auto"/>
          <w:highlight w:val="none"/>
        </w:rPr>
        <w:t>全员环保意识。要把环境保护培训工作列为重要工作之一。在项目开工前，首先对全体职工进行环境保护有关法律、法规知识的培训；其</w:t>
      </w:r>
      <w:r>
        <w:rPr>
          <w:rFonts w:hint="default" w:cs="Times New Roman"/>
          <w:color w:val="auto"/>
          <w:highlight w:val="none"/>
          <w:lang w:eastAsia="zh-CN"/>
        </w:rPr>
        <w:t>次是</w:t>
      </w:r>
      <w:r>
        <w:rPr>
          <w:rFonts w:hint="default" w:ascii="Times New Roman" w:hAnsi="Times New Roman" w:cs="Times New Roman"/>
          <w:color w:val="auto"/>
          <w:highlight w:val="none"/>
        </w:rPr>
        <w:t>广大参建职工认真遵守，严格履行好自己的环保职责，确保全员环境保护意识进一步增强。</w:t>
      </w:r>
    </w:p>
    <w:p w14:paraId="7D10BA15">
      <w:pPr>
        <w:pStyle w:val="3"/>
        <w:rPr>
          <w:rFonts w:hint="default" w:ascii="Times New Roman" w:hAnsi="Times New Roman" w:cs="Times New Roman"/>
          <w:color w:val="auto"/>
          <w:highlight w:val="none"/>
        </w:rPr>
      </w:pPr>
      <w:bookmarkStart w:id="824" w:name="_Toc20373"/>
      <w:bookmarkStart w:id="825" w:name="_Toc9895"/>
      <w:bookmarkStart w:id="826" w:name="_Toc26045"/>
      <w:bookmarkStart w:id="827" w:name="_Toc5909"/>
      <w:bookmarkStart w:id="828" w:name="_Toc4683"/>
      <w:bookmarkStart w:id="829" w:name="_Toc107413903"/>
      <w:bookmarkStart w:id="830" w:name="_Toc107414670"/>
      <w:r>
        <w:rPr>
          <w:rFonts w:hint="default" w:ascii="Times New Roman" w:hAnsi="Times New Roman" w:cs="Times New Roman"/>
          <w:color w:val="auto"/>
          <w:highlight w:val="none"/>
        </w:rPr>
        <w:t>6.2运营期环境保护措施及其可行性论证</w:t>
      </w:r>
      <w:bookmarkEnd w:id="824"/>
      <w:bookmarkEnd w:id="825"/>
      <w:bookmarkEnd w:id="826"/>
      <w:bookmarkEnd w:id="827"/>
      <w:bookmarkEnd w:id="828"/>
      <w:bookmarkEnd w:id="829"/>
      <w:bookmarkEnd w:id="830"/>
    </w:p>
    <w:p w14:paraId="45229C9B">
      <w:pPr>
        <w:pStyle w:val="4"/>
        <w:rPr>
          <w:rFonts w:hint="default" w:ascii="Times New Roman" w:hAnsi="Times New Roman" w:cs="Times New Roman"/>
          <w:color w:val="auto"/>
          <w:highlight w:val="none"/>
        </w:rPr>
      </w:pPr>
      <w:bookmarkStart w:id="831" w:name="_Toc4418"/>
      <w:bookmarkStart w:id="832" w:name="_Toc25926"/>
      <w:bookmarkStart w:id="833" w:name="_Toc16766"/>
      <w:r>
        <w:rPr>
          <w:rFonts w:hint="default" w:ascii="Times New Roman" w:hAnsi="Times New Roman" w:cs="Times New Roman"/>
          <w:color w:val="auto"/>
          <w:highlight w:val="none"/>
        </w:rPr>
        <w:t>6.2.1大气污染防治措施</w:t>
      </w:r>
      <w:bookmarkEnd w:id="831"/>
      <w:bookmarkEnd w:id="832"/>
      <w:bookmarkEnd w:id="833"/>
    </w:p>
    <w:p w14:paraId="5E79322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为了有效地控制颗粒物的排放量，减少其对周围环境的影响，对新增的产尘点采取以防为主的方针，从工艺设计上尽量减少生产中的扬尘产生，对有组织粉尘排放点采用密闭、安装集气罩及除尘器等措施，选矿厂所有</w:t>
      </w:r>
      <w:r>
        <w:rPr>
          <w:rFonts w:hint="default" w:cs="Times New Roman"/>
          <w:color w:val="auto"/>
          <w:kern w:val="0"/>
          <w:highlight w:val="none"/>
          <w:lang w:val="en-US" w:eastAsia="zh-CN"/>
        </w:rPr>
        <w:t>产尘点</w:t>
      </w:r>
      <w:r>
        <w:rPr>
          <w:rFonts w:hint="default" w:ascii="Times New Roman" w:hAnsi="Times New Roman" w:cs="Times New Roman"/>
          <w:color w:val="auto"/>
          <w:kern w:val="0"/>
          <w:highlight w:val="none"/>
        </w:rPr>
        <w:t>均安装收尘设施，对无组织粉尘排放源采用密闭式输送、降低物料落差、粉状物料储存采用封闭库以及洒水降尘等措施。</w:t>
      </w:r>
    </w:p>
    <w:p w14:paraId="7B8E11BA">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6.2.1.1有组织粉尘排放污染防治措施及其可行性分析</w:t>
      </w:r>
    </w:p>
    <w:p w14:paraId="0B5773B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车间在上料工序的落料点设备和破碎设备上方安装集气罩，并配套安装袋式除尘器，车间安装排气筒，变无组织排放为有组织排放。目前袋式除尘技术在我国较成熟，使用广泛，收尘效率可达到99%以上，由于布袋更换容易，因此事故排放时间短，排放量小，影响也较小。</w:t>
      </w:r>
    </w:p>
    <w:p w14:paraId="05C4133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本项目环评要求为</w:t>
      </w:r>
      <w:r>
        <w:rPr>
          <w:rFonts w:hint="default" w:ascii="Times New Roman" w:hAnsi="Times New Roman" w:cs="Times New Roman"/>
          <w:color w:val="auto"/>
          <w:kern w:val="0"/>
          <w:highlight w:val="none"/>
        </w:rPr>
        <w:t>粗碎厂房</w:t>
      </w:r>
      <w:r>
        <w:rPr>
          <w:rFonts w:hint="default" w:cs="Times New Roman"/>
          <w:color w:val="auto"/>
          <w:kern w:val="0"/>
          <w:highlight w:val="none"/>
          <w:lang w:eastAsia="zh-CN"/>
        </w:rPr>
        <w:t>、</w:t>
      </w:r>
      <w:r>
        <w:rPr>
          <w:rFonts w:hint="default" w:ascii="Times New Roman" w:hAnsi="Times New Roman" w:cs="Times New Roman"/>
          <w:color w:val="auto"/>
          <w:kern w:val="0"/>
          <w:highlight w:val="none"/>
        </w:rPr>
        <w:t>中细碎厂房</w:t>
      </w:r>
      <w:r>
        <w:rPr>
          <w:rFonts w:hint="default" w:cs="Times New Roman"/>
          <w:color w:val="auto"/>
          <w:kern w:val="0"/>
          <w:highlight w:val="none"/>
          <w:lang w:eastAsia="zh-CN"/>
        </w:rPr>
        <w:t>、</w:t>
      </w:r>
      <w:r>
        <w:rPr>
          <w:rFonts w:hint="default" w:ascii="Times New Roman" w:hAnsi="Times New Roman" w:cs="Times New Roman"/>
          <w:color w:val="auto"/>
          <w:kern w:val="0"/>
          <w:highlight w:val="none"/>
        </w:rPr>
        <w:t>筛分厂房</w:t>
      </w:r>
      <w:r>
        <w:rPr>
          <w:rFonts w:hint="default" w:cs="Times New Roman"/>
          <w:color w:val="auto"/>
          <w:kern w:val="0"/>
          <w:highlight w:val="none"/>
          <w:lang w:eastAsia="zh-CN"/>
        </w:rPr>
        <w:t>、</w:t>
      </w:r>
      <w:r>
        <w:rPr>
          <w:rFonts w:hint="default" w:ascii="Times New Roman" w:hAnsi="Times New Roman" w:cs="Times New Roman"/>
          <w:color w:val="auto"/>
          <w:kern w:val="0"/>
          <w:highlight w:val="none"/>
        </w:rPr>
        <w:t>磨矿分级厂房、主厂房部分转运点均</w:t>
      </w:r>
      <w:r>
        <w:rPr>
          <w:rFonts w:hint="default" w:ascii="Times New Roman" w:hAnsi="Times New Roman" w:cs="Times New Roman"/>
          <w:color w:val="auto"/>
          <w:highlight w:val="none"/>
        </w:rPr>
        <w:t>安装集气罩收集、收集至袋式除尘器处理后的粉尘通过排气筒排放、加强收尘器运行管理等治理措施后，有组织废气污染物排放满足《大气污染物综合排放标准》（GB16297-1996）中“表</w:t>
      </w:r>
      <w:r>
        <w:rPr>
          <w:rFonts w:hint="default" w:cs="Times New Roman"/>
          <w:color w:val="auto"/>
          <w:highlight w:val="none"/>
          <w:lang w:val="en-US" w:eastAsia="zh-CN"/>
        </w:rPr>
        <w:t>2新污染源大气</w:t>
      </w:r>
      <w:r>
        <w:rPr>
          <w:rFonts w:hint="default" w:ascii="Times New Roman" w:hAnsi="Times New Roman" w:cs="Times New Roman"/>
          <w:color w:val="auto"/>
          <w:highlight w:val="none"/>
        </w:rPr>
        <w:t>污染物排放限值”中有组织排放标准限值及环境功能区的要求。</w:t>
      </w:r>
    </w:p>
    <w:p w14:paraId="12B138D6">
      <w:pPr>
        <w:overflowPunct w:val="0"/>
        <w:topLinePunct/>
        <w:ind w:firstLine="480"/>
        <w:rPr>
          <w:rFonts w:hint="default" w:ascii="Times New Roman" w:hAnsi="Times New Roman" w:cs="Times New Roman"/>
          <w:b/>
          <w:color w:val="auto"/>
          <w:highlight w:val="none"/>
        </w:rPr>
      </w:pPr>
      <w:r>
        <w:rPr>
          <w:rFonts w:hint="default" w:ascii="Times New Roman" w:hAnsi="Times New Roman" w:cs="Times New Roman"/>
          <w:color w:val="auto"/>
          <w:highlight w:val="none"/>
        </w:rPr>
        <w:t>袋式除尘器是一种干式滤尘装置，适用于捕集细小、干燥、非纤维性粉尘。袋式除尘器的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14:paraId="78CEB3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袋式除尘器为现行粉尘废气较为常用的废气处理方式，具有以下特点：</w:t>
      </w:r>
    </w:p>
    <w:p w14:paraId="372D57A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cs="Times New Roman"/>
          <w:color w:val="auto"/>
          <w:highlight w:val="none"/>
          <w:lang w:eastAsia="zh-CN"/>
        </w:rPr>
        <w:t>.</w:t>
      </w:r>
      <w:r>
        <w:rPr>
          <w:rFonts w:hint="default" w:ascii="Times New Roman" w:hAnsi="Times New Roman" w:cs="Times New Roman"/>
          <w:color w:val="auto"/>
          <w:highlight w:val="none"/>
        </w:rPr>
        <w:t>除尘效率高，一般在99%~99.99%，除尘器出口气体含尘浓度在数10mg/m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之内，对亚微米粒径的细尘有较高的分级效率。</w:t>
      </w:r>
    </w:p>
    <w:p w14:paraId="4339299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w:t>
      </w:r>
      <w:r>
        <w:rPr>
          <w:rFonts w:hint="default" w:cs="Times New Roman"/>
          <w:color w:val="auto"/>
          <w:highlight w:val="none"/>
          <w:lang w:eastAsia="zh-CN"/>
        </w:rPr>
        <w:t>.</w:t>
      </w:r>
      <w:r>
        <w:rPr>
          <w:rFonts w:hint="default" w:ascii="Times New Roman" w:hAnsi="Times New Roman" w:cs="Times New Roman"/>
          <w:color w:val="auto"/>
          <w:highlight w:val="none"/>
        </w:rPr>
        <w:t>处理风量的范围广，小的仅1min数m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，大的可达1min数万m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cs="Times New Roman"/>
          <w:color w:val="auto"/>
          <w:highlight w:val="none"/>
          <w:lang w:eastAsia="zh-CN"/>
        </w:rPr>
        <w:t>即可</w:t>
      </w:r>
      <w:r>
        <w:rPr>
          <w:rFonts w:hint="default" w:ascii="Times New Roman" w:hAnsi="Times New Roman" w:cs="Times New Roman"/>
          <w:color w:val="auto"/>
          <w:highlight w:val="none"/>
        </w:rPr>
        <w:t>用于工业炉窑的烟气除尘，减少大气污染物的排放。</w:t>
      </w:r>
    </w:p>
    <w:p w14:paraId="6ED46D2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cs="Times New Roman"/>
          <w:color w:val="auto"/>
          <w:highlight w:val="none"/>
          <w:lang w:eastAsia="zh-CN"/>
        </w:rPr>
        <w:t>.</w:t>
      </w:r>
      <w:r>
        <w:rPr>
          <w:rFonts w:hint="default" w:ascii="Times New Roman" w:hAnsi="Times New Roman" w:cs="Times New Roman"/>
          <w:color w:val="auto"/>
          <w:highlight w:val="none"/>
        </w:rPr>
        <w:t>结构简单，维护操作方便。</w:t>
      </w:r>
    </w:p>
    <w:p w14:paraId="3308CE3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w:t>
      </w:r>
      <w:r>
        <w:rPr>
          <w:rFonts w:hint="default" w:cs="Times New Roman"/>
          <w:color w:val="auto"/>
          <w:highlight w:val="none"/>
          <w:lang w:eastAsia="zh-CN"/>
        </w:rPr>
        <w:t>.</w:t>
      </w:r>
      <w:r>
        <w:rPr>
          <w:rFonts w:hint="default" w:ascii="Times New Roman" w:hAnsi="Times New Roman" w:cs="Times New Roman"/>
          <w:color w:val="auto"/>
          <w:highlight w:val="none"/>
        </w:rPr>
        <w:t>在保证同样高除尘效率的前提下，造价低于电除尘器。</w:t>
      </w:r>
    </w:p>
    <w:p w14:paraId="3F41E97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w:t>
      </w:r>
      <w:r>
        <w:rPr>
          <w:rFonts w:hint="default" w:cs="Times New Roman"/>
          <w:color w:val="auto"/>
          <w:highlight w:val="none"/>
          <w:lang w:eastAsia="zh-CN"/>
        </w:rPr>
        <w:t>.</w:t>
      </w:r>
      <w:r>
        <w:rPr>
          <w:rFonts w:hint="default" w:ascii="Times New Roman" w:hAnsi="Times New Roman" w:cs="Times New Roman"/>
          <w:color w:val="auto"/>
          <w:highlight w:val="none"/>
        </w:rPr>
        <w:t>采用玻璃纤维、聚四氟乙烯、P84等耐高温滤料时，可在200℃以上的高温条件下运行。</w:t>
      </w:r>
    </w:p>
    <w:p w14:paraId="1C97F92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w:t>
      </w:r>
      <w:r>
        <w:rPr>
          <w:rFonts w:hint="default" w:cs="Times New Roman"/>
          <w:color w:val="auto"/>
          <w:highlight w:val="none"/>
          <w:lang w:eastAsia="zh-CN"/>
        </w:rPr>
        <w:t>.</w:t>
      </w:r>
      <w:r>
        <w:rPr>
          <w:rFonts w:hint="default" w:ascii="Times New Roman" w:hAnsi="Times New Roman" w:cs="Times New Roman"/>
          <w:color w:val="auto"/>
          <w:highlight w:val="none"/>
        </w:rPr>
        <w:t>对粉尘的特性不敏感，不受粉尘比电阻的影响。</w:t>
      </w:r>
    </w:p>
    <w:p w14:paraId="71B7953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此外，在非正常工况下，若破碎筛分除尘系统故障，除尘效率将下降到50%，粉尘排放浓度占标率将达</w:t>
      </w:r>
      <w:r>
        <w:rPr>
          <w:rFonts w:hint="eastAsia" w:cs="Times New Roman"/>
          <w:color w:val="auto"/>
          <w:sz w:val="24"/>
          <w:highlight w:val="none"/>
          <w:shd w:val="clear" w:color="auto" w:fill="FFFFFF"/>
          <w:lang w:val="en-US" w:eastAsia="zh-CN"/>
        </w:rPr>
        <w:t>284.92</w:t>
      </w:r>
      <w:r>
        <w:rPr>
          <w:rFonts w:hint="default" w:ascii="Times New Roman" w:hAnsi="Times New Roman" w:cs="Times New Roman"/>
          <w:color w:val="auto"/>
          <w:highlight w:val="none"/>
        </w:rPr>
        <w:t>%，此工况下粉尘对区域大气环境影响较大。因此，本次评价针对非正常工况粉尘排放提出如下防治措施：</w:t>
      </w:r>
    </w:p>
    <w:p w14:paraId="7BEDFFC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①破碎筛分除尘系统故障或检修时，对应的破碎筛分工艺设备应停止运行，待检修完毕后同步投入使用。</w:t>
      </w:r>
    </w:p>
    <w:p w14:paraId="5A574D2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②加强对生产设施和除尘系统的保养、检修，防止大气污染事故的发生。</w:t>
      </w:r>
    </w:p>
    <w:p w14:paraId="27E05DEF">
      <w:pPr>
        <w:overflowPunct w:val="0"/>
        <w:topLinePunct/>
        <w:ind w:firstLine="480"/>
        <w:rPr>
          <w:rFonts w:hint="default" w:ascii="Times New Roman" w:hAnsi="Times New Roman" w:cs="Times New Roman"/>
          <w:color w:val="auto"/>
          <w:highlight w:val="none"/>
        </w:rPr>
      </w:pPr>
      <w:r>
        <w:rPr>
          <w:rFonts w:hint="default" w:cs="Times New Roman"/>
          <w:color w:val="auto"/>
          <w:highlight w:val="none"/>
          <w:lang w:val="en-US" w:eastAsia="zh-CN"/>
        </w:rPr>
        <w:t>③</w:t>
      </w:r>
      <w:r>
        <w:rPr>
          <w:rFonts w:hint="default" w:ascii="Times New Roman" w:hAnsi="Times New Roman" w:cs="Times New Roman"/>
          <w:color w:val="auto"/>
          <w:highlight w:val="none"/>
        </w:rPr>
        <w:t>为防止布袋除尘器的布袋破损，企业须定期关注布袋损伤程度，及时更换布袋。</w:t>
      </w:r>
    </w:p>
    <w:p w14:paraId="3F0F38E3">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6.2.1.2无组织粉尘污染防治措施</w:t>
      </w:r>
    </w:p>
    <w:p w14:paraId="4432920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项目区内尾矿库、物料倒运、装卸等易产生扬尘。有风时项目区内扬尘严重，造成无组织面源污染问题，本环评提出如下要求：</w:t>
      </w:r>
    </w:p>
    <w:p w14:paraId="18E4732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（1）未收集粉尘：</w:t>
      </w:r>
      <w:r>
        <w:rPr>
          <w:rFonts w:hint="default" w:ascii="Times New Roman" w:hAnsi="Times New Roman" w:cs="Times New Roman"/>
          <w:color w:val="auto"/>
          <w:kern w:val="0"/>
          <w:highlight w:val="none"/>
        </w:rPr>
        <w:t>本项目各生产</w:t>
      </w:r>
      <w:r>
        <w:rPr>
          <w:rFonts w:hint="default" w:ascii="Times New Roman" w:hAnsi="Times New Roman" w:cs="Times New Roman"/>
          <w:color w:val="auto"/>
          <w:highlight w:val="none"/>
        </w:rPr>
        <w:t>车间为全封闭状态，为了有效防止粉尘污染，在车间设置喷雾降尘，粉尘产生量很少。</w:t>
      </w:r>
    </w:p>
    <w:p w14:paraId="1DCD7D9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cs="Times New Roman"/>
          <w:color w:val="auto"/>
          <w:highlight w:val="none"/>
          <w:lang w:val="en-US" w:eastAsia="zh-CN"/>
        </w:rPr>
        <w:t>原</w:t>
      </w:r>
      <w:r>
        <w:rPr>
          <w:rFonts w:hint="default" w:ascii="Times New Roman" w:hAnsi="Times New Roman" w:cs="Times New Roman"/>
          <w:color w:val="auto"/>
          <w:highlight w:val="none"/>
        </w:rPr>
        <w:t>矿堆场扬尘：本项目原矿石储存于</w:t>
      </w:r>
      <w:r>
        <w:rPr>
          <w:rFonts w:hint="default" w:cs="Times New Roman"/>
          <w:color w:val="auto"/>
          <w:highlight w:val="none"/>
          <w:lang w:val="en-US" w:eastAsia="zh-CN"/>
        </w:rPr>
        <w:t>原</w:t>
      </w:r>
      <w:r>
        <w:rPr>
          <w:rFonts w:hint="default" w:ascii="Times New Roman" w:hAnsi="Times New Roman" w:cs="Times New Roman"/>
          <w:color w:val="auto"/>
          <w:highlight w:val="none"/>
        </w:rPr>
        <w:t>矿堆场，选矿生产作业前将原矿石上料至原矿仓内，</w:t>
      </w:r>
      <w:r>
        <w:rPr>
          <w:rFonts w:hint="default" w:cs="Times New Roman"/>
          <w:color w:val="auto"/>
          <w:highlight w:val="none"/>
          <w:lang w:val="en-US" w:eastAsia="zh-CN"/>
        </w:rPr>
        <w:t>原</w:t>
      </w:r>
      <w:r>
        <w:rPr>
          <w:rFonts w:hint="default" w:ascii="Times New Roman" w:hAnsi="Times New Roman" w:cs="Times New Roman"/>
          <w:color w:val="auto"/>
          <w:highlight w:val="none"/>
        </w:rPr>
        <w:t>矿堆场设防风抑尘网、洒水降尘等抑尘措施，粉尘产生量较少。</w:t>
      </w:r>
    </w:p>
    <w:p w14:paraId="3363A28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（4）尾矿库扬尘：尾砂含水率约35%，水分蒸发后形成干滩，当天晴有风时，裸露在干滩上的尾矿对尾砂库周围环境有一定的影响。本环评要求运行期采取以下防护措施：</w:t>
      </w:r>
    </w:p>
    <w:p w14:paraId="12254BF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尾矿放矿过程中必须严格遵循设计提出的方案，尾矿浆的排放必须按设计要求沿坝体内坡均匀分散放矿，严禁在坝一侧或库中放矿。尾矿在库内的分布，应保证粗粒的沉积于坝前，细粒排至库内。尾矿在坝前排放时注意调整滩面，保持沉积滩均匀上升。</w:t>
      </w:r>
    </w:p>
    <w:p w14:paraId="0AF22A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②环评</w:t>
      </w:r>
      <w:r>
        <w:rPr>
          <w:rFonts w:hint="default" w:cs="Times New Roman"/>
          <w:color w:val="auto"/>
          <w:highlight w:val="none"/>
          <w:lang w:val="en-US" w:eastAsia="zh-CN"/>
        </w:rPr>
        <w:t>建议</w:t>
      </w:r>
      <w:r>
        <w:rPr>
          <w:rFonts w:hint="default" w:ascii="Times New Roman" w:hAnsi="Times New Roman" w:cs="Times New Roman"/>
          <w:color w:val="auto"/>
          <w:highlight w:val="none"/>
        </w:rPr>
        <w:t>采用喷洒生态高效抑制剂作为辅助抑尘手段，抑尘剂是由新型多功能高分子聚合物组合而成，通过凝并，黏结等作用能迅速捕捉并将微粒粉尘牢牢吸附，干燥后能在粉尘表面固化成膜，因而具有很强的抑尘、防尘的作用。因尾矿库扬尘区域较大，通过建设专用固定喷洒基站，将抑尘剂稀释液均匀喷洒于尾矿库扬尘区域，即可实现防尘、降尘的效果，在无暴雨及车辆碾压的情况下，在干滩上层均匀喷洒抑尘剂可产生较好抑尘效率。</w:t>
      </w:r>
    </w:p>
    <w:p w14:paraId="0DCCE08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③坝体外坡应保持平整紧实，按设计要求设置坝体排水沟和护坡设施，防止坡面受雨水冲刷拉沟，破坏边坡稳定和产生尾矿粉尘飞扬污染环境。</w:t>
      </w:r>
    </w:p>
    <w:p w14:paraId="77C3EBC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（5）产品装卸扬尘：本项目精矿在精矿仓内储存，在采取降低作业高度，并在四周设置防风抑尘网、洒水抑尘、微风情况下装卸等措施后，抑制产品装卸扬尘有一定效果。</w:t>
      </w:r>
    </w:p>
    <w:p w14:paraId="350BCD8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（6）运输扬尘：本项目采取道路路面硬化，道路两侧、</w:t>
      </w:r>
      <w:r>
        <w:rPr>
          <w:rFonts w:hint="default" w:cs="Times New Roman"/>
          <w:color w:val="auto"/>
          <w:highlight w:val="none"/>
          <w:lang w:val="en-US" w:eastAsia="zh-CN"/>
        </w:rPr>
        <w:t>办公</w:t>
      </w:r>
      <w:r>
        <w:rPr>
          <w:rFonts w:hint="default" w:ascii="Times New Roman" w:hAnsi="Times New Roman" w:cs="Times New Roman"/>
          <w:color w:val="auto"/>
          <w:highlight w:val="none"/>
        </w:rPr>
        <w:t>生活区根据实际情况实施绿化以减轻风力的扬尘影响。项目区内运输线路两侧无居民区。运输车辆上覆篷布，运输途中不易起尘，运输途中车辆严禁超载和超速行驶，运输道路进行洒水抑尘，减少粉尘污染。</w:t>
      </w:r>
    </w:p>
    <w:p w14:paraId="0B19035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针对燃油设备和车辆运行时产生的无组织燃油废气，选用低能耗、高效率的燃油设备和车辆，对其加强日常检修及维护保养，加强对燃油设备和车辆的管理，对项目区建筑设施及场所进行合理布局，在项目区合理设置指示牌，减少燃油设备和车辆运行时间和距离。</w:t>
      </w:r>
    </w:p>
    <w:p w14:paraId="7EBA381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（8）选矿厂工业场地的工作人员</w:t>
      </w:r>
      <w:r>
        <w:rPr>
          <w:rFonts w:hint="default" w:cs="Times New Roman"/>
          <w:color w:val="auto"/>
          <w:highlight w:val="none"/>
          <w:lang w:eastAsia="zh-CN"/>
        </w:rPr>
        <w:t>佩戴</w:t>
      </w:r>
      <w:r>
        <w:rPr>
          <w:rFonts w:hint="default" w:ascii="Times New Roman" w:hAnsi="Times New Roman" w:cs="Times New Roman"/>
          <w:color w:val="auto"/>
          <w:highlight w:val="none"/>
        </w:rPr>
        <w:t>好个人劳动防护用品，对接触粉尘较多的工人</w:t>
      </w:r>
      <w:r>
        <w:rPr>
          <w:rFonts w:hint="default" w:cs="Times New Roman"/>
          <w:color w:val="auto"/>
          <w:highlight w:val="none"/>
          <w:lang w:eastAsia="zh-CN"/>
        </w:rPr>
        <w:t>佩戴</w:t>
      </w:r>
      <w:r>
        <w:rPr>
          <w:rFonts w:hint="default" w:ascii="Times New Roman" w:hAnsi="Times New Roman" w:cs="Times New Roman"/>
          <w:color w:val="auto"/>
          <w:highlight w:val="none"/>
        </w:rPr>
        <w:t>好防尘口罩和增强个体营养保健。</w:t>
      </w:r>
    </w:p>
    <w:p w14:paraId="672BEAF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9）污染治理效果的好坏与企业管理机制是息息相关的，由众多调查结果看到，如果企业管理制度严明，管理得当，则不会对企业内环境构成威胁，如果企业内管理制度不严，任其随意堆放，不做任何处理的话，则会对环境产生不可估量的环境污染，影响整个企业的环境，企业</w:t>
      </w:r>
      <w:r>
        <w:rPr>
          <w:rFonts w:hint="default" w:cs="Times New Roman"/>
          <w:color w:val="auto"/>
          <w:highlight w:val="none"/>
          <w:lang w:eastAsia="zh-CN"/>
        </w:rPr>
        <w:t>管理制度</w:t>
      </w:r>
      <w:r>
        <w:rPr>
          <w:rFonts w:hint="default" w:ascii="Times New Roman" w:hAnsi="Times New Roman" w:cs="Times New Roman"/>
          <w:color w:val="auto"/>
          <w:highlight w:val="none"/>
        </w:rPr>
        <w:t>显示出其绝对重要性，因此必须加强企业管理。</w:t>
      </w:r>
    </w:p>
    <w:p w14:paraId="01A40A9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以上措施是国内外生产实践中防止粉尘无组织排放而普遍采用、简易可行的成熟的技术和方法，经同类企业实践证明效果亦是较好的，尤其是对物料堆存粉尘的无组织排放防治效果明显，可以保证无组织粉尘达标排放，最大限度地减少对周围环境的影响。本项目对上述措施应严格予以实施。</w:t>
      </w:r>
    </w:p>
    <w:p w14:paraId="55F5FF5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本项目采取的废气治理措施经济合理可行，易操作。</w:t>
      </w:r>
      <w:r>
        <w:rPr>
          <w:rFonts w:hint="default" w:ascii="Times New Roman" w:hAnsi="Times New Roman" w:cs="Times New Roman"/>
          <w:color w:val="auto"/>
          <w:highlight w:val="none"/>
        </w:rPr>
        <w:t>对于本项目无组织排放能够起到较好</w:t>
      </w:r>
      <w:r>
        <w:rPr>
          <w:rFonts w:hint="default" w:cs="Times New Roman"/>
          <w:color w:val="auto"/>
          <w:highlight w:val="none"/>
          <w:lang w:eastAsia="zh-CN"/>
        </w:rPr>
        <w:t>的</w:t>
      </w:r>
      <w:r>
        <w:rPr>
          <w:rFonts w:hint="default" w:ascii="Times New Roman" w:hAnsi="Times New Roman" w:cs="Times New Roman"/>
          <w:color w:val="auto"/>
          <w:highlight w:val="none"/>
        </w:rPr>
        <w:t>控制效果。厂界粉尘也满足《大气污染物综合排放标准》（GB16297-1996）中无组织排放监控浓度限值标准要求。</w:t>
      </w:r>
    </w:p>
    <w:p w14:paraId="32628BC0">
      <w:pPr>
        <w:pStyle w:val="4"/>
        <w:rPr>
          <w:rFonts w:hint="default" w:ascii="Times New Roman" w:hAnsi="Times New Roman" w:cs="Times New Roman"/>
          <w:color w:val="auto"/>
          <w:highlight w:val="none"/>
        </w:rPr>
      </w:pPr>
      <w:bookmarkStart w:id="834" w:name="_Toc12517"/>
      <w:bookmarkStart w:id="835" w:name="_Toc24608"/>
      <w:bookmarkStart w:id="836" w:name="_Toc10248"/>
      <w:bookmarkStart w:id="837" w:name="_Toc4947"/>
      <w:bookmarkStart w:id="838" w:name="_Toc6265"/>
      <w:bookmarkStart w:id="839" w:name="_Toc7935"/>
      <w:r>
        <w:rPr>
          <w:rFonts w:hint="default" w:ascii="Times New Roman" w:hAnsi="Times New Roman" w:cs="Times New Roman"/>
          <w:color w:val="auto"/>
          <w:highlight w:val="none"/>
        </w:rPr>
        <w:t>6.2.2地表水污染防治措施</w:t>
      </w:r>
      <w:bookmarkEnd w:id="834"/>
      <w:bookmarkEnd w:id="835"/>
      <w:bookmarkEnd w:id="836"/>
    </w:p>
    <w:p w14:paraId="222A2836">
      <w:pPr>
        <w:pStyle w:val="5"/>
        <w:ind w:firstLine="482" w:firstLineChars="200"/>
        <w:rPr>
          <w:rFonts w:hint="default" w:ascii="Times New Roman" w:hAnsi="Times New Roman" w:cs="Times New Roman"/>
          <w:color w:val="auto"/>
          <w:highlight w:val="none"/>
        </w:rPr>
      </w:pPr>
      <w:bookmarkStart w:id="840" w:name="_Toc21384"/>
      <w:r>
        <w:rPr>
          <w:rFonts w:hint="default" w:ascii="Times New Roman" w:hAnsi="Times New Roman" w:cs="Times New Roman"/>
          <w:color w:val="auto"/>
          <w:highlight w:val="none"/>
        </w:rPr>
        <w:t>6.2.2.1生活污水处置措施</w:t>
      </w:r>
    </w:p>
    <w:p w14:paraId="5B758EB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（1）生活污水处置措施</w:t>
      </w:r>
    </w:p>
    <w:p w14:paraId="3684E479">
      <w:pPr>
        <w:overflowPunct w:val="0"/>
        <w:topLinePunct/>
        <w:ind w:firstLine="480"/>
        <w:rPr>
          <w:rFonts w:hint="default" w:ascii="Times New Roman" w:hAnsi="Times New Roman" w:cs="Times New Roman"/>
          <w:bCs/>
          <w:color w:val="auto"/>
          <w:kern w:val="0"/>
          <w:highlight w:val="none"/>
        </w:rPr>
      </w:pPr>
      <w:r>
        <w:rPr>
          <w:rFonts w:hint="default" w:ascii="Times New Roman" w:hAnsi="Times New Roman" w:cs="Times New Roman"/>
          <w:color w:val="auto"/>
          <w:highlight w:val="none"/>
        </w:rPr>
        <w:t>本项目生活污水排入新建的地埋式一体化污水处理设施处理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达到《农村生活污水处理排放标准》（DB65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highlight w:val="none"/>
          <w:lang w:val="en-US" w:eastAsia="zh-CN"/>
        </w:rPr>
        <w:t>灌溉季用于厂区绿化，非灌溉季</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highlight w:val="none"/>
        </w:rPr>
        <w:t>，不外排。</w:t>
      </w:r>
    </w:p>
    <w:p w14:paraId="718943D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kern w:val="0"/>
          <w:highlight w:val="none"/>
        </w:rPr>
        <w:t>地埋式一体化污水处理设施可行性分析</w:t>
      </w:r>
    </w:p>
    <w:p w14:paraId="650EE38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bCs/>
          <w:color w:val="auto"/>
          <w:kern w:val="0"/>
          <w:highlight w:val="none"/>
        </w:rPr>
        <w:t>生活污水产生量为</w:t>
      </w:r>
      <w:r>
        <w:rPr>
          <w:rFonts w:hint="default" w:ascii="Times New Roman" w:hAnsi="Times New Roman" w:cs="Times New Roman"/>
          <w:color w:val="auto"/>
          <w:highlight w:val="none"/>
          <w:lang w:val="en-US" w:eastAsia="zh-CN"/>
        </w:rPr>
        <w:t>8.24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/d（0.</w:t>
      </w:r>
      <w:r>
        <w:rPr>
          <w:rFonts w:hint="default" w:ascii="Times New Roman" w:hAnsi="Times New Roman" w:cs="Times New Roman"/>
          <w:color w:val="auto"/>
          <w:highlight w:val="none"/>
          <w:lang w:val="en-US" w:eastAsia="zh-CN"/>
        </w:rPr>
        <w:t>1978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bCs/>
          <w:color w:val="auto"/>
          <w:kern w:val="0"/>
          <w:highlight w:val="none"/>
        </w:rPr>
        <w:t>，</w:t>
      </w:r>
      <w:r>
        <w:rPr>
          <w:rFonts w:hint="default" w:ascii="Times New Roman" w:hAnsi="Times New Roman" w:cs="Times New Roman"/>
          <w:color w:val="auto"/>
          <w:highlight w:val="none"/>
        </w:rPr>
        <w:t>地埋式一体化处理设施规模20m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/d，生活污水污染物浓度及产生量为SS：220mg/L（0.97t/a）、COD：300mg/L（1.32t/a）、BOD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：200mg/L（0.88t/a）、氨氮：30mg/L（0.13t/a）、动植物油100mg/L（0.44t/a）。地埋式一体化处理设施主要工艺为格栅→调节池→初沉池→水解酸化池→曝气池→接触氧化池→二沉池→反渗透</w:t>
      </w:r>
      <w:r>
        <w:rPr>
          <w:rFonts w:hint="default" w:cs="Times New Roman"/>
          <w:color w:val="auto"/>
          <w:highlight w:val="none"/>
          <w:lang w:eastAsia="zh-CN"/>
        </w:rPr>
        <w:t>，具</w:t>
      </w:r>
      <w:r>
        <w:rPr>
          <w:rFonts w:hint="default" w:ascii="Times New Roman" w:hAnsi="Times New Roman" w:cs="Times New Roman"/>
          <w:color w:val="auto"/>
          <w:highlight w:val="none"/>
        </w:rPr>
        <w:t>有自由组合、适用广泛、不占用土地、运行经济等特点。接触氧化池以及水解酸化池可充分分解含油废水中的油类等有机污染物。工艺流程图见图6.2-1。</w:t>
      </w:r>
    </w:p>
    <w:p w14:paraId="2338271B">
      <w:pPr>
        <w:pStyle w:val="32"/>
        <w:ind w:left="480" w:firstLine="482"/>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724800" behindDoc="0" locked="0" layoutInCell="1" allowOverlap="1">
            <wp:simplePos x="0" y="0"/>
            <wp:positionH relativeFrom="column">
              <wp:posOffset>1428750</wp:posOffset>
            </wp:positionH>
            <wp:positionV relativeFrom="paragraph">
              <wp:posOffset>53340</wp:posOffset>
            </wp:positionV>
            <wp:extent cx="2552700" cy="1885950"/>
            <wp:effectExtent l="0" t="0" r="0" b="0"/>
            <wp:wrapTopAndBottom/>
            <wp:docPr id="22" name="图片 22" descr="lALPD4Bhs5n5E2jMxs0BDA_268_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ALPD4Bhs5n5E2jMxs0BDA_268_198"/>
                    <pic:cNvPicPr>
                      <a:picLocks noChangeAspect="1"/>
                    </pic:cNvPicPr>
                  </pic:nvPicPr>
                  <pic:blipFill>
                    <a:blip r:embed="rId105" cstate="print"/>
                    <a:stretch>
                      <a:fillRect/>
                    </a:stretch>
                  </pic:blipFill>
                  <pic:spPr>
                    <a:xfrm>
                      <a:off x="0" y="0"/>
                      <a:ext cx="2552700" cy="1885950"/>
                    </a:xfrm>
                    <a:prstGeom prst="rect">
                      <a:avLst/>
                    </a:prstGeom>
                  </pic:spPr>
                </pic:pic>
              </a:graphicData>
            </a:graphic>
          </wp:anchor>
        </w:drawing>
      </w:r>
      <w:r>
        <w:rPr>
          <w:rFonts w:hint="default" w:ascii="Times New Roman" w:hAnsi="Times New Roman" w:cs="Times New Roman"/>
          <w:b/>
          <w:bCs/>
          <w:color w:val="auto"/>
          <w:sz w:val="24"/>
          <w:highlight w:val="none"/>
        </w:rPr>
        <w:t xml:space="preserve">图6.2-1 </w:t>
      </w:r>
      <w:r>
        <w:rPr>
          <w:rFonts w:hint="default"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一体化地埋式处理设施概况图</w:t>
      </w:r>
    </w:p>
    <w:p w14:paraId="0D7138F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其基本工作原理：生活污水经粗、细格栅后和经过预处理后的生产废水进入调节池，在其中达到均质、均量；然后进入初沉池以去除水中悬浮物等，进入初沉池后较大比重的悬浮物及颗粒物下沉到底部；而后进入水解酸化池，水解酸化工艺可将废水中难生物降解的有机物转变为易生物降解的有机物，提高废水的可生化性，以利于后续的好氧处理。经沉淀和水解酸化处理的废水进入接触氧化池，在池内设置填料，池底曝气对污水进行充氧，并使池体内污水处于流动状态，以保证污水与污水中的填料充分接触，避免生物接触氧化池中存在污水与填料接触不均的缺陷。接触氧化池下方分布曝气头以提升氧料，上方串挂气体弹性填料，有机物在水中利用好氧菌的作用得以去除。废水最后进入二沉池，经沉淀后外排，部分污泥回流到接触氧化池。拟建项目采用此项技术，是较为理想的方法，工艺简单，效果良好，出水水质能够达到《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highlight w:val="none"/>
          <w:lang w:val="en-US" w:eastAsia="zh-CN"/>
        </w:rPr>
        <w:t>灌溉季用于厂区绿化，非灌溉季</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highlight w:val="none"/>
        </w:rPr>
        <w:t>，不外排。</w:t>
      </w:r>
    </w:p>
    <w:bookmarkEnd w:id="840"/>
    <w:p w14:paraId="4A99C916">
      <w:pPr>
        <w:pStyle w:val="5"/>
        <w:ind w:firstLine="482" w:firstLineChars="200"/>
        <w:rPr>
          <w:rFonts w:hint="default" w:ascii="Times New Roman" w:hAnsi="Times New Roman" w:cs="Times New Roman"/>
          <w:color w:val="auto"/>
          <w:highlight w:val="none"/>
        </w:rPr>
      </w:pPr>
      <w:bookmarkStart w:id="841" w:name="_Toc14156"/>
      <w:r>
        <w:rPr>
          <w:rFonts w:hint="default" w:ascii="Times New Roman" w:hAnsi="Times New Roman" w:cs="Times New Roman"/>
          <w:color w:val="auto"/>
          <w:highlight w:val="none"/>
        </w:rPr>
        <w:t>6.2.2.2生产废水处置措施</w:t>
      </w:r>
    </w:p>
    <w:p w14:paraId="6A2C972A">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rPr>
        <w:t>（1）</w:t>
      </w:r>
      <w:r>
        <w:rPr>
          <w:rFonts w:hint="default" w:ascii="Times New Roman" w:hAnsi="Times New Roman" w:cs="Times New Roman"/>
          <w:color w:val="auto"/>
          <w:highlight w:val="none"/>
        </w:rPr>
        <w:t>选矿废水产生于选矿过程中，选矿废水量约为</w:t>
      </w:r>
      <w:r>
        <w:rPr>
          <w:rFonts w:hint="default" w:ascii="Times New Roman" w:hAnsi="Times New Roman" w:cs="Times New Roman"/>
          <w:color w:val="auto"/>
          <w:highlight w:val="none"/>
          <w:lang w:val="en-US" w:eastAsia="zh-CN"/>
        </w:rPr>
        <w:t>589.352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14.1444</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kern w:val="0"/>
          <w:highlight w:val="none"/>
        </w:rPr>
        <w:t>主要污染因子为pH、COD、SS及少量金属等</w:t>
      </w:r>
      <w:r>
        <w:rPr>
          <w:rFonts w:hint="default" w:ascii="Times New Roman" w:hAnsi="Times New Roman" w:cs="Times New Roman"/>
          <w:color w:val="auto"/>
          <w:highlight w:val="none"/>
        </w:rPr>
        <w:t>。选矿废水部分被</w:t>
      </w:r>
      <w:r>
        <w:rPr>
          <w:rFonts w:hint="default" w:cs="Times New Roman"/>
          <w:color w:val="auto"/>
          <w:highlight w:val="none"/>
          <w:lang w:eastAsia="zh-CN"/>
        </w:rPr>
        <w:t>金精粉</w:t>
      </w:r>
      <w:r>
        <w:rPr>
          <w:rFonts w:hint="default" w:ascii="Times New Roman" w:hAnsi="Times New Roman" w:cs="Times New Roman"/>
          <w:color w:val="auto"/>
          <w:highlight w:val="none"/>
        </w:rPr>
        <w:t>带走，精矿过滤水、尾矿浓缩压滤溢流水返回生产工序循环利用，尾矿矿浆通过管道输送至尾矿库，尾矿库设有回水系统，使用水泵将库内澄清水通过管道泵送至选矿厂生产回水池，供选矿循环使用，实现生产废水“闭路循环”，不外排。</w:t>
      </w:r>
    </w:p>
    <w:p w14:paraId="405424A5">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cs="Times New Roman"/>
          <w:color w:val="auto"/>
          <w:kern w:val="0"/>
          <w:highlight w:val="none"/>
          <w:lang w:val="en-US" w:eastAsia="zh-CN"/>
        </w:rPr>
        <w:t>2</w:t>
      </w:r>
      <w:r>
        <w:rPr>
          <w:rFonts w:hint="default" w:ascii="Times New Roman" w:hAnsi="Times New Roman" w:cs="Times New Roman"/>
          <w:color w:val="auto"/>
          <w:kern w:val="0"/>
          <w:highlight w:val="none"/>
          <w:lang w:val="zh-CN"/>
        </w:rPr>
        <w:t>）为防止生产废水外排对当地水环境产生影响，企业应从设计、施工到投产全过程加强生产废水的循环利用以及处理措施。</w:t>
      </w:r>
    </w:p>
    <w:p w14:paraId="1CF45D99">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cs="Times New Roman"/>
          <w:color w:val="auto"/>
          <w:kern w:val="0"/>
          <w:highlight w:val="none"/>
          <w:lang w:val="en-US" w:eastAsia="zh-CN"/>
        </w:rPr>
        <w:t>3</w:t>
      </w:r>
      <w:r>
        <w:rPr>
          <w:rFonts w:hint="default" w:ascii="Times New Roman" w:hAnsi="Times New Roman" w:cs="Times New Roman"/>
          <w:color w:val="auto"/>
          <w:kern w:val="0"/>
          <w:highlight w:val="none"/>
          <w:lang w:val="zh-CN"/>
        </w:rPr>
        <w:t>）本项目选矿工序配备有相应防渗循环水池，生产用水全部循环使用不外排。</w:t>
      </w:r>
    </w:p>
    <w:p w14:paraId="7911EAB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val="zh-CN"/>
        </w:rPr>
        <w:t>（</w:t>
      </w:r>
      <w:r>
        <w:rPr>
          <w:rFonts w:hint="default" w:cs="Times New Roman"/>
          <w:color w:val="auto"/>
          <w:kern w:val="0"/>
          <w:highlight w:val="none"/>
          <w:lang w:val="en-US" w:eastAsia="zh-CN"/>
        </w:rPr>
        <w:t>4</w:t>
      </w:r>
      <w:r>
        <w:rPr>
          <w:rFonts w:hint="default" w:ascii="Times New Roman" w:hAnsi="Times New Roman" w:cs="Times New Roman"/>
          <w:color w:val="auto"/>
          <w:kern w:val="0"/>
          <w:highlight w:val="none"/>
          <w:lang w:val="zh-CN"/>
        </w:rPr>
        <w:t>）加强生产管理，防止生产过程中跑、冒、滴、漏、废水四处</w:t>
      </w:r>
      <w:r>
        <w:rPr>
          <w:rFonts w:hint="default" w:cs="Times New Roman"/>
          <w:color w:val="auto"/>
          <w:kern w:val="0"/>
          <w:highlight w:val="none"/>
          <w:lang w:val="zh-CN"/>
        </w:rPr>
        <w:t>蔓延</w:t>
      </w:r>
      <w:r>
        <w:rPr>
          <w:rFonts w:hint="default" w:ascii="Times New Roman" w:hAnsi="Times New Roman" w:cs="Times New Roman"/>
          <w:color w:val="auto"/>
          <w:kern w:val="0"/>
          <w:highlight w:val="none"/>
          <w:lang w:val="zh-CN"/>
        </w:rPr>
        <w:t>地下，对企业污水处理应加强监管及相应的维护措施，严防事故性废水外排。</w:t>
      </w:r>
    </w:p>
    <w:bookmarkEnd w:id="841"/>
    <w:p w14:paraId="42E631B4">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6.2.2.3对地表水环境敏感目标的保护措施</w:t>
      </w:r>
    </w:p>
    <w:p w14:paraId="33432937">
      <w:pPr>
        <w:overflowPunct w:val="0"/>
        <w:topLinePunct/>
        <w:ind w:firstLine="480"/>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highlight w:val="none"/>
          <w:lang w:val="zh-CN"/>
        </w:rPr>
        <w:t>本项目地表水环境敏感目标为</w:t>
      </w:r>
      <w:r>
        <w:rPr>
          <w:rFonts w:hint="default" w:cs="Times New Roman"/>
          <w:color w:val="auto"/>
          <w:szCs w:val="24"/>
          <w:highlight w:val="none"/>
          <w:lang w:eastAsia="zh-CN"/>
        </w:rPr>
        <w:t>Ⅱ类水体喀拉通克河</w:t>
      </w:r>
      <w:r>
        <w:rPr>
          <w:rFonts w:hint="default" w:cs="Times New Roman"/>
          <w:color w:val="auto"/>
          <w:szCs w:val="24"/>
          <w:highlight w:val="none"/>
          <w:lang w:val="en-US" w:eastAsia="zh-CN"/>
        </w:rPr>
        <w:t>左支一河和</w:t>
      </w:r>
      <w:r>
        <w:rPr>
          <w:rFonts w:hint="default" w:cs="Times New Roman"/>
          <w:color w:val="auto"/>
          <w:szCs w:val="24"/>
          <w:highlight w:val="none"/>
          <w:lang w:eastAsia="zh-CN"/>
        </w:rPr>
        <w:t>Ⅱ类水体喀拉通克河。</w:t>
      </w:r>
      <w:r>
        <w:rPr>
          <w:rFonts w:hint="default" w:cs="Times New Roman"/>
          <w:color w:val="auto"/>
          <w:szCs w:val="24"/>
          <w:highlight w:val="none"/>
          <w:lang w:val="en-US" w:eastAsia="zh-CN"/>
        </w:rPr>
        <w:t>尾矿库北距</w:t>
      </w:r>
      <w:r>
        <w:rPr>
          <w:rFonts w:hint="default" w:cs="Times New Roman"/>
          <w:color w:val="auto"/>
          <w:szCs w:val="24"/>
          <w:highlight w:val="none"/>
          <w:lang w:eastAsia="zh-CN"/>
        </w:rPr>
        <w:t>Ⅱ类水体喀拉通克河</w:t>
      </w:r>
      <w:r>
        <w:rPr>
          <w:rFonts w:hint="default" w:cs="Times New Roman"/>
          <w:color w:val="auto"/>
          <w:szCs w:val="24"/>
          <w:highlight w:val="none"/>
          <w:lang w:val="en-US" w:eastAsia="zh-CN"/>
        </w:rPr>
        <w:t>左支一河</w:t>
      </w:r>
      <w:r>
        <w:rPr>
          <w:rFonts w:cs="Times New Roman"/>
          <w:color w:val="auto"/>
          <w:szCs w:val="24"/>
          <w:highlight w:val="none"/>
        </w:rPr>
        <w:t>约</w:t>
      </w:r>
      <w:r>
        <w:rPr>
          <w:rFonts w:hint="default" w:cs="Times New Roman"/>
          <w:color w:val="auto"/>
          <w:szCs w:val="24"/>
          <w:highlight w:val="none"/>
          <w:lang w:val="en-US" w:eastAsia="zh-CN"/>
        </w:rPr>
        <w:t>1.02</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rPr>
        <w:t>东</w:t>
      </w:r>
      <w:r>
        <w:rPr>
          <w:rFonts w:hint="default" w:cs="Times New Roman"/>
          <w:color w:val="auto"/>
          <w:szCs w:val="24"/>
          <w:highlight w:val="none"/>
          <w:lang w:val="en-US" w:eastAsia="zh-CN"/>
        </w:rPr>
        <w:t>北</w:t>
      </w:r>
      <w:r>
        <w:rPr>
          <w:rFonts w:hint="default" w:cs="Times New Roman"/>
          <w:color w:val="auto"/>
          <w:szCs w:val="24"/>
          <w:highlight w:val="none"/>
        </w:rPr>
        <w:t>距</w:t>
      </w:r>
      <w:r>
        <w:rPr>
          <w:rFonts w:hint="default" w:cs="Times New Roman"/>
          <w:color w:val="auto"/>
          <w:szCs w:val="24"/>
          <w:highlight w:val="none"/>
          <w:lang w:eastAsia="zh-CN"/>
        </w:rPr>
        <w:t>Ⅱ类水体喀拉通克河</w:t>
      </w:r>
      <w:r>
        <w:rPr>
          <w:rFonts w:cs="Times New Roman"/>
          <w:color w:val="auto"/>
          <w:szCs w:val="24"/>
          <w:highlight w:val="none"/>
        </w:rPr>
        <w:t>约</w:t>
      </w:r>
      <w:r>
        <w:rPr>
          <w:rFonts w:hint="default" w:cs="Times New Roman"/>
          <w:color w:val="auto"/>
          <w:szCs w:val="24"/>
          <w:highlight w:val="none"/>
          <w:lang w:val="en-US" w:eastAsia="zh-CN"/>
        </w:rPr>
        <w:t>3.79</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lang w:val="en-US" w:eastAsia="zh-CN"/>
        </w:rPr>
        <w:t>选矿厂北距</w:t>
      </w:r>
      <w:r>
        <w:rPr>
          <w:rFonts w:hint="default" w:cs="Times New Roman"/>
          <w:color w:val="auto"/>
          <w:szCs w:val="24"/>
          <w:highlight w:val="none"/>
          <w:lang w:eastAsia="zh-CN"/>
        </w:rPr>
        <w:t>Ⅱ类水体喀拉通克河</w:t>
      </w:r>
      <w:r>
        <w:rPr>
          <w:rFonts w:hint="default" w:cs="Times New Roman"/>
          <w:color w:val="auto"/>
          <w:szCs w:val="24"/>
          <w:highlight w:val="none"/>
          <w:lang w:val="en-US" w:eastAsia="zh-CN"/>
        </w:rPr>
        <w:t>左支一河</w:t>
      </w:r>
      <w:r>
        <w:rPr>
          <w:rFonts w:cs="Times New Roman"/>
          <w:color w:val="auto"/>
          <w:szCs w:val="24"/>
          <w:highlight w:val="none"/>
        </w:rPr>
        <w:t>约</w:t>
      </w:r>
      <w:r>
        <w:rPr>
          <w:rFonts w:hint="default" w:cs="Times New Roman"/>
          <w:color w:val="auto"/>
          <w:szCs w:val="24"/>
          <w:highlight w:val="none"/>
          <w:lang w:val="en-US" w:eastAsia="zh-CN"/>
        </w:rPr>
        <w:t>2.45</w:t>
      </w:r>
      <w:r>
        <w:rPr>
          <w:rFonts w:hint="default" w:cs="Times New Roman"/>
          <w:color w:val="auto"/>
          <w:szCs w:val="24"/>
          <w:highlight w:val="none"/>
        </w:rPr>
        <w:t>km</w:t>
      </w:r>
      <w:r>
        <w:rPr>
          <w:rFonts w:hint="default" w:cs="Times New Roman"/>
          <w:color w:val="auto"/>
          <w:szCs w:val="24"/>
          <w:highlight w:val="none"/>
          <w:lang w:eastAsia="zh-CN"/>
        </w:rPr>
        <w:t>，</w:t>
      </w:r>
      <w:r>
        <w:rPr>
          <w:rFonts w:hint="default" w:cs="Times New Roman"/>
          <w:color w:val="auto"/>
          <w:szCs w:val="24"/>
          <w:highlight w:val="none"/>
        </w:rPr>
        <w:t>东</w:t>
      </w:r>
      <w:r>
        <w:rPr>
          <w:rFonts w:hint="default" w:cs="Times New Roman"/>
          <w:color w:val="auto"/>
          <w:szCs w:val="24"/>
          <w:highlight w:val="none"/>
          <w:lang w:val="en-US" w:eastAsia="zh-CN"/>
        </w:rPr>
        <w:t>北</w:t>
      </w:r>
      <w:r>
        <w:rPr>
          <w:rFonts w:hint="default" w:cs="Times New Roman"/>
          <w:color w:val="auto"/>
          <w:szCs w:val="24"/>
          <w:highlight w:val="none"/>
        </w:rPr>
        <w:t>距</w:t>
      </w:r>
      <w:r>
        <w:rPr>
          <w:rFonts w:hint="default" w:cs="Times New Roman"/>
          <w:color w:val="auto"/>
          <w:szCs w:val="24"/>
          <w:highlight w:val="none"/>
          <w:lang w:eastAsia="zh-CN"/>
        </w:rPr>
        <w:t>Ⅱ类水体喀拉通克河</w:t>
      </w:r>
      <w:r>
        <w:rPr>
          <w:rFonts w:cs="Times New Roman"/>
          <w:color w:val="auto"/>
          <w:szCs w:val="24"/>
          <w:highlight w:val="none"/>
        </w:rPr>
        <w:t>约</w:t>
      </w:r>
      <w:r>
        <w:rPr>
          <w:rFonts w:hint="default" w:cs="Times New Roman"/>
          <w:color w:val="auto"/>
          <w:szCs w:val="24"/>
          <w:highlight w:val="none"/>
          <w:lang w:val="en-US" w:eastAsia="zh-CN"/>
        </w:rPr>
        <w:t>4.16</w:t>
      </w:r>
      <w:r>
        <w:rPr>
          <w:rFonts w:hint="default" w:cs="Times New Roman"/>
          <w:color w:val="auto"/>
          <w:szCs w:val="24"/>
          <w:highlight w:val="none"/>
        </w:rPr>
        <w:t>km</w:t>
      </w:r>
      <w:r>
        <w:rPr>
          <w:rFonts w:hint="default" w:ascii="Times New Roman" w:hAnsi="Times New Roman" w:cs="Times New Roman"/>
          <w:bCs/>
          <w:color w:val="auto"/>
          <w:kern w:val="0"/>
          <w:szCs w:val="21"/>
          <w:highlight w:val="none"/>
        </w:rPr>
        <w:t>，</w:t>
      </w:r>
      <w:r>
        <w:rPr>
          <w:rFonts w:hint="default" w:ascii="Times New Roman" w:hAnsi="Times New Roman" w:cs="Times New Roman"/>
          <w:color w:val="auto"/>
          <w:highlight w:val="none"/>
        </w:rPr>
        <w:t>根据《新疆水环境功能区划》，</w:t>
      </w:r>
      <w:r>
        <w:rPr>
          <w:rFonts w:hint="default" w:cs="Times New Roman"/>
          <w:color w:val="auto"/>
          <w:szCs w:val="24"/>
          <w:highlight w:val="none"/>
          <w:lang w:eastAsia="zh-CN"/>
        </w:rPr>
        <w:t>喀拉通克河</w:t>
      </w:r>
      <w:r>
        <w:rPr>
          <w:rFonts w:hint="default" w:ascii="Times New Roman" w:hAnsi="Times New Roman" w:cs="Times New Roman"/>
          <w:color w:val="auto"/>
          <w:highlight w:val="none"/>
        </w:rPr>
        <w:t>的地表水环境功能区划属Ⅱ类功能区。为保护</w:t>
      </w:r>
      <w:r>
        <w:rPr>
          <w:rFonts w:hint="default" w:cs="Times New Roman"/>
          <w:color w:val="auto"/>
          <w:szCs w:val="24"/>
          <w:highlight w:val="none"/>
          <w:lang w:eastAsia="zh-CN"/>
        </w:rPr>
        <w:t>喀拉通克河</w:t>
      </w:r>
      <w:r>
        <w:rPr>
          <w:rFonts w:hint="default" w:cs="Times New Roman"/>
          <w:color w:val="auto"/>
          <w:szCs w:val="24"/>
          <w:highlight w:val="none"/>
          <w:lang w:val="en-US" w:eastAsia="zh-CN"/>
        </w:rPr>
        <w:t>左支一河及</w:t>
      </w:r>
      <w:r>
        <w:rPr>
          <w:rFonts w:hint="default" w:cs="Times New Roman"/>
          <w:color w:val="auto"/>
          <w:szCs w:val="24"/>
          <w:highlight w:val="none"/>
          <w:lang w:eastAsia="zh-CN"/>
        </w:rPr>
        <w:t>喀拉通克河</w:t>
      </w:r>
      <w:r>
        <w:rPr>
          <w:rFonts w:hint="default" w:ascii="Times New Roman" w:hAnsi="Times New Roman" w:cs="Times New Roman"/>
          <w:bCs/>
          <w:color w:val="auto"/>
          <w:kern w:val="0"/>
          <w:szCs w:val="21"/>
          <w:highlight w:val="none"/>
        </w:rPr>
        <w:t>水环境，本次评价提出如下保护措施：</w:t>
      </w:r>
    </w:p>
    <w:p w14:paraId="2FAD93A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（1）禁止在</w:t>
      </w:r>
      <w:r>
        <w:rPr>
          <w:rFonts w:hint="default" w:cs="Times New Roman"/>
          <w:color w:val="auto"/>
          <w:szCs w:val="24"/>
          <w:highlight w:val="none"/>
          <w:lang w:eastAsia="zh-CN"/>
        </w:rPr>
        <w:t>喀拉通克河</w:t>
      </w:r>
      <w:r>
        <w:rPr>
          <w:rFonts w:hint="default" w:cs="Times New Roman"/>
          <w:color w:val="auto"/>
          <w:szCs w:val="24"/>
          <w:highlight w:val="none"/>
          <w:lang w:val="en-US" w:eastAsia="zh-CN"/>
        </w:rPr>
        <w:t>左支一河及</w:t>
      </w:r>
      <w:r>
        <w:rPr>
          <w:rFonts w:hint="default" w:cs="Times New Roman"/>
          <w:color w:val="auto"/>
          <w:szCs w:val="24"/>
          <w:highlight w:val="none"/>
          <w:lang w:eastAsia="zh-CN"/>
        </w:rPr>
        <w:t>喀拉通克河</w:t>
      </w:r>
      <w:r>
        <w:rPr>
          <w:rFonts w:hint="default" w:ascii="Times New Roman" w:hAnsi="Times New Roman" w:cs="Times New Roman"/>
          <w:bCs/>
          <w:color w:val="auto"/>
          <w:kern w:val="0"/>
          <w:szCs w:val="21"/>
          <w:highlight w:val="none"/>
        </w:rPr>
        <w:t>设置废水排放口。</w:t>
      </w:r>
    </w:p>
    <w:p w14:paraId="38BC741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（2）本项目运营期产生的各类固体废物均妥善处置，不得向水体内倾倒任何固体废物。</w:t>
      </w:r>
    </w:p>
    <w:p w14:paraId="5A779FC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val="zh-CN"/>
        </w:rPr>
        <w:t>（3）</w:t>
      </w:r>
      <w:r>
        <w:rPr>
          <w:rFonts w:hint="default" w:ascii="Times New Roman" w:hAnsi="Times New Roman" w:cs="Times New Roman"/>
          <w:color w:val="auto"/>
          <w:highlight w:val="none"/>
        </w:rPr>
        <w:t>在尾矿库下游设置导流坝，防止溃坝发生时尾矿砂下泄进入</w:t>
      </w:r>
      <w:r>
        <w:rPr>
          <w:rFonts w:hint="default" w:cs="Times New Roman"/>
          <w:color w:val="auto"/>
          <w:szCs w:val="24"/>
          <w:highlight w:val="none"/>
          <w:lang w:eastAsia="zh-CN"/>
        </w:rPr>
        <w:t>喀拉通克河</w:t>
      </w:r>
      <w:r>
        <w:rPr>
          <w:rFonts w:hint="default" w:cs="Times New Roman"/>
          <w:color w:val="auto"/>
          <w:szCs w:val="24"/>
          <w:highlight w:val="none"/>
          <w:lang w:val="en-US" w:eastAsia="zh-CN"/>
        </w:rPr>
        <w:t>左支一河及</w:t>
      </w:r>
      <w:r>
        <w:rPr>
          <w:rFonts w:hint="default" w:cs="Times New Roman"/>
          <w:color w:val="auto"/>
          <w:szCs w:val="24"/>
          <w:highlight w:val="none"/>
          <w:lang w:eastAsia="zh-CN"/>
        </w:rPr>
        <w:t>喀拉通克河</w:t>
      </w:r>
      <w:r>
        <w:rPr>
          <w:rFonts w:hint="default" w:ascii="Times New Roman" w:hAnsi="Times New Roman" w:cs="Times New Roman"/>
          <w:bCs/>
          <w:color w:val="auto"/>
          <w:kern w:val="0"/>
          <w:szCs w:val="21"/>
          <w:highlight w:val="none"/>
        </w:rPr>
        <w:t>水</w:t>
      </w:r>
      <w:r>
        <w:rPr>
          <w:rFonts w:hint="default" w:ascii="Times New Roman" w:hAnsi="Times New Roman" w:cs="Times New Roman"/>
          <w:color w:val="auto"/>
          <w:highlight w:val="none"/>
        </w:rPr>
        <w:t>，对水体及下游产生影响。</w:t>
      </w:r>
    </w:p>
    <w:p w14:paraId="6F4C7503">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highlight w:val="none"/>
        </w:rPr>
        <w:t>（4）按照设计要求，在尾矿库内设置排洪系统</w:t>
      </w:r>
      <w:r>
        <w:rPr>
          <w:rFonts w:hint="default" w:cs="Times New Roman"/>
          <w:color w:val="auto"/>
          <w:highlight w:val="none"/>
          <w:lang w:eastAsia="zh-CN"/>
        </w:rPr>
        <w:t>（</w:t>
      </w:r>
      <w:r>
        <w:rPr>
          <w:rFonts w:hint="default" w:ascii="Times New Roman" w:hAnsi="Times New Roman" w:cs="Times New Roman"/>
          <w:color w:val="auto"/>
          <w:highlight w:val="none"/>
        </w:rPr>
        <w:t>溢洪道-明渠系统</w:t>
      </w:r>
      <w:r>
        <w:rPr>
          <w:rFonts w:hint="default" w:cs="Times New Roman"/>
          <w:color w:val="auto"/>
          <w:highlight w:val="none"/>
          <w:lang w:eastAsia="zh-CN"/>
        </w:rPr>
        <w:t>）</w:t>
      </w:r>
      <w:r>
        <w:rPr>
          <w:rFonts w:hint="default" w:ascii="Times New Roman" w:hAnsi="Times New Roman" w:cs="Times New Roman"/>
          <w:color w:val="auto"/>
          <w:highlight w:val="none"/>
        </w:rPr>
        <w:t>，汛期洪水通过消力池溢流堰进入明渠排至下游，防止洪水冲刷库区，污染下游地表水体。</w:t>
      </w:r>
    </w:p>
    <w:p w14:paraId="6BEEEE42">
      <w:pPr>
        <w:pStyle w:val="4"/>
        <w:rPr>
          <w:rFonts w:hint="default" w:ascii="Times New Roman" w:hAnsi="Times New Roman" w:cs="Times New Roman"/>
          <w:color w:val="auto"/>
          <w:highlight w:val="none"/>
        </w:rPr>
      </w:pPr>
      <w:bookmarkStart w:id="842" w:name="_Toc26495"/>
      <w:bookmarkStart w:id="843" w:name="_Toc29274"/>
      <w:bookmarkStart w:id="844" w:name="_Toc12575"/>
      <w:r>
        <w:rPr>
          <w:rFonts w:hint="default" w:ascii="Times New Roman" w:hAnsi="Times New Roman" w:cs="Times New Roman"/>
          <w:color w:val="auto"/>
          <w:highlight w:val="none"/>
        </w:rPr>
        <w:t>6.2.3地下水污染防治措施</w:t>
      </w:r>
      <w:bookmarkEnd w:id="842"/>
      <w:bookmarkEnd w:id="843"/>
      <w:bookmarkEnd w:id="844"/>
    </w:p>
    <w:p w14:paraId="60A93C9E">
      <w:pPr>
        <w:pStyle w:val="5"/>
        <w:ind w:firstLine="482" w:firstLineChars="200"/>
        <w:rPr>
          <w:rFonts w:hint="default" w:ascii="Times New Roman" w:hAnsi="Times New Roman" w:cs="Times New Roman"/>
          <w:color w:val="auto"/>
          <w:highlight w:val="none"/>
        </w:rPr>
      </w:pPr>
      <w:bookmarkStart w:id="845" w:name="_Toc1278_WPSOffice_Level3"/>
      <w:r>
        <w:rPr>
          <w:rFonts w:hint="default" w:ascii="Times New Roman" w:hAnsi="Times New Roman" w:cs="Times New Roman"/>
          <w:color w:val="auto"/>
          <w:highlight w:val="none"/>
        </w:rPr>
        <w:t>6.2.3.1地下水水质监控措施</w:t>
      </w:r>
    </w:p>
    <w:p w14:paraId="0B442F7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（1）建立地下水</w:t>
      </w:r>
      <w:r>
        <w:rPr>
          <w:rFonts w:hint="default" w:cs="Times New Roman"/>
          <w:color w:val="auto"/>
          <w:highlight w:val="none"/>
          <w:lang w:eastAsia="zh-CN"/>
        </w:rPr>
        <w:t>环境</w:t>
      </w:r>
      <w:r>
        <w:rPr>
          <w:rFonts w:hint="default" w:ascii="Times New Roman" w:hAnsi="Times New Roman" w:cs="Times New Roman"/>
          <w:color w:val="auto"/>
          <w:highlight w:val="none"/>
        </w:rPr>
        <w:t>监测管理体系。配置必要的地下水监控井，以便及时准确地反馈地下水水质状况，为防止对地下水的污染采取相应的措施提供重要依据。根据《地下水环境监测技术规范》（HJ164-2020）</w:t>
      </w:r>
      <w:r>
        <w:rPr>
          <w:rFonts w:hint="default" w:cs="Times New Roman"/>
          <w:color w:val="auto"/>
          <w:highlight w:val="none"/>
          <w:lang w:val="en-US" w:eastAsia="zh-CN"/>
        </w:rPr>
        <w:t>及《</w:t>
      </w:r>
      <w:r>
        <w:rPr>
          <w:rFonts w:hint="default"/>
          <w:color w:val="auto"/>
          <w:highlight w:val="none"/>
        </w:rPr>
        <w:t>地下水环境监测技术规范</w:t>
      </w:r>
      <w:r>
        <w:rPr>
          <w:rFonts w:hint="default" w:cs="Times New Roman"/>
          <w:color w:val="auto"/>
          <w:highlight w:val="none"/>
          <w:lang w:val="en-US" w:eastAsia="zh-CN"/>
        </w:rPr>
        <w:t>》（HJ164-2020）</w:t>
      </w:r>
      <w:r>
        <w:rPr>
          <w:rFonts w:hint="default" w:ascii="Times New Roman" w:hAnsi="Times New Roman" w:cs="Times New Roman"/>
          <w:color w:val="auto"/>
          <w:highlight w:val="none"/>
        </w:rPr>
        <w:t>的要求，根据本项目类型、地下水评价等级及前述地下水预测结果，本次</w:t>
      </w:r>
      <w:r>
        <w:rPr>
          <w:rFonts w:hint="default" w:cs="Times New Roman"/>
          <w:color w:val="auto"/>
          <w:highlight w:val="none"/>
          <w:lang w:val="en-US" w:eastAsia="zh-CN"/>
        </w:rPr>
        <w:t>与矿山一起合并</w:t>
      </w:r>
      <w:r>
        <w:rPr>
          <w:rFonts w:hint="default" w:ascii="Times New Roman" w:hAnsi="Times New Roman" w:cs="Times New Roman"/>
          <w:color w:val="auto"/>
          <w:highlight w:val="none"/>
        </w:rPr>
        <w:t>布设</w:t>
      </w:r>
      <w:r>
        <w:rPr>
          <w:rFonts w:hint="default" w:cs="Times New Roman"/>
          <w:color w:val="auto"/>
          <w:highlight w:val="none"/>
          <w:lang w:val="en-US" w:eastAsia="zh-CN"/>
        </w:rPr>
        <w:t>5口</w:t>
      </w:r>
      <w:r>
        <w:rPr>
          <w:rFonts w:hint="default" w:ascii="Times New Roman" w:hAnsi="Times New Roman" w:cs="Times New Roman"/>
          <w:color w:val="auto"/>
          <w:highlight w:val="none"/>
        </w:rPr>
        <w:t>监控井，监控井分别为</w:t>
      </w:r>
      <w:r>
        <w:rPr>
          <w:rFonts w:hint="default" w:cs="Times New Roman"/>
          <w:color w:val="auto"/>
          <w:highlight w:val="none"/>
          <w:lang w:val="en-US" w:eastAsia="zh-CN"/>
        </w:rPr>
        <w:t>选矿厂上游1口（对照监测井）、</w:t>
      </w:r>
      <w:r>
        <w:rPr>
          <w:rFonts w:hint="default" w:cs="Times New Roman"/>
          <w:color w:val="auto"/>
          <w:szCs w:val="24"/>
          <w:highlight w:val="none"/>
          <w:lang w:val="en-US" w:eastAsia="zh-CN"/>
        </w:rPr>
        <w:t>尾矿库上游1口（污染扩散监测井）、尾矿库北侧1口（污染扩散监测井）、采矿区南侧1口（污染扩散监测井）</w:t>
      </w:r>
      <w:r>
        <w:rPr>
          <w:rFonts w:hint="default" w:ascii="Times New Roman" w:hAnsi="Times New Roman" w:cs="Times New Roman"/>
          <w:color w:val="auto"/>
          <w:highlight w:val="none"/>
        </w:rPr>
        <w:t>、</w:t>
      </w:r>
      <w:r>
        <w:rPr>
          <w:rFonts w:hint="default" w:cs="Times New Roman"/>
          <w:color w:val="auto"/>
          <w:highlight w:val="none"/>
          <w:lang w:val="en-US" w:eastAsia="zh-CN"/>
        </w:rPr>
        <w:t>尾矿库下游30~50m处</w:t>
      </w:r>
      <w:r>
        <w:rPr>
          <w:rFonts w:hint="default" w:ascii="Times New Roman" w:hAnsi="Times New Roman" w:cs="Times New Roman"/>
          <w:color w:val="auto"/>
          <w:highlight w:val="none"/>
        </w:rPr>
        <w:t>1口</w:t>
      </w:r>
      <w:r>
        <w:rPr>
          <w:rFonts w:hint="default" w:cs="Times New Roman"/>
          <w:color w:val="auto"/>
          <w:szCs w:val="24"/>
          <w:highlight w:val="none"/>
          <w:lang w:val="en-US" w:eastAsia="zh-CN"/>
        </w:rPr>
        <w:t>（污染扩散监测井）</w:t>
      </w:r>
      <w:r>
        <w:rPr>
          <w:rFonts w:hint="default" w:ascii="Times New Roman" w:hAnsi="Times New Roman" w:cs="Times New Roman"/>
          <w:color w:val="auto"/>
          <w:highlight w:val="none"/>
        </w:rPr>
        <w:t>。</w:t>
      </w:r>
    </w:p>
    <w:p w14:paraId="33DA721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（2）制定地下水跟踪监测计划。地下水跟踪监测项目为地下水水位、水</w:t>
      </w:r>
      <w:r>
        <w:rPr>
          <w:rFonts w:hint="default" w:cs="Times New Roman"/>
          <w:color w:val="auto"/>
          <w:highlight w:val="none"/>
          <w:lang w:eastAsia="zh-CN"/>
        </w:rPr>
        <w:t>质</w:t>
      </w:r>
      <w:r>
        <w:rPr>
          <w:rFonts w:hint="default" w:ascii="Times New Roman" w:hAnsi="Times New Roman" w:cs="Times New Roman"/>
          <w:color w:val="auto"/>
          <w:highlight w:val="none"/>
        </w:rPr>
        <w:t>水温，同时还应测定气温，描述天气情况和降水情况。</w:t>
      </w:r>
    </w:p>
    <w:p w14:paraId="5C1F8A8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水质监测因子包括八大离子、基本水质因子和特征因子。本项目地下水水质监测基本水质因子以pH、硝酸盐、亚硝酸盐、挥发性酚类、氰化物、砷、汞、铬（六价）、总硬度、铅、氯、镉、铁、锰、溶解性总固体、高锰酸盐指数、硫酸盐、氯化物、总石油类等及背景值超标的水质因子为基础，跟踪检测因子包括环境监测的超标因子。</w:t>
      </w:r>
    </w:p>
    <w:p w14:paraId="7F1F9FA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项目区布设监控井，监测频率宜为每年2次，监测一旦发现水质发生异常，应及时通知有关管理部门和当地居民，做好应急防范工作，同时应立即查找</w:t>
      </w:r>
      <w:r>
        <w:rPr>
          <w:rFonts w:hint="default" w:cs="Times New Roman"/>
          <w:color w:val="auto"/>
          <w:highlight w:val="none"/>
          <w:lang w:eastAsia="zh-CN"/>
        </w:rPr>
        <w:t>渗</w:t>
      </w:r>
      <w:r>
        <w:rPr>
          <w:rFonts w:hint="default" w:ascii="Times New Roman" w:hAnsi="Times New Roman" w:cs="Times New Roman"/>
          <w:color w:val="auto"/>
          <w:highlight w:val="none"/>
        </w:rPr>
        <w:t>漏点，进行修补。</w:t>
      </w:r>
    </w:p>
    <w:p w14:paraId="5B3D1EC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（3）管理要求：</w:t>
      </w:r>
    </w:p>
    <w:p w14:paraId="32BE4E3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①项目区环境保护管理部门指派专人负责防治地下水污染管理工作。</w:t>
      </w:r>
    </w:p>
    <w:p w14:paraId="03EAF6F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②企业应指派专人负责地下水环境跟踪监测工作，按上述监控措施委托具有监测资质的单位负责地下水监控工作，并按要求及时分析整理原始资料和负责监测报告的编写工作；</w:t>
      </w:r>
    </w:p>
    <w:p w14:paraId="67489F6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企业应按时（宜每年2次）向环境保护管理部门上报生产运行记录，内容应包括地下水监测报告，排放污染物的种类、数量、浓度，生产设备、管道与管沟、原料及成品贮存与运输装置、污染物贮存与处理装置、事故应急装置等设施的运行状况、跑冒滴漏记录、维护记录等。由项目区环境保护管理部门建立地下水环境跟踪监测数据信息管理系统，编制地下水环境跟踪监测报告并在网站上公示信息，公开内容至少应包括该建设项目的特征因子及其相应的背景监测值和现状监测值。</w:t>
      </w:r>
    </w:p>
    <w:p w14:paraId="6E155D7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（4）技术措施：</w:t>
      </w:r>
    </w:p>
    <w:p w14:paraId="0C1723B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①按照《地下水环境监测技术规范》（HJ164-2020）要求，及时上报监测数据和有关表格。</w:t>
      </w:r>
    </w:p>
    <w:p w14:paraId="34C8CE9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②在日常例行监测中，一旦发现地下水水质监测数据异常，应尽快核查数据，查找异常原因，确保数据的正确性。并将核查过的监测数据通告</w:t>
      </w:r>
      <w:r>
        <w:rPr>
          <w:rFonts w:hint="default" w:ascii="Times New Roman" w:hAnsi="Times New Roman" w:cs="Times New Roman"/>
          <w:color w:val="auto"/>
          <w:szCs w:val="21"/>
          <w:highlight w:val="none"/>
        </w:rPr>
        <w:t>生态环境主管部门</w:t>
      </w:r>
      <w:r>
        <w:rPr>
          <w:rFonts w:hint="default" w:ascii="Times New Roman" w:hAnsi="Times New Roman" w:cs="Times New Roman"/>
          <w:color w:val="auto"/>
          <w:highlight w:val="none"/>
        </w:rPr>
        <w:t>，由专人负责对数据进行分析、核实，并密切关注生产设施的运行情况，为防止地下污染采取措施提供正确可靠的依据、应采取的措施有：</w:t>
      </w:r>
    </w:p>
    <w:p w14:paraId="6489BC7C">
      <w:pPr>
        <w:numPr>
          <w:ilvl w:val="0"/>
          <w:numId w:val="8"/>
        </w:num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了解全区生产是否出现异常情况，出现异常情况的装置、原因。加大随测密度，如监测</w:t>
      </w:r>
      <w:r>
        <w:rPr>
          <w:rFonts w:hint="default" w:cs="Times New Roman"/>
          <w:color w:val="auto"/>
          <w:highlight w:val="none"/>
          <w:lang w:eastAsia="zh-CN"/>
        </w:rPr>
        <w:t>频率</w:t>
      </w:r>
      <w:r>
        <w:rPr>
          <w:rFonts w:hint="default" w:ascii="Times New Roman" w:hAnsi="Times New Roman" w:cs="Times New Roman"/>
          <w:color w:val="auto"/>
          <w:highlight w:val="none"/>
        </w:rPr>
        <w:t>由每季一次临时加密为每大一次成更多，连续多大，分析变化动向；</w:t>
      </w:r>
    </w:p>
    <w:p w14:paraId="5918536A">
      <w:pPr>
        <w:numPr>
          <w:ilvl w:val="0"/>
          <w:numId w:val="8"/>
        </w:num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定期对污染区的装置等进行检查。</w:t>
      </w:r>
    </w:p>
    <w:p w14:paraId="6AF8CEB1">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6.2.3.2地下水污染事故应急预案和应急处置</w:t>
      </w:r>
      <w:bookmarkEnd w:id="845"/>
    </w:p>
    <w:p w14:paraId="11330D9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在制定选厂环境管理体制的基础上，制订专门的地下水污染事故的应急措施，并应与其它应急预案相协调。地下水应急预案应包括以下内容：</w:t>
      </w:r>
    </w:p>
    <w:p w14:paraId="51E66C0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①应急预案的日常协调和指挥机构；</w:t>
      </w:r>
    </w:p>
    <w:p w14:paraId="4F284B1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②相关部门在应急预案中的职责和分工；</w:t>
      </w:r>
    </w:p>
    <w:p w14:paraId="14EBEC6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③地下水环境保护目标的确定，采取的紧急处置措施和潜在污染源评估；</w:t>
      </w:r>
    </w:p>
    <w:p w14:paraId="7BA431B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④特大事故应急救援组织状况和人员、装备情况，平常的训练和演习；</w:t>
      </w:r>
    </w:p>
    <w:p w14:paraId="264672F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⑤特大事故的社会支持和援助，应急救援的经费保障。</w:t>
      </w:r>
    </w:p>
    <w:p w14:paraId="496BCA7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一旦发现地下水发生异常情况，必须按照应急预案马上采取紧急措施：</w:t>
      </w:r>
    </w:p>
    <w:p w14:paraId="14FA55A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①当确定发生地下水异常情况时，按照制订的地下水应急预案，</w:t>
      </w:r>
      <w:r>
        <w:rPr>
          <w:rFonts w:hint="default" w:cs="Times New Roman"/>
          <w:color w:val="auto"/>
          <w:highlight w:val="none"/>
          <w:lang w:eastAsia="zh-CN"/>
        </w:rPr>
        <w:t>在第一时间</w:t>
      </w:r>
      <w:r>
        <w:rPr>
          <w:rFonts w:hint="default" w:ascii="Times New Roman" w:hAnsi="Times New Roman" w:cs="Times New Roman"/>
          <w:color w:val="auto"/>
          <w:highlight w:val="none"/>
        </w:rPr>
        <w:t>尽快上报公司主管领导，并及时向有关政府部门报告，通知附近地下水用户，密切关注地下水水质变化情况。</w:t>
      </w:r>
    </w:p>
    <w:p w14:paraId="1CAAFD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组织专业队伍对事故现场进行调查、监测，查找环境事故发生点、分析事故原因，尽量将紧急事件局部化，如可能应予以消除，采取包括切断生产装置或设施等措施，防止事故的扩散、蔓延及连锁反应，尽量缩小地下水污染事故对人员和财产的影响。</w:t>
      </w:r>
    </w:p>
    <w:p w14:paraId="7EA3BE5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③对事故后果进行评估，并制定防止类似事件发生的措施。</w:t>
      </w:r>
    </w:p>
    <w:p w14:paraId="2B0EF63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④必要时应请求社会应急力量协助处理。</w:t>
      </w:r>
    </w:p>
    <w:p w14:paraId="3174F03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地下水污染具有不易被发现和一旦发生污染事故很难治理的特点，因此，防止地下水污染应遵循源头控制、分区防治、污染监测及事故应急处理的主动及被动相结合的原则。</w:t>
      </w:r>
    </w:p>
    <w:p w14:paraId="52688B2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地下水污染调查及污染修复是一项专业性较强的工作，一旦发生污染事故，应委托具有地下水及土壤污染治理能力及污染事故处理经验的单位查明并修复污染地区地下水及土壤修复。</w:t>
      </w:r>
    </w:p>
    <w:p w14:paraId="379B21E1">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由以上预测分析可知，在采取</w:t>
      </w:r>
      <w:r>
        <w:rPr>
          <w:rFonts w:hint="default" w:cs="Times New Roman"/>
          <w:color w:val="auto"/>
          <w:highlight w:val="none"/>
          <w:lang w:eastAsia="zh-CN"/>
        </w:rPr>
        <w:t>以上</w:t>
      </w:r>
      <w:r>
        <w:rPr>
          <w:rFonts w:hint="default" w:ascii="Times New Roman" w:hAnsi="Times New Roman" w:cs="Times New Roman"/>
          <w:color w:val="auto"/>
          <w:highlight w:val="none"/>
        </w:rPr>
        <w:t>环境保护措施的情况下，该项目不会对当地地下水产生影响。</w:t>
      </w:r>
    </w:p>
    <w:p w14:paraId="16B38511">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6.2.3.3全厂分区防渗措施</w:t>
      </w:r>
    </w:p>
    <w:p w14:paraId="71A46AF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地面防渗工程设计原则：</w:t>
      </w:r>
    </w:p>
    <w:p w14:paraId="1117083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（1）采用国际国内先进的防渗材料、技术和实施手段，确保工程建设对区域内地下水影响最小，确保地下水现有水体功能。</w:t>
      </w:r>
    </w:p>
    <w:p w14:paraId="6C6FB6E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（2）坚持分区管理和控制原则，根据场址所在地的工程地质、水文地质条件和全厂可能发生泄漏的物料性质、排放量，参照相应标准要求有针对性</w:t>
      </w:r>
      <w:r>
        <w:rPr>
          <w:rFonts w:hint="default" w:cs="Times New Roman"/>
          <w:color w:val="auto"/>
          <w:highlight w:val="none"/>
          <w:lang w:eastAsia="zh-CN"/>
        </w:rPr>
        <w:t>地</w:t>
      </w:r>
      <w:r>
        <w:rPr>
          <w:rFonts w:hint="default" w:ascii="Times New Roman" w:hAnsi="Times New Roman" w:cs="Times New Roman"/>
          <w:color w:val="auto"/>
          <w:highlight w:val="none"/>
        </w:rPr>
        <w:t>分区，并分别设计地面防渗层结构。</w:t>
      </w:r>
    </w:p>
    <w:p w14:paraId="6AE2C72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（3）坚持“可视化”原则，在满足工程和防渗层结构标准要求的前提下，尽量在地表面实施防渗措施，便于泄漏物质的收集和及时发现破损的防渗层。</w:t>
      </w:r>
    </w:p>
    <w:p w14:paraId="769ABF6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cs="Times New Roman"/>
          <w:color w:val="auto"/>
          <w:highlight w:val="none"/>
          <w:lang w:eastAsia="zh-CN"/>
        </w:rPr>
        <w:t>）在</w:t>
      </w:r>
      <w:r>
        <w:rPr>
          <w:rFonts w:hint="default" w:ascii="Times New Roman" w:hAnsi="Times New Roman" w:cs="Times New Roman"/>
          <w:color w:val="auto"/>
          <w:highlight w:val="none"/>
        </w:rPr>
        <w:t>可能泄漏危险废物的重点污染防治区设置检漏设施。</w:t>
      </w:r>
    </w:p>
    <w:p w14:paraId="1089AEE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（5）防渗层上渗漏污染物和防渗层内渗漏污染物收集系统与全厂“三废”处理措施统筹考虑，统一处理。</w:t>
      </w:r>
    </w:p>
    <w:p w14:paraId="249B659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本项目区应划分为非污染区和污染区，污染区分为简单防渗区、一般防渗区和重点防渗区。非污染区可不进行防渗处理，污染区则应按照不同分区要求，采取不同等级的防渗措施，并确保其可靠性和有效性。</w:t>
      </w:r>
    </w:p>
    <w:p w14:paraId="2DED355E">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重点防渗区：</w:t>
      </w:r>
    </w:p>
    <w:p w14:paraId="6B68A8F8">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重点防渗区地面采用水泥硬化或钢筋混凝土结构严格防渗、防腐和防爆措施，周围须设置具有强防渗性的围堰和导流渠。防渗要求需保证防渗性能不低于6米厚、渗透系数不大于10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cm/s的黏土层防渗性能。</w:t>
      </w:r>
    </w:p>
    <w:p w14:paraId="5E66DC57">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一般防渗区：</w:t>
      </w:r>
    </w:p>
    <w:p w14:paraId="7913E181">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除重点防渗区外的其它区域等非污染防治区，防渗要求需保证防渗性能不低于1.5米厚、渗透系数不大于10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cm/s的黏土层防渗性能。</w:t>
      </w:r>
    </w:p>
    <w:p w14:paraId="003E7BC3">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本项目将危废暂存间、</w:t>
      </w:r>
      <w:r>
        <w:rPr>
          <w:rFonts w:hint="default" w:ascii="Times New Roman" w:hAnsi="Times New Roman" w:eastAsia="宋体" w:cs="Times New Roman"/>
          <w:color w:val="auto"/>
          <w:sz w:val="24"/>
          <w:highlight w:val="none"/>
          <w:lang w:eastAsia="zh-CN"/>
        </w:rPr>
        <w:t>尾矿库</w:t>
      </w:r>
      <w:r>
        <w:rPr>
          <w:rFonts w:hint="default" w:ascii="Times New Roman" w:hAnsi="Times New Roman" w:eastAsia="宋体" w:cs="Times New Roman"/>
          <w:color w:val="auto"/>
          <w:sz w:val="24"/>
          <w:highlight w:val="none"/>
        </w:rPr>
        <w:t>等设为重点防渗区，原矿堆场、原矿仓</w:t>
      </w:r>
      <w:r>
        <w:rPr>
          <w:rFonts w:hint="default"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设为一般防渗区，办公生活区等设为简单防渗区。</w:t>
      </w:r>
    </w:p>
    <w:p w14:paraId="59E9E82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本项目防渗分区划分、防渗措施及等级见表6.2-2、分区防渗图见图6.2-2。</w:t>
      </w:r>
    </w:p>
    <w:p w14:paraId="26B207C1">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表6.2-2    本项目污染区划分及防渗要求一览表</w:t>
      </w:r>
    </w:p>
    <w:tbl>
      <w:tblPr>
        <w:tblStyle w:val="34"/>
        <w:tblW w:w="9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028"/>
        <w:gridCol w:w="2499"/>
        <w:gridCol w:w="3265"/>
      </w:tblGrid>
      <w:tr w14:paraId="25C8F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82" w:type="dxa"/>
            <w:vAlign w:val="center"/>
          </w:tcPr>
          <w:p w14:paraId="519C8229">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防渗分区</w:t>
            </w:r>
          </w:p>
        </w:tc>
        <w:tc>
          <w:tcPr>
            <w:tcW w:w="2028" w:type="dxa"/>
            <w:vAlign w:val="center"/>
          </w:tcPr>
          <w:p w14:paraId="78192C7F">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定义</w:t>
            </w:r>
          </w:p>
        </w:tc>
        <w:tc>
          <w:tcPr>
            <w:tcW w:w="2499" w:type="dxa"/>
            <w:vAlign w:val="center"/>
          </w:tcPr>
          <w:p w14:paraId="79232D29">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厂内分区</w:t>
            </w:r>
          </w:p>
        </w:tc>
        <w:tc>
          <w:tcPr>
            <w:tcW w:w="3265" w:type="dxa"/>
            <w:vAlign w:val="center"/>
          </w:tcPr>
          <w:p w14:paraId="2F6875EC">
            <w:pPr>
              <w:spacing w:line="360" w:lineRule="exact"/>
              <w:ind w:firstLine="422"/>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防渗要求</w:t>
            </w:r>
          </w:p>
        </w:tc>
      </w:tr>
      <w:tr w14:paraId="6BBBF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415973B8">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2028" w:type="dxa"/>
            <w:vAlign w:val="center"/>
          </w:tcPr>
          <w:p w14:paraId="68587928">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危害性大、毒性较大的生产装置区、物料储罐区、危险废物暂存区等</w:t>
            </w:r>
          </w:p>
        </w:tc>
        <w:tc>
          <w:tcPr>
            <w:tcW w:w="2499" w:type="dxa"/>
            <w:vAlign w:val="center"/>
          </w:tcPr>
          <w:p w14:paraId="3805CEB1">
            <w:pPr>
              <w:spacing w:line="360" w:lineRule="exact"/>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危废</w:t>
            </w:r>
            <w:r>
              <w:rPr>
                <w:rFonts w:hint="default" w:cs="Times New Roman"/>
                <w:color w:val="auto"/>
                <w:sz w:val="21"/>
                <w:szCs w:val="21"/>
                <w:highlight w:val="none"/>
                <w:lang w:val="en-US" w:eastAsia="zh-CN"/>
              </w:rPr>
              <w:t>贮存点</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highlight w:val="none"/>
                <w:lang w:bidi="ar"/>
              </w:rPr>
              <w:t>药剂</w:t>
            </w:r>
            <w:r>
              <w:rPr>
                <w:rFonts w:hint="default" w:ascii="Times New Roman" w:hAnsi="Times New Roman" w:cs="Times New Roman"/>
                <w:color w:val="auto"/>
                <w:kern w:val="0"/>
                <w:sz w:val="21"/>
                <w:highlight w:val="none"/>
                <w:lang w:eastAsia="zh-CN" w:bidi="ar"/>
              </w:rPr>
              <w:t>库、尾矿库、生产回水池、</w:t>
            </w:r>
            <w:r>
              <w:rPr>
                <w:rFonts w:hint="default" w:ascii="Times New Roman" w:hAnsi="Times New Roman" w:cs="Times New Roman"/>
                <w:color w:val="auto"/>
                <w:kern w:val="0"/>
                <w:sz w:val="21"/>
                <w:highlight w:val="none"/>
                <w:lang w:val="en-US" w:eastAsia="zh-CN" w:bidi="ar"/>
              </w:rPr>
              <w:t>生活污水处理设施、</w:t>
            </w:r>
            <w:r>
              <w:rPr>
                <w:rFonts w:hint="default" w:ascii="Times New Roman" w:hAnsi="Times New Roman" w:cs="Times New Roman"/>
                <w:color w:val="auto"/>
                <w:kern w:val="0"/>
                <w:sz w:val="21"/>
                <w:highlight w:val="none"/>
                <w:lang w:eastAsia="zh-CN" w:bidi="ar"/>
              </w:rPr>
              <w:t>磨矿分级厂房、浮选厂房、精矿脱水厂房</w:t>
            </w:r>
            <w:r>
              <w:rPr>
                <w:rFonts w:hint="default" w:cs="Times New Roman"/>
                <w:color w:val="auto"/>
                <w:kern w:val="0"/>
                <w:sz w:val="21"/>
                <w:highlight w:val="none"/>
                <w:lang w:eastAsia="zh-CN" w:bidi="ar"/>
              </w:rPr>
              <w:t>、</w:t>
            </w:r>
            <w:r>
              <w:rPr>
                <w:rFonts w:hint="default" w:cs="Times New Roman"/>
                <w:color w:val="auto"/>
                <w:kern w:val="0"/>
                <w:sz w:val="21"/>
                <w:highlight w:val="none"/>
                <w:lang w:val="en-US" w:eastAsia="zh-CN" w:bidi="ar"/>
              </w:rPr>
              <w:t>机修间、箱变</w:t>
            </w:r>
            <w:r>
              <w:rPr>
                <w:rFonts w:hint="default" w:ascii="Times New Roman" w:hAnsi="Times New Roman" w:cs="Times New Roman"/>
                <w:color w:val="auto"/>
                <w:sz w:val="21"/>
                <w:szCs w:val="21"/>
                <w:highlight w:val="none"/>
              </w:rPr>
              <w:t>等</w:t>
            </w:r>
          </w:p>
        </w:tc>
        <w:tc>
          <w:tcPr>
            <w:tcW w:w="3265" w:type="dxa"/>
            <w:vAlign w:val="center"/>
          </w:tcPr>
          <w:p w14:paraId="192EED24">
            <w:pPr>
              <w:spacing w:line="360" w:lineRule="exact"/>
              <w:ind w:firstLine="0" w:firstLineChars="0"/>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保证防渗性能不低于6米厚、渗透系数不大于10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cm/s的黏土层防渗性能。</w:t>
            </w:r>
          </w:p>
        </w:tc>
      </w:tr>
      <w:tr w14:paraId="7F820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03F74973">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2028" w:type="dxa"/>
            <w:vAlign w:val="center"/>
          </w:tcPr>
          <w:p w14:paraId="15E57DEB">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无毒性或毒性小的生产装置区、装置区外管廊区</w:t>
            </w:r>
          </w:p>
        </w:tc>
        <w:tc>
          <w:tcPr>
            <w:tcW w:w="2499" w:type="dxa"/>
            <w:vAlign w:val="center"/>
          </w:tcPr>
          <w:p w14:paraId="148A1772">
            <w:pPr>
              <w:spacing w:line="360" w:lineRule="exact"/>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kern w:val="0"/>
                <w:sz w:val="21"/>
                <w:highlight w:val="none"/>
                <w:lang w:bidi="ar"/>
              </w:rPr>
              <w:t>原矿堆场、原矿仓、</w:t>
            </w:r>
            <w:r>
              <w:rPr>
                <w:rFonts w:hint="default" w:ascii="Times New Roman" w:hAnsi="Times New Roman" w:cs="Times New Roman"/>
                <w:color w:val="auto"/>
                <w:kern w:val="0"/>
                <w:sz w:val="21"/>
                <w:highlight w:val="none"/>
                <w:lang w:eastAsia="zh-CN" w:bidi="ar"/>
              </w:rPr>
              <w:t>粗碎厂房、中细碎厂房、筛分厂房</w:t>
            </w:r>
          </w:p>
        </w:tc>
        <w:tc>
          <w:tcPr>
            <w:tcW w:w="3265" w:type="dxa"/>
            <w:vAlign w:val="center"/>
          </w:tcPr>
          <w:p w14:paraId="48D52EBF">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保证防渗性能不低于1.5米厚、渗透系数不大于10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cm/s的黏土层防渗性能。</w:t>
            </w:r>
          </w:p>
        </w:tc>
      </w:tr>
      <w:tr w14:paraId="7724F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2BA24A6F">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简单防渗区</w:t>
            </w:r>
          </w:p>
        </w:tc>
        <w:tc>
          <w:tcPr>
            <w:tcW w:w="2028" w:type="dxa"/>
            <w:vAlign w:val="center"/>
          </w:tcPr>
          <w:p w14:paraId="7C454550">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除污染区的其余区域</w:t>
            </w:r>
          </w:p>
        </w:tc>
        <w:tc>
          <w:tcPr>
            <w:tcW w:w="2499" w:type="dxa"/>
            <w:vAlign w:val="center"/>
          </w:tcPr>
          <w:p w14:paraId="4A9305D8">
            <w:pPr>
              <w:spacing w:line="360" w:lineRule="exact"/>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办公生活区</w:t>
            </w:r>
            <w:r>
              <w:rPr>
                <w:rFonts w:hint="default" w:ascii="Times New Roman" w:hAnsi="Times New Roman" w:cs="Times New Roman"/>
                <w:color w:val="auto"/>
                <w:kern w:val="0"/>
                <w:sz w:val="21"/>
                <w:highlight w:val="none"/>
                <w:lang w:bidi="ar"/>
              </w:rPr>
              <w:t>、</w:t>
            </w:r>
            <w:r>
              <w:rPr>
                <w:rFonts w:hint="default" w:ascii="Times New Roman" w:hAnsi="Times New Roman" w:cs="Times New Roman"/>
                <w:color w:val="auto"/>
                <w:kern w:val="0"/>
                <w:sz w:val="21"/>
                <w:highlight w:val="none"/>
                <w:lang w:eastAsia="zh-CN" w:bidi="ar"/>
              </w:rPr>
              <w:t>厂内道路</w:t>
            </w:r>
          </w:p>
        </w:tc>
        <w:tc>
          <w:tcPr>
            <w:tcW w:w="3265" w:type="dxa"/>
            <w:vAlign w:val="center"/>
          </w:tcPr>
          <w:p w14:paraId="2310CF2A">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进行地面硬化</w:t>
            </w:r>
          </w:p>
        </w:tc>
      </w:tr>
    </w:tbl>
    <w:p w14:paraId="089C4DAB">
      <w:pPr>
        <w:pStyle w:val="4"/>
        <w:rPr>
          <w:rFonts w:hint="default" w:ascii="Times New Roman" w:hAnsi="Times New Roman" w:cs="Times New Roman"/>
          <w:color w:val="auto"/>
          <w:highlight w:val="none"/>
        </w:rPr>
      </w:pPr>
      <w:bookmarkStart w:id="846" w:name="_Toc12561"/>
      <w:bookmarkStart w:id="847" w:name="_Toc8527"/>
      <w:bookmarkStart w:id="848" w:name="_Toc20657"/>
      <w:r>
        <w:rPr>
          <w:rFonts w:hint="default" w:ascii="Times New Roman" w:hAnsi="Times New Roman" w:cs="Times New Roman"/>
          <w:color w:val="auto"/>
          <w:highlight w:val="none"/>
        </w:rPr>
        <w:t>6.2.4噪声污染防治措施</w:t>
      </w:r>
      <w:bookmarkEnd w:id="846"/>
      <w:bookmarkEnd w:id="847"/>
      <w:bookmarkEnd w:id="848"/>
    </w:p>
    <w:p w14:paraId="5CA5820A">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为进一步防止高噪声设备对职工及周围环境的影响，针对本项目噪声源噪声强度大，连续生产等特点，评价提出本项目的噪声防治措施主要注意以下几项内容：</w:t>
      </w:r>
    </w:p>
    <w:p w14:paraId="71AF70FF">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1</w:t>
      </w:r>
      <w:r>
        <w:rPr>
          <w:rFonts w:hint="default" w:ascii="Times New Roman" w:hAnsi="Times New Roman" w:cs="Times New Roman"/>
          <w:color w:val="auto"/>
          <w:kern w:val="0"/>
          <w:highlight w:val="none"/>
          <w:lang w:val="zh-CN"/>
        </w:rPr>
        <w:t>）隔声措施：球磨机、磁选机和高频分级筛等主要噪声设备需要安装在隔音厂房内。</w:t>
      </w:r>
    </w:p>
    <w:p w14:paraId="779FFAD2">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2</w:t>
      </w:r>
      <w:r>
        <w:rPr>
          <w:rFonts w:hint="default" w:ascii="Times New Roman" w:hAnsi="Times New Roman" w:cs="Times New Roman"/>
          <w:color w:val="auto"/>
          <w:kern w:val="0"/>
          <w:highlight w:val="none"/>
          <w:lang w:val="zh-CN"/>
        </w:rPr>
        <w:t>）减振措施：主要以多孔介质做减振垫，可使声源振动强度减弱，频率降低。</w:t>
      </w:r>
    </w:p>
    <w:p w14:paraId="1F97A7A5">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3</w:t>
      </w:r>
      <w:r>
        <w:rPr>
          <w:rFonts w:hint="default" w:ascii="Times New Roman" w:hAnsi="Times New Roman" w:cs="Times New Roman"/>
          <w:color w:val="auto"/>
          <w:kern w:val="0"/>
          <w:highlight w:val="none"/>
          <w:lang w:val="zh-CN"/>
        </w:rPr>
        <w:t>）加强操作人员的劳动保护，为其发放特制耳塞、耳罩，并设置操作人员值班室，避免操作人员长期处于高噪声环境中，从噪声受体保护方面减轻污染。</w:t>
      </w:r>
    </w:p>
    <w:p w14:paraId="41C2CA69">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4</w:t>
      </w:r>
      <w:r>
        <w:rPr>
          <w:rFonts w:hint="default" w:ascii="Times New Roman" w:hAnsi="Times New Roman" w:cs="Times New Roman"/>
          <w:color w:val="auto"/>
          <w:kern w:val="0"/>
          <w:highlight w:val="none"/>
          <w:lang w:val="zh-CN"/>
        </w:rPr>
        <w:t>）重视绿化工作也是噪声防治的一项积极措施。绿化不仅可以美化环境。而且还可以</w:t>
      </w:r>
      <w:r>
        <w:rPr>
          <w:rFonts w:hint="default" w:cs="Times New Roman"/>
          <w:color w:val="auto"/>
          <w:kern w:val="0"/>
          <w:highlight w:val="none"/>
          <w:lang w:val="zh-CN"/>
        </w:rPr>
        <w:t>阻止</w:t>
      </w:r>
      <w:r>
        <w:rPr>
          <w:rFonts w:hint="default" w:ascii="Times New Roman" w:hAnsi="Times New Roman" w:cs="Times New Roman"/>
          <w:color w:val="auto"/>
          <w:kern w:val="0"/>
          <w:highlight w:val="none"/>
          <w:lang w:val="zh-CN"/>
        </w:rPr>
        <w:t>噪声传播。本项目绿化的重点是厂内重点产噪工段及厂界四周的绿化隔离带。</w:t>
      </w:r>
    </w:p>
    <w:p w14:paraId="0B98B4A6">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5</w:t>
      </w:r>
      <w:r>
        <w:rPr>
          <w:rFonts w:hint="default" w:ascii="Times New Roman" w:hAnsi="Times New Roman" w:cs="Times New Roman"/>
          <w:color w:val="auto"/>
          <w:kern w:val="0"/>
          <w:highlight w:val="none"/>
          <w:lang w:val="zh-CN"/>
        </w:rPr>
        <w:t>）合理的平面布置</w:t>
      </w:r>
    </w:p>
    <w:p w14:paraId="4ED9FC5D">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rPr>
        <w:t>办公生活区</w:t>
      </w:r>
      <w:r>
        <w:rPr>
          <w:rFonts w:hint="default" w:ascii="Times New Roman" w:hAnsi="Times New Roman" w:cs="Times New Roman"/>
          <w:color w:val="auto"/>
          <w:kern w:val="0"/>
          <w:highlight w:val="none"/>
          <w:lang w:val="zh-CN"/>
        </w:rPr>
        <w:t>远离生产厂房及外运道路，并处于最小风频风向的下风向。</w:t>
      </w:r>
    </w:p>
    <w:p w14:paraId="285BD9FD">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通过以上防护措施的落实，可使项目生产运行期厂界噪声进一步下降，达到环境噪声标准的要求。</w:t>
      </w:r>
    </w:p>
    <w:p w14:paraId="5E481DDA">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6.2.5固体废物处理措施</w:t>
      </w:r>
      <w:bookmarkEnd w:id="837"/>
      <w:bookmarkEnd w:id="838"/>
      <w:bookmarkEnd w:id="839"/>
    </w:p>
    <w:p w14:paraId="6D5DFD0E">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6.2.5.1固体废物处置措施</w:t>
      </w:r>
    </w:p>
    <w:p w14:paraId="7004838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运营期固体废物主要来源于选矿工序产生的</w:t>
      </w:r>
      <w:r>
        <w:rPr>
          <w:rFonts w:hint="default" w:ascii="Times New Roman" w:hAnsi="Times New Roman" w:cs="Times New Roman"/>
          <w:color w:val="auto"/>
          <w:highlight w:val="none"/>
        </w:rPr>
        <w:t>尾矿、除尘灰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生产回水池底泥、</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矿物油及废油桶、</w:t>
      </w:r>
      <w:r>
        <w:rPr>
          <w:rFonts w:hint="default" w:ascii="Times New Roman" w:hAnsi="Times New Roman" w:cs="Times New Roman"/>
          <w:color w:val="auto"/>
          <w:highlight w:val="none"/>
        </w:rPr>
        <w:t>沾染毒性废弃包装物、生活污水处理设施底泥及生活垃圾</w:t>
      </w:r>
      <w:r>
        <w:rPr>
          <w:rFonts w:hint="default" w:ascii="Times New Roman" w:hAnsi="Times New Roman" w:cs="Times New Roman"/>
          <w:color w:val="auto"/>
          <w:kern w:val="0"/>
          <w:highlight w:val="none"/>
        </w:rPr>
        <w:t>。</w:t>
      </w:r>
    </w:p>
    <w:p w14:paraId="315A1E3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（1）尾矿砂</w:t>
      </w:r>
    </w:p>
    <w:p w14:paraId="25BAC17A">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本项目尾矿砂产生量为</w:t>
      </w:r>
      <w:r>
        <w:rPr>
          <w:rFonts w:hint="default" w:ascii="Times New Roman" w:hAnsi="Times New Roman" w:cs="Times New Roman"/>
          <w:color w:val="auto"/>
          <w:highlight w:val="none"/>
        </w:rPr>
        <w:t>14.5</w:t>
      </w:r>
      <w:r>
        <w:rPr>
          <w:rFonts w:hint="default" w:cs="Times New Roman"/>
          <w:color w:val="auto"/>
          <w:highlight w:val="none"/>
          <w:lang w:val="en-US" w:eastAsia="zh-CN"/>
        </w:rPr>
        <w:t>8</w:t>
      </w:r>
      <w:r>
        <w:rPr>
          <w:rFonts w:hint="default" w:ascii="Times New Roman" w:hAnsi="Times New Roman" w:cs="Times New Roman"/>
          <w:color w:val="auto"/>
          <w:highlight w:val="none"/>
        </w:rPr>
        <w:t>万t/a</w:t>
      </w:r>
      <w:r>
        <w:rPr>
          <w:rFonts w:hint="default" w:ascii="Times New Roman" w:hAnsi="Times New Roman" w:cs="Times New Roman"/>
          <w:color w:val="auto"/>
          <w:kern w:val="0"/>
          <w:highlight w:val="none"/>
        </w:rPr>
        <w:t>。</w:t>
      </w:r>
      <w:r>
        <w:rPr>
          <w:rFonts w:hint="default" w:cs="Times New Roman"/>
          <w:color w:val="auto"/>
          <w:kern w:val="0"/>
          <w:highlight w:val="none"/>
          <w:lang w:val="en-US" w:eastAsia="zh-CN"/>
        </w:rPr>
        <w:t>根据设计资料，本项目</w:t>
      </w:r>
      <w:r>
        <w:rPr>
          <w:rFonts w:hint="default" w:ascii="Times New Roman" w:hAnsi="Times New Roman" w:cs="Times New Roman"/>
          <w:color w:val="auto"/>
          <w:highlight w:val="none"/>
        </w:rPr>
        <w:t>选矿厂排出的尾砂</w:t>
      </w:r>
      <w:r>
        <w:rPr>
          <w:rFonts w:hint="default" w:cs="Times New Roman"/>
          <w:color w:val="auto"/>
          <w:highlight w:val="none"/>
          <w:lang w:val="en-US" w:eastAsia="zh-CN"/>
        </w:rPr>
        <w:t>有8.88万</w:t>
      </w:r>
      <w:r>
        <w:rPr>
          <w:rFonts w:hint="default" w:ascii="Times New Roman" w:hAnsi="Times New Roman" w:cs="Times New Roman"/>
          <w:color w:val="auto"/>
          <w:highlight w:val="none"/>
        </w:rPr>
        <w:t>t/a用于井下充填，</w:t>
      </w:r>
      <w:r>
        <w:rPr>
          <w:rFonts w:hint="default" w:ascii="Times New Roman" w:hAnsi="Times New Roman" w:cs="Times New Roman"/>
          <w:color w:val="auto"/>
          <w:highlight w:val="none"/>
          <w:lang w:val="en-US" w:eastAsia="zh-CN"/>
        </w:rPr>
        <w:t>剩余部分</w:t>
      </w:r>
      <w:r>
        <w:rPr>
          <w:rFonts w:hint="default" w:cs="Times New Roman"/>
          <w:color w:val="auto"/>
          <w:highlight w:val="none"/>
          <w:lang w:val="en-US" w:eastAsia="zh-CN"/>
        </w:rPr>
        <w:t>5.7万</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排入尾矿库堆存，</w:t>
      </w:r>
      <w:r>
        <w:rPr>
          <w:rFonts w:hint="default" w:cs="Times New Roman"/>
          <w:color w:val="auto"/>
          <w:kern w:val="0"/>
          <w:highlight w:val="none"/>
          <w:lang w:val="en-US" w:eastAsia="zh-CN"/>
        </w:rPr>
        <w:t>尾砂利用率为60.9%，因此</w:t>
      </w:r>
      <w:r>
        <w:rPr>
          <w:rFonts w:hint="default" w:ascii="Times New Roman" w:hAnsi="Times New Roman" w:cs="Times New Roman"/>
          <w:color w:val="auto"/>
          <w:kern w:val="0"/>
          <w:highlight w:val="none"/>
        </w:rPr>
        <w:t>本项目的尾砂利用措施合理可行，符合《一般工业固体废物贮存和填埋污染控制标准》（GB18599-2020）的要求。</w:t>
      </w:r>
    </w:p>
    <w:p w14:paraId="229A4B7D">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（2）除尘灰</w:t>
      </w:r>
    </w:p>
    <w:p w14:paraId="23F521E7">
      <w:pPr>
        <w:autoSpaceDE w:val="0"/>
        <w:autoSpaceDN w:val="0"/>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8"/>
          <w:highlight w:val="none"/>
        </w:rPr>
        <w:t>本项目</w:t>
      </w:r>
      <w:r>
        <w:rPr>
          <w:rFonts w:hint="default" w:ascii="Times New Roman" w:hAnsi="Times New Roman" w:eastAsia="宋体" w:cs="Times New Roman"/>
          <w:color w:val="auto"/>
          <w:sz w:val="24"/>
          <w:highlight w:val="none"/>
          <w:lang w:val="en-US" w:eastAsia="zh-CN"/>
        </w:rPr>
        <w:t>破碎、</w:t>
      </w:r>
      <w:r>
        <w:rPr>
          <w:rFonts w:hint="default" w:ascii="Times New Roman" w:hAnsi="Times New Roman" w:cs="Times New Roman"/>
          <w:color w:val="auto"/>
          <w:sz w:val="24"/>
          <w:highlight w:val="none"/>
          <w:lang w:val="en-US" w:eastAsia="zh-CN"/>
        </w:rPr>
        <w:t>筛分工段</w:t>
      </w:r>
      <w:r>
        <w:rPr>
          <w:rFonts w:hint="default" w:ascii="Times New Roman" w:hAnsi="Times New Roman" w:eastAsia="宋体" w:cs="Times New Roman"/>
          <w:color w:val="auto"/>
          <w:sz w:val="24"/>
          <w:szCs w:val="28"/>
          <w:highlight w:val="none"/>
        </w:rPr>
        <w:t>配套除尘器</w:t>
      </w:r>
      <w:r>
        <w:rPr>
          <w:rFonts w:hint="default" w:ascii="Times New Roman" w:hAnsi="Times New Roman" w:eastAsia="宋体" w:cs="Times New Roman"/>
          <w:color w:val="auto"/>
          <w:sz w:val="24"/>
          <w:szCs w:val="28"/>
          <w:highlight w:val="none"/>
          <w:lang w:eastAsia="zh-CN"/>
        </w:rPr>
        <w:t>组</w:t>
      </w:r>
      <w:r>
        <w:rPr>
          <w:rFonts w:hint="default" w:ascii="Times New Roman" w:hAnsi="Times New Roman" w:eastAsia="宋体" w:cs="Times New Roman"/>
          <w:color w:val="auto"/>
          <w:sz w:val="24"/>
          <w:szCs w:val="28"/>
          <w:highlight w:val="none"/>
        </w:rPr>
        <w:t>收集的粉尘</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cs="Times New Roman"/>
          <w:color w:val="auto"/>
          <w:szCs w:val="22"/>
          <w:highlight w:val="none"/>
        </w:rPr>
        <w:t>该部分固废属于</w:t>
      </w:r>
      <w:r>
        <w:rPr>
          <w:rFonts w:hint="default" w:ascii="Times New Roman" w:hAnsi="Times New Roman" w:eastAsia="宋体" w:cs="Times New Roman"/>
          <w:color w:val="auto"/>
          <w:sz w:val="24"/>
          <w:szCs w:val="28"/>
          <w:highlight w:val="none"/>
          <w:lang w:eastAsia="zh-CN"/>
        </w:rPr>
        <w:t>一般工业固体废物</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代码：SW59</w:t>
      </w:r>
      <w:r>
        <w:rPr>
          <w:rFonts w:hint="default" w:ascii="Times New Roman" w:hAnsi="Times New Roman" w:eastAsia="宋体" w:cs="Times New Roman"/>
          <w:color w:val="auto"/>
          <w:sz w:val="24"/>
          <w:szCs w:val="28"/>
          <w:highlight w:val="none"/>
          <w:lang w:val="en-US" w:eastAsia="zh-CN"/>
        </w:rPr>
        <w:t xml:space="preserve"> 900-099-S59</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产生量为</w:t>
      </w:r>
      <w:r>
        <w:rPr>
          <w:rFonts w:hint="default" w:cs="Times New Roman"/>
          <w:color w:val="auto"/>
          <w:sz w:val="24"/>
          <w:szCs w:val="28"/>
          <w:highlight w:val="none"/>
          <w:lang w:val="en-US" w:eastAsia="zh-CN"/>
        </w:rPr>
        <w:t>33.41</w:t>
      </w:r>
      <w:r>
        <w:rPr>
          <w:rFonts w:hint="default" w:ascii="Times New Roman" w:hAnsi="Times New Roman" w:eastAsia="宋体" w:cs="Times New Roman"/>
          <w:color w:val="auto"/>
          <w:sz w:val="24"/>
          <w:szCs w:val="28"/>
          <w:highlight w:val="none"/>
        </w:rPr>
        <w:t>t/a</w:t>
      </w:r>
      <w:r>
        <w:rPr>
          <w:rFonts w:hint="default" w:ascii="Times New Roman" w:hAnsi="Times New Roman" w:cs="Times New Roman"/>
          <w:color w:val="auto"/>
          <w:highlight w:val="none"/>
        </w:rPr>
        <w:t>，通过除尘器灰斗收集后回用于选矿生产，不外排。</w:t>
      </w:r>
    </w:p>
    <w:p w14:paraId="03EA2B14">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生产回水池底泥</w:t>
      </w:r>
    </w:p>
    <w:p w14:paraId="71DBFBC8">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highlight w:val="none"/>
          <w:lang w:val="en-US" w:eastAsia="zh-CN"/>
        </w:rPr>
        <w:t>年选金矿15万吨/年</w:t>
      </w:r>
      <w:r>
        <w:rPr>
          <w:rFonts w:hint="default" w:ascii="Times New Roman" w:hAnsi="Times New Roman" w:cs="Times New Roman"/>
          <w:color w:val="auto"/>
          <w:sz w:val="24"/>
          <w:szCs w:val="24"/>
          <w:highlight w:val="none"/>
          <w:lang w:val="en-US" w:eastAsia="zh-CN"/>
        </w:rPr>
        <w:t>，因此本项目生产回水池底泥</w:t>
      </w:r>
      <w:r>
        <w:rPr>
          <w:rFonts w:hint="default" w:ascii="Times New Roman" w:hAnsi="Times New Roman" w:eastAsia="宋体" w:cs="Times New Roman"/>
          <w:color w:val="auto"/>
          <w:sz w:val="24"/>
          <w:szCs w:val="28"/>
          <w:highlight w:val="none"/>
          <w:lang w:eastAsia="zh-CN"/>
        </w:rPr>
        <w:t>（代码：SW</w:t>
      </w:r>
      <w:r>
        <w:rPr>
          <w:rFonts w:hint="default" w:ascii="Times New Roman" w:hAnsi="Times New Roman" w:eastAsia="宋体" w:cs="Times New Roman"/>
          <w:color w:val="auto"/>
          <w:sz w:val="24"/>
          <w:szCs w:val="28"/>
          <w:highlight w:val="none"/>
          <w:lang w:val="en-US" w:eastAsia="zh-CN"/>
        </w:rPr>
        <w:t>07 900-099-S07</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cs="Times New Roman"/>
          <w:color w:val="auto"/>
          <w:sz w:val="24"/>
          <w:szCs w:val="24"/>
          <w:highlight w:val="none"/>
          <w:lang w:val="en-US" w:eastAsia="zh-CN"/>
        </w:rPr>
        <w:t>约</w:t>
      </w:r>
      <w:r>
        <w:rPr>
          <w:rFonts w:hint="default" w:cs="Times New Roman"/>
          <w:color w:val="auto"/>
          <w:sz w:val="24"/>
          <w:szCs w:val="24"/>
          <w:highlight w:val="none"/>
          <w:lang w:val="en-US" w:eastAsia="zh-CN"/>
        </w:rPr>
        <w:t>62.5</w:t>
      </w:r>
      <w:r>
        <w:rPr>
          <w:rFonts w:hint="default" w:ascii="Times New Roman" w:hAnsi="Times New Roman" w:cs="Times New Roman"/>
          <w:color w:val="auto"/>
          <w:sz w:val="24"/>
          <w:szCs w:val="24"/>
          <w:highlight w:val="none"/>
          <w:lang w:val="en-US" w:eastAsia="zh-CN"/>
        </w:rPr>
        <w:t>t/a，生产回水池底泥</w:t>
      </w:r>
      <w:r>
        <w:rPr>
          <w:rFonts w:hint="default" w:ascii="Times New Roman" w:hAnsi="Times New Roman" w:cs="Times New Roman"/>
          <w:color w:val="auto"/>
          <w:highlight w:val="none"/>
        </w:rPr>
        <w:t>定期清理，返回生产工序</w:t>
      </w:r>
      <w:r>
        <w:rPr>
          <w:rFonts w:hint="default" w:ascii="Times New Roman" w:hAnsi="Times New Roman" w:eastAsia="宋体" w:cs="Times New Roman"/>
          <w:color w:val="auto"/>
          <w:sz w:val="24"/>
          <w:szCs w:val="28"/>
          <w:highlight w:val="none"/>
          <w:lang w:eastAsia="zh-CN"/>
        </w:rPr>
        <w:t>，后期用于土地复垦</w:t>
      </w:r>
      <w:r>
        <w:rPr>
          <w:rFonts w:hint="default" w:ascii="Times New Roman" w:hAnsi="Times New Roman" w:cs="Times New Roman"/>
          <w:color w:val="auto"/>
          <w:highlight w:val="none"/>
        </w:rPr>
        <w:t>。</w:t>
      </w:r>
    </w:p>
    <w:p w14:paraId="1246C6D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）生活污水处理设施底泥</w:t>
      </w:r>
    </w:p>
    <w:p w14:paraId="09B4445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运营期生活污水处理设施底泥产生量为</w:t>
      </w:r>
      <w:r>
        <w:rPr>
          <w:rFonts w:hint="default" w:cs="Times New Roman"/>
          <w:color w:val="auto"/>
          <w:highlight w:val="none"/>
          <w:lang w:val="en-US" w:eastAsia="zh-CN"/>
        </w:rPr>
        <w:t>5.46</w:t>
      </w:r>
      <w:r>
        <w:rPr>
          <w:rFonts w:hint="default" w:ascii="Times New Roman" w:hAnsi="Times New Roman" w:cs="Times New Roman"/>
          <w:color w:val="auto"/>
          <w:highlight w:val="none"/>
        </w:rPr>
        <w:t>t/a，</w:t>
      </w:r>
      <w:r>
        <w:rPr>
          <w:rFonts w:hint="default" w:ascii="Times New Roman" w:hAnsi="Times New Roman" w:eastAsia="宋体" w:cs="Times New Roman"/>
          <w:color w:val="auto"/>
          <w:sz w:val="24"/>
          <w:szCs w:val="28"/>
          <w:highlight w:val="none"/>
          <w:lang w:val="en-US" w:eastAsia="zh-CN"/>
        </w:rPr>
        <w:t>生活污水处理设施底泥</w:t>
      </w:r>
      <w:r>
        <w:rPr>
          <w:rFonts w:hint="default" w:ascii="Times New Roman" w:hAnsi="Times New Roman" w:eastAsia="宋体" w:cs="Times New Roman"/>
          <w:color w:val="auto"/>
          <w:sz w:val="24"/>
          <w:szCs w:val="28"/>
          <w:highlight w:val="none"/>
          <w:lang w:eastAsia="zh-CN"/>
        </w:rPr>
        <w:t>（代码：SW</w:t>
      </w:r>
      <w:r>
        <w:rPr>
          <w:rFonts w:hint="default" w:ascii="Times New Roman" w:hAnsi="Times New Roman" w:eastAsia="宋体" w:cs="Times New Roman"/>
          <w:color w:val="auto"/>
          <w:sz w:val="24"/>
          <w:szCs w:val="28"/>
          <w:highlight w:val="none"/>
          <w:lang w:val="en-US" w:eastAsia="zh-CN"/>
        </w:rPr>
        <w:t>07 900-099-S07</w:t>
      </w:r>
      <w:r>
        <w:rPr>
          <w:rFonts w:hint="default" w:ascii="Times New Roman" w:hAnsi="Times New Roman" w:eastAsia="宋体" w:cs="Times New Roman"/>
          <w:color w:val="auto"/>
          <w:sz w:val="24"/>
          <w:szCs w:val="28"/>
          <w:highlight w:val="none"/>
          <w:lang w:eastAsia="zh-CN"/>
        </w:rPr>
        <w:t>）</w:t>
      </w:r>
      <w:r>
        <w:rPr>
          <w:rFonts w:hint="default" w:cs="Times New Roman"/>
          <w:color w:val="auto"/>
          <w:sz w:val="24"/>
          <w:szCs w:val="28"/>
          <w:highlight w:val="none"/>
          <w:lang w:val="en-US" w:eastAsia="zh-CN"/>
        </w:rPr>
        <w:t>经干化后</w:t>
      </w:r>
      <w:r>
        <w:rPr>
          <w:rFonts w:hint="default" w:ascii="Times New Roman" w:hAnsi="Times New Roman" w:cs="Times New Roman"/>
          <w:color w:val="auto"/>
          <w:highlight w:val="none"/>
        </w:rPr>
        <w:t>定期拉运至</w:t>
      </w:r>
      <w:r>
        <w:rPr>
          <w:rFonts w:hint="default" w:cs="Times New Roman"/>
          <w:color w:val="auto"/>
          <w:highlight w:val="none"/>
          <w:lang w:val="en-US" w:eastAsia="zh-CN"/>
        </w:rPr>
        <w:t>富蕴县杜热镇生活垃圾填埋场</w:t>
      </w:r>
      <w:r>
        <w:rPr>
          <w:rFonts w:hint="default" w:ascii="Times New Roman" w:hAnsi="Times New Roman" w:cs="Times New Roman"/>
          <w:color w:val="auto"/>
          <w:highlight w:val="none"/>
          <w:lang w:val="en-US" w:eastAsia="zh-CN"/>
        </w:rPr>
        <w:t>处置</w:t>
      </w:r>
      <w:r>
        <w:rPr>
          <w:rFonts w:hint="default" w:ascii="Times New Roman" w:hAnsi="Times New Roman" w:cs="Times New Roman"/>
          <w:color w:val="auto"/>
          <w:highlight w:val="none"/>
          <w:lang w:eastAsia="zh-CN"/>
        </w:rPr>
        <w:t>。</w:t>
      </w:r>
    </w:p>
    <w:p w14:paraId="1AFF43B0">
      <w:pPr>
        <w:keepNext w:val="0"/>
        <w:keepLines w:val="0"/>
        <w:pageBreakBefore w:val="0"/>
        <w:widowControl w:val="0"/>
        <w:numPr>
          <w:ilvl w:val="0"/>
          <w:numId w:val="0"/>
        </w:numPr>
        <w:kinsoku/>
        <w:wordWrap/>
        <w:overflowPunct/>
        <w:topLinePunct w:val="0"/>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w:t>
      </w:r>
    </w:p>
    <w:p w14:paraId="39063FE6">
      <w:pPr>
        <w:keepNext w:val="0"/>
        <w:keepLines w:val="0"/>
        <w:pageBreakBefore w:val="0"/>
        <w:widowControl w:val="0"/>
        <w:kinsoku/>
        <w:wordWrap/>
        <w:overflowPunct/>
        <w:topLinePunct w:val="0"/>
        <w:autoSpaceDE w:val="0"/>
        <w:autoSpaceDN w:val="0"/>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①废矿物油</w:t>
      </w:r>
      <w:r>
        <w:rPr>
          <w:rFonts w:hint="default" w:ascii="Times New Roman" w:hAnsi="Times New Roman" w:cs="Times New Roman"/>
          <w:color w:val="auto"/>
          <w:highlight w:val="none"/>
          <w:lang w:val="en-US" w:eastAsia="zh-CN"/>
        </w:rPr>
        <w:t>及废油桶</w:t>
      </w:r>
    </w:p>
    <w:p w14:paraId="010112A8">
      <w:pPr>
        <w:keepNext w:val="0"/>
        <w:keepLines w:val="0"/>
        <w:pageBreakBefore w:val="0"/>
        <w:widowControl w:val="0"/>
        <w:kinsoku/>
        <w:wordWrap/>
        <w:overflowPunct/>
        <w:topLinePunct w:val="0"/>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根据设计单位提供资料，废</w:t>
      </w:r>
      <w:r>
        <w:rPr>
          <w:rFonts w:hint="default" w:ascii="Times New Roman" w:hAnsi="Times New Roman" w:cs="Times New Roman"/>
          <w:color w:val="auto"/>
          <w:highlight w:val="none"/>
          <w:lang w:eastAsia="zh-CN"/>
        </w:rPr>
        <w:t>矿物油</w:t>
      </w:r>
      <w:r>
        <w:rPr>
          <w:rFonts w:hint="default" w:ascii="Times New Roman" w:hAnsi="Times New Roman" w:cs="Times New Roman"/>
          <w:color w:val="auto"/>
          <w:highlight w:val="none"/>
        </w:rPr>
        <w:t>的产生量</w:t>
      </w:r>
      <w:r>
        <w:rPr>
          <w:rFonts w:hint="default" w:ascii="Times New Roman" w:hAnsi="Times New Roman" w:cs="Times New Roman"/>
          <w:color w:val="auto"/>
          <w:highlight w:val="none"/>
          <w:lang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0.5</w:t>
      </w:r>
      <w:r>
        <w:rPr>
          <w:rFonts w:hint="default" w:ascii="Times New Roman" w:hAnsi="Times New Roman" w:cs="Times New Roman"/>
          <w:color w:val="auto"/>
          <w:highlight w:val="none"/>
        </w:rPr>
        <w:t>t/a，废油桶产生量</w:t>
      </w:r>
      <w:r>
        <w:rPr>
          <w:rFonts w:hint="default" w:ascii="Times New Roman" w:hAnsi="Times New Roman" w:cs="Times New Roman"/>
          <w:color w:val="auto"/>
          <w:highlight w:val="none"/>
          <w:lang w:val="en-US" w:eastAsia="zh-CN"/>
        </w:rPr>
        <w:t>约2</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eastAsia="zh-CN"/>
        </w:rPr>
        <w:t>个</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a</w:t>
      </w:r>
      <w:r>
        <w:rPr>
          <w:rFonts w:hint="default" w:ascii="Times New Roman" w:hAnsi="Times New Roman" w:eastAsia="宋体" w:cs="Times New Roman"/>
          <w:color w:val="auto"/>
          <w:sz w:val="24"/>
          <w:szCs w:val="28"/>
          <w:highlight w:val="none"/>
        </w:rPr>
        <w:t>（约</w:t>
      </w:r>
      <w:r>
        <w:rPr>
          <w:rFonts w:hint="default" w:ascii="Times New Roman" w:hAnsi="Times New Roman" w:cs="Times New Roman"/>
          <w:color w:val="auto"/>
          <w:sz w:val="24"/>
          <w:szCs w:val="28"/>
          <w:highlight w:val="none"/>
          <w:lang w:val="en-US" w:eastAsia="zh-CN"/>
        </w:rPr>
        <w:t>0.6</w:t>
      </w:r>
      <w:r>
        <w:rPr>
          <w:rFonts w:hint="default" w:ascii="Times New Roman" w:hAnsi="Times New Roman" w:eastAsia="宋体" w:cs="Times New Roman"/>
          <w:color w:val="auto"/>
          <w:sz w:val="24"/>
          <w:szCs w:val="28"/>
          <w:highlight w:val="none"/>
        </w:rPr>
        <w:t>t/a）</w:t>
      </w:r>
      <w:r>
        <w:rPr>
          <w:rFonts w:hint="default" w:ascii="Times New Roman" w:hAnsi="Times New Roman" w:cs="Times New Roman"/>
          <w:color w:val="auto"/>
          <w:highlight w:val="none"/>
        </w:rPr>
        <w:t>，环评要求按照</w:t>
      </w:r>
      <w:r>
        <w:rPr>
          <w:rFonts w:hint="default" w:ascii="Times New Roman" w:hAnsi="Times New Roman" w:cs="Times New Roman"/>
          <w:color w:val="auto"/>
          <w:highlight w:val="none"/>
          <w:lang w:eastAsia="zh-CN"/>
        </w:rPr>
        <w:t>《危险废物贮存污染控制标准》（GB18597-2023），统一收集至防渗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6096EA13">
      <w:pPr>
        <w:keepNext w:val="0"/>
        <w:keepLines w:val="0"/>
        <w:pageBreakBefore w:val="0"/>
        <w:widowControl w:val="0"/>
        <w:kinsoku/>
        <w:wordWrap/>
        <w:overflowPunct/>
        <w:topLinePunct w:val="0"/>
        <w:bidi w:val="0"/>
        <w:adjustRightInd/>
        <w:snapToGrid/>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②沾染毒性废弃包装物</w:t>
      </w:r>
      <w:r>
        <w:rPr>
          <w:rFonts w:hint="default" w:ascii="Times New Roman" w:hAnsi="Times New Roman" w:cs="Times New Roman"/>
          <w:color w:val="auto"/>
          <w:highlight w:val="none"/>
          <w:lang w:val="en-US" w:eastAsia="zh-CN"/>
        </w:rPr>
        <w:t>及废药剂</w:t>
      </w:r>
    </w:p>
    <w:p w14:paraId="4D0E9FBD">
      <w:pPr>
        <w:widowControl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eastAsia="宋体" w:cs="Times New Roman"/>
          <w:color w:val="auto"/>
          <w:sz w:val="24"/>
          <w:szCs w:val="28"/>
          <w:highlight w:val="none"/>
          <w:lang w:eastAsia="zh-CN"/>
        </w:rPr>
        <w:t>产生废包装袋</w:t>
      </w:r>
      <w:r>
        <w:rPr>
          <w:rFonts w:hint="default" w:ascii="Times New Roman" w:hAnsi="Times New Roman" w:eastAsia="宋体" w:cs="Times New Roman"/>
          <w:color w:val="auto"/>
          <w:sz w:val="24"/>
          <w:szCs w:val="28"/>
          <w:highlight w:val="none"/>
          <w:lang w:val="en-US" w:eastAsia="zh-CN"/>
        </w:rPr>
        <w:t>约</w:t>
      </w:r>
      <w:r>
        <w:rPr>
          <w:rFonts w:hint="default" w:ascii="Times New Roman" w:hAnsi="Times New Roman" w:cs="Times New Roman"/>
          <w:color w:val="auto"/>
          <w:sz w:val="24"/>
          <w:szCs w:val="28"/>
          <w:highlight w:val="none"/>
          <w:lang w:val="en-US" w:eastAsia="zh-CN"/>
        </w:rPr>
        <w:t>0.636</w:t>
      </w:r>
      <w:r>
        <w:rPr>
          <w:rFonts w:hint="default" w:ascii="Times New Roman" w:hAnsi="Times New Roman" w:eastAsia="宋体" w:cs="Times New Roman"/>
          <w:color w:val="auto"/>
          <w:sz w:val="24"/>
          <w:szCs w:val="28"/>
          <w:highlight w:val="none"/>
          <w:lang w:eastAsia="zh-CN"/>
        </w:rPr>
        <w:t>t/a，废包装桶</w:t>
      </w:r>
      <w:r>
        <w:rPr>
          <w:rFonts w:hint="default" w:ascii="Times New Roman" w:hAnsi="Times New Roman" w:eastAsia="宋体" w:cs="Times New Roman"/>
          <w:color w:val="auto"/>
          <w:sz w:val="24"/>
          <w:szCs w:val="28"/>
          <w:highlight w:val="none"/>
          <w:lang w:val="en-US" w:eastAsia="zh-CN"/>
        </w:rPr>
        <w:t>/瓶约</w:t>
      </w:r>
      <w:r>
        <w:rPr>
          <w:rFonts w:hint="default" w:ascii="Times New Roman" w:hAnsi="Times New Roman" w:cs="Times New Roman"/>
          <w:color w:val="auto"/>
          <w:sz w:val="24"/>
          <w:szCs w:val="28"/>
          <w:highlight w:val="none"/>
          <w:lang w:val="en-US" w:eastAsia="zh-CN"/>
        </w:rPr>
        <w:t>0.05</w:t>
      </w:r>
      <w:r>
        <w:rPr>
          <w:rFonts w:hint="default" w:ascii="Times New Roman" w:hAnsi="Times New Roman" w:eastAsia="宋体" w:cs="Times New Roman"/>
          <w:color w:val="auto"/>
          <w:sz w:val="24"/>
          <w:szCs w:val="28"/>
          <w:highlight w:val="none"/>
          <w:lang w:eastAsia="zh-CN"/>
        </w:rPr>
        <w:t>t/a，共计</w:t>
      </w:r>
      <w:r>
        <w:rPr>
          <w:rFonts w:hint="default" w:ascii="Times New Roman" w:hAnsi="Times New Roman" w:cs="Times New Roman"/>
          <w:color w:val="auto"/>
          <w:highlight w:val="none"/>
        </w:rPr>
        <w:t>产生沾染毒性</w:t>
      </w:r>
      <w:r>
        <w:rPr>
          <w:rFonts w:hint="default" w:ascii="Times New Roman" w:hAnsi="Times New Roman" w:cs="Times New Roman"/>
          <w:color w:val="auto"/>
          <w:highlight w:val="none"/>
          <w:lang w:val="en-US" w:eastAsia="zh-CN"/>
        </w:rPr>
        <w:t>废弃</w:t>
      </w:r>
      <w:r>
        <w:rPr>
          <w:rFonts w:hint="default" w:ascii="Times New Roman" w:hAnsi="Times New Roman" w:cs="Times New Roman"/>
          <w:color w:val="auto"/>
          <w:highlight w:val="none"/>
        </w:rPr>
        <w:t>包装</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sz w:val="24"/>
          <w:szCs w:val="28"/>
          <w:highlight w:val="none"/>
          <w:lang w:val="en-US" w:eastAsia="zh-CN"/>
        </w:rPr>
        <w:t>0.686</w:t>
      </w:r>
      <w:r>
        <w:rPr>
          <w:rFonts w:hint="default" w:ascii="Times New Roman" w:hAnsi="Times New Roman" w:eastAsia="宋体" w:cs="Times New Roman"/>
          <w:color w:val="auto"/>
          <w:sz w:val="24"/>
          <w:szCs w:val="28"/>
          <w:highlight w:val="none"/>
          <w:lang w:eastAsia="zh-CN"/>
        </w:rPr>
        <w:t>t/a</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废药剂</w:t>
      </w:r>
      <w:r>
        <w:rPr>
          <w:rFonts w:hint="default" w:ascii="Times New Roman" w:hAnsi="Times New Roman" w:cs="Times New Roman"/>
          <w:color w:val="auto"/>
          <w:highlight w:val="none"/>
          <w:lang w:val="en-US" w:eastAsia="zh-CN"/>
        </w:rPr>
        <w:t>约0.05</w:t>
      </w:r>
      <w:r>
        <w:rPr>
          <w:rFonts w:hint="default" w:ascii="Times New Roman" w:hAnsi="Times New Roman" w:cs="Times New Roman"/>
          <w:color w:val="auto"/>
          <w:highlight w:val="none"/>
        </w:rPr>
        <w:t>t/a，共</w:t>
      </w:r>
      <w:r>
        <w:rPr>
          <w:rFonts w:hint="default" w:ascii="Times New Roman" w:hAnsi="Times New Roman" w:cs="Times New Roman"/>
          <w:color w:val="auto"/>
          <w:highlight w:val="none"/>
          <w:lang w:val="en-US" w:eastAsia="zh-CN"/>
        </w:rPr>
        <w:t>0.736</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eastAsia="zh-CN"/>
        </w:rPr>
        <w:t>沾染毒性废弃包装物</w:t>
      </w:r>
      <w:r>
        <w:rPr>
          <w:rFonts w:hint="default" w:ascii="Times New Roman" w:hAnsi="Times New Roman" w:eastAsia="宋体" w:cs="Times New Roman"/>
          <w:color w:val="auto"/>
          <w:sz w:val="24"/>
          <w:szCs w:val="28"/>
          <w:highlight w:val="none"/>
          <w:lang w:val="en-US" w:eastAsia="zh-CN"/>
        </w:rPr>
        <w:t>及废药剂</w:t>
      </w:r>
      <w:r>
        <w:rPr>
          <w:rFonts w:hint="default" w:ascii="Times New Roman" w:hAnsi="Times New Roman" w:cs="Times New Roman"/>
          <w:color w:val="auto"/>
          <w:highlight w:val="none"/>
        </w:rPr>
        <w:t>属于危险废物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val="en-US" w:eastAsia="zh-CN"/>
        </w:rPr>
        <w:t>危险废物代码为</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49 </w:t>
      </w:r>
      <w:r>
        <w:rPr>
          <w:rFonts w:hint="default" w:ascii="Times New Roman" w:hAnsi="Times New Roman" w:eastAsia="宋体" w:cs="Times New Roman"/>
          <w:color w:val="auto"/>
          <w:sz w:val="24"/>
          <w:szCs w:val="28"/>
          <w:highlight w:val="none"/>
        </w:rPr>
        <w:t>900-</w:t>
      </w:r>
      <w:r>
        <w:rPr>
          <w:rFonts w:hint="default" w:ascii="Times New Roman" w:hAnsi="Times New Roman" w:eastAsia="宋体" w:cs="Times New Roman"/>
          <w:color w:val="auto"/>
          <w:sz w:val="24"/>
          <w:szCs w:val="28"/>
          <w:highlight w:val="none"/>
          <w:lang w:val="en-US" w:eastAsia="zh-CN"/>
        </w:rPr>
        <w:t>041</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49和</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03 </w:t>
      </w:r>
      <w:r>
        <w:rPr>
          <w:rFonts w:hint="default" w:ascii="Times New Roman" w:hAnsi="Times New Roman" w:eastAsia="宋体" w:cs="Times New Roman"/>
          <w:color w:val="auto"/>
          <w:sz w:val="24"/>
          <w:szCs w:val="28"/>
          <w:highlight w:val="none"/>
        </w:rPr>
        <w:t>900-</w:t>
      </w:r>
      <w:r>
        <w:rPr>
          <w:rFonts w:hint="default" w:ascii="Times New Roman" w:hAnsi="Times New Roman" w:eastAsia="宋体" w:cs="Times New Roman"/>
          <w:color w:val="auto"/>
          <w:sz w:val="24"/>
          <w:szCs w:val="28"/>
          <w:highlight w:val="none"/>
          <w:lang w:val="en-US" w:eastAsia="zh-CN"/>
        </w:rPr>
        <w:t>002</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val="en-US" w:eastAsia="zh-CN"/>
        </w:rPr>
        <w:t>03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74CF2F64">
      <w:pPr>
        <w:widowControl w:val="0"/>
        <w:ind w:firstLine="480"/>
        <w:rPr>
          <w:rFonts w:hint="default" w:cs="Times New Roman"/>
          <w:color w:val="auto"/>
          <w:highlight w:val="none"/>
          <w:lang w:val="en-US" w:eastAsia="zh-CN"/>
        </w:rPr>
      </w:pPr>
      <w:r>
        <w:rPr>
          <w:rFonts w:hint="default" w:cs="Times New Roman"/>
          <w:color w:val="auto"/>
          <w:highlight w:val="none"/>
          <w:lang w:val="en-US" w:eastAsia="zh-CN"/>
        </w:rPr>
        <w:t>③试验废液</w:t>
      </w:r>
    </w:p>
    <w:p w14:paraId="4E3A6AAC">
      <w:pPr>
        <w:widowControl w:val="0"/>
        <w:ind w:firstLine="480"/>
        <w:rPr>
          <w:rFonts w:hint="default" w:ascii="Times New Roman" w:hAnsi="Times New Roman" w:cs="Times New Roman"/>
          <w:color w:val="auto"/>
          <w:highlight w:val="none"/>
          <w:lang w:eastAsia="zh-CN"/>
        </w:rPr>
      </w:pPr>
      <w:r>
        <w:rPr>
          <w:rFonts w:hint="default" w:cs="Times New Roman"/>
          <w:color w:val="auto"/>
          <w:highlight w:val="none"/>
          <w:lang w:val="en-US" w:eastAsia="zh-CN"/>
        </w:rPr>
        <w:t>本项目设置实验室会产生试验废液，根据同类型项目类比，本项目试验废液产生量约为0.24t/a，试验废液属于危险废物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8"/>
          <w:highlight w:val="none"/>
          <w:lang w:val="en-US" w:eastAsia="zh-CN"/>
        </w:rPr>
        <w:t>危险废物代码为</w:t>
      </w:r>
      <w:r>
        <w:rPr>
          <w:rFonts w:hint="default" w:ascii="Times New Roman" w:hAnsi="Times New Roman" w:eastAsia="宋体" w:cs="Times New Roman"/>
          <w:color w:val="auto"/>
          <w:sz w:val="24"/>
          <w:szCs w:val="28"/>
          <w:highlight w:val="none"/>
        </w:rPr>
        <w:t>HW</w:t>
      </w:r>
      <w:r>
        <w:rPr>
          <w:rFonts w:hint="default" w:ascii="Times New Roman" w:hAnsi="Times New Roman" w:eastAsia="宋体" w:cs="Times New Roman"/>
          <w:color w:val="auto"/>
          <w:sz w:val="24"/>
          <w:szCs w:val="28"/>
          <w:highlight w:val="none"/>
          <w:lang w:val="en-US" w:eastAsia="zh-CN"/>
        </w:rPr>
        <w:t xml:space="preserve">49 </w:t>
      </w:r>
      <w:r>
        <w:rPr>
          <w:rFonts w:hint="default"/>
          <w:color w:val="auto"/>
          <w:szCs w:val="28"/>
          <w:highlight w:val="none"/>
        </w:rPr>
        <w:t>900-047-49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统一收集至防渗</w:t>
      </w:r>
      <w:r>
        <w:rPr>
          <w:rFonts w:hint="default" w:cs="Times New Roman"/>
          <w:color w:val="auto"/>
          <w:highlight w:val="none"/>
          <w:lang w:eastAsia="zh-CN"/>
        </w:rPr>
        <w:t>危废贮存点</w:t>
      </w:r>
      <w:r>
        <w:rPr>
          <w:rFonts w:hint="default" w:ascii="Times New Roman" w:hAnsi="Times New Roman" w:cs="Times New Roman"/>
          <w:color w:val="auto"/>
          <w:highlight w:val="none"/>
          <w:lang w:eastAsia="zh-CN"/>
        </w:rPr>
        <w:t>，委托具有相应危险废物处置资质的单位定期进行处置</w:t>
      </w:r>
      <w:r>
        <w:rPr>
          <w:rFonts w:hint="default" w:ascii="Times New Roman" w:hAnsi="Times New Roman" w:cs="Times New Roman"/>
          <w:color w:val="auto"/>
          <w:highlight w:val="none"/>
        </w:rPr>
        <w:t>。</w:t>
      </w:r>
    </w:p>
    <w:p w14:paraId="4D0D89E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）生活垃圾</w:t>
      </w:r>
    </w:p>
    <w:p w14:paraId="3952030A">
      <w:pPr>
        <w:autoSpaceDE w:val="0"/>
        <w:autoSpaceDN w:val="0"/>
        <w:ind w:firstLine="480"/>
        <w:rPr>
          <w:rFonts w:hint="default" w:ascii="Times New Roman" w:hAnsi="Times New Roman" w:eastAsia="宋体" w:cs="Times New Roman"/>
          <w:color w:val="auto"/>
          <w:sz w:val="24"/>
          <w:szCs w:val="28"/>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生活垃圾产生量为</w:t>
      </w:r>
      <w:r>
        <w:rPr>
          <w:rFonts w:hint="default" w:ascii="Times New Roman" w:hAnsi="Times New Roman" w:cs="Times New Roman"/>
          <w:color w:val="auto"/>
          <w:highlight w:val="none"/>
          <w:lang w:val="en-US" w:eastAsia="zh-CN"/>
        </w:rPr>
        <w:t>51.5</w:t>
      </w:r>
      <w:r>
        <w:rPr>
          <w:rFonts w:hint="default" w:ascii="Times New Roman" w:hAnsi="Times New Roman" w:cs="Times New Roman"/>
          <w:color w:val="auto"/>
          <w:highlight w:val="none"/>
        </w:rPr>
        <w:t>kg/d（</w:t>
      </w:r>
      <w:r>
        <w:rPr>
          <w:rFonts w:hint="default" w:ascii="Times New Roman" w:hAnsi="Times New Roman" w:cs="Times New Roman"/>
          <w:color w:val="auto"/>
          <w:highlight w:val="none"/>
          <w:lang w:val="en-US" w:eastAsia="zh-CN"/>
        </w:rPr>
        <w:t>12.36</w:t>
      </w:r>
      <w:r>
        <w:rPr>
          <w:rFonts w:hint="default" w:ascii="Times New Roman" w:hAnsi="Times New Roman" w:cs="Times New Roman"/>
          <w:color w:val="auto"/>
          <w:highlight w:val="none"/>
        </w:rPr>
        <w:t>t/a），</w:t>
      </w:r>
      <w:r>
        <w:rPr>
          <w:rFonts w:hint="default" w:ascii="Times New Roman" w:hAnsi="Times New Roman" w:eastAsia="宋体" w:cs="Times New Roman"/>
          <w:color w:val="auto"/>
          <w:sz w:val="24"/>
          <w:szCs w:val="28"/>
          <w:highlight w:val="none"/>
        </w:rPr>
        <w:t>生活垃圾集中收集，定期拉运至</w:t>
      </w:r>
      <w:r>
        <w:rPr>
          <w:rFonts w:hint="default" w:cs="Times New Roman"/>
          <w:color w:val="auto"/>
          <w:highlight w:val="none"/>
          <w:lang w:val="en-US" w:eastAsia="zh-CN"/>
        </w:rPr>
        <w:t>富蕴县杜热镇生活垃圾填埋场</w:t>
      </w:r>
      <w:r>
        <w:rPr>
          <w:rFonts w:hint="default" w:ascii="Times New Roman" w:hAnsi="Times New Roman" w:eastAsia="宋体" w:cs="Times New Roman"/>
          <w:color w:val="auto"/>
          <w:sz w:val="24"/>
          <w:szCs w:val="24"/>
          <w:highlight w:val="none"/>
          <w:lang w:val="en-US" w:eastAsia="zh-CN"/>
        </w:rPr>
        <w:t>处置</w:t>
      </w:r>
      <w:r>
        <w:rPr>
          <w:rFonts w:hint="default" w:ascii="Times New Roman" w:hAnsi="Times New Roman" w:eastAsia="宋体" w:cs="Times New Roman"/>
          <w:color w:val="auto"/>
          <w:sz w:val="24"/>
          <w:szCs w:val="28"/>
          <w:highlight w:val="none"/>
        </w:rPr>
        <w:t>。</w:t>
      </w:r>
    </w:p>
    <w:p w14:paraId="7FE60C2C">
      <w:pPr>
        <w:autoSpaceDE w:val="0"/>
        <w:autoSpaceDN w:val="0"/>
        <w:ind w:firstLine="480"/>
        <w:rPr>
          <w:rFonts w:hint="default" w:cs="Times New Roman"/>
          <w:b w:val="0"/>
          <w:bCs w:val="0"/>
          <w:color w:val="auto"/>
          <w:highlight w:val="none"/>
          <w:lang w:val="en-US" w:eastAsia="zh-CN"/>
        </w:rPr>
      </w:pPr>
      <w:r>
        <w:rPr>
          <w:rFonts w:hint="default" w:cs="Times New Roman"/>
          <w:b/>
          <w:bCs/>
          <w:color w:val="auto"/>
          <w:highlight w:val="none"/>
          <w:lang w:val="en-US" w:eastAsia="zh-CN"/>
        </w:rPr>
        <w:t>依托可行性分析：</w:t>
      </w:r>
      <w:r>
        <w:rPr>
          <w:rFonts w:hint="default" w:cs="Times New Roman"/>
          <w:b w:val="0"/>
          <w:bCs w:val="0"/>
          <w:color w:val="auto"/>
          <w:highlight w:val="none"/>
          <w:lang w:val="en-US" w:eastAsia="zh-CN"/>
        </w:rPr>
        <w:t>富蕴县杜热镇生活垃圾填埋场于2020年6月建成，项目总投资563万元，其中环保投资72万元，占地面积为23708m</w:t>
      </w:r>
      <w:r>
        <w:rPr>
          <w:rFonts w:hint="default" w:cs="Times New Roman"/>
          <w:b w:val="0"/>
          <w:bCs w:val="0"/>
          <w:color w:val="auto"/>
          <w:highlight w:val="none"/>
          <w:vertAlign w:val="superscript"/>
          <w:lang w:val="en-US" w:eastAsia="zh-CN"/>
        </w:rPr>
        <w:t>2</w:t>
      </w:r>
      <w:r>
        <w:rPr>
          <w:rFonts w:hint="default" w:cs="Times New Roman"/>
          <w:b w:val="0"/>
          <w:bCs w:val="0"/>
          <w:color w:val="auto"/>
          <w:highlight w:val="none"/>
          <w:lang w:val="en-US" w:eastAsia="zh-CN"/>
        </w:rPr>
        <w:t>，填埋区库容为10万m</w:t>
      </w:r>
      <w:r>
        <w:rPr>
          <w:rFonts w:hint="default" w:cs="Times New Roman"/>
          <w:b w:val="0"/>
          <w:bCs w:val="0"/>
          <w:color w:val="auto"/>
          <w:highlight w:val="none"/>
          <w:vertAlign w:val="superscript"/>
          <w:lang w:val="en-US" w:eastAsia="zh-CN"/>
        </w:rPr>
        <w:t>3</w:t>
      </w:r>
      <w:r>
        <w:rPr>
          <w:rFonts w:hint="default" w:cs="Times New Roman"/>
          <w:b w:val="0"/>
          <w:bCs w:val="0"/>
          <w:color w:val="auto"/>
          <w:highlight w:val="none"/>
          <w:lang w:val="en-US" w:eastAsia="zh-CN"/>
        </w:rPr>
        <w:t>，处理规模为17t/d。本项目生活垃圾产生量为0.052t/d，产生比例约占填埋场处理规模的0.03%，因此本项目生活垃圾依托可行性。</w:t>
      </w:r>
    </w:p>
    <w:p w14:paraId="20FD074B">
      <w:pPr>
        <w:ind w:firstLine="480"/>
        <w:rPr>
          <w:rFonts w:hint="eastAsia" w:cs="Times New Roman"/>
          <w:color w:val="auto"/>
          <w:sz w:val="24"/>
          <w:szCs w:val="28"/>
          <w:highlight w:val="none"/>
          <w:lang w:val="en-US" w:eastAsia="zh-CN"/>
        </w:rPr>
      </w:pPr>
      <w:r>
        <w:rPr>
          <w:rFonts w:hint="eastAsia" w:cs="Times New Roman"/>
          <w:color w:val="auto"/>
          <w:sz w:val="24"/>
          <w:szCs w:val="28"/>
          <w:highlight w:val="none"/>
          <w:lang w:eastAsia="zh-CN"/>
        </w:rPr>
        <w:t>（</w:t>
      </w:r>
      <w:r>
        <w:rPr>
          <w:rFonts w:hint="eastAsia" w:cs="Times New Roman"/>
          <w:color w:val="auto"/>
          <w:sz w:val="24"/>
          <w:szCs w:val="28"/>
          <w:highlight w:val="none"/>
          <w:lang w:val="en-US" w:eastAsia="zh-CN"/>
        </w:rPr>
        <w:t>7）废布袋</w:t>
      </w:r>
    </w:p>
    <w:p w14:paraId="4DE6C906">
      <w:pPr>
        <w:autoSpaceDE w:val="0"/>
        <w:autoSpaceDN w:val="0"/>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本项目布袋除尘器会产生废布袋（代码：</w:t>
      </w:r>
      <w:r>
        <w:rPr>
          <w:rFonts w:hint="eastAsia" w:ascii="Times New Roman" w:hAnsi="Times New Roman" w:eastAsia="宋体" w:cs="Times New Roman"/>
          <w:color w:val="auto"/>
          <w:highlight w:val="none"/>
        </w:rPr>
        <w:t>900-099-S59</w:t>
      </w:r>
      <w:r>
        <w:rPr>
          <w:rFonts w:hint="eastAsia" w:ascii="Times New Roman" w:hAnsi="Times New Roman" w:eastAsia="宋体" w:cs="Times New Roman"/>
          <w:color w:val="auto"/>
          <w:highlight w:val="none"/>
          <w:lang w:val="en-US" w:eastAsia="zh-CN"/>
        </w:rPr>
        <w:t>），产生量约为0.5t/a，</w:t>
      </w:r>
      <w:r>
        <w:rPr>
          <w:rFonts w:hint="default" w:ascii="Times New Roman" w:hAnsi="Times New Roman" w:eastAsia="宋体" w:cs="Times New Roman"/>
          <w:color w:val="auto"/>
          <w:highlight w:val="none"/>
          <w:lang w:val="en-US" w:eastAsia="zh-CN"/>
        </w:rPr>
        <w:t>统一收集</w:t>
      </w:r>
      <w:r>
        <w:rPr>
          <w:rFonts w:hint="eastAsia" w:ascii="Times New Roman" w:hAnsi="Times New Roman" w:eastAsia="宋体" w:cs="Times New Roman"/>
          <w:color w:val="auto"/>
          <w:highlight w:val="none"/>
          <w:lang w:val="en-US" w:eastAsia="zh-CN"/>
        </w:rPr>
        <w:t>后外售综合利用。</w:t>
      </w:r>
    </w:p>
    <w:p w14:paraId="3A99D269">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综上，本项目各项固体废物均得到妥善处置，在满足以上要求的前提下，本项目各项固体废物对项目区及周边环境影响较小。</w:t>
      </w:r>
    </w:p>
    <w:p w14:paraId="209DDD6B">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6.2.5.2危险废物相关要求</w:t>
      </w:r>
    </w:p>
    <w:p w14:paraId="2E36F2D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（1）暂存要求</w:t>
      </w:r>
    </w:p>
    <w:p w14:paraId="0B49BE6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《危险废物贮存污染控制标准》（GB18597-2023）</w:t>
      </w:r>
      <w:r>
        <w:rPr>
          <w:rFonts w:hint="default" w:ascii="Times New Roman" w:hAnsi="Times New Roman" w:cs="Times New Roman"/>
          <w:color w:val="auto"/>
          <w:highlight w:val="none"/>
        </w:rPr>
        <w:t>中有关规定，危险废物在</w:t>
      </w:r>
      <w:r>
        <w:rPr>
          <w:rFonts w:hint="default" w:cs="Times New Roman"/>
          <w:color w:val="auto"/>
          <w:highlight w:val="none"/>
          <w:lang w:eastAsia="zh-CN"/>
        </w:rPr>
        <w:t>危废贮存点</w:t>
      </w:r>
      <w:r>
        <w:rPr>
          <w:rFonts w:hint="default" w:ascii="Times New Roman" w:hAnsi="Times New Roman" w:cs="Times New Roman"/>
          <w:color w:val="auto"/>
          <w:highlight w:val="none"/>
        </w:rPr>
        <w:t>内存放期间，使用完好无损容器盛装；用以存放装置危险废物容器的地方，必须有耐腐蚀的硬化地面，且表面无裂痕。储存容器上必须粘贴该标准中规定的危险废物标签；容器材质与危险废物本身相容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不相互反应）；厂内设置临时安全存放场所，基础做了防渗。</w:t>
      </w:r>
    </w:p>
    <w:p w14:paraId="7F3F8EA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危险废物贮存容器应满足：</w:t>
      </w:r>
    </w:p>
    <w:p w14:paraId="1A069EB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①使用符合标准的容器盛装危险废物；应定期对暂时贮存危险废物包装及设施进行检查，发现破损，及时采取措施清理更换；</w:t>
      </w:r>
    </w:p>
    <w:p w14:paraId="13C071F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②装载危险废物的容器及材质要满足相应的强度要求；</w:t>
      </w:r>
    </w:p>
    <w:p w14:paraId="155B4BC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③装载危险废物的容器必须完好无损；</w:t>
      </w:r>
    </w:p>
    <w:p w14:paraId="4543A63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④盛装危险废物的容器材质和衬里要与危险废物相容，不相互反应。危险废物堆放场所选址、平面布置、设计原则及危险废物的堆放要求等，必须满足</w:t>
      </w:r>
      <w:r>
        <w:rPr>
          <w:rFonts w:hint="default" w:ascii="Times New Roman" w:hAnsi="Times New Roman" w:cs="Times New Roman"/>
          <w:color w:val="auto"/>
          <w:highlight w:val="none"/>
          <w:lang w:eastAsia="zh-CN"/>
        </w:rPr>
        <w:t>《危险废物贮存污染控制标准》</w:t>
      </w:r>
      <w:r>
        <w:rPr>
          <w:rFonts w:hint="default" w:ascii="Times New Roman" w:hAnsi="Times New Roman" w:cs="Times New Roman"/>
          <w:color w:val="auto"/>
          <w:highlight w:val="none"/>
        </w:rPr>
        <w:t>（GB18597-20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）的要求。危险暂存间必须按</w:t>
      </w:r>
      <w:r>
        <w:rPr>
          <w:rFonts w:hint="default" w:cs="Times New Roman"/>
          <w:color w:val="auto"/>
          <w:highlight w:val="none"/>
          <w:lang w:eastAsia="zh-CN"/>
        </w:rPr>
        <w:t>《环境保护图形标志 固体废物贮存（处置）场》（</w:t>
      </w:r>
      <w:r>
        <w:rPr>
          <w:rFonts w:hint="default" w:ascii="Times New Roman" w:hAnsi="Times New Roman" w:cs="Times New Roman"/>
          <w:color w:val="auto"/>
          <w:highlight w:val="none"/>
        </w:rPr>
        <w:t>GB15562.2-1995）的规定设置警示标志，周围应设置围墙或</w:t>
      </w:r>
      <w:r>
        <w:rPr>
          <w:rFonts w:hint="default" w:cs="Times New Roman"/>
          <w:color w:val="auto"/>
          <w:highlight w:val="none"/>
          <w:lang w:eastAsia="zh-CN"/>
        </w:rPr>
        <w:t>其他</w:t>
      </w:r>
      <w:r>
        <w:rPr>
          <w:rFonts w:hint="default" w:ascii="Times New Roman" w:hAnsi="Times New Roman" w:cs="Times New Roman"/>
          <w:color w:val="auto"/>
          <w:highlight w:val="none"/>
        </w:rPr>
        <w:t>防护栅栏，配备通讯设备、照明设施、安全防护服装及工具，并设有应急防护设施。</w:t>
      </w:r>
    </w:p>
    <w:p w14:paraId="4DB3133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（2）运输和转移</w:t>
      </w:r>
    </w:p>
    <w:p w14:paraId="6EDC5E7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对于危险废物的运输和转移，应根据《</w:t>
      </w:r>
      <w:r>
        <w:rPr>
          <w:rFonts w:hint="default" w:cs="Times New Roman"/>
          <w:color w:val="auto"/>
          <w:highlight w:val="none"/>
          <w:lang w:eastAsia="zh-CN"/>
        </w:rPr>
        <w:t>危险废物收集 贮存 运输技术规范</w:t>
      </w:r>
      <w:r>
        <w:rPr>
          <w:rFonts w:hint="default" w:ascii="Times New Roman" w:hAnsi="Times New Roman" w:cs="Times New Roman"/>
          <w:color w:val="auto"/>
          <w:highlight w:val="none"/>
        </w:rPr>
        <w:t>》</w:t>
      </w:r>
      <w:r>
        <w:rPr>
          <w:rFonts w:hint="default" w:cs="Times New Roman"/>
          <w:color w:val="auto"/>
          <w:highlight w:val="none"/>
          <w:lang w:eastAsia="zh-CN"/>
        </w:rPr>
        <w:t>（HJ2025-2012）</w:t>
      </w:r>
      <w:r>
        <w:rPr>
          <w:rFonts w:hint="default" w:ascii="Times New Roman" w:hAnsi="Times New Roman" w:cs="Times New Roman"/>
          <w:color w:val="auto"/>
          <w:highlight w:val="none"/>
        </w:rPr>
        <w:t>以及《危险废物</w:t>
      </w:r>
      <w:r>
        <w:rPr>
          <w:rFonts w:hint="default" w:ascii="Times New Roman" w:hAnsi="Times New Roman" w:cs="Times New Roman"/>
          <w:color w:val="auto"/>
          <w:highlight w:val="none"/>
          <w:lang w:eastAsia="zh-CN"/>
        </w:rPr>
        <w:t>转移</w:t>
      </w:r>
      <w:r>
        <w:rPr>
          <w:rFonts w:hint="default" w:ascii="Times New Roman" w:hAnsi="Times New Roman" w:cs="Times New Roman"/>
          <w:color w:val="auto"/>
          <w:highlight w:val="none"/>
        </w:rPr>
        <w:t>管理办法》（生态环境部令第23号）等。</w:t>
      </w:r>
    </w:p>
    <w:p w14:paraId="75F4D0D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①企业应按国家有关规定办理危险废物申报转移的“五联单”手续，并在贮运过程中严格执行危险化学品贮存、运输和监管的有关规定。产废单位在转移危险废物前，应当向</w:t>
      </w:r>
      <w:r>
        <w:rPr>
          <w:rFonts w:hint="default" w:ascii="Times New Roman" w:hAnsi="Times New Roman" w:cs="Times New Roman"/>
          <w:color w:val="auto"/>
          <w:highlight w:val="none"/>
          <w:lang w:val="en-US" w:eastAsia="zh-CN"/>
        </w:rPr>
        <w:t>阿勒泰地区</w:t>
      </w:r>
      <w:r>
        <w:rPr>
          <w:rFonts w:hint="default" w:ascii="Times New Roman" w:hAnsi="Times New Roman" w:cs="Times New Roman"/>
          <w:color w:val="auto"/>
          <w:highlight w:val="none"/>
        </w:rPr>
        <w:t>生态环境局及自治区生态环境厅报送危险废物转移计划；经批准后，领取并填写危险废物转移联单。产废单位应当在危险废物转移前3日内报告移出地生态环境主管部门，并同时将预期到达时间报告</w:t>
      </w:r>
      <w:r>
        <w:rPr>
          <w:rFonts w:hint="default" w:cs="Times New Roman"/>
          <w:color w:val="auto"/>
          <w:highlight w:val="none"/>
          <w:lang w:eastAsia="zh-CN"/>
        </w:rPr>
        <w:t>接收</w:t>
      </w:r>
      <w:r>
        <w:rPr>
          <w:rFonts w:hint="default" w:ascii="Times New Roman" w:hAnsi="Times New Roman" w:cs="Times New Roman"/>
          <w:color w:val="auto"/>
          <w:highlight w:val="none"/>
        </w:rPr>
        <w:t>地生态环境主管部门；</w:t>
      </w:r>
    </w:p>
    <w:p w14:paraId="4C68953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②从事收集、利用处置危险废物经营活动的单位应当具备与其经营活动相应的资格，禁止产废单位将危险废物提供或者委托给无经营许可证的单位；</w:t>
      </w:r>
    </w:p>
    <w:p w14:paraId="35B7CBF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③所有危险废物均应按类在专用密闭容器中储存，并按规定贴标签。不得混装，废物收集和封装容器应得到接收企业及</w:t>
      </w:r>
      <w:r>
        <w:rPr>
          <w:rFonts w:hint="default" w:cs="Times New Roman"/>
          <w:color w:val="auto"/>
          <w:highlight w:val="none"/>
          <w:lang w:eastAsia="zh-CN"/>
        </w:rPr>
        <w:t>当地</w:t>
      </w:r>
      <w:r>
        <w:rPr>
          <w:rFonts w:hint="default" w:ascii="Times New Roman" w:hAnsi="Times New Roman" w:cs="Times New Roman"/>
          <w:color w:val="auto"/>
          <w:highlight w:val="none"/>
        </w:rPr>
        <w:t>生态环境主管部门的认可。收集的危废应详细列出数量和成分，并填写有关材料；</w:t>
      </w:r>
    </w:p>
    <w:p w14:paraId="15B9425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④应指定专人负责危废的收集、贮运管理工作，运输车辆的司机和押运人员应</w:t>
      </w:r>
      <w:r>
        <w:rPr>
          <w:rFonts w:hint="default" w:cs="Times New Roman"/>
          <w:color w:val="auto"/>
          <w:highlight w:val="none"/>
          <w:lang w:eastAsia="zh-CN"/>
        </w:rPr>
        <w:t>经过</w:t>
      </w:r>
      <w:r>
        <w:rPr>
          <w:rFonts w:hint="default" w:ascii="Times New Roman" w:hAnsi="Times New Roman" w:cs="Times New Roman"/>
          <w:color w:val="auto"/>
          <w:highlight w:val="none"/>
        </w:rPr>
        <w:t>专业培训。</w:t>
      </w:r>
    </w:p>
    <w:p w14:paraId="28626303">
      <w:pPr>
        <w:pStyle w:val="5"/>
        <w:ind w:firstLine="482" w:firstLineChars="200"/>
        <w:rPr>
          <w:rFonts w:hint="default" w:cs="Times New Roman"/>
          <w:color w:val="auto"/>
          <w:highlight w:val="none"/>
          <w:lang w:val="en-US" w:eastAsia="zh-CN"/>
        </w:rPr>
      </w:pPr>
      <w:bookmarkStart w:id="849" w:name="_Toc23681"/>
      <w:bookmarkStart w:id="850" w:name="_Toc30777"/>
      <w:bookmarkStart w:id="851" w:name="_Toc30695"/>
      <w:r>
        <w:rPr>
          <w:rFonts w:hint="default" w:ascii="Times New Roman" w:hAnsi="Times New Roman" w:cs="Times New Roman"/>
          <w:color w:val="auto"/>
          <w:highlight w:val="none"/>
        </w:rPr>
        <w:t>6.2.5.</w:t>
      </w:r>
      <w:r>
        <w:rPr>
          <w:rFonts w:hint="default" w:cs="Times New Roman"/>
          <w:color w:val="auto"/>
          <w:highlight w:val="none"/>
          <w:lang w:val="en-US" w:eastAsia="zh-CN"/>
        </w:rPr>
        <w:t>3生活垃圾处置依托可行性分析</w:t>
      </w:r>
    </w:p>
    <w:p w14:paraId="026A3E96">
      <w:pPr>
        <w:rPr>
          <w:rFonts w:hint="default"/>
          <w:color w:val="auto"/>
          <w:highlight w:val="none"/>
          <w:lang w:val="en-US" w:eastAsia="zh-CN"/>
        </w:rPr>
      </w:pPr>
      <w:r>
        <w:rPr>
          <w:color w:val="auto"/>
          <w:highlight w:val="none"/>
        </w:rPr>
        <w:t>本项目</w:t>
      </w:r>
      <w:r>
        <w:rPr>
          <w:rFonts w:hint="default"/>
          <w:color w:val="auto"/>
          <w:highlight w:val="none"/>
          <w:lang w:val="en-US" w:eastAsia="zh-CN"/>
        </w:rPr>
        <w:t>工作人员</w:t>
      </w:r>
      <w:r>
        <w:rPr>
          <w:color w:val="auto"/>
          <w:highlight w:val="none"/>
        </w:rPr>
        <w:t>产生的生活垃圾量为</w:t>
      </w:r>
      <w:r>
        <w:rPr>
          <w:rFonts w:hint="default" w:ascii="Times New Roman" w:hAnsi="Times New Roman" w:cs="Times New Roman"/>
          <w:color w:val="auto"/>
          <w:highlight w:val="none"/>
          <w:lang w:val="en-US" w:eastAsia="zh-CN"/>
        </w:rPr>
        <w:t>51.5</w:t>
      </w:r>
      <w:r>
        <w:rPr>
          <w:rFonts w:hint="default" w:ascii="Times New Roman" w:hAnsi="Times New Roman" w:cs="Times New Roman"/>
          <w:color w:val="auto"/>
          <w:highlight w:val="none"/>
        </w:rPr>
        <w:t>kg/d（</w:t>
      </w:r>
      <w:r>
        <w:rPr>
          <w:rFonts w:hint="default" w:ascii="Times New Roman" w:hAnsi="Times New Roman" w:cs="Times New Roman"/>
          <w:color w:val="auto"/>
          <w:highlight w:val="none"/>
          <w:lang w:val="en-US" w:eastAsia="zh-CN"/>
        </w:rPr>
        <w:t>12.36</w:t>
      </w:r>
      <w:r>
        <w:rPr>
          <w:rFonts w:hint="default" w:ascii="Times New Roman" w:hAnsi="Times New Roman" w:cs="Times New Roman"/>
          <w:color w:val="auto"/>
          <w:highlight w:val="none"/>
        </w:rPr>
        <w:t>t/a）</w:t>
      </w:r>
      <w:r>
        <w:rPr>
          <w:color w:val="auto"/>
          <w:highlight w:val="none"/>
        </w:rPr>
        <w:t>，依托</w:t>
      </w:r>
      <w:r>
        <w:rPr>
          <w:rFonts w:hint="default" w:ascii="Times New Roman" w:hAnsi="Times New Roman" w:eastAsia="宋体" w:cs="Times New Roman"/>
          <w:color w:val="auto"/>
          <w:highlight w:val="none"/>
          <w:lang w:val="en-US" w:eastAsia="zh-CN"/>
        </w:rPr>
        <w:t>富蕴县杜热镇生活垃圾填埋场</w:t>
      </w:r>
      <w:r>
        <w:rPr>
          <w:color w:val="auto"/>
          <w:highlight w:val="none"/>
        </w:rPr>
        <w:t>处置，</w:t>
      </w:r>
      <w:r>
        <w:rPr>
          <w:rFonts w:hint="default" w:ascii="Times New Roman" w:hAnsi="Times New Roman" w:eastAsia="宋体" w:cs="Times New Roman"/>
          <w:color w:val="auto"/>
          <w:highlight w:val="none"/>
          <w:lang w:val="en-US" w:eastAsia="zh-CN"/>
        </w:rPr>
        <w:t>富蕴县杜热镇生活垃圾填埋场位于</w:t>
      </w:r>
      <w:r>
        <w:rPr>
          <w:rFonts w:hint="default" w:cs="Times New Roman"/>
          <w:color w:val="auto"/>
          <w:highlight w:val="none"/>
          <w:lang w:val="en-US" w:eastAsia="zh-CN"/>
        </w:rPr>
        <w:t>杜热镇东北侧约8.6km处，中心地理坐标东经</w:t>
      </w:r>
      <w:r>
        <w:rPr>
          <w:rFonts w:hint="default" w:ascii="Times New Roman" w:hAnsi="Times New Roman" w:cs="Times New Roman"/>
          <w:color w:val="auto"/>
          <w:highlight w:val="none"/>
          <w:lang w:val="en-US" w:eastAsia="zh-CN"/>
        </w:rPr>
        <w:t>88°35′42.976″</w:t>
      </w:r>
      <w:r>
        <w:rPr>
          <w:rFonts w:hint="default" w:cs="Times New Roman"/>
          <w:color w:val="auto"/>
          <w:highlight w:val="none"/>
          <w:lang w:val="en-US" w:eastAsia="zh-CN"/>
        </w:rPr>
        <w:t>，北纬</w:t>
      </w:r>
      <w:r>
        <w:rPr>
          <w:rFonts w:hint="default" w:ascii="Times New Roman" w:hAnsi="Times New Roman" w:cs="Times New Roman"/>
          <w:color w:val="auto"/>
          <w:highlight w:val="none"/>
          <w:lang w:val="en-US" w:eastAsia="zh-CN"/>
        </w:rPr>
        <w:t>46°34′40.779″</w:t>
      </w:r>
      <w:r>
        <w:rPr>
          <w:rFonts w:hint="default" w:cs="Times New Roman"/>
          <w:color w:val="auto"/>
          <w:highlight w:val="none"/>
          <w:lang w:val="en-US" w:eastAsia="zh-CN"/>
        </w:rPr>
        <w:t>，总用地面积23708m</w:t>
      </w:r>
      <w:r>
        <w:rPr>
          <w:rFonts w:hint="default" w:cs="Times New Roman"/>
          <w:color w:val="auto"/>
          <w:highlight w:val="none"/>
          <w:vertAlign w:val="superscript"/>
          <w:lang w:val="en-US" w:eastAsia="zh-CN"/>
        </w:rPr>
        <w:t>2</w:t>
      </w:r>
      <w:r>
        <w:rPr>
          <w:rFonts w:hint="default" w:cs="Times New Roman"/>
          <w:color w:val="auto"/>
          <w:highlight w:val="none"/>
          <w:lang w:val="en-US" w:eastAsia="zh-CN"/>
        </w:rPr>
        <w:t>，库容为10万m</w:t>
      </w:r>
      <w:r>
        <w:rPr>
          <w:rFonts w:hint="default" w:cs="Times New Roman"/>
          <w:color w:val="auto"/>
          <w:highlight w:val="none"/>
          <w:vertAlign w:val="superscript"/>
          <w:lang w:val="en-US" w:eastAsia="zh-CN"/>
        </w:rPr>
        <w:t>3</w:t>
      </w:r>
      <w:r>
        <w:rPr>
          <w:rFonts w:hint="default" w:cs="Times New Roman"/>
          <w:color w:val="auto"/>
          <w:highlight w:val="none"/>
          <w:lang w:val="en-US" w:eastAsia="zh-CN"/>
        </w:rPr>
        <w:t>，日</w:t>
      </w:r>
      <w:r>
        <w:rPr>
          <w:rFonts w:hint="default" w:ascii="Times New Roman" w:hAnsi="Times New Roman" w:eastAsia="宋体" w:cs="Times New Roman"/>
          <w:color w:val="auto"/>
          <w:highlight w:val="none"/>
          <w:lang w:val="en-US" w:eastAsia="zh-CN"/>
        </w:rPr>
        <w:t>处理</w:t>
      </w:r>
      <w:r>
        <w:rPr>
          <w:rFonts w:hint="default" w:cs="Times New Roman"/>
          <w:color w:val="auto"/>
          <w:highlight w:val="none"/>
          <w:lang w:val="en-US" w:eastAsia="zh-CN"/>
        </w:rPr>
        <w:t>量</w:t>
      </w:r>
      <w:r>
        <w:rPr>
          <w:rFonts w:hint="default" w:ascii="Times New Roman" w:hAnsi="Times New Roman" w:eastAsia="宋体" w:cs="Times New Roman"/>
          <w:color w:val="auto"/>
          <w:highlight w:val="none"/>
          <w:lang w:val="en-US" w:eastAsia="zh-CN"/>
        </w:rPr>
        <w:t>为</w:t>
      </w:r>
      <w:r>
        <w:rPr>
          <w:rFonts w:hint="default" w:cs="Times New Roman"/>
          <w:color w:val="auto"/>
          <w:highlight w:val="none"/>
          <w:lang w:val="en-US" w:eastAsia="zh-CN"/>
        </w:rPr>
        <w:t>17</w:t>
      </w:r>
      <w:r>
        <w:rPr>
          <w:rFonts w:hint="default" w:ascii="Times New Roman" w:hAnsi="Times New Roman" w:eastAsia="宋体" w:cs="Times New Roman"/>
          <w:color w:val="auto"/>
          <w:highlight w:val="none"/>
          <w:lang w:val="en-US" w:eastAsia="zh-CN"/>
        </w:rPr>
        <w:t>t/d。富蕴县杜热镇生活垃圾填埋场20</w:t>
      </w:r>
      <w:r>
        <w:rPr>
          <w:rFonts w:hint="default" w:cs="Times New Roman"/>
          <w:color w:val="auto"/>
          <w:highlight w:val="none"/>
          <w:lang w:val="en-US" w:eastAsia="zh-CN"/>
        </w:rPr>
        <w:t>22</w:t>
      </w:r>
      <w:r>
        <w:rPr>
          <w:rFonts w:hint="default" w:ascii="Times New Roman" w:hAnsi="Times New Roman" w:eastAsia="宋体" w:cs="Times New Roman"/>
          <w:color w:val="auto"/>
          <w:highlight w:val="none"/>
          <w:lang w:val="en-US" w:eastAsia="zh-CN"/>
        </w:rPr>
        <w:t>年开始施工建设，20</w:t>
      </w:r>
      <w:r>
        <w:rPr>
          <w:rFonts w:hint="default" w:cs="Times New Roman"/>
          <w:color w:val="auto"/>
          <w:highlight w:val="none"/>
          <w:lang w:val="en-US" w:eastAsia="zh-CN"/>
        </w:rPr>
        <w:t>22</w:t>
      </w:r>
      <w:r>
        <w:rPr>
          <w:rFonts w:hint="default" w:ascii="Times New Roman" w:hAnsi="Times New Roman" w:eastAsia="宋体" w:cs="Times New Roman"/>
          <w:color w:val="auto"/>
          <w:highlight w:val="none"/>
          <w:lang w:val="en-US" w:eastAsia="zh-CN"/>
        </w:rPr>
        <w:t>年</w:t>
      </w:r>
      <w:r>
        <w:rPr>
          <w:rFonts w:hint="default" w:cs="Times New Roman"/>
          <w:color w:val="auto"/>
          <w:highlight w:val="none"/>
          <w:lang w:val="en-US" w:eastAsia="zh-CN"/>
        </w:rPr>
        <w:t>底</w:t>
      </w:r>
      <w:r>
        <w:rPr>
          <w:rFonts w:hint="default" w:ascii="Times New Roman" w:hAnsi="Times New Roman" w:eastAsia="宋体" w:cs="Times New Roman"/>
          <w:color w:val="auto"/>
          <w:highlight w:val="none"/>
          <w:lang w:val="en-US" w:eastAsia="zh-CN"/>
        </w:rPr>
        <w:t>建成并完成自主环保竣工验收，目前运行正常。</w:t>
      </w:r>
      <w:r>
        <w:rPr>
          <w:color w:val="auto"/>
          <w:highlight w:val="none"/>
        </w:rPr>
        <w:t>其采用“集中收集-密闭清运-分区填埋-分层压实-防渗-渗滤液处理-覆土绿化”的卫生填埋工艺，配套完善环保设施，能实现无害化处置</w:t>
      </w:r>
      <w:r>
        <w:rPr>
          <w:rFonts w:hint="default"/>
          <w:color w:val="auto"/>
          <w:highlight w:val="none"/>
          <w:lang w:eastAsia="zh-CN"/>
        </w:rPr>
        <w:t>。</w:t>
      </w:r>
      <w:r>
        <w:rPr>
          <w:rFonts w:hint="default"/>
          <w:color w:val="auto"/>
          <w:highlight w:val="none"/>
          <w:lang w:val="en-US" w:eastAsia="zh-CN"/>
        </w:rPr>
        <w:t>满足本项目生活垃圾处置需求。</w:t>
      </w:r>
    </w:p>
    <w:p w14:paraId="178BA063">
      <w:pPr>
        <w:pStyle w:val="5"/>
        <w:ind w:firstLine="482" w:firstLineChars="200"/>
        <w:rPr>
          <w:rFonts w:hint="default" w:cs="Times New Roman"/>
          <w:color w:val="auto"/>
          <w:highlight w:val="none"/>
          <w:lang w:val="en-US" w:eastAsia="zh-CN"/>
        </w:rPr>
      </w:pPr>
      <w:r>
        <w:rPr>
          <w:rFonts w:hint="default" w:ascii="Times New Roman" w:hAnsi="Times New Roman" w:cs="Times New Roman"/>
          <w:color w:val="auto"/>
          <w:highlight w:val="none"/>
        </w:rPr>
        <w:t>6.2.5.</w:t>
      </w:r>
      <w:r>
        <w:rPr>
          <w:rFonts w:hint="eastAsia" w:cs="Times New Roman"/>
          <w:color w:val="auto"/>
          <w:highlight w:val="none"/>
          <w:lang w:val="en-US" w:eastAsia="zh-CN"/>
        </w:rPr>
        <w:t>4尾矿砂管理要求</w:t>
      </w:r>
    </w:p>
    <w:p w14:paraId="38E8B640">
      <w:pPr>
        <w:pStyle w:val="136"/>
        <w:keepNext w:val="0"/>
        <w:keepLines w:val="0"/>
        <w:pageBreakBefore w:val="0"/>
        <w:shd w:val="clear"/>
        <w:kinsoku/>
        <w:wordWrap/>
        <w:overflowPunct/>
        <w:topLinePunct w:val="0"/>
        <w:autoSpaceDE/>
        <w:autoSpaceDN/>
        <w:bidi w:val="0"/>
        <w:adjustRightInd/>
        <w:snapToGrid/>
        <w:textAlignment w:val="auto"/>
        <w:outlineLvl w:val="9"/>
        <w:rPr>
          <w:rFonts w:hint="eastAsia" w:eastAsia="宋体" w:cs="Times New Roman"/>
          <w:color w:val="auto"/>
          <w:highlight w:val="none"/>
          <w:lang w:eastAsia="zh-CN"/>
        </w:rPr>
      </w:pPr>
      <w:r>
        <w:rPr>
          <w:rFonts w:hint="default" w:eastAsia="宋体" w:cs="Times New Roman"/>
          <w:color w:val="auto"/>
          <w:highlight w:val="none"/>
        </w:rPr>
        <w:t>根据《一般工业固体废物贮存和填埋污染控制标准》（GB18599-2020）</w:t>
      </w:r>
      <w:r>
        <w:rPr>
          <w:rFonts w:hint="eastAsia" w:eastAsia="宋体" w:cs="Times New Roman"/>
          <w:color w:val="auto"/>
          <w:highlight w:val="none"/>
          <w:lang w:eastAsia="zh-CN"/>
        </w:rPr>
        <w:t>：</w:t>
      </w:r>
    </w:p>
    <w:p w14:paraId="71D51CCF">
      <w:pPr>
        <w:widowControl/>
        <w:shd w:val="clear"/>
        <w:spacing w:line="480" w:lineRule="exact"/>
        <w:ind w:firstLine="480" w:firstLineChars="200"/>
        <w:jc w:val="left"/>
        <w:rPr>
          <w:rFonts w:hint="eastAsia" w:cs="Times New Roman"/>
          <w:color w:val="auto"/>
          <w:kern w:val="0"/>
          <w:sz w:val="24"/>
          <w:szCs w:val="24"/>
          <w:highlight w:val="none"/>
          <w:lang w:eastAsia="zh-CN"/>
        </w:rPr>
      </w:pPr>
      <w:r>
        <w:rPr>
          <w:rFonts w:hint="eastAsia" w:cs="Times New Roman"/>
          <w:color w:val="auto"/>
          <w:kern w:val="0"/>
          <w:sz w:val="24"/>
          <w:szCs w:val="24"/>
          <w:highlight w:val="none"/>
          <w:lang w:val="en-US" w:eastAsia="zh-CN"/>
        </w:rPr>
        <w:t>①</w:t>
      </w:r>
      <w:r>
        <w:rPr>
          <w:rFonts w:hint="eastAsia" w:cs="Times New Roman"/>
          <w:color w:val="auto"/>
          <w:kern w:val="0"/>
          <w:sz w:val="24"/>
          <w:szCs w:val="24"/>
          <w:highlight w:val="none"/>
          <w:lang w:eastAsia="zh-CN"/>
        </w:rPr>
        <w:t>第II类一般工业固体废物以及不符合8.1条充填或回填途径的第I类一般工业固体废物，其充填或回填活动前应开展环境本底调查，并按照H</w:t>
      </w:r>
      <w:r>
        <w:rPr>
          <w:rFonts w:hint="eastAsia" w:cs="Times New Roman"/>
          <w:color w:val="auto"/>
          <w:kern w:val="0"/>
          <w:sz w:val="24"/>
          <w:szCs w:val="24"/>
          <w:highlight w:val="none"/>
          <w:lang w:val="en-US" w:eastAsia="zh-CN"/>
        </w:rPr>
        <w:t>J</w:t>
      </w:r>
      <w:r>
        <w:rPr>
          <w:rFonts w:hint="eastAsia" w:cs="Times New Roman"/>
          <w:color w:val="auto"/>
          <w:kern w:val="0"/>
          <w:sz w:val="24"/>
          <w:szCs w:val="24"/>
          <w:highlight w:val="none"/>
          <w:lang w:eastAsia="zh-CN"/>
        </w:rPr>
        <w:t>25.3等相关标准进行环境风险评估，重点评估对地下水、地表水及周边土壤的环境污染风险，确保环境风险可以接受。充填或回填活动结束后，应根据风险评估结果对可能受到影响的土壤、地表水及地下水开展长期监测，监测频次至少每年1次。</w:t>
      </w:r>
    </w:p>
    <w:p w14:paraId="742BC7A0">
      <w:pPr>
        <w:bidi w:val="0"/>
        <w:rPr>
          <w:rFonts w:hint="eastAsia"/>
          <w:color w:val="auto"/>
          <w:lang w:eastAsia="zh-CN"/>
        </w:rPr>
      </w:pPr>
      <w:r>
        <w:rPr>
          <w:rFonts w:hint="eastAsia"/>
          <w:color w:val="auto"/>
          <w:lang w:val="en-US" w:eastAsia="zh-CN"/>
        </w:rPr>
        <w:t>②</w:t>
      </w:r>
      <w:r>
        <w:rPr>
          <w:rFonts w:hint="eastAsia"/>
          <w:color w:val="auto"/>
          <w:lang w:eastAsia="zh-CN"/>
        </w:rPr>
        <w:t>II类场应采用单人工复合衬层作为防渗衬层，并符合以下技术要求：</w:t>
      </w:r>
    </w:p>
    <w:p w14:paraId="22F5136C">
      <w:pPr>
        <w:bidi w:val="0"/>
        <w:rPr>
          <w:rFonts w:hint="eastAsia"/>
          <w:color w:val="auto"/>
          <w:lang w:eastAsia="zh-CN"/>
        </w:rPr>
      </w:pPr>
      <w:r>
        <w:rPr>
          <w:rFonts w:hint="eastAsia"/>
          <w:color w:val="auto"/>
          <w:lang w:eastAsia="zh-CN"/>
        </w:rPr>
        <w:t>a）人工合成材料应采用高密度聚乙烯膜，厚度不小于1.5mm，并满足GB/T 17643规定的技术指标要求。采用其他人工合成材料的，其防渗性能至少相当于1.5 mm高密度聚乙烯膜的防渗性能。</w:t>
      </w:r>
    </w:p>
    <w:p w14:paraId="14BBA019">
      <w:pPr>
        <w:bidi w:val="0"/>
        <w:rPr>
          <w:rFonts w:hint="eastAsia"/>
          <w:color w:val="auto"/>
          <w:lang w:eastAsia="zh-CN"/>
        </w:rPr>
      </w:pPr>
      <w:r>
        <w:rPr>
          <w:rFonts w:hint="eastAsia"/>
          <w:color w:val="auto"/>
          <w:lang w:eastAsia="zh-CN"/>
        </w:rPr>
        <w:t>b）粘土衬层厚度应不小于0.75m，且经压实、人工改性等措施处理后的饱和渗透系数不应大于1.0×10</w:t>
      </w:r>
      <w:r>
        <w:rPr>
          <w:rFonts w:hint="eastAsia"/>
          <w:color w:val="auto"/>
          <w:vertAlign w:val="superscript"/>
          <w:lang w:eastAsia="zh-CN"/>
        </w:rPr>
        <w:t>-7</w:t>
      </w:r>
      <w:r>
        <w:rPr>
          <w:rFonts w:hint="eastAsia"/>
          <w:color w:val="auto"/>
          <w:lang w:eastAsia="zh-CN"/>
        </w:rPr>
        <w:t>cm/s。使用其他粘土类防渗衬层材料时，应具有同等以上隔水效力。</w:t>
      </w:r>
    </w:p>
    <w:p w14:paraId="5CE0F28C">
      <w:pPr>
        <w:bidi w:val="0"/>
        <w:rPr>
          <w:rFonts w:hint="eastAsia"/>
          <w:color w:val="auto"/>
          <w:lang w:eastAsia="zh-CN"/>
        </w:rPr>
      </w:pPr>
      <w:r>
        <w:rPr>
          <w:rFonts w:hint="eastAsia"/>
          <w:color w:val="auto"/>
          <w:lang w:val="en-US" w:eastAsia="zh-CN"/>
        </w:rPr>
        <w:t>③</w:t>
      </w:r>
      <w:r>
        <w:rPr>
          <w:rFonts w:hint="eastAsia"/>
          <w:color w:val="auto"/>
          <w:lang w:eastAsia="zh-CN"/>
        </w:rPr>
        <w:t>II类场基础层表面应与地下水年最高水位保持1.5m以上的距离。当场区基础层表面与地下水年最高水位距离不足1.5m时，应建设地下水导排系统。地下水导排系统应确保II类场运行期地下水水位维持在基础层表面1.5m以下。</w:t>
      </w:r>
    </w:p>
    <w:p w14:paraId="66E2072E">
      <w:pPr>
        <w:bidi w:val="0"/>
        <w:rPr>
          <w:rFonts w:hint="eastAsia"/>
          <w:color w:val="auto"/>
          <w:lang w:eastAsia="zh-CN"/>
        </w:rPr>
      </w:pPr>
      <w:r>
        <w:rPr>
          <w:rFonts w:hint="eastAsia"/>
          <w:color w:val="auto"/>
          <w:lang w:val="en-US" w:eastAsia="zh-CN"/>
        </w:rPr>
        <w:t>④</w:t>
      </w:r>
      <w:r>
        <w:rPr>
          <w:rFonts w:hint="eastAsia"/>
          <w:color w:val="auto"/>
          <w:lang w:eastAsia="zh-CN"/>
        </w:rPr>
        <w:t>II类场应设置渗漏监控系统，监控防渗衬层的完整性。渗漏监控系统的构成包括但不限于防渗衬层渗漏监测设备、地下水监测井。</w:t>
      </w:r>
    </w:p>
    <w:p w14:paraId="539C1DCB">
      <w:pPr>
        <w:bidi w:val="0"/>
        <w:rPr>
          <w:rFonts w:hint="default" w:ascii="Times New Roman" w:hAnsi="Times New Roman" w:eastAsia="宋体" w:cs="Times New Roman"/>
          <w:color w:val="auto"/>
          <w:lang w:val="en-US" w:eastAsia="zh-CN"/>
        </w:rPr>
      </w:pPr>
      <w:r>
        <w:rPr>
          <w:rFonts w:hint="eastAsia"/>
          <w:color w:val="auto"/>
          <w:lang w:val="en-US" w:eastAsia="zh-CN"/>
        </w:rPr>
        <w:t>⑤</w:t>
      </w:r>
      <w:r>
        <w:rPr>
          <w:rFonts w:hint="eastAsia"/>
          <w:color w:val="auto"/>
          <w:lang w:eastAsia="zh-CN"/>
        </w:rPr>
        <w:t>人工合成材料衬层、渗滤液收集和导排系统的施工不应对粘土衬层造成破坏。</w:t>
      </w:r>
    </w:p>
    <w:bookmarkEnd w:id="849"/>
    <w:bookmarkEnd w:id="850"/>
    <w:bookmarkEnd w:id="851"/>
    <w:p w14:paraId="56E434E0">
      <w:pPr>
        <w:pStyle w:val="4"/>
        <w:rPr>
          <w:rFonts w:hint="default" w:ascii="Times New Roman" w:hAnsi="Times New Roman" w:cs="Times New Roman"/>
          <w:color w:val="auto"/>
          <w:highlight w:val="none"/>
        </w:rPr>
      </w:pPr>
      <w:bookmarkStart w:id="852" w:name="_Toc26073"/>
      <w:bookmarkStart w:id="853" w:name="_Toc15022"/>
      <w:bookmarkStart w:id="854" w:name="_Toc22459"/>
      <w:r>
        <w:rPr>
          <w:rFonts w:hint="default" w:ascii="Times New Roman" w:hAnsi="Times New Roman" w:cs="Times New Roman"/>
          <w:color w:val="auto"/>
          <w:highlight w:val="none"/>
        </w:rPr>
        <w:t>6.2.6土壤环境保护措施</w:t>
      </w:r>
    </w:p>
    <w:p w14:paraId="6297327B">
      <w:pPr>
        <w:pStyle w:val="5"/>
        <w:ind w:firstLine="482"/>
        <w:rPr>
          <w:rFonts w:hint="default" w:ascii="Times New Roman" w:hAnsi="Times New Roman" w:cs="Times New Roman"/>
          <w:color w:val="auto"/>
          <w:highlight w:val="none"/>
        </w:rPr>
      </w:pPr>
      <w:bookmarkStart w:id="855" w:name="_Toc21547"/>
      <w:r>
        <w:rPr>
          <w:rFonts w:hint="default" w:ascii="Times New Roman" w:hAnsi="Times New Roman" w:cs="Times New Roman"/>
          <w:color w:val="auto"/>
          <w:highlight w:val="none"/>
        </w:rPr>
        <w:t>6.2.6.1选矿厂土壤环境保护措施</w:t>
      </w:r>
    </w:p>
    <w:p w14:paraId="357E7958">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占地范围内的土壤环境质量无超标点位。对土壤可能产生影响的途径为选矿废水管道破裂尾矿砂含水通过入渗形式进入周边土壤。重点污染防治区均按相应标准设计、施工并做好防渗措施，能有效降低对土壤的污染影响。</w:t>
      </w:r>
    </w:p>
    <w:p w14:paraId="3BB7EC39">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此外，建设单位在项目运行期还应充分重视其自身环保行为，将从源头控制、过程防控和跟踪监</w:t>
      </w:r>
      <w:r>
        <w:rPr>
          <w:rFonts w:hint="default" w:cs="Times New Roman"/>
          <w:color w:val="auto"/>
          <w:sz w:val="24"/>
          <w:highlight w:val="none"/>
          <w:lang w:eastAsia="zh-CN"/>
        </w:rPr>
        <w:t>测等</w:t>
      </w:r>
      <w:r>
        <w:rPr>
          <w:rFonts w:hint="default" w:ascii="Times New Roman" w:hAnsi="Times New Roman" w:cs="Times New Roman"/>
          <w:color w:val="auto"/>
          <w:sz w:val="24"/>
          <w:highlight w:val="none"/>
        </w:rPr>
        <w:t>方面进一步加强对土壤环境的保护措施。</w:t>
      </w:r>
    </w:p>
    <w:p w14:paraId="7A5F3B37">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源头控制：在废水输送过程中，加强跑冒滴漏管理，降低物质泄漏和污染土壤环境的隐患。</w:t>
      </w:r>
    </w:p>
    <w:p w14:paraId="1C925F38">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过程防控：做好本工程的防渗工作，防渗措施满足《环境影响评价技术导则 地下水环境》（HJ610-2016）和《危险废物贮存污染控制标准》（</w:t>
      </w:r>
      <w:r>
        <w:rPr>
          <w:rFonts w:hint="default" w:cs="Times New Roman"/>
          <w:color w:val="auto"/>
          <w:sz w:val="24"/>
          <w:highlight w:val="none"/>
          <w:lang w:eastAsia="zh-CN"/>
        </w:rPr>
        <w:t>GB 18597-2023</w:t>
      </w:r>
      <w:r>
        <w:rPr>
          <w:rFonts w:hint="default" w:ascii="Times New Roman" w:hAnsi="Times New Roman" w:cs="Times New Roman"/>
          <w:color w:val="auto"/>
          <w:sz w:val="24"/>
          <w:highlight w:val="none"/>
        </w:rPr>
        <w:t>）规定的防渗要求。</w:t>
      </w:r>
    </w:p>
    <w:p w14:paraId="4B3B364C">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跟踪监测：企业应定期进行选矿厂下游动态监测，保证项目建设不对土壤和地下水造成污染。</w:t>
      </w:r>
    </w:p>
    <w:p w14:paraId="718F8BDB">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6.2.6.2尾矿库污染防治措施</w:t>
      </w:r>
      <w:bookmarkEnd w:id="855"/>
    </w:p>
    <w:p w14:paraId="12CDBEBE">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针对尾矿库可能发生的事故污染，本次环评提出以下防治措施：</w:t>
      </w:r>
    </w:p>
    <w:p w14:paraId="7B7ECCC3">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（1）尾矿输送系统的维护管理</w:t>
      </w:r>
    </w:p>
    <w:p w14:paraId="7FC5F617">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回水泵必须处于良好状态，易磨损的备件按计划进行更换和检修；必须经常注意水量、电流表、电压表的变化，并及时操作调节，做到正常排送。</w:t>
      </w:r>
    </w:p>
    <w:p w14:paraId="743CF5F6">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（2）尾矿库的维护管理</w:t>
      </w:r>
    </w:p>
    <w:p w14:paraId="296252A7">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尾矿库日常运行应注意坝坡上下游的安全状况，在汛期前要组织工程技术人员和安检人员进行尾矿库的全面检查，发现变形、塌陷、裂缝、管涌等安全隐患，停止使用，迅速查明原因进行加固处理。遇有暴雨天气，要求运行人员坚持巡视，注意库坝内水情，以确保库坝的安全。</w:t>
      </w:r>
    </w:p>
    <w:p w14:paraId="0A136D08">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当尾矿库达到设计堆放高度时应及时闭库，避免超量堆放。应经常对库周围地下环境进行监测，发现指标超标现象，尽快处理。</w:t>
      </w:r>
    </w:p>
    <w:p w14:paraId="4E5AED2E">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尾矿堆坝应保证筑坝质量，尾矿堆填过程中应分层填筑，分层碾压。</w:t>
      </w:r>
    </w:p>
    <w:p w14:paraId="04FC3A85">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尾矿库周围应设铁丝网围栏，以防牲畜以及非工作人员进入，并按要求</w:t>
      </w:r>
      <w:r>
        <w:rPr>
          <w:rFonts w:hint="default" w:cs="Times New Roman"/>
          <w:color w:val="auto"/>
          <w:sz w:val="24"/>
          <w:highlight w:val="none"/>
          <w:lang w:eastAsia="zh-CN"/>
        </w:rPr>
        <w:t>设置</w:t>
      </w:r>
      <w:r>
        <w:rPr>
          <w:rFonts w:hint="default" w:ascii="Times New Roman" w:hAnsi="Times New Roman" w:cs="Times New Roman"/>
          <w:color w:val="auto"/>
          <w:sz w:val="24"/>
          <w:highlight w:val="none"/>
        </w:rPr>
        <w:t>警示牌。</w:t>
      </w:r>
    </w:p>
    <w:p w14:paraId="457172B9">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（3）尾矿库的监测</w:t>
      </w:r>
    </w:p>
    <w:p w14:paraId="7D3C93CB">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建设单位应建立健全巡坝护坝制度。</w:t>
      </w:r>
    </w:p>
    <w:p w14:paraId="521F7AC2">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坝体竣工</w:t>
      </w:r>
      <w:r>
        <w:rPr>
          <w:rFonts w:hint="default" w:cs="Times New Roman"/>
          <w:color w:val="auto"/>
          <w:sz w:val="24"/>
          <w:highlight w:val="none"/>
          <w:lang w:eastAsia="zh-CN"/>
        </w:rPr>
        <w:t>两三年</w:t>
      </w:r>
      <w:r>
        <w:rPr>
          <w:rFonts w:hint="default" w:ascii="Times New Roman" w:hAnsi="Times New Roman" w:cs="Times New Roman"/>
          <w:color w:val="auto"/>
          <w:sz w:val="24"/>
          <w:highlight w:val="none"/>
        </w:rPr>
        <w:t>内，垂直位移和水平位移观测应每月进行一次。汛期应根据水位上升情况，增加测次。位移已基本稳定或已基本掌握其变化规律后，测次可适当减少，但每年不得少于两次。</w:t>
      </w:r>
    </w:p>
    <w:p w14:paraId="6750CEE2">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常检查下游坝面有无渗透水、渗漏现象或湿片，一经发现应立即报告，并加强监视。如果发现坝体产生裂缝或有滑坡预兆，应立即报告，并进行处理。监视坝下排水棱体渗透水量与水质，发现水量突然增大或渗透水浑浊时应立即报告，并加强监测。如发现坝坡局部塌方或雨水集中汇流冲刷坝坡，应立即处理。</w:t>
      </w:r>
    </w:p>
    <w:p w14:paraId="25A3502A">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（4）尾矿库的闭库</w:t>
      </w:r>
    </w:p>
    <w:p w14:paraId="7081BD01">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①拆除地面废弃建筑物，对项目区进行平整。</w:t>
      </w:r>
    </w:p>
    <w:p w14:paraId="5514B803">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②尾矿库闭库应符合国家有关法律、法规、标准和技术规范。</w:t>
      </w:r>
    </w:p>
    <w:p w14:paraId="718B0289">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③闭库前应进行闭库前的安全评价、闭库设计与施工、闭库安全验收。</w:t>
      </w:r>
    </w:p>
    <w:p w14:paraId="39D994F5">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④对项目区内平整后、覆盖碎石，使生态环境自然演替。</w:t>
      </w:r>
    </w:p>
    <w:p w14:paraId="5007B6EF">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⑤建设单位应留足够的资金，保证项目闭场时拆除地面建筑物、生态恢复、生态管理需要。</w:t>
      </w:r>
    </w:p>
    <w:p w14:paraId="11735308">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⑥当尾矿库服务期满后应予以闭库封场。闭库封场前，必须编制闭库封场计划，报请</w:t>
      </w:r>
      <w:r>
        <w:rPr>
          <w:rFonts w:hint="default" w:cs="Times New Roman"/>
          <w:color w:val="auto"/>
          <w:sz w:val="24"/>
          <w:highlight w:val="none"/>
          <w:lang w:val="en-US" w:eastAsia="zh-CN"/>
        </w:rPr>
        <w:t>阿勒泰地区</w:t>
      </w:r>
      <w:r>
        <w:rPr>
          <w:rFonts w:hint="default" w:ascii="Times New Roman" w:hAnsi="Times New Roman" w:cs="Times New Roman"/>
          <w:color w:val="auto"/>
          <w:sz w:val="24"/>
          <w:highlight w:val="none"/>
        </w:rPr>
        <w:t>生态环境局核准，并采取污染防治措施。</w:t>
      </w:r>
    </w:p>
    <w:p w14:paraId="5CE3FCD2">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⑦尾矿库闭库设计和施工方案必须符合国家有关法律、法规和技术规范，确保尾矿库稳定性，尾矿库防洪能力满足《尾矿库安全规程》（GB39496-2020）要求，保证尾矿库闭库后长期安全稳定。</w:t>
      </w:r>
    </w:p>
    <w:p w14:paraId="469D08D3">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⑧闭库后的尾矿库必须做好坝体等设施的维护，严禁在尾矿库区域附近直接取土。</w:t>
      </w:r>
    </w:p>
    <w:p w14:paraId="3D7775C5">
      <w:pPr>
        <w:pStyle w:val="5"/>
        <w:ind w:firstLine="482"/>
        <w:rPr>
          <w:rFonts w:hint="default" w:ascii="Times New Roman" w:hAnsi="Times New Roman" w:cs="Times New Roman"/>
          <w:color w:val="auto"/>
          <w:highlight w:val="none"/>
        </w:rPr>
      </w:pPr>
      <w:bookmarkStart w:id="856" w:name="_Toc421722146"/>
      <w:bookmarkStart w:id="857" w:name="_Toc318298639"/>
      <w:bookmarkStart w:id="858" w:name="_Toc14747"/>
      <w:bookmarkStart w:id="859" w:name="_Toc282074099"/>
      <w:bookmarkStart w:id="860" w:name="_Toc482784697"/>
      <w:r>
        <w:rPr>
          <w:rFonts w:hint="default" w:ascii="Times New Roman" w:hAnsi="Times New Roman" w:cs="Times New Roman"/>
          <w:color w:val="auto"/>
          <w:highlight w:val="none"/>
        </w:rPr>
        <w:t>6.2.6.3</w:t>
      </w:r>
      <w:r>
        <w:rPr>
          <w:rFonts w:hint="default" w:cs="Times New Roman"/>
          <w:color w:val="auto"/>
          <w:highlight w:val="none"/>
          <w:lang w:val="en-US" w:eastAsia="zh-CN"/>
        </w:rPr>
        <w:t>选矿厂</w:t>
      </w:r>
      <w:r>
        <w:rPr>
          <w:rFonts w:hint="default" w:ascii="Times New Roman" w:hAnsi="Times New Roman" w:cs="Times New Roman"/>
          <w:color w:val="auto"/>
          <w:highlight w:val="none"/>
        </w:rPr>
        <w:t>回水系统防治措施</w:t>
      </w:r>
      <w:bookmarkEnd w:id="856"/>
      <w:bookmarkEnd w:id="857"/>
      <w:bookmarkEnd w:id="858"/>
      <w:bookmarkEnd w:id="859"/>
      <w:bookmarkEnd w:id="860"/>
    </w:p>
    <w:p w14:paraId="40BD995C">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选矿厂</w:t>
      </w:r>
      <w:r>
        <w:rPr>
          <w:rFonts w:hint="default" w:ascii="Times New Roman" w:hAnsi="Times New Roman" w:cs="Times New Roman"/>
          <w:color w:val="auto"/>
          <w:sz w:val="24"/>
          <w:highlight w:val="none"/>
        </w:rPr>
        <w:t>回水系统必须做好正常和定期的维护、检修和管理工作，使设备保持良好状态，一旦发生事故，为防止事故状态下尾矿水四处漫流，造成环境污染，本环评要求</w:t>
      </w:r>
      <w:r>
        <w:rPr>
          <w:rFonts w:hint="default" w:cs="Times New Roman"/>
          <w:color w:val="auto"/>
          <w:sz w:val="24"/>
          <w:highlight w:val="none"/>
          <w:lang w:val="en-US" w:eastAsia="zh-CN"/>
        </w:rPr>
        <w:t>选矿厂</w:t>
      </w:r>
      <w:r>
        <w:rPr>
          <w:rFonts w:hint="default" w:ascii="Times New Roman" w:hAnsi="Times New Roman" w:cs="Times New Roman"/>
          <w:color w:val="auto"/>
          <w:sz w:val="24"/>
          <w:highlight w:val="none"/>
        </w:rPr>
        <w:t>设置</w:t>
      </w:r>
      <w:r>
        <w:rPr>
          <w:rFonts w:hint="default" w:cs="Times New Roman"/>
          <w:color w:val="auto"/>
          <w:sz w:val="24"/>
          <w:highlight w:val="none"/>
          <w:lang w:val="en-US" w:eastAsia="zh-CN"/>
        </w:rPr>
        <w:t>150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事故池以容纳事故尾矿。事故池要求如下：</w:t>
      </w:r>
    </w:p>
    <w:p w14:paraId="46E56E97">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（1）按100年一遇24小时暴雨强度设计截水沟，防止洪水进入尾矿库。</w:t>
      </w:r>
    </w:p>
    <w:p w14:paraId="1AEA897C">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（2）事故池应定期清理，经常保持足够的储存容积。</w:t>
      </w:r>
    </w:p>
    <w:p w14:paraId="0F9A2116">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（3）尾矿库服务期满后，应及时进行封存。</w:t>
      </w:r>
    </w:p>
    <w:p w14:paraId="6DEE974D">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事故池容积合理性分析：本项目选矿厂正常工况下日矿浆量约</w:t>
      </w:r>
      <w:r>
        <w:rPr>
          <w:rFonts w:hint="default" w:cs="Times New Roman"/>
          <w:color w:val="auto"/>
          <w:sz w:val="24"/>
          <w:highlight w:val="none"/>
          <w:lang w:val="en-US" w:eastAsia="zh-CN"/>
        </w:rPr>
        <w:t>380</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cs="Times New Roman"/>
          <w:color w:val="auto"/>
          <w:sz w:val="24"/>
          <w:highlight w:val="none"/>
          <w:lang w:val="en-US" w:eastAsia="zh-CN"/>
        </w:rPr>
        <w:t>a</w:t>
      </w:r>
      <w:r>
        <w:rPr>
          <w:rFonts w:hint="default" w:ascii="Times New Roman" w:hAnsi="Times New Roman" w:cs="Times New Roman"/>
          <w:color w:val="auto"/>
          <w:sz w:val="24"/>
          <w:highlight w:val="none"/>
        </w:rPr>
        <w:t>，若尾矿输送管道</w:t>
      </w:r>
      <w:r>
        <w:rPr>
          <w:rFonts w:hint="default" w:cs="Times New Roman"/>
          <w:color w:val="auto"/>
          <w:sz w:val="24"/>
          <w:highlight w:val="none"/>
          <w:lang w:eastAsia="zh-CN"/>
        </w:rPr>
        <w:t>泄漏</w:t>
      </w:r>
      <w:r>
        <w:rPr>
          <w:rFonts w:hint="default" w:ascii="Times New Roman" w:hAnsi="Times New Roman" w:cs="Times New Roman"/>
          <w:color w:val="auto"/>
          <w:sz w:val="24"/>
          <w:highlight w:val="none"/>
        </w:rPr>
        <w:t>时间按20min计，则20min的尾矿排放量为</w:t>
      </w:r>
      <w:r>
        <w:rPr>
          <w:rFonts w:hint="default" w:cs="Times New Roman"/>
          <w:color w:val="auto"/>
          <w:sz w:val="24"/>
          <w:highlight w:val="none"/>
          <w:lang w:val="en-US" w:eastAsia="zh-CN"/>
        </w:rPr>
        <w:t>5.28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GB"/>
        </w:rPr>
        <w:t>选</w:t>
      </w:r>
      <w:r>
        <w:rPr>
          <w:rFonts w:hint="default" w:ascii="Times New Roman" w:hAnsi="Times New Roman" w:cs="Times New Roman"/>
          <w:color w:val="auto"/>
          <w:sz w:val="24"/>
          <w:highlight w:val="none"/>
          <w:lang w:val="en-GB" w:eastAsia="zh-CN"/>
        </w:rPr>
        <w:t>矿</w:t>
      </w:r>
      <w:r>
        <w:rPr>
          <w:rFonts w:hint="default" w:ascii="Times New Roman" w:hAnsi="Times New Roman" w:cs="Times New Roman"/>
          <w:color w:val="auto"/>
          <w:sz w:val="24"/>
          <w:highlight w:val="none"/>
          <w:lang w:val="en-GB"/>
        </w:rPr>
        <w:t>厂</w:t>
      </w:r>
      <w:r>
        <w:rPr>
          <w:rFonts w:hint="default" w:ascii="Times New Roman" w:hAnsi="Times New Roman" w:cs="Times New Roman"/>
          <w:color w:val="auto"/>
          <w:sz w:val="24"/>
          <w:highlight w:val="none"/>
          <w:lang w:val="en-GB" w:eastAsia="zh-CN"/>
        </w:rPr>
        <w:t>浮选机底部基础做深，作为选矿厂事故池，容积150</w:t>
      </w:r>
      <w:r>
        <w:rPr>
          <w:rFonts w:hint="default" w:ascii="Times New Roman" w:hAnsi="Times New Roman" w:cs="Times New Roman"/>
          <w:color w:val="auto"/>
          <w:sz w:val="24"/>
          <w:highlight w:val="none"/>
          <w:lang w:val="en-GB"/>
        </w:rPr>
        <w:t>m</w:t>
      </w:r>
      <w:r>
        <w:rPr>
          <w:rFonts w:hint="default" w:ascii="Times New Roman" w:hAnsi="Times New Roman" w:cs="Times New Roman"/>
          <w:color w:val="auto"/>
          <w:sz w:val="24"/>
          <w:highlight w:val="none"/>
          <w:vertAlign w:val="superscript"/>
          <w:lang w:val="en-GB"/>
        </w:rPr>
        <w:t>3</w:t>
      </w:r>
      <w:r>
        <w:rPr>
          <w:rFonts w:hint="default" w:ascii="Times New Roman" w:hAnsi="Times New Roman" w:cs="Times New Roman"/>
          <w:color w:val="auto"/>
          <w:sz w:val="24"/>
          <w:highlight w:val="none"/>
          <w:lang w:val="en-GB"/>
        </w:rPr>
        <w:t>的</w:t>
      </w:r>
      <w:r>
        <w:rPr>
          <w:rFonts w:hint="default" w:ascii="Times New Roman" w:hAnsi="Times New Roman" w:cs="Times New Roman"/>
          <w:color w:val="auto"/>
          <w:sz w:val="24"/>
          <w:highlight w:val="none"/>
          <w:lang w:val="en-GB" w:eastAsia="zh-CN"/>
        </w:rPr>
        <w:t>回水</w:t>
      </w:r>
      <w:r>
        <w:rPr>
          <w:rFonts w:hint="default" w:ascii="Times New Roman" w:hAnsi="Times New Roman" w:cs="Times New Roman"/>
          <w:color w:val="auto"/>
          <w:sz w:val="24"/>
          <w:highlight w:val="none"/>
          <w:lang w:val="en-GB"/>
        </w:rPr>
        <w:t>池</w:t>
      </w:r>
      <w:r>
        <w:rPr>
          <w:rFonts w:hint="default" w:ascii="Times New Roman" w:hAnsi="Times New Roman" w:cs="Times New Roman"/>
          <w:color w:val="auto"/>
          <w:sz w:val="24"/>
          <w:highlight w:val="none"/>
          <w:lang w:val="en-GB" w:eastAsia="zh-CN"/>
        </w:rPr>
        <w:t>作为事故池</w:t>
      </w:r>
      <w:r>
        <w:rPr>
          <w:rFonts w:hint="default" w:ascii="Times New Roman" w:hAnsi="Times New Roman" w:cs="Times New Roman"/>
          <w:color w:val="auto"/>
          <w:sz w:val="24"/>
          <w:highlight w:val="none"/>
        </w:rPr>
        <w:t>，事故池容积足以承纳规范要求的10~20min的正常矿浆量，防止事故状态下尾矿浆外排，该事故池容积设计合理。</w:t>
      </w:r>
    </w:p>
    <w:p w14:paraId="5513C140">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旦尾矿库内废水溢流、跑冒，立即通知选矿厂启动应急预案，停止尾矿输送，故溢出的尾矿量很少，企业及时组织清理转运，溢流尾矿对事故区域的环境影响可控。待故障排除后，再将尾矿浆送至尾矿输送系统排入尾矿库。</w:t>
      </w:r>
    </w:p>
    <w:p w14:paraId="331899DD">
      <w:pPr>
        <w:pStyle w:val="58"/>
        <w:overflowPunct w:val="0"/>
        <w:topLinePunct/>
        <w:autoSpaceDE/>
        <w:autoSpaceDN/>
        <w:spacing w:line="480" w:lineRule="exact"/>
        <w:ind w:firstLine="480" w:firstLineChars="200"/>
        <w:jc w:val="both"/>
        <w:rPr>
          <w:rFonts w:hint="default" w:ascii="Times New Roman" w:hAnsi="Times New Roman" w:cs="Times New Roman"/>
          <w:b w:val="0"/>
          <w:bCs/>
          <w:color w:val="auto"/>
          <w:highlight w:val="none"/>
          <w:lang w:val="zh-CN"/>
        </w:rPr>
      </w:pPr>
      <w:r>
        <w:rPr>
          <w:rFonts w:hint="default" w:ascii="Times New Roman" w:hAnsi="Times New Roman" w:cs="Times New Roman"/>
          <w:b w:val="0"/>
          <w:bCs/>
          <w:color w:val="auto"/>
          <w:kern w:val="2"/>
          <w:highlight w:val="none"/>
        </w:rPr>
        <w:t>综上，本</w:t>
      </w:r>
      <w:r>
        <w:rPr>
          <w:rFonts w:hint="default" w:ascii="Times New Roman" w:cs="Times New Roman"/>
          <w:b w:val="0"/>
          <w:bCs/>
          <w:color w:val="auto"/>
          <w:kern w:val="2"/>
          <w:highlight w:val="none"/>
          <w:lang w:eastAsia="zh-CN"/>
        </w:rPr>
        <w:t>项目区</w:t>
      </w:r>
      <w:r>
        <w:rPr>
          <w:rFonts w:hint="default" w:ascii="Times New Roman" w:hAnsi="Times New Roman" w:cs="Times New Roman"/>
          <w:b w:val="0"/>
          <w:bCs/>
          <w:color w:val="auto"/>
          <w:kern w:val="2"/>
          <w:highlight w:val="none"/>
        </w:rPr>
        <w:t>各监测点土壤监测指标均不超标，低于</w:t>
      </w:r>
      <w:r>
        <w:rPr>
          <w:rFonts w:hint="default" w:ascii="Times New Roman" w:hAnsi="Times New Roman" w:cs="Times New Roman"/>
          <w:b w:val="0"/>
          <w:bCs/>
          <w:color w:val="auto"/>
          <w:spacing w:val="-1"/>
          <w:kern w:val="0"/>
          <w:highlight w:val="none"/>
          <w:lang w:bidi="ar"/>
        </w:rPr>
        <w:t>《土壤环境质量 建设用地土壤污染风险管控标准（试行）》（GB36600-2018）第二类用地</w:t>
      </w:r>
      <w:r>
        <w:rPr>
          <w:rFonts w:hint="default" w:ascii="Times New Roman" w:hAnsi="Times New Roman" w:cs="Times New Roman"/>
          <w:b w:val="0"/>
          <w:bCs/>
          <w:color w:val="auto"/>
          <w:highlight w:val="none"/>
        </w:rPr>
        <w:t>筛选值标准及《土壤环境质量 农用地土壤污染风险管控标准（试行）》（GB15618-2018）中表1农用地土壤污染风险筛选值</w:t>
      </w:r>
      <w:r>
        <w:rPr>
          <w:rFonts w:hint="default" w:ascii="Times New Roman" w:hAnsi="Times New Roman" w:cs="Times New Roman"/>
          <w:b w:val="0"/>
          <w:bCs/>
          <w:color w:val="auto"/>
          <w:kern w:val="2"/>
          <w:highlight w:val="none"/>
        </w:rPr>
        <w:t>。本项目设置有完善的废水回用系统，重点区域均采取有效的防渗措施，能有效降低对土壤的污染影响。本项目在落实土壤保护措施的前提下，项目建设对项目区及周围土壤环境的影响可接受。</w:t>
      </w:r>
    </w:p>
    <w:p w14:paraId="4DFDBDEF">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6.2.7生态环境保护措施</w:t>
      </w:r>
      <w:bookmarkEnd w:id="852"/>
      <w:bookmarkEnd w:id="853"/>
      <w:bookmarkEnd w:id="854"/>
    </w:p>
    <w:p w14:paraId="4DE5B7F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选矿厂生产时，禁止随意排弃，必须堆存在指定地方，避免在项目区增加新的地表扰动和水土流失，严格控制占地面积，减少地表扰动；有组织产尘点需按照要求设置高效除尘器等除尘设施，无组织产尘点需定期进行洒水降尘、喷洒抑尘剂等抑尘措施；运输车辆加盖</w:t>
      </w:r>
      <w:r>
        <w:rPr>
          <w:rFonts w:hint="default" w:cs="Times New Roman"/>
          <w:color w:val="auto"/>
          <w:highlight w:val="none"/>
          <w:lang w:eastAsia="zh-CN"/>
        </w:rPr>
        <w:t>篷布</w:t>
      </w:r>
      <w:r>
        <w:rPr>
          <w:rFonts w:hint="default" w:ascii="Times New Roman" w:hAnsi="Times New Roman" w:cs="Times New Roman"/>
          <w:color w:val="auto"/>
          <w:highlight w:val="none"/>
        </w:rPr>
        <w:t>，运输全程均需密闭，做到无逸散、无撒漏，控制运输中抛撒引起的扬尘；加强尾矿库及应急设施的建设及管理，力求对植被、周边红线的影响降到最低；利用厂界围栏对外环境野生动物进行隔离，避免外界野生动物进入而造成影响。</w:t>
      </w:r>
    </w:p>
    <w:p w14:paraId="448F977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选矿厂、尾矿库、</w:t>
      </w:r>
      <w:r>
        <w:rPr>
          <w:rFonts w:hint="default" w:cs="Times New Roman"/>
          <w:color w:val="auto"/>
          <w:highlight w:val="none"/>
          <w:lang w:val="en-US" w:eastAsia="zh-CN"/>
        </w:rPr>
        <w:t>办公</w:t>
      </w:r>
      <w:r>
        <w:rPr>
          <w:rFonts w:hint="default" w:ascii="Times New Roman" w:hAnsi="Times New Roman" w:cs="Times New Roman"/>
          <w:color w:val="auto"/>
          <w:highlight w:val="none"/>
        </w:rPr>
        <w:t>生活区等应严格采取以下生态环境保护措施。</w:t>
      </w:r>
    </w:p>
    <w:p w14:paraId="1DA47C4E">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6.2.7.1尾矿库生态环境保护措施</w:t>
      </w:r>
    </w:p>
    <w:p w14:paraId="73A985E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行期生态环境保护措施主要为场地整治、表土覆盖及植被措施。依据尾矿库所在区域的地形环境条件，及时整治平台和边坡；在边坡形成期间和形成之后，应定期监测边坡的位移变形情况，当发现某一部位变形异常，立即进行修整边坡，使达到安全状态。尾矿库堆积坝边坡形成后，及时对尾矿库堆积坝边坡进行复垦，复垦为草地。尾矿库闭库后复垦还地，恢复植被。</w:t>
      </w:r>
    </w:p>
    <w:p w14:paraId="6A750C5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沉积滩风蚀是其最普遍、最重要的水土流失形式。并且随着尾矿堆积面积不断升高，风蚀程度会愈加严重。在尾矿库运行过程中应加强尾矿库的管理和放矿管理，特别是汛期加强尾矿库的巡检和在线监测，保持排洪设施畅通。库区上游和坝体下方禁止采挖砂土，避免造成山体滑坡或坝体垮塌。编制《尾矿库生态环境保护与恢复治理方案》，并按方案实施尾矿库生态恢复治理措施；根据坝体堆筑进程合理安排坝体外坡及周边生态恢复治理，减少坝体产尘量和水土流失。</w:t>
      </w:r>
    </w:p>
    <w:p w14:paraId="05ADC0F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6.2.7.2选矿厂、生活区生态环境保护措施</w:t>
      </w:r>
    </w:p>
    <w:p w14:paraId="649E281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工业场地在建设过程中应进行平整土地，排水设施、硬化等水土保持措施以及绿化措施。绿化区域主要放在生活区、未被建（构）筑物覆盖的地表及厂区道路两侧，同时包括项目区周围的场地。</w:t>
      </w:r>
    </w:p>
    <w:p w14:paraId="4B2C00A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工业场地自然土壤的剥离，一般对表土层进行单独剥离。如果表土层厚度小于20cm，则将表土层及其下面紧挨的心土层一起构成的至少20cm厚的土层进行单独剥离。土壤剥离应尽量和生态恢复工作相衔接，将剥离下来的土壤运往平整好的场地上铺覆，用于后续的绿化用土。</w:t>
      </w:r>
    </w:p>
    <w:p w14:paraId="0E8FD57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w:t>
      </w:r>
      <w:r>
        <w:rPr>
          <w:rFonts w:hint="default" w:cs="Times New Roman"/>
          <w:color w:val="auto"/>
          <w:highlight w:val="none"/>
          <w:lang w:val="en-US" w:eastAsia="zh-CN"/>
        </w:rPr>
        <w:t>办公</w:t>
      </w:r>
      <w:r>
        <w:rPr>
          <w:rFonts w:hint="default" w:ascii="Times New Roman" w:hAnsi="Times New Roman" w:cs="Times New Roman"/>
          <w:color w:val="auto"/>
          <w:highlight w:val="none"/>
        </w:rPr>
        <w:t>生活区绿化以</w:t>
      </w:r>
      <w:r>
        <w:rPr>
          <w:rFonts w:hint="default" w:cs="Times New Roman"/>
          <w:color w:val="auto"/>
          <w:highlight w:val="none"/>
          <w:lang w:val="en-US" w:eastAsia="zh-CN"/>
        </w:rPr>
        <w:t>绢蒿类</w:t>
      </w:r>
      <w:r>
        <w:rPr>
          <w:rFonts w:hint="default" w:ascii="Times New Roman" w:hAnsi="Times New Roman" w:cs="Times New Roman"/>
          <w:color w:val="auto"/>
          <w:highlight w:val="none"/>
        </w:rPr>
        <w:t>草本植物为主进行绿化</w:t>
      </w:r>
      <w:r>
        <w:rPr>
          <w:rFonts w:hint="default" w:cs="Times New Roman"/>
          <w:color w:val="auto"/>
          <w:highlight w:val="none"/>
          <w:lang w:eastAsia="zh-CN"/>
        </w:rPr>
        <w:t>，</w:t>
      </w:r>
      <w:r>
        <w:rPr>
          <w:rFonts w:hint="default" w:ascii="Times New Roman" w:hAnsi="Times New Roman" w:cs="Times New Roman"/>
          <w:color w:val="auto"/>
          <w:highlight w:val="none"/>
        </w:rPr>
        <w:t>这部分植被为本土优势种群，具有广泛的适应性</w:t>
      </w:r>
      <w:r>
        <w:rPr>
          <w:rFonts w:hint="default" w:cs="Times New Roman"/>
          <w:color w:val="auto"/>
          <w:highlight w:val="none"/>
          <w:lang w:eastAsia="zh-CN"/>
        </w:rPr>
        <w:t>、</w:t>
      </w:r>
      <w:r>
        <w:rPr>
          <w:rFonts w:hint="default" w:ascii="Times New Roman" w:hAnsi="Times New Roman" w:cs="Times New Roman"/>
          <w:color w:val="auto"/>
          <w:highlight w:val="none"/>
        </w:rPr>
        <w:t>耐寒能力和耐热、耐旱及耐潮湿能力。</w:t>
      </w:r>
    </w:p>
    <w:p w14:paraId="2D1A31B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本次环评要求严格按照《新疆江诣矿业有限公司新疆富蕴县阿克塔斯矿区金矿矿产资源开发利用与生态保护修复方案》的复垦要求，完成临时占地部分的土地平整及植被恢复工作。</w:t>
      </w:r>
    </w:p>
    <w:p w14:paraId="66FF63B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6.2.7.3生态功能区保护措施</w:t>
      </w:r>
    </w:p>
    <w:p w14:paraId="4DEEF2E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在《新疆生态功能区划》中，该区域为</w:t>
      </w:r>
      <w:r>
        <w:rPr>
          <w:rFonts w:hint="default" w:ascii="Times New Roman" w:hAnsi="Times New Roman" w:eastAsia="宋体" w:cs="Times New Roman"/>
          <w:color w:val="auto"/>
          <w:highlight w:val="none"/>
          <w:lang w:val="zh-CN"/>
        </w:rPr>
        <w:t>乌伦古河平原绿洲农业及河谷草地生态功能区</w:t>
      </w:r>
      <w:r>
        <w:rPr>
          <w:rFonts w:hint="default" w:ascii="Times New Roman" w:hAnsi="Times New Roman" w:cs="Times New Roman"/>
          <w:color w:val="auto"/>
          <w:highlight w:val="none"/>
        </w:rPr>
        <w:t>。</w:t>
      </w:r>
      <w:r>
        <w:rPr>
          <w:rFonts w:hint="default" w:ascii="Times New Roman" w:hAnsi="Times New Roman" w:cs="Times New Roman"/>
          <w:color w:val="auto"/>
          <w:kern w:val="0"/>
          <w:highlight w:val="none"/>
        </w:rPr>
        <w:t>该区域主要保护目标为</w:t>
      </w:r>
      <w:r>
        <w:rPr>
          <w:rFonts w:hint="default" w:ascii="Times New Roman" w:hAnsi="Times New Roman" w:cs="Times New Roman"/>
          <w:color w:val="auto"/>
          <w:highlight w:val="none"/>
        </w:rPr>
        <w:t>保护河谷林，防止土壤盐渍化</w:t>
      </w:r>
      <w:r>
        <w:rPr>
          <w:rFonts w:hint="default" w:ascii="Times New Roman" w:hAnsi="Times New Roman" w:cs="Times New Roman"/>
          <w:color w:val="auto"/>
          <w:kern w:val="0"/>
          <w:highlight w:val="none"/>
        </w:rPr>
        <w:t>，为保护区域生态功能不</w:t>
      </w:r>
      <w:r>
        <w:rPr>
          <w:rFonts w:hint="default" w:cs="Times New Roman"/>
          <w:color w:val="auto"/>
          <w:kern w:val="0"/>
          <w:highlight w:val="none"/>
          <w:lang w:eastAsia="zh-CN"/>
        </w:rPr>
        <w:t>受</w:t>
      </w:r>
      <w:r>
        <w:rPr>
          <w:rFonts w:hint="default" w:ascii="Times New Roman" w:hAnsi="Times New Roman" w:cs="Times New Roman"/>
          <w:color w:val="auto"/>
          <w:kern w:val="0"/>
          <w:highlight w:val="none"/>
        </w:rPr>
        <w:t>影响，</w:t>
      </w:r>
      <w:r>
        <w:rPr>
          <w:rFonts w:hint="default" w:ascii="Times New Roman" w:hAnsi="Times New Roman" w:cs="Times New Roman"/>
          <w:color w:val="auto"/>
          <w:highlight w:val="none"/>
        </w:rPr>
        <w:t>项目建设</w:t>
      </w:r>
      <w:r>
        <w:rPr>
          <w:rFonts w:hint="default" w:cs="Times New Roman"/>
          <w:color w:val="auto"/>
          <w:highlight w:val="none"/>
          <w:lang w:eastAsia="zh-CN"/>
        </w:rPr>
        <w:t>期间</w:t>
      </w:r>
      <w:r>
        <w:rPr>
          <w:rFonts w:hint="default" w:ascii="Times New Roman" w:hAnsi="Times New Roman" w:cs="Times New Roman"/>
          <w:color w:val="auto"/>
          <w:highlight w:val="none"/>
        </w:rPr>
        <w:t>应严格按照施工范围施工，规范施工作业，尽量少占草场，避免损坏草场的行为发生。各道路及管线等施工完毕后及时洒水封育恢复植被。对占用草场造成一定经济损失的，应与当地草原部门协商予以经济补偿或采取</w:t>
      </w:r>
      <w:r>
        <w:rPr>
          <w:rFonts w:hint="default" w:cs="Times New Roman"/>
          <w:color w:val="auto"/>
          <w:highlight w:val="none"/>
          <w:lang w:eastAsia="zh-CN"/>
        </w:rPr>
        <w:t>其他</w:t>
      </w:r>
      <w:r>
        <w:rPr>
          <w:rFonts w:hint="default" w:ascii="Times New Roman" w:hAnsi="Times New Roman" w:cs="Times New Roman"/>
          <w:color w:val="auto"/>
          <w:highlight w:val="none"/>
        </w:rPr>
        <w:t>补偿措施。</w:t>
      </w:r>
    </w:p>
    <w:p w14:paraId="2C13FD81">
      <w:pPr>
        <w:pStyle w:val="16"/>
        <w:widowControl/>
        <w:overflowPunct w:val="0"/>
        <w:topLinePun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重视景观生态的保护，尽量避免露天作业、地面生产应尽量密闭作业避免扬尘逸散，优化项目区建筑及道路，从设计、施工、运营等各个环节充分考虑对景观的保护。运行期应大力进行项目区人工绿化，在不影响运输、消防的前提下，绿化区域主要放在</w:t>
      </w:r>
      <w:r>
        <w:rPr>
          <w:rFonts w:hint="default" w:ascii="Times New Roman" w:hAnsi="Times New Roman" w:cs="Times New Roman"/>
          <w:color w:val="auto"/>
          <w:szCs w:val="24"/>
          <w:highlight w:val="none"/>
          <w:lang w:val="en-US" w:eastAsia="zh-CN"/>
        </w:rPr>
        <w:t>办公</w:t>
      </w:r>
      <w:r>
        <w:rPr>
          <w:rFonts w:hint="default" w:ascii="Times New Roman" w:hAnsi="Times New Roman" w:cs="Times New Roman"/>
          <w:color w:val="auto"/>
          <w:szCs w:val="24"/>
          <w:highlight w:val="none"/>
        </w:rPr>
        <w:t>生活区、未被建（构）筑物覆盖的地表及厂区道路两侧，同时包括项目区周围的场地。</w:t>
      </w:r>
    </w:p>
    <w:p w14:paraId="481FEB42">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6.2.7.4土地复垦及生态恢复措施</w:t>
      </w:r>
    </w:p>
    <w:p w14:paraId="4CCBED55">
      <w:pPr>
        <w:pStyle w:val="16"/>
        <w:widowControl/>
        <w:overflowPunct w:val="0"/>
        <w:topLinePunct/>
        <w:ind w:firstLine="480"/>
        <w:rPr>
          <w:rFonts w:hint="default" w:ascii="Times New Roman" w:hAnsi="Times New Roman" w:cs="Times New Roman"/>
          <w:color w:val="auto"/>
          <w:szCs w:val="24"/>
          <w:highlight w:val="none"/>
        </w:rPr>
      </w:pPr>
      <w:r>
        <w:rPr>
          <w:rFonts w:hint="default" w:ascii="Times New Roman" w:hAnsi="Times New Roman" w:eastAsia="宋体" w:cs="Times New Roman"/>
          <w:color w:val="auto"/>
          <w:szCs w:val="24"/>
          <w:highlight w:val="none"/>
        </w:rPr>
        <w:t>新疆江诣矿业有限公司已于2</w:t>
      </w:r>
      <w:r>
        <w:rPr>
          <w:rFonts w:hint="default" w:ascii="Times New Roman" w:hAnsi="Times New Roman" w:cs="Times New Roman"/>
          <w:color w:val="auto"/>
          <w:szCs w:val="24"/>
          <w:highlight w:val="none"/>
        </w:rPr>
        <w:t>0</w:t>
      </w:r>
      <w:r>
        <w:rPr>
          <w:rFonts w:hint="default" w:ascii="Times New Roman" w:hAnsi="Times New Roman" w:cs="Times New Roman"/>
          <w:color w:val="auto"/>
          <w:szCs w:val="24"/>
          <w:highlight w:val="none"/>
          <w:lang w:val="en-US" w:eastAsia="zh-CN"/>
        </w:rPr>
        <w:t>25</w:t>
      </w:r>
      <w:r>
        <w:rPr>
          <w:rFonts w:hint="default" w:ascii="Times New Roman" w:hAnsi="Times New Roman" w:cs="Times New Roman"/>
          <w:color w:val="auto"/>
          <w:szCs w:val="24"/>
          <w:highlight w:val="none"/>
        </w:rPr>
        <w:t>年</w:t>
      </w:r>
      <w:r>
        <w:rPr>
          <w:rFonts w:hint="default"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月针对本项目编制了《新疆江诣矿业有限公司新疆富蕴县阿克塔斯矿区金矿矿产资源开发利用与生态保护修复方案》，本次依照该方案提出本项目土地复垦及生态恢复措施。</w:t>
      </w:r>
    </w:p>
    <w:p w14:paraId="0A616AC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本项目涉及</w:t>
      </w:r>
      <w:r>
        <w:rPr>
          <w:rFonts w:hint="default" w:cs="Times New Roman"/>
          <w:color w:val="auto"/>
          <w:highlight w:val="none"/>
          <w:lang w:val="en-US" w:eastAsia="zh-CN"/>
        </w:rPr>
        <w:t>1</w:t>
      </w:r>
      <w:r>
        <w:rPr>
          <w:rFonts w:hint="default" w:ascii="Times New Roman" w:hAnsi="Times New Roman" w:cs="Times New Roman"/>
          <w:color w:val="auto"/>
          <w:highlight w:val="none"/>
        </w:rPr>
        <w:t>个重点防治区，包括：尾矿库，总面积</w:t>
      </w:r>
      <w:r>
        <w:rPr>
          <w:rFonts w:hint="default" w:cs="Times New Roman"/>
          <w:color w:val="auto"/>
          <w:highlight w:val="none"/>
          <w:lang w:val="en-US" w:eastAsia="zh-CN"/>
        </w:rPr>
        <w:t>26.01</w:t>
      </w:r>
      <w:r>
        <w:rPr>
          <w:rFonts w:hint="default" w:ascii="Times New Roman" w:hAnsi="Times New Roman" w:cs="Times New Roman"/>
          <w:color w:val="auto"/>
          <w:highlight w:val="none"/>
        </w:rPr>
        <w:t>公顷；涉及的次重点防治区</w:t>
      </w:r>
      <w:r>
        <w:rPr>
          <w:rFonts w:hint="default" w:cs="Times New Roman"/>
          <w:color w:val="auto"/>
          <w:highlight w:val="none"/>
          <w:lang w:val="en-US" w:eastAsia="zh-CN"/>
        </w:rPr>
        <w:t>2</w:t>
      </w:r>
      <w:r>
        <w:rPr>
          <w:rFonts w:hint="default" w:ascii="Times New Roman" w:hAnsi="Times New Roman" w:cs="Times New Roman"/>
          <w:color w:val="auto"/>
          <w:highlight w:val="none"/>
        </w:rPr>
        <w:t>个：办公生活区及选矿厂，总面积</w:t>
      </w:r>
      <w:r>
        <w:rPr>
          <w:rFonts w:hint="default" w:cs="Times New Roman"/>
          <w:color w:val="auto"/>
          <w:highlight w:val="none"/>
          <w:lang w:val="en-US" w:eastAsia="zh-CN"/>
        </w:rPr>
        <w:t>7</w:t>
      </w:r>
      <w:r>
        <w:rPr>
          <w:rFonts w:hint="default" w:ascii="Times New Roman" w:hAnsi="Times New Roman" w:cs="Times New Roman"/>
          <w:color w:val="auto"/>
          <w:highlight w:val="none"/>
        </w:rPr>
        <w:t>公顷。</w:t>
      </w:r>
    </w:p>
    <w:p w14:paraId="4E585C5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针对项目区的防治分区，方案中提出如下土地复垦及生态恢复计划。</w:t>
      </w:r>
    </w:p>
    <w:p w14:paraId="51F45B4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（1）西北干旱地区土地复垦质量控制标准</w:t>
      </w:r>
    </w:p>
    <w:p w14:paraId="12F44C0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项目区位于新疆</w:t>
      </w:r>
      <w:r>
        <w:rPr>
          <w:rFonts w:hint="default" w:cs="Times New Roman"/>
          <w:color w:val="auto"/>
          <w:highlight w:val="none"/>
          <w:lang w:val="en-US" w:eastAsia="zh-CN"/>
        </w:rPr>
        <w:t>富蕴</w:t>
      </w:r>
      <w:r>
        <w:rPr>
          <w:rFonts w:hint="default" w:ascii="Times New Roman" w:hAnsi="Times New Roman" w:cs="Times New Roman"/>
          <w:color w:val="auto"/>
          <w:highlight w:val="none"/>
        </w:rPr>
        <w:t>县，根据《土地复垦质量控制标准》（TD/T 1036-2013），评估区复垦类型区属于西北干旱区，土源极度匮乏，土层薄，有机质含量低，复垦方向以灌木林地、草地为主，耕地为辅。本项目区复垦方向为天然牧草地，执行《土地复垦质量控制标准》（TD/T 1036-2013）中表D.9西北干旱区草地土地复垦质量控制标准。</w:t>
      </w:r>
    </w:p>
    <w:p w14:paraId="404AAE2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（2）土地复垦及生态恢复工程</w:t>
      </w:r>
    </w:p>
    <w:p w14:paraId="0A2257C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1）土地损毁预防措施</w:t>
      </w:r>
    </w:p>
    <w:p w14:paraId="235749D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统一规划、源头控制、防复结合”的原则，根据该项目特点、前期生产方式与工艺，在生产和服务期满后治理恢复过程中，可以采取一些合理的预防与控制措施，以减小和控制损毁土地的面积和程度，为土地复垦工程的开展创造良好的基础。主要保护目标是保护地貌和地表植被，具体措施如下：</w:t>
      </w:r>
    </w:p>
    <w:p w14:paraId="3AEC700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A.合理堆放土方，尽量减少压占土地，避免污染土地，防止对原生态的破坏。</w:t>
      </w:r>
    </w:p>
    <w:p w14:paraId="21008F3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B.建立土壤监测系统，加强对土地资源破坏和已复垦区域进行监测，通过人工、无人机监测数据资料做好土地使用规划，指导土地复垦工作，尽量减少土地损毁影响。</w:t>
      </w:r>
    </w:p>
    <w:p w14:paraId="36AEAB0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2）项目区土地复垦</w:t>
      </w:r>
    </w:p>
    <w:p w14:paraId="386A9BC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A.目标任务</w:t>
      </w:r>
    </w:p>
    <w:p w14:paraId="0FC9E06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采取预防和控制措施，最大限度</w:t>
      </w:r>
      <w:r>
        <w:rPr>
          <w:rFonts w:hint="default" w:cs="Times New Roman"/>
          <w:color w:val="auto"/>
          <w:highlight w:val="none"/>
          <w:lang w:eastAsia="zh-CN"/>
        </w:rPr>
        <w:t>地</w:t>
      </w:r>
      <w:r>
        <w:rPr>
          <w:rFonts w:hint="default" w:ascii="Times New Roman" w:hAnsi="Times New Roman" w:cs="Times New Roman"/>
          <w:color w:val="auto"/>
          <w:highlight w:val="none"/>
        </w:rPr>
        <w:t>保护当地自然环境，以减少对土地的破坏，同时开展项目区土地复垦工作，恢复矿区环境，实现社会效益、环境效益和经济效益新的平衡。</w:t>
      </w:r>
    </w:p>
    <w:p w14:paraId="3825FD3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本项目确定土地复垦的目标为尽量确保土地复垦方向与土地利用总体规划保持一致、保持原有土地利用方向，与周边土地利用类型和景观相适应。复垦区面积</w:t>
      </w:r>
      <w:r>
        <w:rPr>
          <w:rFonts w:hint="default" w:cs="Times New Roman"/>
          <w:color w:val="auto"/>
          <w:highlight w:val="none"/>
          <w:lang w:val="en-US" w:eastAsia="zh-CN"/>
        </w:rPr>
        <w:t>32.17</w:t>
      </w:r>
      <w:r>
        <w:rPr>
          <w:rFonts w:hint="default" w:ascii="Times New Roman" w:hAnsi="Times New Roman" w:cs="Times New Roman"/>
          <w:color w:val="auto"/>
          <w:highlight w:val="none"/>
        </w:rPr>
        <w:t>公顷，复垦为天然牧草地。从而保护生态环境，合理利用土地，实现土地资源的可持续利用，促进经济和环境和谐发展。</w:t>
      </w:r>
    </w:p>
    <w:p w14:paraId="1CD616F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通过土地复垦改善当地生态环境，使损毁的土地得到恢复。复垦的主要目的是保证受本项目影响的区域植被覆盖度不下降，并控制可能发生的水土流失。复垦工程采取的复垦措施主要有拆除建筑物、土地平整、覆土、撒播草籽和管护。</w:t>
      </w:r>
    </w:p>
    <w:p w14:paraId="4014924B">
      <w:pPr>
        <w:numPr>
          <w:ilvl w:val="0"/>
          <w:numId w:val="9"/>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工程设计</w:t>
      </w:r>
    </w:p>
    <w:p w14:paraId="7BC7811C">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①办公生活区土地复垦工程设计</w:t>
      </w:r>
    </w:p>
    <w:p w14:paraId="7BE6CFAB">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A.建筑物及砌体拆除</w:t>
      </w:r>
    </w:p>
    <w:p w14:paraId="031101B5">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服务期满后，用推土机和挖掘机拆除区内地面建筑物和设备，用自卸汽车将可利用材料和设备外运，将砖混废弃物拉运至排土场处理。清理完毕后用推土机对场内土地进行平整，对场地内的较大起伏和坡度进行推高和填低，使其基本水平或其坡度在允许范围内，以利于雨季排水，办公生活区建筑物采用砖混砌体结构，使用机械拆除。预计建筑物单位清理工程量按0.5立方米/平方米。该工程在服务期满后完成。</w:t>
      </w:r>
    </w:p>
    <w:p w14:paraId="6F649920">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B.平整土地</w:t>
      </w:r>
    </w:p>
    <w:p w14:paraId="3B9B5F80">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根据确定需要平整土地的标高和坡度，平整方式主要为机械平整，借助推土机进行削高填低。根据原始地形坡度，平整土地坡度取5°，该工程在服务期满后完成。</w:t>
      </w:r>
    </w:p>
    <w:p w14:paraId="10EA9E41">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C.硬化层拆除</w:t>
      </w:r>
    </w:p>
    <w:p w14:paraId="54B0AED5">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办公生活区硬化层为无钢筋混凝土，厚度为0.2米</w:t>
      </w:r>
      <w:r>
        <w:rPr>
          <w:rFonts w:hint="default" w:cs="Times New Roman"/>
          <w:color w:val="auto"/>
          <w:kern w:val="0"/>
          <w:highlight w:val="none"/>
          <w:lang w:eastAsia="zh-CN" w:bidi="ar"/>
        </w:rPr>
        <w:t>，</w:t>
      </w:r>
      <w:r>
        <w:rPr>
          <w:rFonts w:hint="default" w:ascii="Times New Roman" w:hAnsi="Times New Roman" w:cs="Times New Roman"/>
          <w:color w:val="auto"/>
          <w:kern w:val="0"/>
          <w:highlight w:val="none"/>
          <w:lang w:bidi="ar"/>
        </w:rPr>
        <w:t>利用挖机对硬化层进行拆除。</w:t>
      </w:r>
    </w:p>
    <w:p w14:paraId="77C6467F">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D.覆土</w:t>
      </w:r>
    </w:p>
    <w:p w14:paraId="6E47BAB6">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办公生活区平整完毕后，上部再利用表土堆放场表土覆盖，覆表土层0.3米，设计使用机械为2立方米装载机、59kw推土机和10吨自卸式汽车，工作内容为挖装、运输、卸除和空回。通过表土覆盖，保证植被生长需要，有利于恢复地表植被，覆土工程在服务期满后完成。</w:t>
      </w:r>
    </w:p>
    <w:p w14:paraId="72012918">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E.播撒草籽</w:t>
      </w:r>
    </w:p>
    <w:p w14:paraId="29FF000E">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设计对办公生活区平整覆土后进行植被重建。根据区域植被类型，选用直播技术，直接人工混播草籽（比例为1:1），播种量为30千克/公顷</w:t>
      </w:r>
      <w:r>
        <w:rPr>
          <w:rFonts w:hint="default" w:cs="Times New Roman"/>
          <w:color w:val="auto"/>
          <w:kern w:val="0"/>
          <w:highlight w:val="none"/>
          <w:lang w:eastAsia="zh-CN" w:bidi="ar"/>
        </w:rPr>
        <w:t>，</w:t>
      </w:r>
      <w:r>
        <w:rPr>
          <w:rFonts w:hint="default" w:ascii="Times New Roman" w:hAnsi="Times New Roman" w:cs="Times New Roman"/>
          <w:color w:val="auto"/>
          <w:kern w:val="0"/>
          <w:highlight w:val="none"/>
          <w:lang w:bidi="ar"/>
        </w:rPr>
        <w:t>该工程在服务期满后完成。</w:t>
      </w:r>
    </w:p>
    <w:p w14:paraId="09A1A52B">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②选矿厂土地复垦工程设计</w:t>
      </w:r>
    </w:p>
    <w:p w14:paraId="5AF7C820">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A.建筑物及砌体拆除</w:t>
      </w:r>
    </w:p>
    <w:p w14:paraId="384519BC">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服务期满后用推土机和挖掘机拆除区内地面建筑物和设备，用自卸汽</w:t>
      </w:r>
      <w:r>
        <w:rPr>
          <w:rFonts w:hint="default" w:ascii="Times New Roman" w:hAnsi="Times New Roman" w:cs="Times New Roman"/>
          <w:color w:val="auto"/>
          <w:highlight w:val="none"/>
        </w:rPr>
        <w:t>车将可利用材料和设备外运，将废弃物拉运至排土场处理。清理完毕后用推土机对场内土地进行平整，对场地内的较大起伏和坡度进行推高和填低，使其基本水平或其坡度在允许范围内，以利于雨季排水，办公生活区建筑物采用砖混砌体结构，使用机械拆除。预计建筑物单位清理工程量按0.5立方米/平方米。该工程在</w:t>
      </w:r>
      <w:r>
        <w:rPr>
          <w:rFonts w:hint="default" w:ascii="Times New Roman" w:hAnsi="Times New Roman" w:cs="Times New Roman"/>
          <w:color w:val="auto"/>
          <w:kern w:val="0"/>
          <w:highlight w:val="none"/>
          <w:lang w:bidi="ar"/>
        </w:rPr>
        <w:t>服务期满后</w:t>
      </w:r>
      <w:r>
        <w:rPr>
          <w:rFonts w:hint="default" w:ascii="Times New Roman" w:hAnsi="Times New Roman" w:cs="Times New Roman"/>
          <w:color w:val="auto"/>
          <w:highlight w:val="none"/>
        </w:rPr>
        <w:t>完成。</w:t>
      </w:r>
    </w:p>
    <w:p w14:paraId="17A9C0C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B.平整土地</w:t>
      </w:r>
    </w:p>
    <w:p w14:paraId="6A7219B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根据确定需要平整土地的标高和坡度，平整方式主要为机械平整，借助推土机进行削高填低。根据原始地形坡度，平整土地坡度取5°，该工程在</w:t>
      </w:r>
      <w:r>
        <w:rPr>
          <w:rFonts w:hint="default" w:ascii="Times New Roman" w:hAnsi="Times New Roman" w:cs="Times New Roman"/>
          <w:color w:val="auto"/>
          <w:kern w:val="0"/>
          <w:highlight w:val="none"/>
          <w:lang w:bidi="ar"/>
        </w:rPr>
        <w:t>服务期满后</w:t>
      </w:r>
      <w:r>
        <w:rPr>
          <w:rFonts w:hint="default" w:ascii="Times New Roman" w:hAnsi="Times New Roman" w:cs="Times New Roman"/>
          <w:color w:val="auto"/>
          <w:highlight w:val="none"/>
        </w:rPr>
        <w:t>完成。</w:t>
      </w:r>
    </w:p>
    <w:p w14:paraId="3C717A5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C.硬化层拆除</w:t>
      </w:r>
    </w:p>
    <w:p w14:paraId="4B005CD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选矿厂硬化层为无钢筋混凝土，厚度为0.2米，利用挖机对硬化层进行拆除。</w:t>
      </w:r>
    </w:p>
    <w:p w14:paraId="7F6A27F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D.覆土</w:t>
      </w:r>
    </w:p>
    <w:p w14:paraId="20F99A7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平整完毕后，上部再利用表土堆放场表土覆盖，覆表土层0.3米，设计使用机械为2立方米装载机、59kw推土机和10吨自卸式汽车，工作内容为挖装、运输、卸除和空回。通过表土覆盖，保证植被生长需要，有利于恢复地表植被，覆土工程在</w:t>
      </w:r>
      <w:r>
        <w:rPr>
          <w:rFonts w:hint="default" w:ascii="Times New Roman" w:hAnsi="Times New Roman" w:cs="Times New Roman"/>
          <w:color w:val="auto"/>
          <w:kern w:val="0"/>
          <w:highlight w:val="none"/>
          <w:lang w:bidi="ar"/>
        </w:rPr>
        <w:t>服务期满后</w:t>
      </w:r>
      <w:r>
        <w:rPr>
          <w:rFonts w:hint="default" w:ascii="Times New Roman" w:hAnsi="Times New Roman" w:cs="Times New Roman"/>
          <w:color w:val="auto"/>
          <w:highlight w:val="none"/>
        </w:rPr>
        <w:t>完成。</w:t>
      </w:r>
    </w:p>
    <w:p w14:paraId="7FE6946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E.播撒草籽</w:t>
      </w:r>
    </w:p>
    <w:p w14:paraId="6AABA69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设计对选矿厂平整覆土后进行植被重建。根据区域植被类型，选用直播技术，直接人工混播草籽（比例为1:1），播种量为30千克/公顷，该工程在</w:t>
      </w:r>
      <w:r>
        <w:rPr>
          <w:rFonts w:hint="default" w:ascii="Times New Roman" w:hAnsi="Times New Roman" w:cs="Times New Roman"/>
          <w:color w:val="auto"/>
          <w:kern w:val="0"/>
          <w:highlight w:val="none"/>
          <w:lang w:bidi="ar"/>
        </w:rPr>
        <w:t>服务期满后</w:t>
      </w:r>
      <w:r>
        <w:rPr>
          <w:rFonts w:hint="default" w:ascii="Times New Roman" w:hAnsi="Times New Roman" w:cs="Times New Roman"/>
          <w:color w:val="auto"/>
          <w:highlight w:val="none"/>
        </w:rPr>
        <w:t>完成。</w:t>
      </w:r>
    </w:p>
    <w:p w14:paraId="3A50799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③尾矿库</w:t>
      </w:r>
    </w:p>
    <w:p w14:paraId="105C5A6F">
      <w:pPr>
        <w:numPr>
          <w:ilvl w:val="0"/>
          <w:numId w:val="10"/>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生态恢复治理</w:t>
      </w:r>
    </w:p>
    <w:p w14:paraId="28ADCE7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四周设置围栏、安全警示牌等设施，定期对尾矿库进行巡查，监测尾矿库稳定性。同时定期对尾矿输送管线进行巡视，设标识牌，定期对输送管线进行更换，防止牧民人为破坏输送管线。尾矿库堆积坝外坡面应随着尾矿堆积坝的加高，用碎石土</w:t>
      </w:r>
      <w:r>
        <w:rPr>
          <w:rFonts w:hint="default" w:cs="Times New Roman"/>
          <w:color w:val="auto"/>
          <w:highlight w:val="none"/>
          <w:lang w:eastAsia="zh-CN"/>
        </w:rPr>
        <w:t>覆</w:t>
      </w:r>
      <w:r>
        <w:rPr>
          <w:rFonts w:hint="default" w:ascii="Times New Roman" w:hAnsi="Times New Roman" w:cs="Times New Roman"/>
          <w:color w:val="auto"/>
          <w:highlight w:val="none"/>
        </w:rPr>
        <w:t>面或种植草皮。</w:t>
      </w:r>
    </w:p>
    <w:p w14:paraId="2039478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该任务计划在20</w:t>
      </w:r>
      <w:r>
        <w:rPr>
          <w:rFonts w:hint="default" w:cs="Times New Roman"/>
          <w:color w:val="auto"/>
          <w:highlight w:val="none"/>
          <w:lang w:val="en-US" w:eastAsia="zh-CN"/>
        </w:rPr>
        <w:t>30</w:t>
      </w:r>
      <w:r>
        <w:rPr>
          <w:rFonts w:hint="default" w:ascii="Times New Roman" w:hAnsi="Times New Roman" w:cs="Times New Roman"/>
          <w:color w:val="auto"/>
          <w:highlight w:val="none"/>
        </w:rPr>
        <w:t>年开始进行，实施边开采边恢复，贯穿整个方案期。</w:t>
      </w:r>
    </w:p>
    <w:p w14:paraId="062D129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2）土地复垦工程设计</w:t>
      </w:r>
    </w:p>
    <w:p w14:paraId="59FC0D6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A.防渗覆膜</w:t>
      </w:r>
    </w:p>
    <w:p w14:paraId="09448A0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尾矿库库区先用机械碾压平整压实，提高尾砂密实度，尾砂上铺设一层1.5mm厚HDPE土工膜，防止大气降水渗入尾矿库体。</w:t>
      </w:r>
    </w:p>
    <w:p w14:paraId="6511772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B.平整土地</w:t>
      </w:r>
    </w:p>
    <w:p w14:paraId="355AFEE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根据确定需要平整土地的标高和坡度，平整方式主要为机械平整，借助推土机进行削高填低。根据原始地形坡度，平整土地坡度取5°，预计平整每公顷土地的工程量为437.44立方米。该工程在</w:t>
      </w:r>
      <w:r>
        <w:rPr>
          <w:rFonts w:hint="default" w:ascii="Times New Roman" w:hAnsi="Times New Roman" w:cs="Times New Roman"/>
          <w:color w:val="auto"/>
          <w:kern w:val="0"/>
          <w:highlight w:val="none"/>
          <w:lang w:bidi="ar"/>
        </w:rPr>
        <w:t>服务期满后</w:t>
      </w:r>
      <w:r>
        <w:rPr>
          <w:rFonts w:hint="default" w:ascii="Times New Roman" w:hAnsi="Times New Roman" w:cs="Times New Roman"/>
          <w:color w:val="auto"/>
          <w:highlight w:val="none"/>
        </w:rPr>
        <w:t>完成。</w:t>
      </w:r>
    </w:p>
    <w:p w14:paraId="79A67D3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C.覆土</w:t>
      </w:r>
    </w:p>
    <w:p w14:paraId="553980A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平整完毕后，上部再利用表土堆放场表土覆盖，覆表土层0.3米，设计使用机械为2立方米装载机、59kw推土机和10吨自卸式汽车，工作内容为挖装、运输、卸除和空回。通过表土覆盖，保证植被生长需要，有利于恢复地表植被，覆土工程在</w:t>
      </w:r>
      <w:r>
        <w:rPr>
          <w:rFonts w:hint="default" w:ascii="Times New Roman" w:hAnsi="Times New Roman" w:cs="Times New Roman"/>
          <w:color w:val="auto"/>
          <w:kern w:val="0"/>
          <w:highlight w:val="none"/>
          <w:lang w:bidi="ar"/>
        </w:rPr>
        <w:t>服务期满后</w:t>
      </w:r>
      <w:r>
        <w:rPr>
          <w:rFonts w:hint="default" w:ascii="Times New Roman" w:hAnsi="Times New Roman" w:cs="Times New Roman"/>
          <w:color w:val="auto"/>
          <w:highlight w:val="none"/>
        </w:rPr>
        <w:t>完成。</w:t>
      </w:r>
    </w:p>
    <w:p w14:paraId="0569B58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D.播撒草籽</w:t>
      </w:r>
    </w:p>
    <w:p w14:paraId="6BC2CFD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设计对尾矿库平整覆土后进行植被重建。根据区域植被类型，选用直播技术，</w:t>
      </w:r>
    </w:p>
    <w:p w14:paraId="2DA1925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直接人工混播草籽（比例为1:1），播种量为30千克/公顷</w:t>
      </w:r>
      <w:r>
        <w:rPr>
          <w:rFonts w:hint="default" w:cs="Times New Roman"/>
          <w:color w:val="auto"/>
          <w:highlight w:val="none"/>
          <w:lang w:eastAsia="zh-CN"/>
        </w:rPr>
        <w:t>，</w:t>
      </w:r>
      <w:r>
        <w:rPr>
          <w:rFonts w:hint="default" w:ascii="Times New Roman" w:hAnsi="Times New Roman" w:cs="Times New Roman"/>
          <w:color w:val="auto"/>
          <w:highlight w:val="none"/>
        </w:rPr>
        <w:t>该工程在</w:t>
      </w:r>
      <w:r>
        <w:rPr>
          <w:rFonts w:hint="default" w:ascii="Times New Roman" w:hAnsi="Times New Roman" w:cs="Times New Roman"/>
          <w:color w:val="auto"/>
          <w:kern w:val="0"/>
          <w:highlight w:val="none"/>
          <w:lang w:bidi="ar"/>
        </w:rPr>
        <w:t>服务期满后</w:t>
      </w:r>
      <w:r>
        <w:rPr>
          <w:rFonts w:hint="default" w:ascii="Times New Roman" w:hAnsi="Times New Roman" w:cs="Times New Roman"/>
          <w:color w:val="auto"/>
          <w:highlight w:val="none"/>
        </w:rPr>
        <w:t>完成。</w:t>
      </w:r>
    </w:p>
    <w:p w14:paraId="3E7FD43A">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6.2.7.5服务期满生态环境保护措施</w:t>
      </w:r>
    </w:p>
    <w:p w14:paraId="7EBED55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项目区选矿厂停止使用及尾矿库闭库后，应开展污染场地调查、风险评估与生态修复治理措施。项目区应修筑绿化场地，周边设置排水系统，覆土、栽种耐寒植被，形成永久植被覆盖。</w:t>
      </w:r>
    </w:p>
    <w:p w14:paraId="38F5751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尾矿库闭库后，坝体和坝内应视尾矿库所处地区气象条件、尾矿污染物毒性、植被恢复方式、土源情况进行不同厚度进行覆土，因地制宜进行植被恢复和综合利用，恢复植被的覆土厚度应不低于10cm。</w:t>
      </w:r>
    </w:p>
    <w:p w14:paraId="1A0295B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项目服务期满后应进行覆土回填、平整等工程技术措施，最后种植适合当地生长的牧草。根据项目区实际情况，各复垦区主要采取以下几种工程技术措施：</w:t>
      </w:r>
    </w:p>
    <w:p w14:paraId="223AF8F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①平整：项目占压土地后，使原有的土地形态发生改变，导致原有土地的表层起伏不平，难以达到预期的土地利用方向。根据相关标准，需对区域进行土地平整，使平整后的地面坡度不超过5°。</w:t>
      </w:r>
    </w:p>
    <w:p w14:paraId="5E6F151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②植被：复垦区土壤有机质含量较低、土壤改良期内，采用绿肥的种植结构，基肥以有机肥为主，最好是腐熟的堆厩肥，要合理施用化肥，提倡平衡施肥，以达到培肥土壤的目的。</w:t>
      </w:r>
    </w:p>
    <w:p w14:paraId="76876B9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关闭与封场期要严格执行《一般工业固体废物贮存和填埋污染控制标准》（GB18599-2020）中的要求，按照国家相关规范要求，做好尾矿库防渗措施，以防止和降低尾矿库渗漏液和初期雨水渗入地下污染地下水的环境风险。</w:t>
      </w:r>
      <w:r>
        <w:rPr>
          <w:rFonts w:hint="default" w:ascii="Times New Roman" w:hAnsi="Times New Roman" w:cs="Times New Roman"/>
          <w:color w:val="auto"/>
          <w:highlight w:val="none"/>
          <w:lang w:val="en-US" w:eastAsia="zh-CN"/>
        </w:rPr>
        <w:t>尾矿库闭库后</w:t>
      </w:r>
      <w:r>
        <w:rPr>
          <w:rFonts w:hint="default" w:ascii="Times New Roman" w:hAnsi="Times New Roman" w:cs="Times New Roman"/>
          <w:color w:val="auto"/>
          <w:highlight w:val="none"/>
        </w:rPr>
        <w:t>需要在表面铺设至少50cm厚度的粘土层，并设置雨水外排系统，降低灰场区域雨水的入渗量。为防止固体废物直接暴露和雨水渗入堆体内，封场时表面应覆土二层，第一层为阻隔层，覆20cm~45cm厚的粘土，并压实，防止雨水渗入固体废物堆体内；第二层为覆盖层，覆天然土壤，以利植物生长，其厚度视栽种植物种类而定。</w:t>
      </w:r>
    </w:p>
    <w:p w14:paraId="442AFB63">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封场后，渗滤液及其处理后的排放水的监测系统应继续维持正常运转，直至水质稳定为止。地下水监测系统应继续维持正常运转。</w:t>
      </w:r>
      <w:r>
        <w:rPr>
          <w:rFonts w:hint="default" w:ascii="Times New Roman" w:hAnsi="Times New Roman" w:cs="Times New Roman"/>
          <w:color w:val="auto"/>
          <w:highlight w:val="none"/>
          <w:lang w:val="en-US" w:eastAsia="zh-CN"/>
        </w:rPr>
        <w:t>地下水监测要求应按照《地下水环境监测技术规范》》（HJ 164-2020）中矿山开采区的监测布点要求进行封场后的地下水监测，以防止尾矿库闭库后造成地下水污染。</w:t>
      </w:r>
    </w:p>
    <w:p w14:paraId="3E79E05E">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szCs w:val="24"/>
          <w:highlight w:val="none"/>
        </w:rPr>
        <w:t>尾矿库关闭或封场前，必须编制关闭或封场计划，报请当地生态环境行政主管部门核准，并采取污染防治措施。尾矿库关闭或封场后，</w:t>
      </w:r>
      <w:r>
        <w:rPr>
          <w:rFonts w:hint="default" w:cs="Times New Roman"/>
          <w:color w:val="auto"/>
          <w:kern w:val="0"/>
          <w:szCs w:val="24"/>
          <w:highlight w:val="none"/>
          <w:lang w:eastAsia="zh-CN"/>
        </w:rPr>
        <w:t>仍需</w:t>
      </w:r>
      <w:r>
        <w:rPr>
          <w:rFonts w:hint="default" w:ascii="Times New Roman" w:hAnsi="Times New Roman" w:cs="Times New Roman"/>
          <w:color w:val="auto"/>
          <w:kern w:val="0"/>
          <w:szCs w:val="24"/>
          <w:highlight w:val="none"/>
        </w:rPr>
        <w:t>继续管理和维护，直到稳定为止，并设置标志物，注明关闭和封场时间，以及使用该土地应该注意事项。</w:t>
      </w:r>
    </w:p>
    <w:p w14:paraId="2812D31C">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①封场前必须编制封场计划，报请所在地县级以上生态环境行政主管部门核准，并采取污染防治措施；</w:t>
      </w:r>
    </w:p>
    <w:p w14:paraId="1317816C">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②封场时表面坡度一般不超过33%，标高每升高3m</w:t>
      </w:r>
      <w:r>
        <w:rPr>
          <w:rFonts w:hint="default" w:cs="Times New Roman"/>
          <w:color w:val="auto"/>
          <w:kern w:val="0"/>
          <w:highlight w:val="none"/>
          <w:lang w:val="en-US" w:eastAsia="zh-CN"/>
        </w:rPr>
        <w:t>~</w:t>
      </w:r>
      <w:r>
        <w:rPr>
          <w:rFonts w:hint="default" w:ascii="Times New Roman" w:hAnsi="Times New Roman" w:cs="Times New Roman"/>
          <w:color w:val="auto"/>
          <w:kern w:val="0"/>
          <w:highlight w:val="none"/>
        </w:rPr>
        <w:t>5m，需建造一个台阶；</w:t>
      </w:r>
    </w:p>
    <w:p w14:paraId="746A6DEA">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③封场后仍需继续维护管理，直到稳定为止；</w:t>
      </w:r>
    </w:p>
    <w:p w14:paraId="259063F2">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④封场后应设置标志物，注明封场时间以及使用该土地时应注意的事项。</w:t>
      </w:r>
    </w:p>
    <w:p w14:paraId="63B91639">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⑤</w:t>
      </w:r>
      <w:r>
        <w:rPr>
          <w:rFonts w:hint="default" w:ascii="Times New Roman" w:hAnsi="Times New Roman" w:cs="Times New Roman"/>
          <w:color w:val="auto"/>
          <w:kern w:val="0"/>
          <w:highlight w:val="none"/>
        </w:rPr>
        <w:t>尾矿库闭库后，不再进行尾矿排放，采取</w:t>
      </w:r>
      <w:r>
        <w:rPr>
          <w:rFonts w:hint="default" w:ascii="Times New Roman" w:hAnsi="Times New Roman" w:cs="Times New Roman"/>
          <w:color w:val="auto"/>
          <w:kern w:val="0"/>
          <w:highlight w:val="none"/>
          <w:lang w:val="en-US" w:eastAsia="zh-CN"/>
        </w:rPr>
        <w:t>覆土</w:t>
      </w:r>
      <w:r>
        <w:rPr>
          <w:rFonts w:hint="default" w:ascii="Times New Roman" w:hAnsi="Times New Roman" w:cs="Times New Roman"/>
          <w:color w:val="auto"/>
          <w:kern w:val="0"/>
          <w:highlight w:val="none"/>
        </w:rPr>
        <w:t>措施，</w:t>
      </w:r>
      <w:r>
        <w:rPr>
          <w:rFonts w:hint="default" w:ascii="Times New Roman" w:hAnsi="Times New Roman" w:cs="Times New Roman"/>
          <w:color w:val="auto"/>
          <w:kern w:val="0"/>
          <w:szCs w:val="24"/>
          <w:highlight w:val="none"/>
        </w:rPr>
        <w:t>若不采取措施会对周边大气环境造成污染</w:t>
      </w:r>
      <w:r>
        <w:rPr>
          <w:rFonts w:hint="default" w:ascii="Times New Roman" w:hAnsi="Times New Roman" w:cs="Times New Roman"/>
          <w:color w:val="auto"/>
          <w:kern w:val="0"/>
          <w:highlight w:val="none"/>
        </w:rPr>
        <w:t>。</w:t>
      </w:r>
    </w:p>
    <w:p w14:paraId="53F75ACE">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⑥尾矿库闭库后应对排洪及排渗设施进行维护和加强，确保闭库后雨水顺利排出，不会在库内蓄积。</w:t>
      </w:r>
    </w:p>
    <w:p w14:paraId="20EA8963">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⑦尾矿库闭库后，库区内水泵将全部停转并运离尾矿库，库内无任何机械设备运行，环境噪声将逐渐恢复到本底值。</w:t>
      </w:r>
    </w:p>
    <w:p w14:paraId="621017EC">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szCs w:val="24"/>
          <w:highlight w:val="none"/>
        </w:rPr>
        <w:t>尾矿库闭库后，平整库区滩面并</w:t>
      </w:r>
      <w:r>
        <w:rPr>
          <w:rFonts w:hint="default" w:ascii="Times New Roman" w:hAnsi="Times New Roman" w:cs="Times New Roman"/>
          <w:color w:val="auto"/>
          <w:kern w:val="0"/>
          <w:szCs w:val="24"/>
          <w:highlight w:val="none"/>
          <w:lang w:val="en-US" w:eastAsia="zh-CN"/>
        </w:rPr>
        <w:t>覆土</w:t>
      </w:r>
      <w:r>
        <w:rPr>
          <w:rFonts w:hint="default" w:ascii="Times New Roman" w:hAnsi="Times New Roman" w:cs="Times New Roman"/>
          <w:color w:val="auto"/>
          <w:kern w:val="0"/>
          <w:szCs w:val="24"/>
          <w:highlight w:val="none"/>
        </w:rPr>
        <w:t>。尾矿库复垦时保留原有截排水设施，防止雨水冲刷和其它自然灾害造成尾矿库发生次生地质灾害；保留原有导流设施、回水池和尾矿库设置的位移观测设施，主要用于尾矿库的监控和渗滤液的收集，</w:t>
      </w:r>
      <w:r>
        <w:rPr>
          <w:rFonts w:hint="default" w:ascii="Times New Roman" w:hAnsi="Times New Roman" w:cs="Times New Roman"/>
          <w:color w:val="auto"/>
          <w:kern w:val="0"/>
          <w:szCs w:val="24"/>
          <w:highlight w:val="none"/>
          <w:lang w:val="en-US" w:eastAsia="zh-CN"/>
        </w:rPr>
        <w:t>最终完成</w:t>
      </w:r>
      <w:r>
        <w:rPr>
          <w:rFonts w:hint="default" w:ascii="Times New Roman" w:hAnsi="Times New Roman" w:cs="Times New Roman"/>
          <w:color w:val="auto"/>
          <w:kern w:val="0"/>
          <w:szCs w:val="24"/>
          <w:highlight w:val="none"/>
        </w:rPr>
        <w:t>尾矿库闭库销号</w:t>
      </w:r>
      <w:r>
        <w:rPr>
          <w:rFonts w:hint="default" w:ascii="Times New Roman" w:hAnsi="Times New Roman" w:cs="Times New Roman"/>
          <w:color w:val="auto"/>
          <w:kern w:val="0"/>
          <w:szCs w:val="24"/>
          <w:highlight w:val="none"/>
          <w:lang w:val="en-US" w:eastAsia="zh-CN"/>
        </w:rPr>
        <w:t>工作</w:t>
      </w:r>
      <w:r>
        <w:rPr>
          <w:rFonts w:hint="default" w:ascii="Times New Roman" w:hAnsi="Times New Roman" w:cs="Times New Roman"/>
          <w:color w:val="auto"/>
          <w:kern w:val="0"/>
          <w:szCs w:val="24"/>
          <w:highlight w:val="none"/>
        </w:rPr>
        <w:t>。</w:t>
      </w:r>
    </w:p>
    <w:p w14:paraId="5F2874FB">
      <w:pPr>
        <w:pStyle w:val="4"/>
        <w:rPr>
          <w:rFonts w:hint="default" w:ascii="Times New Roman" w:hAnsi="Times New Roman" w:cs="Times New Roman"/>
          <w:color w:val="auto"/>
          <w:highlight w:val="none"/>
        </w:rPr>
      </w:pPr>
      <w:bookmarkStart w:id="861" w:name="_Toc17083"/>
      <w:bookmarkStart w:id="862" w:name="_Toc8684"/>
      <w:bookmarkStart w:id="863" w:name="_Toc3586"/>
      <w:r>
        <w:rPr>
          <w:rFonts w:hint="default" w:ascii="Times New Roman" w:hAnsi="Times New Roman" w:cs="Times New Roman"/>
          <w:color w:val="auto"/>
          <w:highlight w:val="none"/>
        </w:rPr>
        <w:t>6.2.8水土保持措施</w:t>
      </w:r>
      <w:bookmarkEnd w:id="861"/>
      <w:bookmarkEnd w:id="862"/>
      <w:bookmarkEnd w:id="863"/>
    </w:p>
    <w:p w14:paraId="375A55D1">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根据新水水保〔2019〕4号，</w:t>
      </w:r>
      <w:r>
        <w:rPr>
          <w:rFonts w:hint="default" w:ascii="Times New Roman" w:hAnsi="Times New Roman" w:eastAsia="宋体" w:cs="Times New Roman"/>
          <w:color w:val="auto"/>
          <w:sz w:val="24"/>
          <w:szCs w:val="24"/>
          <w:highlight w:val="none"/>
          <w:lang w:val="en-US" w:eastAsia="zh-CN"/>
        </w:rPr>
        <w:t>本项目所在富蕴县属于阿勒泰山国家级水土流失重点预防区，额尔齐斯河流域自治区级重点治理区。</w:t>
      </w:r>
    </w:p>
    <w:p w14:paraId="43B6837D">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根据“谁开发，谁保护；谁破坏，谁治理”的原则，依据本工程所处区域的自然、社会环境条件和工程</w:t>
      </w:r>
      <w:r>
        <w:rPr>
          <w:rFonts w:hint="default" w:cs="Times New Roman"/>
          <w:color w:val="auto"/>
          <w:szCs w:val="24"/>
          <w:highlight w:val="none"/>
          <w:lang w:eastAsia="zh-CN"/>
        </w:rPr>
        <w:t>对</w:t>
      </w:r>
      <w:r>
        <w:rPr>
          <w:rFonts w:hint="default" w:ascii="Times New Roman" w:hAnsi="Times New Roman" w:cs="Times New Roman"/>
          <w:color w:val="auto"/>
          <w:szCs w:val="24"/>
          <w:highlight w:val="none"/>
        </w:rPr>
        <w:t>水土流失的实际影响，提出如下水土保持的方案。</w:t>
      </w:r>
    </w:p>
    <w:p w14:paraId="7773EA62">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1、做好施工规划及施工组织设计</w:t>
      </w:r>
    </w:p>
    <w:p w14:paraId="401AEAA9">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在项目开工前，重视做好施工规划工作，合理布设施工场地，减少占用土地，建筑物按天然地势布置，减少挖填方量。在尽量减轻生态不利影响的前提下进行有序开采。在选矿厂的厂区完善排洪工程。</w:t>
      </w:r>
    </w:p>
    <w:p w14:paraId="28888C4C">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施工过</w:t>
      </w:r>
      <w:r>
        <w:rPr>
          <w:rFonts w:hint="default" w:cs="Times New Roman"/>
          <w:color w:val="auto"/>
          <w:szCs w:val="24"/>
          <w:highlight w:val="none"/>
          <w:lang w:eastAsia="zh-CN"/>
        </w:rPr>
        <w:t>程中</w:t>
      </w:r>
      <w:r>
        <w:rPr>
          <w:rFonts w:hint="default" w:ascii="Times New Roman" w:hAnsi="Times New Roman" w:cs="Times New Roman"/>
          <w:color w:val="auto"/>
          <w:szCs w:val="24"/>
          <w:highlight w:val="none"/>
        </w:rPr>
        <w:t>要加强施工监理，防止施工人员及施工机械超范围的活动，</w:t>
      </w:r>
      <w:r>
        <w:rPr>
          <w:rFonts w:hint="default" w:cs="Times New Roman"/>
          <w:color w:val="auto"/>
          <w:szCs w:val="24"/>
          <w:highlight w:val="none"/>
          <w:lang w:eastAsia="zh-CN"/>
        </w:rPr>
        <w:t>防止</w:t>
      </w:r>
      <w:r>
        <w:rPr>
          <w:rFonts w:hint="default" w:ascii="Times New Roman" w:hAnsi="Times New Roman" w:cs="Times New Roman"/>
          <w:color w:val="auto"/>
          <w:szCs w:val="24"/>
          <w:highlight w:val="none"/>
        </w:rPr>
        <w:t>超范围设置临时设施和堆放施工材料。对产生的弃土应合理及时进行填埋。</w:t>
      </w:r>
    </w:p>
    <w:p w14:paraId="1BADBD7D">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施工结束后要对施工迹地进行清理平整与植被恢复工作。对无用的临时建筑应予以拆除，然后根据实施情况实施人工绿化或植被自然恢复工作。</w:t>
      </w:r>
    </w:p>
    <w:p w14:paraId="48BC296D">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2、场地道路应沿天然地形及原有便道进行修筑，以减少挖填方量。在山坡上开辟路基时，要做好护坡及挡土墙，完善排水系统，并在靠山一侧设置挡雪栅栏。</w:t>
      </w:r>
    </w:p>
    <w:p w14:paraId="3D5799C0">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3、做好选矿厂及场内道路两侧的绿化工作。选择适宜当地的生长的草本或灌木植被为种植对象。</w:t>
      </w:r>
    </w:p>
    <w:p w14:paraId="5A1D54A4">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4、闭库后要拆除一切无用设施，平整场地。</w:t>
      </w:r>
    </w:p>
    <w:p w14:paraId="21630DFE">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5、根据《中华人民共和国水土保持法</w:t>
      </w:r>
      <w:r>
        <w:rPr>
          <w:rFonts w:hint="default" w:cs="Times New Roman"/>
          <w:color w:val="auto"/>
          <w:szCs w:val="24"/>
          <w:highlight w:val="none"/>
          <w:lang w:eastAsia="zh-CN"/>
        </w:rPr>
        <w:t>》《</w:t>
      </w:r>
      <w:r>
        <w:rPr>
          <w:rFonts w:hint="default" w:ascii="Times New Roman" w:hAnsi="Times New Roman" w:cs="Times New Roman"/>
          <w:color w:val="auto"/>
          <w:szCs w:val="24"/>
          <w:highlight w:val="none"/>
        </w:rPr>
        <w:t>开发建设项目水土保持方案管理办法》等有关法律法规要求，尽早委托有资质相关单位编制本项目的水土保持方案。</w:t>
      </w:r>
    </w:p>
    <w:p w14:paraId="5B03D99D">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6.2.9退役期环境保护措施</w:t>
      </w:r>
    </w:p>
    <w:p w14:paraId="6CBF6B8B">
      <w:pPr>
        <w:keepNext/>
        <w:keepLines/>
        <w:ind w:firstLine="482"/>
        <w:jc w:val="left"/>
        <w:outlineLvl w:val="3"/>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rPr>
        <w:t>6.2.9.1生活区与选矿厂恢复措施</w:t>
      </w:r>
    </w:p>
    <w:p w14:paraId="2C720566">
      <w:pPr>
        <w:widowControl/>
        <w:ind w:firstLine="480"/>
        <w:rPr>
          <w:rFonts w:hint="default" w:ascii="Times New Roman" w:hAnsi="Times New Roman" w:cs="Times New Roman" w:eastAsiaTheme="minorEastAsia"/>
          <w:color w:val="auto"/>
          <w:highlight w:val="none"/>
        </w:rPr>
      </w:pPr>
      <w:r>
        <w:rPr>
          <w:rFonts w:hint="default" w:cs="Times New Roman" w:eastAsiaTheme="minorEastAsia"/>
          <w:color w:val="auto"/>
          <w:highlight w:val="none"/>
          <w:lang w:val="en-US" w:eastAsia="zh-CN"/>
        </w:rPr>
        <w:t>办公</w:t>
      </w:r>
      <w:r>
        <w:rPr>
          <w:rFonts w:hint="default" w:ascii="Times New Roman" w:hAnsi="Times New Roman" w:cs="Times New Roman" w:eastAsiaTheme="minorEastAsia"/>
          <w:color w:val="auto"/>
          <w:highlight w:val="none"/>
        </w:rPr>
        <w:t>生活区与选矿厂拆除各建筑物、清理平整场地，可利用建筑材料全部回收利用，少量建筑垃圾送垃圾填埋场填埋。</w:t>
      </w:r>
    </w:p>
    <w:p w14:paraId="49192D22">
      <w:pPr>
        <w:keepNext/>
        <w:keepLines/>
        <w:ind w:firstLine="482"/>
        <w:jc w:val="left"/>
        <w:outlineLvl w:val="3"/>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rPr>
        <w:t>6.2.9.2尾矿库环境保护措施</w:t>
      </w:r>
    </w:p>
    <w:p w14:paraId="76BEFE2C">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（1）闭库环境管理</w:t>
      </w:r>
    </w:p>
    <w:p w14:paraId="0CEB37B0">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在闭库前需进行闭库设计。在尾矿库停止使用后必须进行处置，对边坡进行稳定治理，对不稳定的岩块进行及时清理，保证坝体安全，不污染环境，消除污染事故隐患。尾矿库运行到设计最终标高或者不再进行排尾作业时，应当在一年内完成闭库，拆除建筑物，按照矿山生态环境保护与恢复治理方案，尽量平整土地，并进行植被修复。尾矿库经安全监管部门闭库验收合格后，方可对尾矿库的环境污染防治设施、生态保护工程进行闭库验收，验收时应对尾矿库中的尾砂进行环境达标监测。关闭尾矿设施必须经企业主管部门报当地省环境保护行政部门验收、批准。经验收移交后的尾矿设施其污染防治由接收单位负责。利用处置过的尾矿或其设施，需经环境保护行政部门批准，并报环境保护行政部门备案。闭库后的尾矿库，必须做好坝体及排洪设施的维护。未经论证和批准，不得蓄水、严禁在尾矿坝和库内进行乱采、滥挖、违章建筑和违章作业；未经设计论证和批准，不得重新启用或改作他用。</w:t>
      </w:r>
    </w:p>
    <w:p w14:paraId="6F817F33">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保留库内排水系统，闭库后尾矿库汇水面积内降水通过该系统排出库区。</w:t>
      </w:r>
    </w:p>
    <w:p w14:paraId="27D6F85E">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（2）闭库后的生态恢复措施</w:t>
      </w:r>
    </w:p>
    <w:p w14:paraId="03D28836">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闭库后，应加强监督检查与管理。观测设施应继续维持正常运转；坝体稳定性不足的，应采取削坡、压坡、降低浸润线等措施，使坝体稳定性满足标准要求；完善坝面排水沟、覆土及植被绿化、坝肩截水沟等。闭库后尾矿库占用区域应分期绿化，宜尽量恢复至利用前土地使用功能。尾矿库封库后采取的生态恢复措施具体如下：</w:t>
      </w:r>
    </w:p>
    <w:p w14:paraId="23FD8661">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（1）对尾矿库库面进行平整，使平整后的地面坡度不超过5°。</w:t>
      </w:r>
    </w:p>
    <w:p w14:paraId="407732F8">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（2）采用人工和机械相结合的方式对平整后的表土进行必要的碾压，使其达到天然土壤的干密度。</w:t>
      </w:r>
    </w:p>
    <w:p w14:paraId="50FB3C74">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（3）尾矿库生态恢复后应与周边环境相协调，尽量达到原土地使用功能。</w:t>
      </w:r>
    </w:p>
    <w:p w14:paraId="07FB00DC">
      <w:pPr>
        <w:keepNext/>
        <w:keepLines/>
        <w:ind w:firstLine="482"/>
        <w:jc w:val="left"/>
        <w:outlineLvl w:val="3"/>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rPr>
        <w:t>6.2.9.3尾矿再利用及尾矿闭库后再利用</w:t>
      </w:r>
    </w:p>
    <w:p w14:paraId="717E8383">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（1）在用尾矿库进行回采再利用或经批准闭库的尾矿库重新启用或改作他用时，必须按照《</w:t>
      </w:r>
      <w:r>
        <w:rPr>
          <w:rFonts w:hint="default" w:ascii="Times New Roman" w:hAnsi="Times New Roman" w:cs="Times New Roman"/>
          <w:color w:val="auto"/>
          <w:highlight w:val="none"/>
          <w:lang w:eastAsia="zh-CN"/>
        </w:rPr>
        <w:t>尾矿库安全规程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GB 39496-2020</w:t>
      </w:r>
      <w:r>
        <w:rPr>
          <w:rFonts w:hint="default" w:ascii="Times New Roman" w:hAnsi="Times New Roman" w:cs="Times New Roman"/>
          <w:color w:val="auto"/>
          <w:highlight w:val="none"/>
        </w:rPr>
        <w:t>）中尾矿库建设的规定进行技术论证、工程设计、安全评价；在尾矿库再利用生产运行过程中必须按照《</w:t>
      </w:r>
      <w:r>
        <w:rPr>
          <w:rFonts w:hint="default" w:ascii="Times New Roman" w:hAnsi="Times New Roman" w:cs="Times New Roman"/>
          <w:color w:val="auto"/>
          <w:highlight w:val="none"/>
          <w:lang w:eastAsia="zh-CN"/>
        </w:rPr>
        <w:t>尾矿库安全规程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GB 39496-2020</w:t>
      </w:r>
      <w:r>
        <w:rPr>
          <w:rFonts w:hint="default" w:ascii="Times New Roman" w:hAnsi="Times New Roman" w:cs="Times New Roman"/>
          <w:color w:val="auto"/>
          <w:highlight w:val="none"/>
        </w:rPr>
        <w:t>）要求尾矿库安全生产运行的规定确保尾矿库安全；对在用尾矿库或已闭库尾矿库进行回采再利用的，不得影响尾矿坝和原排洪设施的安全。</w:t>
      </w:r>
    </w:p>
    <w:p w14:paraId="4A34B289">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（2）尾矿库再利用生产完成后，应按照《</w:t>
      </w:r>
      <w:r>
        <w:rPr>
          <w:rFonts w:hint="default" w:ascii="Times New Roman" w:hAnsi="Times New Roman" w:cs="Times New Roman"/>
          <w:color w:val="auto"/>
          <w:highlight w:val="none"/>
          <w:lang w:eastAsia="zh-CN"/>
        </w:rPr>
        <w:t>尾矿库安全规程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GB 39496-2020</w:t>
      </w:r>
      <w:r>
        <w:rPr>
          <w:rFonts w:hint="default" w:ascii="Times New Roman" w:hAnsi="Times New Roman" w:cs="Times New Roman"/>
          <w:color w:val="auto"/>
          <w:highlight w:val="none"/>
        </w:rPr>
        <w:t>）第9章尾矿库闭库的规定，进行闭库。尾矿库达到正常库标准，进行闭库整治设计，确保尾矿库防洪能力和尾矿坝稳定性满足规程要求，完善坝面排水沟和土石覆盖或植被绿化、坝肩截水沟、观测设施等。</w:t>
      </w:r>
    </w:p>
    <w:p w14:paraId="19C97168">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（3）经分析，</w:t>
      </w:r>
      <w:r>
        <w:rPr>
          <w:rFonts w:hint="default" w:ascii="Times New Roman" w:hAnsi="Times New Roman" w:cs="Times New Roman"/>
          <w:color w:val="auto"/>
          <w:highlight w:val="none"/>
          <w:lang w:val="en-US" w:eastAsia="zh-CN"/>
        </w:rPr>
        <w:t>本项目尾矿库</w:t>
      </w:r>
      <w:r>
        <w:rPr>
          <w:rFonts w:hint="default" w:ascii="Times New Roman" w:hAnsi="Times New Roman" w:cs="Times New Roman"/>
          <w:color w:val="auto"/>
          <w:highlight w:val="none"/>
        </w:rPr>
        <w:t>库容可满足排尾需要。建议企业开展尾砂综合利用研究，利用尾砂再选或其他用途，以减少尾砂入库量。</w:t>
      </w:r>
    </w:p>
    <w:p w14:paraId="0C5D2964">
      <w:pPr>
        <w:pStyle w:val="11"/>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本项目各阶段生态恢复措施详见表6.2-3。</w:t>
      </w:r>
    </w:p>
    <w:p w14:paraId="6740E68E">
      <w:pPr>
        <w:pStyle w:val="11"/>
        <w:tabs>
          <w:tab w:val="left" w:pos="4683"/>
        </w:tabs>
        <w:spacing w:after="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表6.2-3    生态恢复措施一览表</w:t>
      </w:r>
    </w:p>
    <w:tbl>
      <w:tblPr>
        <w:tblStyle w:val="33"/>
        <w:tblW w:w="0" w:type="auto"/>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66"/>
        <w:gridCol w:w="6160"/>
        <w:gridCol w:w="1010"/>
      </w:tblGrid>
      <w:tr w14:paraId="76DE5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166" w:type="dxa"/>
            <w:vAlign w:val="center"/>
          </w:tcPr>
          <w:p w14:paraId="0FC63928">
            <w:pPr>
              <w:pStyle w:val="45"/>
              <w:snapToGrid w:val="0"/>
              <w:spacing w:before="0" w:beforeAutospacing="0" w:line="360" w:lineRule="exact"/>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pacing w:val="-1"/>
                <w:szCs w:val="21"/>
                <w:highlight w:val="none"/>
              </w:rPr>
              <w:t>环境问题</w:t>
            </w:r>
          </w:p>
        </w:tc>
        <w:tc>
          <w:tcPr>
            <w:tcW w:w="6160" w:type="dxa"/>
            <w:vAlign w:val="center"/>
          </w:tcPr>
          <w:p w14:paraId="0547F87C">
            <w:pPr>
              <w:pStyle w:val="45"/>
              <w:snapToGrid w:val="0"/>
              <w:spacing w:before="0" w:beforeAutospacing="0" w:line="360" w:lineRule="exact"/>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pacing w:val="-1"/>
                <w:szCs w:val="21"/>
                <w:highlight w:val="none"/>
              </w:rPr>
              <w:t>措施概要</w:t>
            </w:r>
          </w:p>
        </w:tc>
        <w:tc>
          <w:tcPr>
            <w:tcW w:w="1010" w:type="dxa"/>
            <w:vAlign w:val="center"/>
          </w:tcPr>
          <w:p w14:paraId="30BF08B3">
            <w:pPr>
              <w:pStyle w:val="45"/>
              <w:snapToGrid w:val="0"/>
              <w:spacing w:before="0" w:beforeAutospacing="0" w:line="360" w:lineRule="exact"/>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14:paraId="08080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66" w:type="dxa"/>
            <w:vAlign w:val="center"/>
          </w:tcPr>
          <w:p w14:paraId="63BE8CF1">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
                <w:szCs w:val="21"/>
                <w:highlight w:val="none"/>
              </w:rPr>
              <w:t>1、施工期</w:t>
            </w:r>
          </w:p>
        </w:tc>
        <w:tc>
          <w:tcPr>
            <w:tcW w:w="6160" w:type="dxa"/>
            <w:vAlign w:val="center"/>
          </w:tcPr>
          <w:p w14:paraId="6BB65DE1">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环保措施实施阶段</w:t>
            </w:r>
          </w:p>
        </w:tc>
        <w:tc>
          <w:tcPr>
            <w:tcW w:w="1010" w:type="dxa"/>
            <w:vAlign w:val="center"/>
          </w:tcPr>
          <w:p w14:paraId="081F6857">
            <w:pPr>
              <w:snapToGrid w:val="0"/>
              <w:spacing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2"/>
                <w:kern w:val="0"/>
                <w:sz w:val="22"/>
                <w:szCs w:val="21"/>
                <w:highlight w:val="none"/>
              </w:rPr>
              <w:t>落实单位</w:t>
            </w:r>
          </w:p>
        </w:tc>
      </w:tr>
      <w:tr w14:paraId="2E677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66" w:type="dxa"/>
            <w:vAlign w:val="center"/>
          </w:tcPr>
          <w:p w14:paraId="4164DAE6">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w:t>
            </w:r>
          </w:p>
        </w:tc>
        <w:tc>
          <w:tcPr>
            <w:tcW w:w="6160" w:type="dxa"/>
            <w:vAlign w:val="center"/>
          </w:tcPr>
          <w:p w14:paraId="281501C2">
            <w:pPr>
              <w:pStyle w:val="45"/>
              <w:snapToGrid w:val="0"/>
              <w:spacing w:before="0" w:beforeAutospacing="0" w:line="360" w:lineRule="exact"/>
              <w:ind w:firstLine="0" w:firstLineChars="0"/>
              <w:rPr>
                <w:rFonts w:hint="default" w:ascii="Times New Roman" w:hAnsi="Times New Roman" w:cs="Times New Roman"/>
                <w:color w:val="auto"/>
                <w:spacing w:val="21"/>
                <w:szCs w:val="21"/>
                <w:highlight w:val="none"/>
              </w:rPr>
            </w:pPr>
            <w:r>
              <w:rPr>
                <w:rFonts w:hint="default" w:ascii="Times New Roman" w:hAnsi="Times New Roman" w:cs="Times New Roman"/>
                <w:color w:val="auto"/>
                <w:spacing w:val="-2"/>
                <w:szCs w:val="21"/>
                <w:highlight w:val="none"/>
              </w:rPr>
              <w:t>1、施工机械和运输工具不应在工区内、外的地段随意碾压植被，应遵守“一字型”交通规划，行驶车辆走同一车辙，以减少对地表结构</w:t>
            </w:r>
            <w:r>
              <w:rPr>
                <w:rFonts w:hint="default" w:ascii="Times New Roman" w:hAnsi="Times New Roman" w:cs="Times New Roman"/>
                <w:color w:val="auto"/>
                <w:spacing w:val="-1"/>
                <w:szCs w:val="21"/>
                <w:highlight w:val="none"/>
              </w:rPr>
              <w:t>的破坏。</w:t>
            </w:r>
          </w:p>
          <w:p w14:paraId="48EAD1EA">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2、施工结束后，及时对施工迹地进行清理平整与复原工作，对无用的施工临时建筑应予以拆除，然后根据区域情况，恢复其原貌。</w:t>
            </w:r>
          </w:p>
        </w:tc>
        <w:tc>
          <w:tcPr>
            <w:tcW w:w="1010" w:type="dxa"/>
            <w:vAlign w:val="center"/>
          </w:tcPr>
          <w:p w14:paraId="5D5DF875">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
                <w:szCs w:val="21"/>
                <w:highlight w:val="none"/>
              </w:rPr>
              <w:t>施工单位</w:t>
            </w:r>
            <w:r>
              <w:rPr>
                <w:rFonts w:hint="default" w:ascii="Times New Roman" w:hAnsi="Times New Roman" w:cs="Times New Roman"/>
                <w:color w:val="auto"/>
                <w:spacing w:val="21"/>
                <w:szCs w:val="21"/>
                <w:highlight w:val="none"/>
              </w:rPr>
              <w:t xml:space="preserve"> </w:t>
            </w:r>
            <w:r>
              <w:rPr>
                <w:rFonts w:hint="default" w:ascii="Times New Roman" w:hAnsi="Times New Roman" w:cs="Times New Roman"/>
                <w:color w:val="auto"/>
                <w:szCs w:val="21"/>
                <w:highlight w:val="none"/>
              </w:rPr>
              <w:t>负责</w:t>
            </w:r>
          </w:p>
        </w:tc>
      </w:tr>
      <w:tr w14:paraId="4858A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66" w:type="dxa"/>
            <w:vAlign w:val="center"/>
          </w:tcPr>
          <w:p w14:paraId="25BDD495">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
                <w:szCs w:val="21"/>
                <w:highlight w:val="none"/>
              </w:rPr>
              <w:t>水土保持</w:t>
            </w:r>
          </w:p>
        </w:tc>
        <w:tc>
          <w:tcPr>
            <w:tcW w:w="6160" w:type="dxa"/>
            <w:vAlign w:val="center"/>
          </w:tcPr>
          <w:p w14:paraId="28F41362">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1、对建设中的施工迹地和弃方进行合理平整和清运或再利用，以减少对区域水土流失的增加。</w:t>
            </w:r>
          </w:p>
          <w:p w14:paraId="33EE4137">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2、施工过程中生产生活固体废弃物及时清运至当地环保部门指定的地点，废石及时运至废石场堆放，避免因起风引起的扬尘。</w:t>
            </w:r>
          </w:p>
          <w:p w14:paraId="6C09F3C0">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3、保证工业场地的地面平整。</w:t>
            </w:r>
          </w:p>
        </w:tc>
        <w:tc>
          <w:tcPr>
            <w:tcW w:w="1010" w:type="dxa"/>
            <w:vAlign w:val="center"/>
          </w:tcPr>
          <w:p w14:paraId="221EA1E9">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
                <w:szCs w:val="21"/>
                <w:highlight w:val="none"/>
              </w:rPr>
              <w:t>生产单位和管理部</w:t>
            </w:r>
            <w:r>
              <w:rPr>
                <w:rFonts w:hint="default" w:ascii="Times New Roman" w:hAnsi="Times New Roman" w:cs="Times New Roman"/>
                <w:color w:val="auto"/>
                <w:szCs w:val="21"/>
                <w:highlight w:val="none"/>
              </w:rPr>
              <w:t>门负责</w:t>
            </w:r>
          </w:p>
        </w:tc>
      </w:tr>
      <w:tr w14:paraId="45B96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66" w:type="dxa"/>
            <w:vAlign w:val="center"/>
          </w:tcPr>
          <w:p w14:paraId="568B423C">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
                <w:szCs w:val="21"/>
                <w:highlight w:val="none"/>
              </w:rPr>
              <w:t>2、运营期</w:t>
            </w:r>
          </w:p>
        </w:tc>
        <w:tc>
          <w:tcPr>
            <w:tcW w:w="6160" w:type="dxa"/>
            <w:vAlign w:val="center"/>
          </w:tcPr>
          <w:p w14:paraId="62A39C04">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环保措施实施阶段</w:t>
            </w:r>
          </w:p>
        </w:tc>
        <w:tc>
          <w:tcPr>
            <w:tcW w:w="1010" w:type="dxa"/>
            <w:vAlign w:val="center"/>
          </w:tcPr>
          <w:p w14:paraId="069DE004">
            <w:pPr>
              <w:snapToGrid w:val="0"/>
              <w:spacing w:line="360" w:lineRule="exact"/>
              <w:ind w:firstLine="0" w:firstLineChars="0"/>
              <w:jc w:val="center"/>
              <w:rPr>
                <w:rFonts w:hint="default" w:ascii="Times New Roman" w:hAnsi="Times New Roman" w:cs="Times New Roman"/>
                <w:color w:val="auto"/>
                <w:szCs w:val="21"/>
                <w:highlight w:val="none"/>
              </w:rPr>
            </w:pPr>
          </w:p>
        </w:tc>
      </w:tr>
      <w:tr w14:paraId="665FF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66" w:type="dxa"/>
            <w:vAlign w:val="center"/>
          </w:tcPr>
          <w:p w14:paraId="5FDB350E">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w:t>
            </w:r>
          </w:p>
        </w:tc>
        <w:tc>
          <w:tcPr>
            <w:tcW w:w="6160" w:type="dxa"/>
            <w:vAlign w:val="center"/>
          </w:tcPr>
          <w:p w14:paraId="2AE4C486">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1、应做好本项目的施工组织规划工作，明确工程可能扰动和破坏的范围，要</w:t>
            </w:r>
            <w:r>
              <w:rPr>
                <w:rFonts w:hint="default" w:cs="Times New Roman"/>
                <w:color w:val="auto"/>
                <w:spacing w:val="-2"/>
                <w:szCs w:val="21"/>
                <w:highlight w:val="none"/>
                <w:lang w:eastAsia="zh-CN"/>
              </w:rPr>
              <w:t>做到</w:t>
            </w:r>
            <w:r>
              <w:rPr>
                <w:rFonts w:hint="default" w:ascii="Times New Roman" w:hAnsi="Times New Roman" w:cs="Times New Roman"/>
                <w:color w:val="auto"/>
                <w:spacing w:val="-2"/>
                <w:szCs w:val="21"/>
                <w:highlight w:val="none"/>
              </w:rPr>
              <w:t>少占地。</w:t>
            </w:r>
          </w:p>
          <w:p w14:paraId="2BDCAAD1">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2、继续进行施工期临时占地生态恢复治理。</w:t>
            </w:r>
          </w:p>
          <w:p w14:paraId="3DA3A9CF">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3、本建设项目产生的生态影响的防护和恢复应按照“避免→消减→补偿”的顺序最大限度地减少人为开发活动对自然资源和生态环境的破坏，以实现“开发中保护、保护中开发”的目标。</w:t>
            </w:r>
          </w:p>
          <w:p w14:paraId="4E596AFA">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4、建设单位应加强绿化与复垦意识，做好复垦规划与计划，落实措施。有条件时，即实行复垦，恢复并改善生态环境质量。</w:t>
            </w:r>
          </w:p>
        </w:tc>
        <w:tc>
          <w:tcPr>
            <w:tcW w:w="1010" w:type="dxa"/>
            <w:vAlign w:val="center"/>
          </w:tcPr>
          <w:p w14:paraId="52F0D011">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
                <w:szCs w:val="21"/>
                <w:highlight w:val="none"/>
              </w:rPr>
              <w:t>生产单位和管理部</w:t>
            </w:r>
            <w:r>
              <w:rPr>
                <w:rFonts w:hint="default" w:ascii="Times New Roman" w:hAnsi="Times New Roman" w:cs="Times New Roman"/>
                <w:color w:val="auto"/>
                <w:szCs w:val="21"/>
                <w:highlight w:val="none"/>
              </w:rPr>
              <w:t>门负责</w:t>
            </w:r>
          </w:p>
        </w:tc>
      </w:tr>
      <w:tr w14:paraId="532E9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66" w:type="dxa"/>
            <w:vAlign w:val="center"/>
          </w:tcPr>
          <w:p w14:paraId="10C654D9">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1"/>
                <w:szCs w:val="21"/>
                <w:highlight w:val="none"/>
              </w:rPr>
              <w:t>3、服役后期</w:t>
            </w:r>
          </w:p>
        </w:tc>
        <w:tc>
          <w:tcPr>
            <w:tcW w:w="6160" w:type="dxa"/>
            <w:vAlign w:val="center"/>
          </w:tcPr>
          <w:p w14:paraId="1C2B08C4">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环保措施实施阶段</w:t>
            </w:r>
          </w:p>
        </w:tc>
        <w:tc>
          <w:tcPr>
            <w:tcW w:w="1010" w:type="dxa"/>
            <w:vAlign w:val="center"/>
          </w:tcPr>
          <w:p w14:paraId="78EC950F">
            <w:pPr>
              <w:snapToGrid w:val="0"/>
              <w:spacing w:line="360" w:lineRule="exact"/>
              <w:ind w:firstLine="0" w:firstLineChars="0"/>
              <w:jc w:val="center"/>
              <w:rPr>
                <w:rFonts w:hint="default" w:ascii="Times New Roman" w:hAnsi="Times New Roman" w:cs="Times New Roman"/>
                <w:color w:val="auto"/>
                <w:szCs w:val="21"/>
                <w:highlight w:val="none"/>
              </w:rPr>
            </w:pPr>
          </w:p>
        </w:tc>
      </w:tr>
      <w:tr w14:paraId="66029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166" w:type="dxa"/>
            <w:vAlign w:val="center"/>
          </w:tcPr>
          <w:p w14:paraId="690272C7">
            <w:pPr>
              <w:pStyle w:val="45"/>
              <w:snapToGrid w:val="0"/>
              <w:spacing w:before="0" w:beforeAutospacing="0" w:line="360" w:lineRule="exact"/>
              <w:ind w:firstLine="0" w:firstLineChars="0"/>
              <w:jc w:val="center"/>
              <w:rPr>
                <w:rFonts w:hint="default" w:ascii="Times New Roman" w:hAnsi="Times New Roman" w:cs="Times New Roman"/>
                <w:color w:val="auto"/>
                <w:spacing w:val="-1"/>
                <w:szCs w:val="21"/>
                <w:highlight w:val="none"/>
              </w:rPr>
            </w:pPr>
            <w:r>
              <w:rPr>
                <w:rFonts w:hint="default" w:ascii="Times New Roman" w:hAnsi="Times New Roman" w:cs="Times New Roman"/>
                <w:color w:val="auto"/>
                <w:spacing w:val="-1"/>
                <w:szCs w:val="21"/>
                <w:highlight w:val="none"/>
              </w:rPr>
              <w:t>生态恢复方</w:t>
            </w:r>
          </w:p>
          <w:p w14:paraId="53B3E0EC">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案</w:t>
            </w:r>
          </w:p>
        </w:tc>
        <w:tc>
          <w:tcPr>
            <w:tcW w:w="6160" w:type="dxa"/>
            <w:vAlign w:val="center"/>
          </w:tcPr>
          <w:p w14:paraId="1ECA674B">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1.制定选矿厂、</w:t>
            </w:r>
            <w:r>
              <w:rPr>
                <w:rFonts w:hint="default" w:cs="Times New Roman"/>
                <w:color w:val="auto"/>
                <w:spacing w:val="-2"/>
                <w:szCs w:val="21"/>
                <w:highlight w:val="none"/>
                <w:lang w:val="en-US" w:eastAsia="zh-CN"/>
              </w:rPr>
              <w:t>办公</w:t>
            </w:r>
            <w:r>
              <w:rPr>
                <w:rFonts w:hint="default" w:ascii="Times New Roman" w:hAnsi="Times New Roman" w:cs="Times New Roman"/>
                <w:color w:val="auto"/>
                <w:spacing w:val="-2"/>
                <w:szCs w:val="21"/>
                <w:highlight w:val="none"/>
              </w:rPr>
              <w:t>生活区及库区土地复垦计划，其内容包括利用土地的方式、复垦方法，且与生产建设统一规划。</w:t>
            </w:r>
          </w:p>
          <w:p w14:paraId="412FE05B">
            <w:pPr>
              <w:pStyle w:val="45"/>
              <w:snapToGrid w:val="0"/>
              <w:spacing w:before="0" w:beforeAutospacing="0" w:line="360" w:lineRule="exact"/>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pacing w:val="-2"/>
                <w:szCs w:val="21"/>
                <w:highlight w:val="none"/>
              </w:rPr>
              <w:t>2．尾矿库服务期满后开展闭库设计，闭库后根据当地原地貌情况，尽可能</w:t>
            </w:r>
            <w:r>
              <w:rPr>
                <w:rFonts w:hint="default" w:cs="Times New Roman"/>
                <w:color w:val="auto"/>
                <w:spacing w:val="-2"/>
                <w:szCs w:val="21"/>
                <w:highlight w:val="none"/>
                <w:lang w:eastAsia="zh-CN"/>
              </w:rPr>
              <w:t>地</w:t>
            </w:r>
            <w:r>
              <w:rPr>
                <w:rFonts w:hint="default" w:ascii="Times New Roman" w:hAnsi="Times New Roman" w:cs="Times New Roman"/>
                <w:color w:val="auto"/>
                <w:spacing w:val="-2"/>
                <w:szCs w:val="21"/>
                <w:highlight w:val="none"/>
              </w:rPr>
              <w:t>覆土植草，植物种类选用当地草种，尽量使尾矿库闭库后地貌与周边环境相协调。</w:t>
            </w:r>
          </w:p>
        </w:tc>
        <w:tc>
          <w:tcPr>
            <w:tcW w:w="1010" w:type="dxa"/>
            <w:vAlign w:val="center"/>
          </w:tcPr>
          <w:p w14:paraId="6EF4C923">
            <w:pPr>
              <w:pStyle w:val="45"/>
              <w:snapToGrid w:val="0"/>
              <w:spacing w:before="0" w:beforeAutospacing="0" w:line="360" w:lineRule="exact"/>
              <w:ind w:firstLine="0" w:firstLineChars="0"/>
              <w:jc w:val="center"/>
              <w:rPr>
                <w:rFonts w:hint="default" w:ascii="Times New Roman" w:hAnsi="Times New Roman" w:cs="Times New Roman"/>
                <w:color w:val="auto"/>
                <w:spacing w:val="-1"/>
                <w:szCs w:val="21"/>
                <w:highlight w:val="none"/>
              </w:rPr>
            </w:pPr>
            <w:r>
              <w:rPr>
                <w:rFonts w:hint="default" w:ascii="Times New Roman" w:hAnsi="Times New Roman" w:cs="Times New Roman"/>
                <w:color w:val="auto"/>
                <w:spacing w:val="-1"/>
                <w:szCs w:val="21"/>
                <w:highlight w:val="none"/>
              </w:rPr>
              <w:t>生产单位</w:t>
            </w:r>
          </w:p>
          <w:p w14:paraId="448901CD">
            <w:pPr>
              <w:pStyle w:val="45"/>
              <w:snapToGrid w:val="0"/>
              <w:spacing w:before="0" w:beforeAutospacing="0" w:line="360" w:lineRule="exact"/>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负责</w:t>
            </w:r>
          </w:p>
        </w:tc>
      </w:tr>
    </w:tbl>
    <w:p w14:paraId="15767AC8">
      <w:pPr>
        <w:pStyle w:val="41"/>
        <w:overflowPunct w:val="0"/>
        <w:topLinePunct/>
        <w:spacing w:line="480" w:lineRule="exact"/>
        <w:ind w:firstLine="480"/>
        <w:rPr>
          <w:rFonts w:hint="default" w:ascii="Times New Roman" w:hAnsi="Times New Roman" w:cs="Times New Roman"/>
          <w:color w:val="auto"/>
          <w:szCs w:val="24"/>
          <w:highlight w:val="none"/>
        </w:rPr>
      </w:pPr>
    </w:p>
    <w:p w14:paraId="63D94EAE">
      <w:pPr>
        <w:pStyle w:val="41"/>
        <w:ind w:firstLine="480"/>
        <w:rPr>
          <w:rFonts w:hint="default" w:ascii="Times New Roman" w:hAnsi="Times New Roman" w:cs="Times New Roman"/>
          <w:color w:val="auto"/>
          <w:szCs w:val="24"/>
          <w:highlight w:val="none"/>
        </w:rPr>
        <w:sectPr>
          <w:pgSz w:w="11906" w:h="16838"/>
          <w:pgMar w:top="1440" w:right="1800" w:bottom="1440" w:left="1800" w:header="851" w:footer="992" w:gutter="0"/>
          <w:cols w:space="425" w:num="1"/>
          <w:docGrid w:type="lines" w:linePitch="312" w:charSpace="0"/>
        </w:sectPr>
      </w:pPr>
    </w:p>
    <w:p w14:paraId="2743858B">
      <w:pPr>
        <w:pStyle w:val="2"/>
        <w:spacing w:line="720" w:lineRule="exact"/>
        <w:rPr>
          <w:rFonts w:hint="default" w:ascii="Times New Roman" w:hAnsi="Times New Roman" w:cs="Times New Roman"/>
          <w:color w:val="auto"/>
          <w:highlight w:val="none"/>
        </w:rPr>
      </w:pPr>
      <w:bookmarkStart w:id="864" w:name="_Toc5354"/>
      <w:bookmarkStart w:id="865" w:name="_Toc107414671"/>
      <w:bookmarkStart w:id="866" w:name="_Toc11356"/>
      <w:bookmarkStart w:id="867" w:name="_Toc107413904"/>
      <w:bookmarkStart w:id="868" w:name="_Toc28922"/>
      <w:bookmarkStart w:id="869" w:name="_Toc2126"/>
      <w:bookmarkStart w:id="870" w:name="_Toc27674"/>
      <w:r>
        <w:rPr>
          <w:rFonts w:hint="default" w:ascii="Times New Roman" w:hAnsi="Times New Roman" w:cs="Times New Roman"/>
          <w:color w:val="auto"/>
          <w:highlight w:val="none"/>
        </w:rPr>
        <w:t>7环境影响经济损益分析</w:t>
      </w:r>
      <w:bookmarkEnd w:id="864"/>
      <w:bookmarkEnd w:id="865"/>
      <w:bookmarkEnd w:id="866"/>
      <w:bookmarkEnd w:id="867"/>
      <w:bookmarkEnd w:id="868"/>
      <w:bookmarkEnd w:id="869"/>
      <w:bookmarkEnd w:id="870"/>
    </w:p>
    <w:p w14:paraId="50553C6C">
      <w:pPr>
        <w:overflowPunct w:val="0"/>
        <w:topLinePunct/>
        <w:spacing w:line="480" w:lineRule="atLeast"/>
        <w:ind w:firstLine="480"/>
        <w:rPr>
          <w:rFonts w:hint="default" w:ascii="Times New Roman" w:hAnsi="Times New Roman" w:cs="Times New Roman"/>
          <w:color w:val="auto"/>
          <w:highlight w:val="none"/>
        </w:rPr>
      </w:pPr>
      <w:bookmarkStart w:id="871" w:name="_Toc446160746"/>
      <w:bookmarkStart w:id="872" w:name="_Toc18124"/>
      <w:bookmarkStart w:id="873" w:name="_Toc426642706"/>
      <w:bookmarkStart w:id="874" w:name="_Toc447541234"/>
      <w:r>
        <w:rPr>
          <w:rFonts w:hint="default" w:ascii="Times New Roman" w:hAnsi="Times New Roman" w:cs="Times New Roman"/>
          <w:color w:val="auto"/>
          <w:highlight w:val="none"/>
        </w:rPr>
        <w:t>环境影响经济损益分析主要是衡量项目的</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"http://www.51ehs.com/anhuanguanli/" </w:instrText>
      </w:r>
      <w:r>
        <w:rPr>
          <w:rFonts w:hint="default" w:ascii="Times New Roman" w:hAnsi="Times New Roman" w:cs="Times New Roman"/>
          <w:color w:val="auto"/>
          <w:highlight w:val="none"/>
        </w:rPr>
        <w:fldChar w:fldCharType="separate"/>
      </w:r>
      <w:r>
        <w:rPr>
          <w:rStyle w:val="39"/>
          <w:rFonts w:hint="default" w:ascii="Times New Roman" w:hAnsi="Times New Roman" w:cs="Times New Roman"/>
          <w:color w:val="auto"/>
          <w:highlight w:val="none"/>
          <w:u w:val="none"/>
        </w:rPr>
        <w:t>环保</w:t>
      </w:r>
      <w:r>
        <w:rPr>
          <w:rStyle w:val="39"/>
          <w:rFonts w:hint="default" w:ascii="Times New Roman" w:hAnsi="Times New Roman" w:cs="Times New Roman"/>
          <w:color w:val="auto"/>
          <w:highlight w:val="none"/>
          <w:u w:val="none"/>
        </w:rPr>
        <w:fldChar w:fldCharType="end"/>
      </w:r>
      <w:r>
        <w:rPr>
          <w:rFonts w:hint="default" w:ascii="Times New Roman" w:hAnsi="Times New Roman" w:cs="Times New Roman"/>
          <w:color w:val="auto"/>
          <w:highlight w:val="none"/>
        </w:rPr>
        <w:t>投资所能收到的环境效益和经济效益，建设项目应力争达到社会效益、环境效益、经济效益的统一，这样才能符合可持续发展的要求，实现经济</w:t>
      </w:r>
      <w:r>
        <w:rPr>
          <w:rFonts w:hint="default" w:cs="Times New Roman"/>
          <w:color w:val="auto"/>
          <w:highlight w:val="none"/>
          <w:lang w:eastAsia="zh-CN"/>
        </w:rPr>
        <w:t>的可</w:t>
      </w:r>
      <w:r>
        <w:rPr>
          <w:rFonts w:hint="default" w:ascii="Times New Roman" w:hAnsi="Times New Roman" w:cs="Times New Roman"/>
          <w:color w:val="auto"/>
          <w:highlight w:val="none"/>
        </w:rPr>
        <w:t>持续发展和环境质量的不断改善。</w:t>
      </w:r>
    </w:p>
    <w:p w14:paraId="16736C4D">
      <w:pPr>
        <w:pStyle w:val="3"/>
        <w:rPr>
          <w:rFonts w:hint="default" w:ascii="Times New Roman" w:hAnsi="Times New Roman" w:cs="Times New Roman" w:eastAsiaTheme="minorEastAsia"/>
          <w:color w:val="auto"/>
          <w:highlight w:val="none"/>
        </w:rPr>
      </w:pPr>
      <w:bookmarkStart w:id="875" w:name="_Toc4868"/>
      <w:bookmarkStart w:id="876" w:name="_Toc20588"/>
      <w:bookmarkStart w:id="877" w:name="_Toc9141"/>
      <w:bookmarkStart w:id="878" w:name="_Toc15636"/>
      <w:bookmarkStart w:id="879" w:name="_Toc13364"/>
      <w:bookmarkStart w:id="880" w:name="_Toc4693"/>
      <w:bookmarkStart w:id="881" w:name="_Toc107413905"/>
      <w:bookmarkStart w:id="882" w:name="_Toc107414672"/>
      <w:bookmarkStart w:id="883" w:name="_Toc27495"/>
      <w:r>
        <w:rPr>
          <w:rFonts w:hint="default" w:ascii="Times New Roman" w:hAnsi="Times New Roman" w:cs="Times New Roman" w:eastAsiaTheme="minorEastAsia"/>
          <w:color w:val="auto"/>
          <w:highlight w:val="none"/>
        </w:rPr>
        <w:t>7.1</w:t>
      </w:r>
      <w:bookmarkEnd w:id="871"/>
      <w:bookmarkEnd w:id="872"/>
      <w:bookmarkEnd w:id="873"/>
      <w:bookmarkEnd w:id="874"/>
      <w:r>
        <w:rPr>
          <w:rFonts w:hint="default" w:ascii="Times New Roman" w:hAnsi="Times New Roman" w:cs="Times New Roman" w:eastAsiaTheme="minorEastAsia"/>
          <w:color w:val="auto"/>
          <w:highlight w:val="none"/>
        </w:rPr>
        <w:t>经济效益分析</w:t>
      </w:r>
      <w:bookmarkEnd w:id="875"/>
      <w:bookmarkEnd w:id="876"/>
      <w:bookmarkEnd w:id="877"/>
      <w:bookmarkEnd w:id="878"/>
      <w:bookmarkEnd w:id="879"/>
      <w:bookmarkEnd w:id="880"/>
      <w:bookmarkEnd w:id="881"/>
      <w:bookmarkEnd w:id="882"/>
      <w:bookmarkEnd w:id="883"/>
    </w:p>
    <w:p w14:paraId="05DBA2C5">
      <w:pPr>
        <w:pStyle w:val="4"/>
        <w:rPr>
          <w:rFonts w:hint="default" w:ascii="Times New Roman" w:hAnsi="Times New Roman" w:cs="Times New Roman"/>
          <w:color w:val="auto"/>
          <w:highlight w:val="none"/>
        </w:rPr>
      </w:pPr>
      <w:bookmarkStart w:id="884" w:name="_Toc23728"/>
      <w:bookmarkStart w:id="885" w:name="_Toc4865"/>
      <w:bookmarkStart w:id="886" w:name="_Toc20201"/>
      <w:bookmarkStart w:id="887" w:name="_Toc365647381"/>
      <w:bookmarkStart w:id="888" w:name="_Toc447541235"/>
      <w:bookmarkStart w:id="889" w:name="_Toc29130"/>
      <w:bookmarkStart w:id="890" w:name="_Toc12953"/>
      <w:bookmarkStart w:id="891" w:name="_Toc426642707"/>
      <w:bookmarkStart w:id="892" w:name="_Toc15786"/>
      <w:bookmarkStart w:id="893" w:name="_Toc446160747"/>
      <w:bookmarkStart w:id="894" w:name="_Toc355784248"/>
      <w:bookmarkStart w:id="895" w:name="_Toc23259"/>
      <w:r>
        <w:rPr>
          <w:rFonts w:hint="default" w:ascii="Times New Roman" w:hAnsi="Times New Roman" w:cs="Times New Roman"/>
          <w:color w:val="auto"/>
          <w:highlight w:val="none"/>
        </w:rPr>
        <w:t>7.1.1损益估算</w:t>
      </w:r>
      <w:bookmarkEnd w:id="884"/>
      <w:bookmarkEnd w:id="885"/>
      <w:bookmarkEnd w:id="886"/>
    </w:p>
    <w:p w14:paraId="5057A835">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1、产品方案</w:t>
      </w:r>
    </w:p>
    <w:p w14:paraId="6D38285F">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项目的最终产品方案为金精矿。</w:t>
      </w:r>
    </w:p>
    <w:p w14:paraId="79393D0C">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2、产品销售</w:t>
      </w:r>
    </w:p>
    <w:p w14:paraId="5AD47F16">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项目每年生产金精矿</w:t>
      </w:r>
      <w:r>
        <w:rPr>
          <w:rFonts w:hint="default" w:ascii="Times New Roman" w:hAnsi="Times New Roman" w:cs="Times New Roman"/>
          <w:color w:val="auto"/>
          <w:highlight w:val="none"/>
          <w:lang w:val="en-US" w:eastAsia="zh-CN"/>
        </w:rPr>
        <w:t>为4234.09t，</w:t>
      </w:r>
      <w:r>
        <w:rPr>
          <w:rFonts w:hint="default" w:ascii="Times New Roman" w:hAnsi="Times New Roman" w:cs="Times New Roman"/>
          <w:color w:val="auto"/>
          <w:highlight w:val="none"/>
        </w:rPr>
        <w:t>受内外部环境及供需市场影响，区域内各客户需求量持续猛增，金精矿市场</w:t>
      </w:r>
      <w:r>
        <w:rPr>
          <w:rFonts w:hint="default" w:cs="Times New Roman"/>
          <w:color w:val="auto"/>
          <w:highlight w:val="none"/>
          <w:lang w:eastAsia="zh-CN"/>
        </w:rPr>
        <w:t>处于</w:t>
      </w:r>
      <w:r>
        <w:rPr>
          <w:rFonts w:hint="default" w:ascii="Times New Roman" w:hAnsi="Times New Roman" w:cs="Times New Roman"/>
          <w:color w:val="auto"/>
          <w:highlight w:val="none"/>
        </w:rPr>
        <w:t>供不应求状态，且价格上涨趋势坚挺。</w:t>
      </w:r>
    </w:p>
    <w:p w14:paraId="26B39A21">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3、产品销售价格</w:t>
      </w:r>
    </w:p>
    <w:p w14:paraId="503F526F">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本项目金精矿价格</w:t>
      </w:r>
      <w:r>
        <w:rPr>
          <w:rFonts w:hint="default" w:cs="Times New Roman"/>
          <w:color w:val="auto"/>
          <w:highlight w:val="none"/>
          <w:lang w:eastAsia="zh-CN"/>
        </w:rPr>
        <w:t>由</w:t>
      </w:r>
      <w:r>
        <w:rPr>
          <w:rFonts w:hint="default" w:ascii="Times New Roman" w:hAnsi="Times New Roman" w:cs="Times New Roman"/>
          <w:color w:val="auto"/>
          <w:highlight w:val="none"/>
        </w:rPr>
        <w:t>业主提供近三年销售均价选取，按528元/g（不含税，出厂价）计算。</w:t>
      </w:r>
    </w:p>
    <w:p w14:paraId="65FFAF4A">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4、销售收入</w:t>
      </w:r>
    </w:p>
    <w:p w14:paraId="208D05D9">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项目达产年平均销售收入为19083.08万元，年利润总额为8525.96万元，年税后利润为6394.47万元，每年可向国家和地方</w:t>
      </w:r>
      <w:r>
        <w:rPr>
          <w:rFonts w:hint="default" w:cs="Times New Roman"/>
          <w:color w:val="auto"/>
          <w:highlight w:val="none"/>
          <w:lang w:eastAsia="zh-CN"/>
        </w:rPr>
        <w:t>上缴</w:t>
      </w:r>
      <w:r>
        <w:rPr>
          <w:rFonts w:hint="default" w:ascii="Times New Roman" w:hAnsi="Times New Roman" w:cs="Times New Roman"/>
          <w:color w:val="auto"/>
          <w:highlight w:val="none"/>
        </w:rPr>
        <w:t>税金为3241.64万元。</w:t>
      </w:r>
    </w:p>
    <w:p w14:paraId="72E3F5FF">
      <w:pPr>
        <w:pStyle w:val="4"/>
        <w:rPr>
          <w:rFonts w:hint="default" w:ascii="Times New Roman" w:hAnsi="Times New Roman" w:cs="Times New Roman"/>
          <w:color w:val="auto"/>
          <w:highlight w:val="none"/>
        </w:rPr>
      </w:pPr>
      <w:bookmarkStart w:id="896" w:name="_Toc12545"/>
      <w:bookmarkStart w:id="897" w:name="_Toc2763"/>
      <w:bookmarkStart w:id="898" w:name="_Toc10114"/>
      <w:r>
        <w:rPr>
          <w:rFonts w:hint="default" w:ascii="Times New Roman" w:hAnsi="Times New Roman" w:cs="Times New Roman"/>
          <w:color w:val="auto"/>
          <w:highlight w:val="none"/>
        </w:rPr>
        <w:t>7.1.2建设投资</w:t>
      </w:r>
      <w:bookmarkEnd w:id="896"/>
      <w:bookmarkEnd w:id="897"/>
      <w:bookmarkEnd w:id="898"/>
    </w:p>
    <w:p w14:paraId="6D3C771B">
      <w:pPr>
        <w:pStyle w:val="53"/>
        <w:overflowPunct w:val="0"/>
        <w:topLinePunct/>
        <w:snapToGrid w:val="0"/>
        <w:spacing w:line="480" w:lineRule="atLeas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本项目总投资为</w:t>
      </w:r>
      <w:r>
        <w:rPr>
          <w:rFonts w:hint="default" w:cs="Times New Roman"/>
          <w:color w:val="auto"/>
          <w:highlight w:val="none"/>
          <w:lang w:val="en-US" w:eastAsia="zh-CN"/>
        </w:rPr>
        <w:t>18744.36</w:t>
      </w:r>
      <w:r>
        <w:rPr>
          <w:rFonts w:hint="default" w:ascii="Times New Roman" w:hAnsi="Times New Roman" w:cs="Times New Roman"/>
          <w:color w:val="auto"/>
          <w:highlight w:val="none"/>
        </w:rPr>
        <w:t>万元，均为企业自筹。</w:t>
      </w:r>
    </w:p>
    <w:p w14:paraId="1C1E7D47">
      <w:pPr>
        <w:pStyle w:val="3"/>
        <w:rPr>
          <w:rFonts w:hint="default" w:ascii="Times New Roman" w:hAnsi="Times New Roman" w:cs="Times New Roman" w:eastAsiaTheme="minorEastAsia"/>
          <w:color w:val="auto"/>
          <w:highlight w:val="none"/>
        </w:rPr>
      </w:pPr>
      <w:bookmarkStart w:id="899" w:name="_Toc22850"/>
      <w:bookmarkStart w:id="900" w:name="_Toc14827"/>
      <w:bookmarkStart w:id="901" w:name="_Toc107414673"/>
      <w:bookmarkStart w:id="902" w:name="_Toc29176"/>
      <w:bookmarkStart w:id="903" w:name="_Toc20385"/>
      <w:bookmarkStart w:id="904" w:name="_Toc107413906"/>
      <w:bookmarkStart w:id="905" w:name="_Toc16399"/>
      <w:bookmarkStart w:id="906" w:name="_Toc9887"/>
      <w:bookmarkStart w:id="907" w:name="_Toc26224"/>
      <w:r>
        <w:rPr>
          <w:rFonts w:hint="default" w:ascii="Times New Roman" w:hAnsi="Times New Roman" w:cs="Times New Roman" w:eastAsiaTheme="minorEastAsia"/>
          <w:color w:val="auto"/>
          <w:highlight w:val="none"/>
        </w:rPr>
        <w:t>7.2社会效益分析</w:t>
      </w:r>
      <w:bookmarkEnd w:id="899"/>
      <w:bookmarkEnd w:id="900"/>
      <w:bookmarkEnd w:id="901"/>
      <w:bookmarkEnd w:id="902"/>
      <w:bookmarkEnd w:id="903"/>
      <w:bookmarkEnd w:id="904"/>
      <w:bookmarkEnd w:id="905"/>
      <w:bookmarkEnd w:id="906"/>
      <w:bookmarkEnd w:id="907"/>
    </w:p>
    <w:p w14:paraId="685C6167">
      <w:pPr>
        <w:widowControl/>
        <w:overflowPunct w:val="0"/>
        <w:topLinePunct/>
        <w:spacing w:line="480" w:lineRule="atLeast"/>
        <w:ind w:firstLine="480"/>
        <w:rPr>
          <w:rFonts w:hint="default" w:ascii="Times New Roman" w:hAnsi="Times New Roman" w:cs="Times New Roman"/>
          <w:color w:val="auto"/>
          <w:highlight w:val="none"/>
        </w:rPr>
      </w:pPr>
      <w:bookmarkStart w:id="908" w:name="_Toc19156"/>
      <w:bookmarkStart w:id="909" w:name="_Toc17476"/>
      <w:r>
        <w:rPr>
          <w:rFonts w:hint="default" w:ascii="Times New Roman" w:hAnsi="Times New Roman" w:cs="Times New Roman"/>
          <w:color w:val="auto"/>
          <w:highlight w:val="none"/>
        </w:rPr>
        <w:t>本项目实施有利于促进当地</w:t>
      </w:r>
      <w:r>
        <w:rPr>
          <w:rFonts w:hint="default" w:cs="Times New Roman"/>
          <w:color w:val="auto"/>
          <w:highlight w:val="none"/>
          <w:lang w:val="en-US" w:eastAsia="zh-CN"/>
        </w:rPr>
        <w:t>金矿</w:t>
      </w:r>
      <w:r>
        <w:rPr>
          <w:rFonts w:hint="default" w:ascii="Times New Roman" w:hAnsi="Times New Roman" w:cs="Times New Roman"/>
          <w:color w:val="auto"/>
          <w:highlight w:val="none"/>
        </w:rPr>
        <w:t>采掘行业的快速发展，可有效缓解当地市场压力，有利于市场竞争，并可带动当地相关产业发展，为当地下游行业提供发展机遇，可扩大当地相关产品消费市场，创造较大经济效益同时在一定程度上增加区域经济竞争力，促进当地社会可持续发展。</w:t>
      </w:r>
    </w:p>
    <w:p w14:paraId="188E3CCD">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综上所述，本项目具有良好社会效益。</w:t>
      </w:r>
    </w:p>
    <w:p w14:paraId="73364CF0">
      <w:pPr>
        <w:pStyle w:val="3"/>
        <w:rPr>
          <w:rFonts w:hint="default" w:ascii="Times New Roman" w:hAnsi="Times New Roman" w:cs="Times New Roman" w:eastAsiaTheme="minorEastAsia"/>
          <w:color w:val="auto"/>
          <w:highlight w:val="none"/>
        </w:rPr>
      </w:pPr>
      <w:bookmarkStart w:id="910" w:name="_Toc107413907"/>
      <w:bookmarkStart w:id="911" w:name="_Toc9249"/>
      <w:bookmarkStart w:id="912" w:name="_Toc28572"/>
      <w:bookmarkStart w:id="913" w:name="_Toc1362"/>
      <w:bookmarkStart w:id="914" w:name="_Toc14552"/>
      <w:bookmarkStart w:id="915" w:name="_Toc31063"/>
      <w:bookmarkStart w:id="916" w:name="_Toc107414674"/>
      <w:r>
        <w:rPr>
          <w:rFonts w:hint="default" w:ascii="Times New Roman" w:hAnsi="Times New Roman" w:cs="Times New Roman" w:eastAsiaTheme="minorEastAsia"/>
          <w:color w:val="auto"/>
          <w:highlight w:val="none"/>
        </w:rPr>
        <w:t>7.3环境效益分析</w:t>
      </w:r>
      <w:bookmarkEnd w:id="908"/>
      <w:bookmarkEnd w:id="909"/>
      <w:bookmarkEnd w:id="910"/>
      <w:bookmarkEnd w:id="911"/>
      <w:bookmarkEnd w:id="912"/>
      <w:bookmarkEnd w:id="913"/>
      <w:bookmarkEnd w:id="914"/>
      <w:bookmarkEnd w:id="915"/>
      <w:bookmarkEnd w:id="916"/>
    </w:p>
    <w:p w14:paraId="55506736">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效益集中体现在对生产中污染物的排放控制、资源的集中合理利用以及废物再利用，不仅可以减少企业在能源方面的投入，更重要的是使原本分散、未经任何处理的污染物得到了综合利用，并且实现达标排放。</w:t>
      </w:r>
    </w:p>
    <w:p w14:paraId="4977775B">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kern w:val="0"/>
          <w:szCs w:val="28"/>
          <w:highlight w:val="none"/>
        </w:rPr>
        <w:t>秉承绿色、高质量发展的宗旨，以建设矿业领域生态文明为目标，做到资源开发与环境保护相互协调，促进经济社会可持续发展。</w:t>
      </w:r>
      <w:r>
        <w:rPr>
          <w:rFonts w:hint="default" w:ascii="Times New Roman" w:hAnsi="Times New Roman" w:cs="Times New Roman"/>
          <w:color w:val="auto"/>
          <w:highlight w:val="none"/>
        </w:rPr>
        <w:t>本项目在采用设计和环评提出的污染治理措施后，虽仍对区域环境产生一定的负面影响，但只要确保达标排放，其环境影响则可控制在允许范围之内。</w:t>
      </w:r>
    </w:p>
    <w:p w14:paraId="0059A15F">
      <w:pPr>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本项目环保设施包括废水、废气、固体废物、噪声防治等，其中废气、噪声部分和工艺治理相结合，其工程内容见表7.3-1：</w:t>
      </w:r>
    </w:p>
    <w:bookmarkEnd w:id="887"/>
    <w:bookmarkEnd w:id="888"/>
    <w:bookmarkEnd w:id="889"/>
    <w:bookmarkEnd w:id="890"/>
    <w:bookmarkEnd w:id="891"/>
    <w:bookmarkEnd w:id="892"/>
    <w:bookmarkEnd w:id="893"/>
    <w:bookmarkEnd w:id="894"/>
    <w:bookmarkEnd w:id="895"/>
    <w:p w14:paraId="2806B489">
      <w:pPr>
        <w:pStyle w:val="70"/>
        <w:spacing w:line="480" w:lineRule="exact"/>
        <w:ind w:right="0" w:rightChars="0" w:firstLine="0" w:firstLineChars="0"/>
        <w:jc w:val="center"/>
        <w:rPr>
          <w:rFonts w:hint="default" w:ascii="Times New Roman" w:hAnsi="Times New Roman" w:cs="Times New Roman"/>
          <w:b/>
          <w:bCs/>
          <w:color w:val="auto"/>
          <w:highlight w:val="none"/>
        </w:rPr>
      </w:pPr>
      <w:bookmarkStart w:id="917" w:name="_Toc426642711"/>
      <w:bookmarkStart w:id="918" w:name="_Toc446160751"/>
      <w:bookmarkStart w:id="919" w:name="_Toc390077140"/>
      <w:bookmarkStart w:id="920" w:name="_Toc11785"/>
      <w:bookmarkStart w:id="921" w:name="_Toc447541239"/>
      <w:bookmarkStart w:id="922" w:name="_Toc10410"/>
      <w:bookmarkStart w:id="923" w:name="_Toc12153"/>
      <w:r>
        <w:rPr>
          <w:rFonts w:hint="default" w:ascii="Times New Roman" w:hAnsi="Times New Roman" w:cs="Times New Roman"/>
          <w:b/>
          <w:bCs/>
          <w:color w:val="auto"/>
          <w:highlight w:val="none"/>
        </w:rPr>
        <w:t>表7.3-1    环保投资费用估算表</w:t>
      </w:r>
    </w:p>
    <w:tbl>
      <w:tblPr>
        <w:tblStyle w:val="33"/>
        <w:tblW w:w="87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61"/>
        <w:gridCol w:w="4699"/>
        <w:gridCol w:w="1508"/>
      </w:tblGrid>
      <w:tr w14:paraId="0E179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556" w:type="dxa"/>
            <w:gridSpan w:val="2"/>
            <w:tcBorders>
              <w:tl2br w:val="nil"/>
              <w:tr2bl w:val="nil"/>
            </w:tcBorders>
            <w:vAlign w:val="center"/>
          </w:tcPr>
          <w:p w14:paraId="7D63A7BC">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lang w:eastAsia="zh-CN"/>
              </w:rPr>
            </w:pPr>
            <w:bookmarkStart w:id="924" w:name="_Toc8535"/>
            <w:bookmarkStart w:id="925" w:name="_Toc28771"/>
            <w:bookmarkStart w:id="926" w:name="_Toc30431"/>
            <w:r>
              <w:rPr>
                <w:rFonts w:hint="default" w:ascii="Times New Roman" w:hAnsi="Times New Roman" w:eastAsia="宋体" w:cs="Times New Roman"/>
                <w:color w:val="auto"/>
                <w:sz w:val="21"/>
                <w:highlight w:val="none"/>
                <w:lang w:eastAsia="zh-CN"/>
              </w:rPr>
              <w:t>项目</w:t>
            </w:r>
            <w:bookmarkEnd w:id="924"/>
            <w:bookmarkEnd w:id="925"/>
            <w:bookmarkEnd w:id="926"/>
          </w:p>
        </w:tc>
        <w:tc>
          <w:tcPr>
            <w:tcW w:w="4699" w:type="dxa"/>
            <w:tcBorders>
              <w:tl2br w:val="nil"/>
              <w:tr2bl w:val="nil"/>
            </w:tcBorders>
            <w:vAlign w:val="center"/>
          </w:tcPr>
          <w:p w14:paraId="414FF98F">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lang w:eastAsia="zh-CN"/>
              </w:rPr>
            </w:pPr>
            <w:bookmarkStart w:id="927" w:name="_Toc155"/>
            <w:bookmarkStart w:id="928" w:name="_Toc1879"/>
            <w:bookmarkStart w:id="929" w:name="_Toc13441"/>
            <w:r>
              <w:rPr>
                <w:rFonts w:hint="default" w:ascii="Times New Roman" w:hAnsi="Times New Roman" w:eastAsia="宋体" w:cs="Times New Roman"/>
                <w:color w:val="auto"/>
                <w:sz w:val="21"/>
                <w:highlight w:val="none"/>
                <w:lang w:eastAsia="zh-CN"/>
              </w:rPr>
              <w:t>环保措施概要</w:t>
            </w:r>
            <w:bookmarkEnd w:id="927"/>
            <w:bookmarkEnd w:id="928"/>
            <w:bookmarkEnd w:id="929"/>
          </w:p>
        </w:tc>
        <w:tc>
          <w:tcPr>
            <w:tcW w:w="1508" w:type="dxa"/>
            <w:tcBorders>
              <w:tl2br w:val="nil"/>
              <w:tr2bl w:val="nil"/>
            </w:tcBorders>
            <w:vAlign w:val="center"/>
          </w:tcPr>
          <w:p w14:paraId="57FCA8B0">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lang w:eastAsia="zh-CN"/>
              </w:rPr>
            </w:pPr>
            <w:bookmarkStart w:id="930" w:name="_Toc19718"/>
            <w:bookmarkStart w:id="931" w:name="_Toc17765"/>
            <w:bookmarkStart w:id="932" w:name="_Toc1107"/>
            <w:r>
              <w:rPr>
                <w:rFonts w:hint="default" w:ascii="Times New Roman" w:hAnsi="Times New Roman" w:eastAsia="宋体" w:cs="Times New Roman"/>
                <w:color w:val="auto"/>
                <w:sz w:val="21"/>
                <w:highlight w:val="none"/>
                <w:lang w:eastAsia="zh-CN"/>
              </w:rPr>
              <w:t>投资（万元）</w:t>
            </w:r>
            <w:bookmarkEnd w:id="930"/>
            <w:bookmarkEnd w:id="931"/>
            <w:bookmarkEnd w:id="932"/>
          </w:p>
        </w:tc>
      </w:tr>
      <w:tr w14:paraId="7424A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restart"/>
            <w:tcBorders>
              <w:tl2br w:val="nil"/>
              <w:tr2bl w:val="nil"/>
            </w:tcBorders>
            <w:vAlign w:val="center"/>
          </w:tcPr>
          <w:p w14:paraId="40A1AF6A">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33" w:name="_Toc25229"/>
            <w:bookmarkStart w:id="934" w:name="_Toc23697"/>
            <w:bookmarkStart w:id="935" w:name="_Toc24260"/>
            <w:r>
              <w:rPr>
                <w:rFonts w:hint="default" w:ascii="Times New Roman" w:hAnsi="Times New Roman" w:eastAsia="宋体" w:cs="Times New Roman"/>
                <w:b w:val="0"/>
                <w:color w:val="auto"/>
                <w:sz w:val="21"/>
                <w:highlight w:val="none"/>
                <w:lang w:eastAsia="zh-CN"/>
              </w:rPr>
              <w:t>施工期</w:t>
            </w:r>
            <w:bookmarkEnd w:id="933"/>
            <w:bookmarkEnd w:id="934"/>
            <w:bookmarkEnd w:id="935"/>
          </w:p>
        </w:tc>
        <w:tc>
          <w:tcPr>
            <w:tcW w:w="1661" w:type="dxa"/>
            <w:tcBorders>
              <w:tl2br w:val="nil"/>
              <w:tr2bl w:val="nil"/>
            </w:tcBorders>
            <w:vAlign w:val="center"/>
          </w:tcPr>
          <w:p w14:paraId="129353D9">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废气</w:t>
            </w:r>
          </w:p>
        </w:tc>
        <w:tc>
          <w:tcPr>
            <w:tcW w:w="4699" w:type="dxa"/>
            <w:tcBorders>
              <w:tl2br w:val="nil"/>
              <w:tr2bl w:val="nil"/>
            </w:tcBorders>
            <w:vAlign w:val="center"/>
          </w:tcPr>
          <w:p w14:paraId="60C85800">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36" w:name="_Toc15200"/>
            <w:bookmarkStart w:id="937" w:name="_Toc10452"/>
            <w:bookmarkStart w:id="938" w:name="_Toc9311"/>
            <w:r>
              <w:rPr>
                <w:rFonts w:hint="default" w:ascii="Times New Roman" w:hAnsi="Times New Roman" w:eastAsia="宋体" w:cs="Times New Roman"/>
                <w:b w:val="0"/>
                <w:color w:val="auto"/>
                <w:sz w:val="21"/>
                <w:highlight w:val="none"/>
                <w:lang w:eastAsia="zh-CN"/>
              </w:rPr>
              <w:t>施工场地、道路洒水，运输物料遮盖等</w:t>
            </w:r>
            <w:bookmarkEnd w:id="936"/>
            <w:bookmarkEnd w:id="937"/>
            <w:bookmarkEnd w:id="938"/>
          </w:p>
        </w:tc>
        <w:tc>
          <w:tcPr>
            <w:tcW w:w="1508" w:type="dxa"/>
            <w:tcBorders>
              <w:tl2br w:val="nil"/>
              <w:tr2bl w:val="nil"/>
            </w:tcBorders>
            <w:vAlign w:val="center"/>
          </w:tcPr>
          <w:p w14:paraId="60F96E20">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20</w:t>
            </w:r>
          </w:p>
        </w:tc>
      </w:tr>
      <w:tr w14:paraId="525A9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7C0FC656">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76A26431">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废水</w:t>
            </w:r>
          </w:p>
        </w:tc>
        <w:tc>
          <w:tcPr>
            <w:tcW w:w="4699" w:type="dxa"/>
            <w:tcBorders>
              <w:tl2br w:val="nil"/>
              <w:tr2bl w:val="nil"/>
            </w:tcBorders>
            <w:vAlign w:val="center"/>
          </w:tcPr>
          <w:p w14:paraId="36427883">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39" w:name="_Toc4166"/>
            <w:bookmarkStart w:id="940" w:name="_Toc16332"/>
            <w:bookmarkStart w:id="941" w:name="_Toc1823"/>
            <w:r>
              <w:rPr>
                <w:rFonts w:hint="default" w:ascii="Times New Roman" w:hAnsi="Times New Roman" w:eastAsia="宋体" w:cs="Times New Roman"/>
                <w:b w:val="0"/>
                <w:color w:val="auto"/>
                <w:sz w:val="21"/>
                <w:highlight w:val="none"/>
                <w:lang w:eastAsia="zh-CN"/>
              </w:rPr>
              <w:t>施工期临时沉淀池</w:t>
            </w:r>
            <w:bookmarkEnd w:id="939"/>
            <w:bookmarkEnd w:id="940"/>
            <w:bookmarkEnd w:id="941"/>
          </w:p>
        </w:tc>
        <w:tc>
          <w:tcPr>
            <w:tcW w:w="1508" w:type="dxa"/>
            <w:tcBorders>
              <w:tl2br w:val="nil"/>
              <w:tr2bl w:val="nil"/>
            </w:tcBorders>
            <w:vAlign w:val="center"/>
          </w:tcPr>
          <w:p w14:paraId="5D573176">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8</w:t>
            </w:r>
          </w:p>
        </w:tc>
      </w:tr>
      <w:tr w14:paraId="495AE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58734CD0">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16FFA3B0">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42" w:name="_Toc31736"/>
            <w:bookmarkStart w:id="943" w:name="_Toc9015"/>
            <w:bookmarkStart w:id="944" w:name="_Toc11434"/>
            <w:r>
              <w:rPr>
                <w:rFonts w:hint="default" w:ascii="Times New Roman" w:hAnsi="Times New Roman" w:eastAsia="宋体" w:cs="Times New Roman"/>
                <w:b w:val="0"/>
                <w:color w:val="auto"/>
                <w:sz w:val="21"/>
                <w:highlight w:val="none"/>
                <w:lang w:eastAsia="zh-CN"/>
              </w:rPr>
              <w:t>噪声</w:t>
            </w:r>
            <w:bookmarkEnd w:id="942"/>
            <w:bookmarkEnd w:id="943"/>
            <w:bookmarkEnd w:id="944"/>
          </w:p>
        </w:tc>
        <w:tc>
          <w:tcPr>
            <w:tcW w:w="4699" w:type="dxa"/>
            <w:tcBorders>
              <w:tl2br w:val="nil"/>
              <w:tr2bl w:val="nil"/>
            </w:tcBorders>
            <w:vAlign w:val="center"/>
          </w:tcPr>
          <w:p w14:paraId="6A2C3CA2">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45" w:name="_Toc5758"/>
            <w:bookmarkStart w:id="946" w:name="_Toc2332"/>
            <w:bookmarkStart w:id="947" w:name="_Toc32063"/>
            <w:r>
              <w:rPr>
                <w:rFonts w:hint="default" w:ascii="Times New Roman" w:hAnsi="Times New Roman" w:eastAsia="宋体" w:cs="Times New Roman"/>
                <w:b w:val="0"/>
                <w:color w:val="auto"/>
                <w:sz w:val="21"/>
                <w:highlight w:val="none"/>
                <w:lang w:eastAsia="zh-CN"/>
              </w:rPr>
              <w:t>合理布局，基础减振</w:t>
            </w:r>
            <w:bookmarkEnd w:id="945"/>
            <w:bookmarkEnd w:id="946"/>
            <w:bookmarkEnd w:id="947"/>
          </w:p>
        </w:tc>
        <w:tc>
          <w:tcPr>
            <w:tcW w:w="1508" w:type="dxa"/>
            <w:tcBorders>
              <w:tl2br w:val="nil"/>
              <w:tr2bl w:val="nil"/>
            </w:tcBorders>
            <w:vAlign w:val="center"/>
          </w:tcPr>
          <w:p w14:paraId="66B05BB1">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10</w:t>
            </w:r>
          </w:p>
        </w:tc>
      </w:tr>
      <w:tr w14:paraId="4D014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454380E4">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3A8F908F">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固体废物</w:t>
            </w:r>
          </w:p>
        </w:tc>
        <w:tc>
          <w:tcPr>
            <w:tcW w:w="4699" w:type="dxa"/>
            <w:tcBorders>
              <w:tl2br w:val="nil"/>
              <w:tr2bl w:val="nil"/>
            </w:tcBorders>
            <w:vAlign w:val="center"/>
          </w:tcPr>
          <w:p w14:paraId="30199083">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48" w:name="_Toc8830"/>
            <w:bookmarkStart w:id="949" w:name="_Toc9017"/>
            <w:bookmarkStart w:id="950" w:name="_Toc5161"/>
            <w:r>
              <w:rPr>
                <w:rFonts w:hint="default" w:ascii="Times New Roman" w:hAnsi="Times New Roman" w:eastAsia="宋体" w:cs="Times New Roman"/>
                <w:b w:val="0"/>
                <w:color w:val="auto"/>
                <w:sz w:val="21"/>
                <w:highlight w:val="none"/>
                <w:lang w:eastAsia="zh-CN"/>
              </w:rPr>
              <w:t>弃土、弃方、建筑垃圾的处置，施工期生活垃圾的处置</w:t>
            </w:r>
            <w:bookmarkEnd w:id="948"/>
            <w:bookmarkEnd w:id="949"/>
            <w:bookmarkEnd w:id="950"/>
          </w:p>
        </w:tc>
        <w:tc>
          <w:tcPr>
            <w:tcW w:w="1508" w:type="dxa"/>
            <w:tcBorders>
              <w:tl2br w:val="nil"/>
              <w:tr2bl w:val="nil"/>
            </w:tcBorders>
            <w:vAlign w:val="center"/>
          </w:tcPr>
          <w:p w14:paraId="3E991796">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30</w:t>
            </w:r>
          </w:p>
        </w:tc>
      </w:tr>
      <w:tr w14:paraId="4EA36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049EE1BB">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0DFFA332">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51" w:name="_Toc32678"/>
            <w:bookmarkStart w:id="952" w:name="_Toc28272"/>
            <w:bookmarkStart w:id="953" w:name="_Toc12157"/>
            <w:r>
              <w:rPr>
                <w:rFonts w:hint="default" w:ascii="Times New Roman" w:hAnsi="Times New Roman" w:eastAsia="宋体" w:cs="Times New Roman"/>
                <w:b w:val="0"/>
                <w:color w:val="auto"/>
                <w:sz w:val="21"/>
                <w:highlight w:val="none"/>
                <w:lang w:eastAsia="zh-CN"/>
              </w:rPr>
              <w:t>生态环境</w:t>
            </w:r>
            <w:bookmarkEnd w:id="951"/>
            <w:bookmarkEnd w:id="952"/>
            <w:bookmarkEnd w:id="953"/>
          </w:p>
        </w:tc>
        <w:tc>
          <w:tcPr>
            <w:tcW w:w="4699" w:type="dxa"/>
            <w:tcBorders>
              <w:tl2br w:val="nil"/>
              <w:tr2bl w:val="nil"/>
            </w:tcBorders>
            <w:vAlign w:val="center"/>
          </w:tcPr>
          <w:p w14:paraId="413A0838">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54" w:name="_Toc12817"/>
            <w:bookmarkStart w:id="955" w:name="_Toc8876"/>
            <w:bookmarkStart w:id="956" w:name="_Toc8786"/>
            <w:r>
              <w:rPr>
                <w:rFonts w:hint="default" w:ascii="Times New Roman" w:hAnsi="Times New Roman" w:eastAsia="宋体" w:cs="Times New Roman"/>
                <w:b w:val="0"/>
                <w:color w:val="auto"/>
                <w:sz w:val="21"/>
                <w:highlight w:val="none"/>
                <w:lang w:eastAsia="zh-CN"/>
              </w:rPr>
              <w:t>场地平整、绿化</w:t>
            </w:r>
            <w:bookmarkEnd w:id="954"/>
            <w:bookmarkEnd w:id="955"/>
            <w:bookmarkEnd w:id="956"/>
          </w:p>
        </w:tc>
        <w:tc>
          <w:tcPr>
            <w:tcW w:w="1508" w:type="dxa"/>
            <w:tcBorders>
              <w:tl2br w:val="nil"/>
              <w:tr2bl w:val="nil"/>
            </w:tcBorders>
            <w:vAlign w:val="center"/>
          </w:tcPr>
          <w:p w14:paraId="13499245">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50</w:t>
            </w:r>
          </w:p>
        </w:tc>
      </w:tr>
      <w:tr w14:paraId="021E1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restart"/>
            <w:tcBorders>
              <w:tl2br w:val="nil"/>
              <w:tr2bl w:val="nil"/>
            </w:tcBorders>
            <w:vAlign w:val="center"/>
          </w:tcPr>
          <w:p w14:paraId="1BE7AB0C">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57" w:name="_Toc20766"/>
            <w:bookmarkStart w:id="958" w:name="_Toc6862"/>
            <w:bookmarkStart w:id="959" w:name="_Toc15459"/>
            <w:r>
              <w:rPr>
                <w:rFonts w:hint="default" w:ascii="Times New Roman" w:hAnsi="Times New Roman" w:eastAsia="宋体" w:cs="Times New Roman"/>
                <w:b w:val="0"/>
                <w:color w:val="auto"/>
                <w:sz w:val="21"/>
                <w:highlight w:val="none"/>
                <w:lang w:eastAsia="zh-CN"/>
              </w:rPr>
              <w:t>运营期</w:t>
            </w:r>
            <w:bookmarkEnd w:id="957"/>
            <w:bookmarkEnd w:id="958"/>
            <w:bookmarkEnd w:id="959"/>
          </w:p>
        </w:tc>
        <w:tc>
          <w:tcPr>
            <w:tcW w:w="1661" w:type="dxa"/>
            <w:vMerge w:val="restart"/>
            <w:tcBorders>
              <w:tl2br w:val="nil"/>
              <w:tr2bl w:val="nil"/>
            </w:tcBorders>
            <w:vAlign w:val="center"/>
          </w:tcPr>
          <w:p w14:paraId="138A6767">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60" w:name="_Toc16526"/>
            <w:bookmarkStart w:id="961" w:name="_Toc26769"/>
            <w:bookmarkStart w:id="962" w:name="_Toc14285"/>
            <w:r>
              <w:rPr>
                <w:rFonts w:hint="default" w:ascii="Times New Roman" w:hAnsi="Times New Roman" w:eastAsia="宋体" w:cs="Times New Roman"/>
                <w:b w:val="0"/>
                <w:color w:val="auto"/>
                <w:sz w:val="21"/>
                <w:highlight w:val="none"/>
                <w:lang w:eastAsia="zh-CN"/>
              </w:rPr>
              <w:t>废气</w:t>
            </w:r>
            <w:bookmarkEnd w:id="960"/>
            <w:bookmarkEnd w:id="961"/>
            <w:bookmarkEnd w:id="962"/>
          </w:p>
        </w:tc>
        <w:tc>
          <w:tcPr>
            <w:tcW w:w="4699" w:type="dxa"/>
            <w:tcBorders>
              <w:tl2br w:val="nil"/>
              <w:tr2bl w:val="nil"/>
            </w:tcBorders>
            <w:vAlign w:val="center"/>
          </w:tcPr>
          <w:p w14:paraId="08843AF2">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63" w:name="_Toc24893"/>
            <w:bookmarkStart w:id="964" w:name="_Toc24771"/>
            <w:bookmarkStart w:id="965" w:name="_Toc12183"/>
            <w:r>
              <w:rPr>
                <w:rFonts w:hint="default" w:ascii="Times New Roman" w:hAnsi="Times New Roman" w:eastAsia="宋体" w:cs="Times New Roman"/>
                <w:b w:val="0"/>
                <w:bCs/>
                <w:color w:val="auto"/>
                <w:sz w:val="21"/>
                <w:highlight w:val="none"/>
                <w:lang w:val="en-US" w:eastAsia="zh-CN"/>
              </w:rPr>
              <w:t>原</w:t>
            </w:r>
            <w:r>
              <w:rPr>
                <w:rFonts w:hint="default" w:ascii="Times New Roman" w:hAnsi="Times New Roman" w:eastAsia="宋体" w:cs="Times New Roman"/>
                <w:b w:val="0"/>
                <w:bCs/>
                <w:color w:val="auto"/>
                <w:sz w:val="21"/>
                <w:highlight w:val="none"/>
                <w:lang w:eastAsia="zh-CN"/>
              </w:rPr>
              <w:t>矿堆场：周围设置</w:t>
            </w:r>
            <w:r>
              <w:rPr>
                <w:rFonts w:hint="default" w:ascii="Times New Roman" w:hAnsi="Times New Roman" w:eastAsia="宋体" w:cs="Times New Roman"/>
                <w:b w:val="0"/>
                <w:bCs/>
                <w:color w:val="auto"/>
                <w:sz w:val="21"/>
                <w:highlight w:val="none"/>
                <w:lang w:val="en-US" w:eastAsia="zh-CN"/>
              </w:rPr>
              <w:t>防风抑尘网</w:t>
            </w:r>
            <w:r>
              <w:rPr>
                <w:rFonts w:hint="default" w:ascii="Times New Roman" w:hAnsi="Times New Roman" w:eastAsia="宋体" w:cs="Times New Roman"/>
                <w:b w:val="0"/>
                <w:bCs/>
                <w:color w:val="auto"/>
                <w:sz w:val="21"/>
                <w:highlight w:val="none"/>
                <w:lang w:eastAsia="zh-CN"/>
              </w:rPr>
              <w:t>、</w:t>
            </w:r>
            <w:bookmarkEnd w:id="963"/>
            <w:bookmarkEnd w:id="964"/>
            <w:bookmarkEnd w:id="965"/>
            <w:r>
              <w:rPr>
                <w:rFonts w:hint="default" w:ascii="Times New Roman" w:hAnsi="Times New Roman" w:eastAsia="宋体" w:cs="Times New Roman"/>
                <w:b w:val="0"/>
                <w:color w:val="auto"/>
                <w:sz w:val="21"/>
                <w:highlight w:val="none"/>
                <w:lang w:eastAsia="zh-CN"/>
              </w:rPr>
              <w:t>洒水降尘</w:t>
            </w:r>
          </w:p>
        </w:tc>
        <w:tc>
          <w:tcPr>
            <w:tcW w:w="1508" w:type="dxa"/>
            <w:tcBorders>
              <w:tl2br w:val="nil"/>
              <w:tr2bl w:val="nil"/>
            </w:tcBorders>
            <w:vAlign w:val="center"/>
          </w:tcPr>
          <w:p w14:paraId="5C413EA3">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20</w:t>
            </w:r>
          </w:p>
        </w:tc>
      </w:tr>
      <w:tr w14:paraId="3B5EB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15B503E2">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1661" w:type="dxa"/>
            <w:vMerge w:val="continue"/>
            <w:tcBorders>
              <w:tl2br w:val="nil"/>
              <w:tr2bl w:val="nil"/>
            </w:tcBorders>
            <w:vAlign w:val="center"/>
          </w:tcPr>
          <w:p w14:paraId="5AEF6EAD">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4699" w:type="dxa"/>
            <w:tcBorders>
              <w:tl2br w:val="nil"/>
              <w:tr2bl w:val="nil"/>
            </w:tcBorders>
            <w:vAlign w:val="center"/>
          </w:tcPr>
          <w:p w14:paraId="212CB1DD">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66" w:name="_Toc8889"/>
            <w:bookmarkStart w:id="967" w:name="_Toc4826"/>
            <w:bookmarkStart w:id="968" w:name="_Toc20807"/>
            <w:r>
              <w:rPr>
                <w:rFonts w:hint="default" w:ascii="Times New Roman" w:hAnsi="Times New Roman" w:eastAsia="宋体" w:cs="Times New Roman"/>
                <w:b w:val="0"/>
                <w:color w:val="auto"/>
                <w:sz w:val="21"/>
                <w:highlight w:val="none"/>
                <w:lang w:val="en-US" w:eastAsia="zh-CN"/>
              </w:rPr>
              <w:t>原料仓、中间仓、</w:t>
            </w:r>
            <w:r>
              <w:rPr>
                <w:rFonts w:hint="default" w:ascii="Times New Roman" w:hAnsi="Times New Roman" w:eastAsia="宋体" w:cs="Times New Roman"/>
                <w:b w:val="0"/>
                <w:color w:val="auto"/>
                <w:sz w:val="21"/>
                <w:highlight w:val="none"/>
                <w:lang w:eastAsia="zh-CN"/>
              </w:rPr>
              <w:t>精矿仓：全封闭</w:t>
            </w:r>
            <w:bookmarkEnd w:id="966"/>
            <w:bookmarkEnd w:id="967"/>
            <w:bookmarkEnd w:id="968"/>
            <w:r>
              <w:rPr>
                <w:rFonts w:hint="default" w:ascii="Times New Roman" w:hAnsi="Times New Roman" w:eastAsia="宋体" w:cs="Times New Roman"/>
                <w:b w:val="0"/>
                <w:color w:val="auto"/>
                <w:sz w:val="21"/>
                <w:highlight w:val="none"/>
                <w:lang w:eastAsia="zh-CN"/>
              </w:rPr>
              <w:t>设计</w:t>
            </w:r>
          </w:p>
        </w:tc>
        <w:tc>
          <w:tcPr>
            <w:tcW w:w="1508" w:type="dxa"/>
            <w:tcBorders>
              <w:tl2br w:val="nil"/>
              <w:tr2bl w:val="nil"/>
            </w:tcBorders>
            <w:vAlign w:val="center"/>
          </w:tcPr>
          <w:p w14:paraId="536FC0C3">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250</w:t>
            </w:r>
          </w:p>
        </w:tc>
      </w:tr>
      <w:tr w14:paraId="68D32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2B6A4A3A">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1661" w:type="dxa"/>
            <w:vMerge w:val="continue"/>
            <w:tcBorders>
              <w:tl2br w:val="nil"/>
              <w:tr2bl w:val="nil"/>
            </w:tcBorders>
            <w:vAlign w:val="center"/>
          </w:tcPr>
          <w:p w14:paraId="15048D52">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4699" w:type="dxa"/>
            <w:tcBorders>
              <w:tl2br w:val="nil"/>
              <w:tr2bl w:val="nil"/>
            </w:tcBorders>
            <w:vAlign w:val="center"/>
          </w:tcPr>
          <w:p w14:paraId="56E29D04">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69" w:name="_Toc14121"/>
            <w:bookmarkStart w:id="970" w:name="_Toc5279"/>
            <w:bookmarkStart w:id="971" w:name="_Toc29150"/>
            <w:r>
              <w:rPr>
                <w:rFonts w:hint="default" w:ascii="Times New Roman" w:hAnsi="Times New Roman" w:eastAsia="宋体" w:cs="Times New Roman"/>
                <w:b w:val="0"/>
                <w:color w:val="auto"/>
                <w:sz w:val="21"/>
                <w:highlight w:val="none"/>
                <w:lang w:eastAsia="zh-CN"/>
              </w:rPr>
              <w:t>选矿厂</w:t>
            </w:r>
            <w:bookmarkEnd w:id="969"/>
            <w:bookmarkEnd w:id="970"/>
            <w:bookmarkEnd w:id="971"/>
            <w:r>
              <w:rPr>
                <w:rFonts w:hint="default" w:ascii="Times New Roman" w:hAnsi="Times New Roman" w:eastAsia="宋体" w:cs="Times New Roman"/>
                <w:b w:val="0"/>
                <w:color w:val="auto"/>
                <w:sz w:val="21"/>
                <w:highlight w:val="none"/>
                <w:lang w:eastAsia="zh-CN"/>
              </w:rPr>
              <w:t>：集气罩+布袋除尘除尘器（</w:t>
            </w:r>
            <w:r>
              <w:rPr>
                <w:rFonts w:hint="default" w:ascii="Times New Roman" w:hAnsi="Times New Roman" w:eastAsia="宋体" w:cs="Times New Roman"/>
                <w:b w:val="0"/>
                <w:color w:val="auto"/>
                <w:sz w:val="21"/>
                <w:highlight w:val="none"/>
                <w:lang w:val="en-US" w:eastAsia="zh-CN"/>
              </w:rPr>
              <w:t>3</w:t>
            </w:r>
            <w:r>
              <w:rPr>
                <w:rFonts w:hint="default" w:ascii="Times New Roman" w:hAnsi="Times New Roman" w:eastAsia="宋体" w:cs="Times New Roman"/>
                <w:b w:val="0"/>
                <w:color w:val="auto"/>
                <w:sz w:val="21"/>
                <w:highlight w:val="none"/>
                <w:lang w:eastAsia="zh-CN"/>
              </w:rPr>
              <w:t>套）</w:t>
            </w:r>
          </w:p>
        </w:tc>
        <w:tc>
          <w:tcPr>
            <w:tcW w:w="1508" w:type="dxa"/>
            <w:tcBorders>
              <w:tl2br w:val="nil"/>
              <w:tr2bl w:val="nil"/>
            </w:tcBorders>
            <w:vAlign w:val="center"/>
          </w:tcPr>
          <w:p w14:paraId="27D94741">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220</w:t>
            </w:r>
          </w:p>
        </w:tc>
      </w:tr>
      <w:tr w14:paraId="0641A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540E59F1">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1661" w:type="dxa"/>
            <w:vMerge w:val="continue"/>
            <w:tcBorders>
              <w:tl2br w:val="nil"/>
              <w:tr2bl w:val="nil"/>
            </w:tcBorders>
            <w:vAlign w:val="center"/>
          </w:tcPr>
          <w:p w14:paraId="3781A05B">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4699" w:type="dxa"/>
            <w:tcBorders>
              <w:tl2br w:val="nil"/>
              <w:tr2bl w:val="nil"/>
            </w:tcBorders>
            <w:vAlign w:val="center"/>
          </w:tcPr>
          <w:p w14:paraId="094977FF">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72" w:name="_Toc26131"/>
            <w:bookmarkStart w:id="973" w:name="_Toc897"/>
            <w:bookmarkStart w:id="974" w:name="_Toc29481"/>
            <w:r>
              <w:rPr>
                <w:rFonts w:hint="default" w:ascii="Times New Roman" w:hAnsi="Times New Roman" w:eastAsia="宋体" w:cs="Times New Roman"/>
                <w:b w:val="0"/>
                <w:bCs/>
                <w:color w:val="auto"/>
                <w:kern w:val="2"/>
                <w:sz w:val="21"/>
                <w:highlight w:val="none"/>
                <w:lang w:eastAsia="zh-CN" w:bidi="ar-SA"/>
              </w:rPr>
              <w:t>道路等其他无组织扬尘：移动式远程射雾器</w:t>
            </w:r>
            <w:bookmarkEnd w:id="972"/>
            <w:bookmarkEnd w:id="973"/>
            <w:bookmarkEnd w:id="974"/>
          </w:p>
        </w:tc>
        <w:tc>
          <w:tcPr>
            <w:tcW w:w="1508" w:type="dxa"/>
            <w:tcBorders>
              <w:tl2br w:val="nil"/>
              <w:tr2bl w:val="nil"/>
            </w:tcBorders>
            <w:vAlign w:val="center"/>
          </w:tcPr>
          <w:p w14:paraId="0261DA22">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10</w:t>
            </w:r>
          </w:p>
        </w:tc>
      </w:tr>
      <w:tr w14:paraId="3AD5F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172D4F1F">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vMerge w:val="restart"/>
            <w:tcBorders>
              <w:tl2br w:val="nil"/>
              <w:tr2bl w:val="nil"/>
            </w:tcBorders>
            <w:vAlign w:val="center"/>
          </w:tcPr>
          <w:p w14:paraId="7C2D573C">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75" w:name="_Toc23974"/>
            <w:bookmarkStart w:id="976" w:name="_Toc22041"/>
            <w:bookmarkStart w:id="977" w:name="_Toc17516"/>
            <w:r>
              <w:rPr>
                <w:rFonts w:hint="default" w:ascii="Times New Roman" w:hAnsi="Times New Roman" w:eastAsia="宋体" w:cs="Times New Roman"/>
                <w:b w:val="0"/>
                <w:color w:val="auto"/>
                <w:sz w:val="21"/>
                <w:highlight w:val="none"/>
                <w:lang w:eastAsia="zh-CN"/>
              </w:rPr>
              <w:t>废水</w:t>
            </w:r>
            <w:bookmarkEnd w:id="975"/>
            <w:bookmarkEnd w:id="976"/>
            <w:bookmarkEnd w:id="977"/>
          </w:p>
        </w:tc>
        <w:tc>
          <w:tcPr>
            <w:tcW w:w="4699" w:type="dxa"/>
            <w:tcBorders>
              <w:tl2br w:val="nil"/>
              <w:tr2bl w:val="nil"/>
            </w:tcBorders>
            <w:vAlign w:val="center"/>
          </w:tcPr>
          <w:p w14:paraId="138F92C5">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地埋式一体化污水处理设施</w:t>
            </w:r>
          </w:p>
        </w:tc>
        <w:tc>
          <w:tcPr>
            <w:tcW w:w="1508" w:type="dxa"/>
            <w:tcBorders>
              <w:tl2br w:val="nil"/>
              <w:tr2bl w:val="nil"/>
            </w:tcBorders>
            <w:vAlign w:val="center"/>
          </w:tcPr>
          <w:p w14:paraId="4258B779">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25</w:t>
            </w:r>
          </w:p>
        </w:tc>
      </w:tr>
      <w:tr w14:paraId="06127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04163364">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1661" w:type="dxa"/>
            <w:vMerge w:val="continue"/>
            <w:tcBorders>
              <w:tl2br w:val="nil"/>
              <w:tr2bl w:val="nil"/>
            </w:tcBorders>
            <w:vAlign w:val="center"/>
          </w:tcPr>
          <w:p w14:paraId="653F74DC">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4699" w:type="dxa"/>
            <w:tcBorders>
              <w:tl2br w:val="nil"/>
              <w:tr2bl w:val="nil"/>
            </w:tcBorders>
            <w:vAlign w:val="center"/>
          </w:tcPr>
          <w:p w14:paraId="687896D7">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回水池</w:t>
            </w:r>
          </w:p>
        </w:tc>
        <w:tc>
          <w:tcPr>
            <w:tcW w:w="1508" w:type="dxa"/>
            <w:tcBorders>
              <w:tl2br w:val="nil"/>
              <w:tr2bl w:val="nil"/>
            </w:tcBorders>
            <w:vAlign w:val="center"/>
          </w:tcPr>
          <w:p w14:paraId="2D9B9AA4">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20</w:t>
            </w:r>
          </w:p>
        </w:tc>
      </w:tr>
      <w:tr w14:paraId="17083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78A82DB1">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122E72BE">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噪声</w:t>
            </w:r>
          </w:p>
        </w:tc>
        <w:tc>
          <w:tcPr>
            <w:tcW w:w="4699" w:type="dxa"/>
            <w:tcBorders>
              <w:tl2br w:val="nil"/>
              <w:tr2bl w:val="nil"/>
            </w:tcBorders>
            <w:vAlign w:val="center"/>
          </w:tcPr>
          <w:p w14:paraId="4EB8138E">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78" w:name="_Toc11328"/>
            <w:bookmarkStart w:id="979" w:name="_Toc25839"/>
            <w:bookmarkStart w:id="980" w:name="_Toc20327"/>
            <w:r>
              <w:rPr>
                <w:rFonts w:hint="default" w:ascii="Times New Roman" w:hAnsi="Times New Roman" w:eastAsia="宋体" w:cs="Times New Roman"/>
                <w:b w:val="0"/>
                <w:color w:val="auto"/>
                <w:sz w:val="21"/>
                <w:highlight w:val="none"/>
                <w:lang w:eastAsia="zh-CN"/>
              </w:rPr>
              <w:t>高噪声设备进行基础减振，设备养护</w:t>
            </w:r>
            <w:bookmarkEnd w:id="978"/>
            <w:bookmarkEnd w:id="979"/>
            <w:bookmarkEnd w:id="980"/>
          </w:p>
        </w:tc>
        <w:tc>
          <w:tcPr>
            <w:tcW w:w="1508" w:type="dxa"/>
            <w:tcBorders>
              <w:tl2br w:val="nil"/>
              <w:tr2bl w:val="nil"/>
            </w:tcBorders>
            <w:vAlign w:val="center"/>
          </w:tcPr>
          <w:p w14:paraId="27EBB5E1">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15</w:t>
            </w:r>
          </w:p>
        </w:tc>
      </w:tr>
      <w:tr w14:paraId="7749A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49CE2495">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vMerge w:val="restart"/>
            <w:tcBorders>
              <w:tl2br w:val="nil"/>
              <w:tr2bl w:val="nil"/>
            </w:tcBorders>
            <w:vAlign w:val="center"/>
          </w:tcPr>
          <w:p w14:paraId="57B7EB57">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固体废物</w:t>
            </w:r>
          </w:p>
        </w:tc>
        <w:tc>
          <w:tcPr>
            <w:tcW w:w="4699" w:type="dxa"/>
            <w:tcBorders>
              <w:tl2br w:val="nil"/>
              <w:tr2bl w:val="nil"/>
            </w:tcBorders>
            <w:vAlign w:val="center"/>
          </w:tcPr>
          <w:p w14:paraId="3FEACAB1">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危废贮存点</w:t>
            </w:r>
          </w:p>
        </w:tc>
        <w:tc>
          <w:tcPr>
            <w:tcW w:w="1508" w:type="dxa"/>
            <w:tcBorders>
              <w:tl2br w:val="nil"/>
              <w:tr2bl w:val="nil"/>
            </w:tcBorders>
            <w:vAlign w:val="center"/>
          </w:tcPr>
          <w:p w14:paraId="02D840C0">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35</w:t>
            </w:r>
          </w:p>
        </w:tc>
      </w:tr>
      <w:tr w14:paraId="4DF76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95" w:type="dxa"/>
            <w:vMerge w:val="continue"/>
            <w:tcBorders>
              <w:tl2br w:val="nil"/>
              <w:tr2bl w:val="nil"/>
            </w:tcBorders>
            <w:vAlign w:val="center"/>
          </w:tcPr>
          <w:p w14:paraId="2464E3A7">
            <w:pPr>
              <w:pStyle w:val="51"/>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1661" w:type="dxa"/>
            <w:vMerge w:val="continue"/>
            <w:tcBorders>
              <w:tl2br w:val="nil"/>
              <w:tr2bl w:val="nil"/>
            </w:tcBorders>
            <w:vAlign w:val="center"/>
          </w:tcPr>
          <w:p w14:paraId="4640F7EE">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4699" w:type="dxa"/>
            <w:tcBorders>
              <w:tl2br w:val="nil"/>
              <w:tr2bl w:val="nil"/>
            </w:tcBorders>
            <w:vAlign w:val="center"/>
          </w:tcPr>
          <w:p w14:paraId="582571D7">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尾矿库防渗系统</w:t>
            </w:r>
          </w:p>
        </w:tc>
        <w:tc>
          <w:tcPr>
            <w:tcW w:w="1508" w:type="dxa"/>
            <w:tcBorders>
              <w:tl2br w:val="nil"/>
              <w:tr2bl w:val="nil"/>
            </w:tcBorders>
            <w:vAlign w:val="center"/>
          </w:tcPr>
          <w:p w14:paraId="569C1052">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val="en-US" w:eastAsia="zh-CN"/>
              </w:rPr>
              <w:t>3</w:t>
            </w:r>
            <w:r>
              <w:rPr>
                <w:rFonts w:hint="default" w:ascii="Times New Roman" w:hAnsi="Times New Roman" w:eastAsia="宋体" w:cs="Times New Roman"/>
                <w:b w:val="0"/>
                <w:color w:val="auto"/>
                <w:sz w:val="21"/>
                <w:highlight w:val="none"/>
                <w:lang w:eastAsia="zh-CN"/>
              </w:rPr>
              <w:t>00</w:t>
            </w:r>
          </w:p>
        </w:tc>
      </w:tr>
      <w:tr w14:paraId="41AEC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6A84CD75">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27E8FC7F">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81" w:name="_Toc28800"/>
            <w:bookmarkStart w:id="982" w:name="_Toc11844"/>
            <w:bookmarkStart w:id="983" w:name="_Toc28396"/>
            <w:r>
              <w:rPr>
                <w:rFonts w:hint="default" w:ascii="Times New Roman" w:hAnsi="Times New Roman" w:eastAsia="宋体" w:cs="Times New Roman"/>
                <w:b w:val="0"/>
                <w:color w:val="auto"/>
                <w:sz w:val="21"/>
                <w:highlight w:val="none"/>
                <w:lang w:eastAsia="zh-CN"/>
              </w:rPr>
              <w:t>水土保持及绿化</w:t>
            </w:r>
            <w:bookmarkEnd w:id="981"/>
            <w:bookmarkEnd w:id="982"/>
            <w:bookmarkEnd w:id="983"/>
          </w:p>
        </w:tc>
        <w:tc>
          <w:tcPr>
            <w:tcW w:w="4699" w:type="dxa"/>
            <w:tcBorders>
              <w:tl2br w:val="nil"/>
              <w:tr2bl w:val="nil"/>
            </w:tcBorders>
            <w:vAlign w:val="center"/>
          </w:tcPr>
          <w:p w14:paraId="2F23889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恢复植被、绿化</w:t>
            </w:r>
          </w:p>
        </w:tc>
        <w:tc>
          <w:tcPr>
            <w:tcW w:w="1508" w:type="dxa"/>
            <w:tcBorders>
              <w:tl2br w:val="nil"/>
              <w:tr2bl w:val="nil"/>
            </w:tcBorders>
            <w:vAlign w:val="center"/>
          </w:tcPr>
          <w:p w14:paraId="5C68BBF4">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300</w:t>
            </w:r>
          </w:p>
        </w:tc>
      </w:tr>
      <w:tr w14:paraId="2B99B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17AF9BBA">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31971F0A">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环境风险</w:t>
            </w:r>
          </w:p>
        </w:tc>
        <w:tc>
          <w:tcPr>
            <w:tcW w:w="4699" w:type="dxa"/>
            <w:tcBorders>
              <w:tl2br w:val="nil"/>
              <w:tr2bl w:val="nil"/>
            </w:tcBorders>
            <w:vAlign w:val="center"/>
          </w:tcPr>
          <w:p w14:paraId="000BC46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16"/>
                <w:highlight w:val="none"/>
                <w:lang w:val="en-US" w:eastAsia="zh-CN"/>
              </w:rPr>
              <w:t>2</w:t>
            </w:r>
            <w:r>
              <w:rPr>
                <w:rFonts w:hint="default" w:ascii="Times New Roman" w:hAnsi="Times New Roman" w:cs="Times New Roman"/>
                <w:color w:val="auto"/>
                <w:sz w:val="21"/>
                <w:szCs w:val="16"/>
                <w:highlight w:val="none"/>
              </w:rPr>
              <w:t>座防渗事故池</w:t>
            </w:r>
          </w:p>
        </w:tc>
        <w:tc>
          <w:tcPr>
            <w:tcW w:w="1508" w:type="dxa"/>
            <w:tcBorders>
              <w:tl2br w:val="nil"/>
              <w:tr2bl w:val="nil"/>
            </w:tcBorders>
            <w:vAlign w:val="center"/>
          </w:tcPr>
          <w:p w14:paraId="77223B2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100</w:t>
            </w:r>
          </w:p>
        </w:tc>
      </w:tr>
      <w:tr w14:paraId="3C7BA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restart"/>
            <w:tcBorders>
              <w:tl2br w:val="nil"/>
              <w:tr2bl w:val="nil"/>
            </w:tcBorders>
            <w:vAlign w:val="center"/>
          </w:tcPr>
          <w:p w14:paraId="5FEB6AF6">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84" w:name="_Toc2175"/>
            <w:bookmarkStart w:id="985" w:name="_Toc26669"/>
            <w:bookmarkStart w:id="986" w:name="_Toc27831"/>
            <w:r>
              <w:rPr>
                <w:rFonts w:hint="default" w:ascii="Times New Roman" w:hAnsi="Times New Roman" w:eastAsia="宋体" w:cs="Times New Roman"/>
                <w:b w:val="0"/>
                <w:color w:val="auto"/>
                <w:sz w:val="21"/>
                <w:highlight w:val="none"/>
                <w:lang w:eastAsia="zh-CN"/>
              </w:rPr>
              <w:t>退役期</w:t>
            </w:r>
            <w:bookmarkEnd w:id="984"/>
            <w:bookmarkEnd w:id="985"/>
            <w:bookmarkEnd w:id="986"/>
          </w:p>
        </w:tc>
        <w:tc>
          <w:tcPr>
            <w:tcW w:w="1661" w:type="dxa"/>
            <w:tcBorders>
              <w:tl2br w:val="nil"/>
              <w:tr2bl w:val="nil"/>
            </w:tcBorders>
            <w:vAlign w:val="center"/>
          </w:tcPr>
          <w:p w14:paraId="5B3193A0">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87" w:name="_Toc31788"/>
            <w:bookmarkStart w:id="988" w:name="_Toc11086"/>
            <w:bookmarkStart w:id="989" w:name="_Toc15959"/>
            <w:r>
              <w:rPr>
                <w:rFonts w:hint="default" w:ascii="Times New Roman" w:hAnsi="Times New Roman" w:eastAsia="宋体" w:cs="Times New Roman"/>
                <w:b w:val="0"/>
                <w:color w:val="auto"/>
                <w:sz w:val="21"/>
                <w:highlight w:val="none"/>
                <w:lang w:eastAsia="zh-CN"/>
              </w:rPr>
              <w:t>地面隐患区</w:t>
            </w:r>
            <w:bookmarkEnd w:id="987"/>
            <w:bookmarkEnd w:id="988"/>
            <w:bookmarkEnd w:id="989"/>
          </w:p>
        </w:tc>
        <w:tc>
          <w:tcPr>
            <w:tcW w:w="4699" w:type="dxa"/>
            <w:tcBorders>
              <w:tl2br w:val="nil"/>
              <w:tr2bl w:val="nil"/>
            </w:tcBorders>
            <w:vAlign w:val="center"/>
          </w:tcPr>
          <w:p w14:paraId="0E9B5916">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90" w:name="_Toc30722"/>
            <w:bookmarkStart w:id="991" w:name="_Toc9987"/>
            <w:bookmarkStart w:id="992" w:name="_Toc26876"/>
            <w:r>
              <w:rPr>
                <w:rFonts w:hint="default" w:ascii="Times New Roman" w:hAnsi="Times New Roman" w:eastAsia="宋体" w:cs="Times New Roman"/>
                <w:b w:val="0"/>
                <w:color w:val="auto"/>
                <w:sz w:val="21"/>
                <w:highlight w:val="none"/>
                <w:lang w:eastAsia="zh-CN"/>
              </w:rPr>
              <w:t>外围铁丝网围栏、外围设置警示牌</w:t>
            </w:r>
            <w:bookmarkEnd w:id="990"/>
            <w:bookmarkEnd w:id="991"/>
            <w:bookmarkEnd w:id="992"/>
          </w:p>
        </w:tc>
        <w:tc>
          <w:tcPr>
            <w:tcW w:w="1508" w:type="dxa"/>
            <w:tcBorders>
              <w:tl2br w:val="nil"/>
              <w:tr2bl w:val="nil"/>
            </w:tcBorders>
            <w:vAlign w:val="center"/>
          </w:tcPr>
          <w:p w14:paraId="4F5DB3A7">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20</w:t>
            </w:r>
          </w:p>
        </w:tc>
      </w:tr>
      <w:tr w14:paraId="0A737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73432A90">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1661" w:type="dxa"/>
            <w:tcBorders>
              <w:tl2br w:val="nil"/>
              <w:tr2bl w:val="nil"/>
            </w:tcBorders>
            <w:vAlign w:val="center"/>
          </w:tcPr>
          <w:p w14:paraId="48F34829">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93" w:name="_Toc8873"/>
            <w:bookmarkStart w:id="994" w:name="_Toc29309"/>
            <w:bookmarkStart w:id="995" w:name="_Toc23140"/>
            <w:r>
              <w:rPr>
                <w:rFonts w:hint="default" w:ascii="Times New Roman" w:hAnsi="Times New Roman" w:eastAsia="宋体" w:cs="Times New Roman"/>
                <w:b w:val="0"/>
                <w:color w:val="auto"/>
                <w:sz w:val="21"/>
                <w:highlight w:val="none"/>
                <w:lang w:eastAsia="zh-CN"/>
              </w:rPr>
              <w:t>地面治理</w:t>
            </w:r>
            <w:bookmarkEnd w:id="993"/>
            <w:bookmarkEnd w:id="994"/>
            <w:bookmarkEnd w:id="995"/>
          </w:p>
        </w:tc>
        <w:tc>
          <w:tcPr>
            <w:tcW w:w="4699" w:type="dxa"/>
            <w:tcBorders>
              <w:tl2br w:val="nil"/>
              <w:tr2bl w:val="nil"/>
            </w:tcBorders>
            <w:vAlign w:val="center"/>
          </w:tcPr>
          <w:p w14:paraId="3EFE9ADB">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96" w:name="_Toc17436"/>
            <w:bookmarkStart w:id="997" w:name="_Toc14480"/>
            <w:bookmarkStart w:id="998" w:name="_Toc10132"/>
            <w:r>
              <w:rPr>
                <w:rFonts w:hint="default" w:ascii="Times New Roman" w:hAnsi="Times New Roman" w:eastAsia="宋体" w:cs="Times New Roman"/>
                <w:b w:val="0"/>
                <w:color w:val="auto"/>
                <w:sz w:val="21"/>
                <w:highlight w:val="none"/>
                <w:lang w:eastAsia="zh-CN"/>
              </w:rPr>
              <w:t>尾矿库闭库，生活区及工业广场建筑设施拆除、清理</w:t>
            </w:r>
            <w:bookmarkEnd w:id="996"/>
            <w:bookmarkEnd w:id="997"/>
            <w:bookmarkEnd w:id="998"/>
          </w:p>
        </w:tc>
        <w:tc>
          <w:tcPr>
            <w:tcW w:w="1508" w:type="dxa"/>
            <w:tcBorders>
              <w:tl2br w:val="nil"/>
              <w:tr2bl w:val="nil"/>
            </w:tcBorders>
            <w:vAlign w:val="center"/>
          </w:tcPr>
          <w:p w14:paraId="7A8ED263">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300</w:t>
            </w:r>
          </w:p>
        </w:tc>
      </w:tr>
      <w:tr w14:paraId="5B5D1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6" w:type="dxa"/>
            <w:gridSpan w:val="2"/>
            <w:tcBorders>
              <w:tl2br w:val="nil"/>
              <w:tr2bl w:val="nil"/>
            </w:tcBorders>
            <w:vAlign w:val="center"/>
          </w:tcPr>
          <w:p w14:paraId="7BEBC31D">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99" w:name="_Toc29484"/>
            <w:bookmarkStart w:id="1000" w:name="_Toc28636"/>
            <w:bookmarkStart w:id="1001" w:name="_Toc25323"/>
            <w:r>
              <w:rPr>
                <w:rFonts w:hint="default" w:ascii="Times New Roman" w:hAnsi="Times New Roman" w:eastAsia="宋体" w:cs="Times New Roman"/>
                <w:b w:val="0"/>
                <w:color w:val="auto"/>
                <w:sz w:val="21"/>
                <w:highlight w:val="none"/>
                <w:lang w:eastAsia="zh-CN"/>
              </w:rPr>
              <w:t>合计</w:t>
            </w:r>
            <w:bookmarkEnd w:id="999"/>
            <w:bookmarkEnd w:id="1000"/>
            <w:bookmarkEnd w:id="1001"/>
          </w:p>
        </w:tc>
        <w:tc>
          <w:tcPr>
            <w:tcW w:w="4699" w:type="dxa"/>
            <w:tcBorders>
              <w:tl2br w:val="nil"/>
              <w:tr2bl w:val="nil"/>
            </w:tcBorders>
            <w:vAlign w:val="center"/>
          </w:tcPr>
          <w:p w14:paraId="4E2C1B42">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1002" w:name="_Toc6568"/>
            <w:bookmarkStart w:id="1003" w:name="_Toc31786"/>
            <w:bookmarkStart w:id="1004" w:name="_Toc24750"/>
            <w:r>
              <w:rPr>
                <w:rFonts w:hint="default" w:ascii="Times New Roman" w:hAnsi="Times New Roman" w:eastAsia="宋体" w:cs="Times New Roman"/>
                <w:b w:val="0"/>
                <w:color w:val="auto"/>
                <w:sz w:val="21"/>
                <w:highlight w:val="none"/>
                <w:lang w:eastAsia="zh-CN"/>
              </w:rPr>
              <w:t>/</w:t>
            </w:r>
            <w:bookmarkEnd w:id="1002"/>
            <w:bookmarkEnd w:id="1003"/>
            <w:bookmarkEnd w:id="1004"/>
          </w:p>
        </w:tc>
        <w:tc>
          <w:tcPr>
            <w:tcW w:w="1508" w:type="dxa"/>
            <w:tcBorders>
              <w:tl2br w:val="nil"/>
              <w:tr2bl w:val="nil"/>
            </w:tcBorders>
            <w:vAlign w:val="center"/>
          </w:tcPr>
          <w:p w14:paraId="66B76DE6">
            <w:pPr>
              <w:pStyle w:val="51"/>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1733</w:t>
            </w:r>
          </w:p>
        </w:tc>
      </w:tr>
    </w:tbl>
    <w:p w14:paraId="449DC053">
      <w:pPr>
        <w:overflowPunct w:val="0"/>
        <w:topLinePunct/>
        <w:spacing w:line="480" w:lineRule="atLeast"/>
        <w:ind w:firstLine="480"/>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本项目建设总投资</w:t>
      </w:r>
      <w:r>
        <w:rPr>
          <w:rFonts w:hint="default" w:cs="Times New Roman"/>
          <w:color w:val="auto"/>
          <w:highlight w:val="none"/>
          <w:lang w:val="en-US" w:eastAsia="zh-CN"/>
        </w:rPr>
        <w:t>18744.36</w:t>
      </w:r>
      <w:r>
        <w:rPr>
          <w:rFonts w:hint="default" w:ascii="Times New Roman" w:hAnsi="Times New Roman" w:cs="Times New Roman"/>
          <w:color w:val="auto"/>
          <w:highlight w:val="none"/>
        </w:rPr>
        <w:t>万元。其中环保投资为</w:t>
      </w:r>
      <w:r>
        <w:rPr>
          <w:rFonts w:hint="default" w:cs="Times New Roman"/>
          <w:color w:val="auto"/>
          <w:highlight w:val="none"/>
          <w:lang w:val="en-US" w:eastAsia="zh-CN"/>
        </w:rPr>
        <w:t>1733</w:t>
      </w:r>
      <w:r>
        <w:rPr>
          <w:rFonts w:hint="default" w:ascii="Times New Roman" w:hAnsi="Times New Roman" w:cs="Times New Roman"/>
          <w:color w:val="auto"/>
          <w:highlight w:val="none"/>
        </w:rPr>
        <w:t>万元，占总投资的</w:t>
      </w:r>
      <w:r>
        <w:rPr>
          <w:rFonts w:hint="default" w:cs="Times New Roman"/>
          <w:color w:val="auto"/>
          <w:highlight w:val="none"/>
          <w:lang w:val="en-US" w:eastAsia="zh-CN"/>
        </w:rPr>
        <w:t>9.25</w:t>
      </w:r>
      <w:r>
        <w:rPr>
          <w:rFonts w:hint="default" w:ascii="Times New Roman" w:hAnsi="Times New Roman" w:cs="Times New Roman"/>
          <w:color w:val="auto"/>
          <w:highlight w:val="none"/>
        </w:rPr>
        <w:t>%。</w:t>
      </w:r>
    </w:p>
    <w:p w14:paraId="172D47BD">
      <w:pPr>
        <w:pStyle w:val="3"/>
        <w:rPr>
          <w:rFonts w:hint="default" w:ascii="Times New Roman" w:hAnsi="Times New Roman" w:cs="Times New Roman" w:eastAsiaTheme="minorEastAsia"/>
          <w:color w:val="auto"/>
          <w:highlight w:val="none"/>
        </w:rPr>
      </w:pPr>
      <w:bookmarkStart w:id="1005" w:name="_Toc12992"/>
      <w:bookmarkStart w:id="1006" w:name="_Toc107414675"/>
      <w:bookmarkStart w:id="1007" w:name="_Toc1610"/>
      <w:bookmarkStart w:id="1008" w:name="_Toc20963"/>
      <w:bookmarkStart w:id="1009" w:name="_Toc7764"/>
      <w:bookmarkStart w:id="1010" w:name="_Toc11263"/>
      <w:bookmarkStart w:id="1011" w:name="_Toc107413908"/>
      <w:r>
        <w:rPr>
          <w:rFonts w:hint="default" w:ascii="Times New Roman" w:hAnsi="Times New Roman" w:cs="Times New Roman" w:eastAsiaTheme="minorEastAsia"/>
          <w:color w:val="auto"/>
          <w:highlight w:val="none"/>
        </w:rPr>
        <w:t>7.4</w:t>
      </w:r>
      <w:bookmarkEnd w:id="917"/>
      <w:bookmarkEnd w:id="918"/>
      <w:bookmarkEnd w:id="919"/>
      <w:bookmarkEnd w:id="920"/>
      <w:bookmarkEnd w:id="921"/>
      <w:r>
        <w:rPr>
          <w:rFonts w:hint="default" w:ascii="Times New Roman" w:hAnsi="Times New Roman" w:cs="Times New Roman" w:eastAsiaTheme="minorEastAsia"/>
          <w:color w:val="auto"/>
          <w:highlight w:val="none"/>
        </w:rPr>
        <w:t>结论</w:t>
      </w:r>
      <w:bookmarkEnd w:id="922"/>
      <w:bookmarkEnd w:id="923"/>
      <w:bookmarkEnd w:id="1005"/>
      <w:bookmarkEnd w:id="1006"/>
      <w:bookmarkEnd w:id="1007"/>
      <w:bookmarkEnd w:id="1008"/>
      <w:bookmarkEnd w:id="1009"/>
      <w:bookmarkEnd w:id="1010"/>
      <w:bookmarkEnd w:id="1011"/>
    </w:p>
    <w:p w14:paraId="40255081">
      <w:pPr>
        <w:pStyle w:val="41"/>
        <w:overflowPunct w:val="0"/>
        <w:topLinePunct/>
        <w:spacing w:line="480" w:lineRule="atLeas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综上所述，本项目具有较好的经济效益和社会效益，同时也对环境产生负面影响较小。但一定要重视建设项目的环境保护工作，落实环境保护治理投资。尽管环保设施投资所产生的直接经济效益不明显，却获得了较好的环境效益和社会效益，其长期效益是显著的。</w:t>
      </w:r>
    </w:p>
    <w:p w14:paraId="2C2909A3">
      <w:pPr>
        <w:pStyle w:val="41"/>
        <w:overflowPunct w:val="0"/>
        <w:topLinePunct/>
        <w:spacing w:line="480" w:lineRule="atLeast"/>
        <w:ind w:firstLine="480"/>
        <w:rPr>
          <w:rFonts w:hint="default" w:ascii="Times New Roman" w:hAnsi="Times New Roman" w:cs="Times New Roman"/>
          <w:color w:val="auto"/>
          <w:szCs w:val="24"/>
          <w:highlight w:val="none"/>
        </w:rPr>
        <w:sectPr>
          <w:pgSz w:w="11906" w:h="16838"/>
          <w:pgMar w:top="1440" w:right="1800" w:bottom="1440" w:left="1800" w:header="851" w:footer="992" w:gutter="0"/>
          <w:cols w:space="425" w:num="1"/>
          <w:docGrid w:type="lines" w:linePitch="312" w:charSpace="0"/>
        </w:sectPr>
      </w:pPr>
    </w:p>
    <w:p w14:paraId="0911C3DA">
      <w:pPr>
        <w:pStyle w:val="2"/>
        <w:spacing w:line="720" w:lineRule="exact"/>
        <w:rPr>
          <w:rFonts w:hint="default" w:ascii="Times New Roman" w:hAnsi="Times New Roman" w:cs="Times New Roman"/>
          <w:color w:val="auto"/>
          <w:highlight w:val="none"/>
        </w:rPr>
      </w:pPr>
      <w:bookmarkStart w:id="1012" w:name="_Toc8512"/>
      <w:bookmarkStart w:id="1013" w:name="_Toc107413909"/>
      <w:bookmarkStart w:id="1014" w:name="_Toc25365"/>
      <w:bookmarkStart w:id="1015" w:name="_Toc32202"/>
      <w:bookmarkStart w:id="1016" w:name="_Toc10256"/>
      <w:bookmarkStart w:id="1017" w:name="_Toc107414676"/>
      <w:bookmarkStart w:id="1018" w:name="_Toc13918"/>
      <w:bookmarkStart w:id="1019" w:name="_Toc107414683"/>
      <w:bookmarkStart w:id="1020" w:name="_Toc107413916"/>
      <w:r>
        <w:rPr>
          <w:rFonts w:hint="default" w:ascii="Times New Roman" w:hAnsi="Times New Roman" w:cs="Times New Roman"/>
          <w:color w:val="auto"/>
          <w:highlight w:val="none"/>
        </w:rPr>
        <w:t>8环境管理与监测计划</w:t>
      </w:r>
      <w:bookmarkEnd w:id="1012"/>
      <w:bookmarkEnd w:id="1013"/>
      <w:bookmarkEnd w:id="1014"/>
      <w:bookmarkEnd w:id="1015"/>
      <w:bookmarkEnd w:id="1016"/>
      <w:bookmarkEnd w:id="1017"/>
      <w:bookmarkEnd w:id="1018"/>
    </w:p>
    <w:p w14:paraId="63FAB817">
      <w:pPr>
        <w:pStyle w:val="3"/>
        <w:rPr>
          <w:rFonts w:hint="default" w:ascii="Times New Roman" w:hAnsi="Times New Roman" w:cs="Times New Roman"/>
          <w:color w:val="auto"/>
          <w:highlight w:val="none"/>
        </w:rPr>
      </w:pPr>
      <w:bookmarkStart w:id="1021" w:name="_Toc31363"/>
      <w:bookmarkStart w:id="1022" w:name="_Toc15335"/>
      <w:bookmarkStart w:id="1023" w:name="_Toc107413910"/>
      <w:bookmarkStart w:id="1024" w:name="_Toc2909"/>
      <w:bookmarkStart w:id="1025" w:name="_Toc20113"/>
      <w:bookmarkStart w:id="1026" w:name="_Toc22224"/>
      <w:bookmarkStart w:id="1027" w:name="_Toc32236"/>
      <w:bookmarkStart w:id="1028" w:name="_Toc483589667"/>
      <w:bookmarkStart w:id="1029" w:name="_Toc21186"/>
      <w:bookmarkStart w:id="1030" w:name="_Toc107414677"/>
      <w:r>
        <w:rPr>
          <w:rFonts w:hint="default" w:ascii="Times New Roman" w:hAnsi="Times New Roman" w:cs="Times New Roman"/>
          <w:color w:val="auto"/>
          <w:highlight w:val="none"/>
        </w:rPr>
        <w:t>8.1建设项目环境管理</w:t>
      </w:r>
      <w:bookmarkEnd w:id="1021"/>
      <w:bookmarkEnd w:id="1022"/>
      <w:bookmarkEnd w:id="1023"/>
      <w:bookmarkEnd w:id="1024"/>
      <w:bookmarkEnd w:id="1025"/>
      <w:bookmarkEnd w:id="1026"/>
      <w:bookmarkEnd w:id="1027"/>
      <w:bookmarkEnd w:id="1028"/>
      <w:bookmarkEnd w:id="1029"/>
      <w:bookmarkEnd w:id="1030"/>
    </w:p>
    <w:p w14:paraId="2ADB031C">
      <w:pPr>
        <w:overflowPunct w:val="0"/>
        <w:topLinePunct/>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是现代企业管理制度的重要内容之一。通过实行全面、系统的环境管理使企业的各环境因素得到有效控制，更重要的是通过落实环境计划和环境政策对企业的环境状况进行调控，以达到改善环境绩效的目的。</w:t>
      </w:r>
    </w:p>
    <w:p w14:paraId="6D44B006">
      <w:pPr>
        <w:overflowPunct w:val="0"/>
        <w:topLinePunct/>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企业环境管理涉及的范围包括：企业发展规划的制定、基础设施建设、环境目标制定等各项环境管理、环境监督活动等。目前企业的环境管理比较薄弱，人员配置和管理制度还不完善，针对企业存在的主要环境问题，环境管理应包括以下具体内容：</w:t>
      </w:r>
    </w:p>
    <w:p w14:paraId="79382233">
      <w:pPr>
        <w:pStyle w:val="4"/>
        <w:rPr>
          <w:rFonts w:hint="default" w:ascii="Times New Roman" w:hAnsi="Times New Roman" w:cs="Times New Roman"/>
          <w:color w:val="auto"/>
          <w:highlight w:val="none"/>
        </w:rPr>
      </w:pPr>
      <w:bookmarkStart w:id="1031" w:name="_Toc1591"/>
      <w:bookmarkStart w:id="1032" w:name="_Toc28996"/>
      <w:bookmarkStart w:id="1033" w:name="_Toc6110"/>
      <w:bookmarkStart w:id="1034" w:name="_Toc14972"/>
      <w:r>
        <w:rPr>
          <w:rFonts w:hint="default" w:ascii="Times New Roman" w:hAnsi="Times New Roman" w:cs="Times New Roman"/>
          <w:color w:val="auto"/>
          <w:highlight w:val="none"/>
        </w:rPr>
        <w:t>8.1.1环境管理依据</w:t>
      </w:r>
      <w:bookmarkEnd w:id="1031"/>
      <w:bookmarkEnd w:id="1032"/>
      <w:bookmarkEnd w:id="1033"/>
      <w:bookmarkEnd w:id="1034"/>
    </w:p>
    <w:p w14:paraId="0EFB5897">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环境管理是运用计划、组织、协调、控制、监督等手段，为达到预期</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"http://baike.baidu.com/view/630548.htm"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环境目标</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而进行的一项综合性活动。根据《中华人民共和国</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"http://baike.baidu.com/view/9724.htm"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环境保护</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法》规定，</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"http://baike.baidu.com/view/17491.htm"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国务院</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环境保护行政主管部门对全国环境保护工作实施统一监督管理。</w:t>
      </w:r>
    </w:p>
    <w:p w14:paraId="2E97B924">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《中华人民共和国环境保护法》第四章对我国长期以来实行的行之有效的环境</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"http://baike.baidu.com/view/673434.htm"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管理制度</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进行了总结，并作出了11条规定。本次环境管理内容及制度均依据《中华人民共和国环境保护法》的规定严格</w:t>
      </w:r>
      <w:r>
        <w:rPr>
          <w:rFonts w:hint="default" w:cs="Times New Roman" w:eastAsiaTheme="minorEastAsia"/>
          <w:color w:val="auto"/>
          <w:szCs w:val="21"/>
          <w:highlight w:val="none"/>
          <w:lang w:eastAsia="zh-CN"/>
        </w:rPr>
        <w:t>制定</w:t>
      </w:r>
      <w:r>
        <w:rPr>
          <w:rFonts w:hint="default" w:ascii="Times New Roman" w:hAnsi="Times New Roman" w:cs="Times New Roman" w:eastAsiaTheme="minorEastAsia"/>
          <w:color w:val="auto"/>
          <w:szCs w:val="21"/>
          <w:highlight w:val="none"/>
        </w:rPr>
        <w:t>和执行。</w:t>
      </w:r>
    </w:p>
    <w:p w14:paraId="17B4AF11">
      <w:pPr>
        <w:pStyle w:val="4"/>
        <w:rPr>
          <w:rFonts w:hint="default" w:ascii="Times New Roman" w:hAnsi="Times New Roman" w:cs="Times New Roman"/>
          <w:color w:val="auto"/>
          <w:highlight w:val="none"/>
        </w:rPr>
      </w:pPr>
      <w:bookmarkStart w:id="1035" w:name="_Toc12770"/>
      <w:bookmarkStart w:id="1036" w:name="_Toc21330"/>
      <w:bookmarkStart w:id="1037" w:name="_Toc11179"/>
      <w:bookmarkStart w:id="1038" w:name="_Toc25378"/>
      <w:r>
        <w:rPr>
          <w:rFonts w:hint="default" w:ascii="Times New Roman" w:hAnsi="Times New Roman" w:cs="Times New Roman"/>
          <w:color w:val="auto"/>
          <w:highlight w:val="none"/>
        </w:rPr>
        <w:t>8.1.2环境管理的目的及任务</w:t>
      </w:r>
      <w:bookmarkEnd w:id="1035"/>
      <w:bookmarkEnd w:id="1036"/>
      <w:bookmarkEnd w:id="1037"/>
      <w:bookmarkEnd w:id="1038"/>
    </w:p>
    <w:p w14:paraId="3AF285A5">
      <w:pPr>
        <w:widowControl/>
        <w:overflowPunct w:val="0"/>
        <w:topLinePunct/>
        <w:ind w:firstLine="480"/>
        <w:jc w:val="left"/>
        <w:rPr>
          <w:rFonts w:hint="default" w:ascii="Times New Roman" w:hAnsi="Times New Roman" w:cs="Times New Roman"/>
          <w:color w:val="auto"/>
          <w:kern w:val="0"/>
          <w:szCs w:val="21"/>
          <w:highlight w:val="none"/>
        </w:rPr>
      </w:pPr>
      <w:bookmarkStart w:id="1039" w:name="_Toc99975509"/>
      <w:bookmarkStart w:id="1040" w:name="_Toc99950977"/>
      <w:bookmarkStart w:id="1041" w:name="_Toc153689586"/>
      <w:bookmarkStart w:id="1042" w:name="_Toc170970694"/>
      <w:bookmarkStart w:id="1043" w:name="_Toc179653310"/>
      <w:bookmarkStart w:id="1044" w:name="_Toc179522850"/>
      <w:bookmarkStart w:id="1045" w:name="_Toc180891809"/>
      <w:bookmarkStart w:id="1046" w:name="_Toc149680834"/>
      <w:bookmarkStart w:id="1047" w:name="_Toc172698697"/>
      <w:bookmarkStart w:id="1048" w:name="_Toc149680597"/>
      <w:bookmarkStart w:id="1049" w:name="_Toc164774412"/>
      <w:bookmarkStart w:id="1050" w:name="_Toc170869098"/>
      <w:bookmarkStart w:id="1051" w:name="_Toc168317239"/>
      <w:bookmarkStart w:id="1052" w:name="_Toc187800072"/>
      <w:bookmarkStart w:id="1053" w:name="_Toc245882805"/>
      <w:r>
        <w:rPr>
          <w:rFonts w:hint="default" w:ascii="Times New Roman" w:hAnsi="Times New Roman" w:cs="Times New Roman"/>
          <w:color w:val="auto"/>
          <w:kern w:val="0"/>
          <w:szCs w:val="21"/>
          <w:highlight w:val="none"/>
        </w:rPr>
        <w:t>1、环境管理的目的</w:t>
      </w:r>
    </w:p>
    <w:p w14:paraId="196F3FA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环境管理是环境保护工作的重要内容之一，是现代企业管理的重要组成部分，与企业内部生产管理、劳动管理、财务管理、安全管理同等重要。</w:t>
      </w:r>
      <w:bookmarkEnd w:id="1039"/>
      <w:bookmarkEnd w:id="1040"/>
    </w:p>
    <w:p w14:paraId="2D56B8DA">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随着国家环境管理力度的加强，环保法律、法规的完善及全民环境意识的增强，对企业环境保护工作要求也不断提高，这就</w:t>
      </w:r>
      <w:r>
        <w:rPr>
          <w:rFonts w:hint="default" w:cs="Times New Roman"/>
          <w:color w:val="auto"/>
          <w:kern w:val="0"/>
          <w:szCs w:val="21"/>
          <w:highlight w:val="none"/>
          <w:lang w:eastAsia="zh-CN"/>
        </w:rPr>
        <w:t>要求</w:t>
      </w:r>
      <w:r>
        <w:rPr>
          <w:rFonts w:hint="default" w:ascii="Times New Roman" w:hAnsi="Times New Roman" w:cs="Times New Roman"/>
          <w:color w:val="auto"/>
          <w:kern w:val="0"/>
          <w:szCs w:val="21"/>
          <w:highlight w:val="none"/>
        </w:rPr>
        <w:t>企业要加强自身环境管理机构建设，健全环境管理制度，制定环境管理职责，并将其列入企业议事日程，对企业内部生产、经营过程中发生或可能发生的环境问题进行深入细致</w:t>
      </w:r>
      <w:r>
        <w:rPr>
          <w:rFonts w:hint="default" w:cs="Times New Roman"/>
          <w:color w:val="auto"/>
          <w:kern w:val="0"/>
          <w:szCs w:val="21"/>
          <w:highlight w:val="none"/>
          <w:lang w:eastAsia="zh-CN"/>
        </w:rPr>
        <w:t>地</w:t>
      </w:r>
      <w:r>
        <w:rPr>
          <w:rFonts w:hint="default" w:ascii="Times New Roman" w:hAnsi="Times New Roman" w:cs="Times New Roman"/>
          <w:color w:val="auto"/>
          <w:kern w:val="0"/>
          <w:szCs w:val="21"/>
          <w:highlight w:val="none"/>
        </w:rPr>
        <w:t>研究，制定合理污染防治方案以达到既发展生产，增加经济效益，又保护环境的目的。</w:t>
      </w:r>
      <w:bookmarkStart w:id="1054" w:name="_Toc21951"/>
      <w:bookmarkStart w:id="1055" w:name="_Toc12054"/>
    </w:p>
    <w:p w14:paraId="77B03925">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2、环境管理的任务</w:t>
      </w:r>
    </w:p>
    <w:p w14:paraId="3BB83669">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对于项目来说，环境管理的基本任务是：控制污染物排放量，避免污染物对环境质量的损害。</w:t>
      </w:r>
    </w:p>
    <w:p w14:paraId="7688EECE">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为了控制污染物的排放，就需要加强计划、生产、技术、质量、设备、劳动、财务等方面的管理，把环境管理渗透到整个企业管理中，将环境管理融合在一起，以减少从生产过程中各环节排出的污染物。</w:t>
      </w:r>
    </w:p>
    <w:p w14:paraId="05A79DD9">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项目应该将环境管理作为工业企业管理的重要组成部分，建立环境污染管理系统、制度、环境规划、协调发展生</w:t>
      </w:r>
      <w:r>
        <w:rPr>
          <w:rFonts w:hint="default" w:cs="Times New Roman"/>
          <w:color w:val="auto"/>
          <w:kern w:val="0"/>
          <w:szCs w:val="21"/>
          <w:highlight w:val="none"/>
          <w:lang w:eastAsia="zh-CN"/>
        </w:rPr>
        <w:t>产和</w:t>
      </w:r>
      <w:r>
        <w:rPr>
          <w:rFonts w:hint="default" w:ascii="Times New Roman" w:hAnsi="Times New Roman" w:cs="Times New Roman"/>
          <w:color w:val="auto"/>
          <w:kern w:val="0"/>
          <w:szCs w:val="21"/>
          <w:highlight w:val="none"/>
        </w:rPr>
        <w:t>保护环境的关系，使生产管理系统、制度、环境污染规划协调生产与保护环境的关系，使生产目标与环境目标统一起来，经济效益与环境效益统一起来。</w:t>
      </w:r>
    </w:p>
    <w:p w14:paraId="2F4C0BD8">
      <w:pPr>
        <w:pStyle w:val="4"/>
        <w:rPr>
          <w:rFonts w:hint="default" w:ascii="Times New Roman" w:hAnsi="Times New Roman" w:cs="Times New Roman"/>
          <w:color w:val="auto"/>
          <w:highlight w:val="none"/>
        </w:rPr>
      </w:pPr>
      <w:bookmarkStart w:id="1056" w:name="_Toc13368"/>
      <w:bookmarkStart w:id="1057" w:name="_Toc25678"/>
      <w:bookmarkStart w:id="1058" w:name="_Toc2616"/>
      <w:bookmarkStart w:id="1059" w:name="_Toc21074"/>
      <w:r>
        <w:rPr>
          <w:rFonts w:hint="default" w:ascii="Times New Roman" w:hAnsi="Times New Roman" w:cs="Times New Roman"/>
          <w:color w:val="auto"/>
          <w:highlight w:val="none"/>
        </w:rPr>
        <w:t>8.1.3环境管理机构</w:t>
      </w:r>
      <w:bookmarkEnd w:id="1054"/>
      <w:bookmarkEnd w:id="1055"/>
      <w:bookmarkEnd w:id="1056"/>
      <w:bookmarkEnd w:id="1057"/>
      <w:bookmarkEnd w:id="1058"/>
      <w:bookmarkEnd w:id="1059"/>
    </w:p>
    <w:p w14:paraId="0AEC7AA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应成立“事故防范和应急处理指挥小组”和“环保工作领导小组”，由2～3名专职管理人员组成，负责项目环保管理工作和处理环保日常事务。公司生产组织采用董事会领导下的总经理负责制，在总经理的领导下实行三级管理：一级为公司主管领导；二级为安全环保处、技术科室和环卫办；三级为各生产环节专、兼职环保人员。</w:t>
      </w:r>
    </w:p>
    <w:p w14:paraId="4D4B8906">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环境管理机构的职责：</w:t>
      </w:r>
    </w:p>
    <w:p w14:paraId="121ACBE9">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（1）贯彻执行环境污染保护法和标准；</w:t>
      </w:r>
    </w:p>
    <w:p w14:paraId="7E891E55">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（2）组织制定和修改企业的环境污染保护管理体</w:t>
      </w:r>
      <w:r>
        <w:rPr>
          <w:rFonts w:hint="default" w:cs="Times New Roman"/>
          <w:color w:val="auto"/>
          <w:kern w:val="0"/>
          <w:szCs w:val="21"/>
          <w:highlight w:val="none"/>
          <w:lang w:eastAsia="zh-CN"/>
        </w:rPr>
        <w:t>制和</w:t>
      </w:r>
      <w:r>
        <w:rPr>
          <w:rFonts w:hint="default" w:ascii="Times New Roman" w:hAnsi="Times New Roman" w:cs="Times New Roman"/>
          <w:color w:val="auto"/>
          <w:kern w:val="0"/>
          <w:szCs w:val="21"/>
          <w:highlight w:val="none"/>
        </w:rPr>
        <w:t>规章制度，并监督执行；</w:t>
      </w:r>
    </w:p>
    <w:p w14:paraId="5672B645">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（3）制定并组织实施环境保护规划和标准；</w:t>
      </w:r>
    </w:p>
    <w:p w14:paraId="567E081C">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（4）检查企业环境保护规划和计划；</w:t>
      </w:r>
    </w:p>
    <w:p w14:paraId="6A343723">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（5）建立资料库，管理污染源监测数据及资料的收集与存档；</w:t>
      </w:r>
    </w:p>
    <w:p w14:paraId="5CBAD06F">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（6）加强安全生产教育，制定定期维修机器设备制度；</w:t>
      </w:r>
    </w:p>
    <w:p w14:paraId="694EC8F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（7）监督“三同时”的执行情况，尤其重视污染处理措施的运行效果。</w:t>
      </w:r>
    </w:p>
    <w:p w14:paraId="04D157EE">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（8）监督检查环保处理设施和环保设备的运行情况；</w:t>
      </w:r>
    </w:p>
    <w:p w14:paraId="22F5956F">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（9）负责企业生产过程中发生的各种环境污染事故的调查及应急处理；</w:t>
      </w:r>
    </w:p>
    <w:p w14:paraId="2E3C285C">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（10）负责企业其他日常环境管理工作。</w:t>
      </w:r>
    </w:p>
    <w:p w14:paraId="2E8F01D0">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（11）积极配合当地</w:t>
      </w:r>
      <w:r>
        <w:rPr>
          <w:rFonts w:hint="default" w:ascii="Times New Roman" w:hAnsi="Times New Roman" w:cs="Times New Roman"/>
          <w:color w:val="auto"/>
          <w:szCs w:val="21"/>
          <w:highlight w:val="none"/>
        </w:rPr>
        <w:t>生态环境主管部门</w:t>
      </w:r>
      <w:r>
        <w:rPr>
          <w:rFonts w:hint="default" w:ascii="Times New Roman" w:hAnsi="Times New Roman" w:cs="Times New Roman"/>
          <w:color w:val="auto"/>
          <w:kern w:val="0"/>
          <w:szCs w:val="21"/>
          <w:highlight w:val="none"/>
        </w:rPr>
        <w:t>的环境管理和环境监测工作。</w:t>
      </w:r>
    </w:p>
    <w:p w14:paraId="6BA23585">
      <w:pPr>
        <w:pStyle w:val="4"/>
        <w:rPr>
          <w:rFonts w:hint="default" w:ascii="Times New Roman" w:hAnsi="Times New Roman" w:cs="Times New Roman"/>
          <w:color w:val="auto"/>
          <w:highlight w:val="none"/>
        </w:rPr>
      </w:pPr>
      <w:bookmarkStart w:id="1060" w:name="_Toc9743"/>
      <w:bookmarkStart w:id="1061" w:name="_Toc1073"/>
      <w:bookmarkStart w:id="1062" w:name="_Toc26018"/>
      <w:bookmarkStart w:id="1063" w:name="_Toc22883"/>
      <w:r>
        <w:rPr>
          <w:rFonts w:hint="default" w:ascii="Times New Roman" w:hAnsi="Times New Roman" w:cs="Times New Roman"/>
          <w:color w:val="auto"/>
          <w:highlight w:val="none"/>
        </w:rPr>
        <w:t>8.1.4环境管理内容</w:t>
      </w:r>
      <w:bookmarkEnd w:id="1060"/>
      <w:bookmarkEnd w:id="1061"/>
      <w:bookmarkEnd w:id="1062"/>
      <w:bookmarkEnd w:id="1063"/>
    </w:p>
    <w:p w14:paraId="776FF95B">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1、施工期环境管理内容</w:t>
      </w:r>
    </w:p>
    <w:p w14:paraId="68C27EB4">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（1）</w:t>
      </w:r>
      <w:r>
        <w:rPr>
          <w:rFonts w:hint="default" w:cs="Times New Roman"/>
          <w:snapToGrid w:val="0"/>
          <w:color w:val="auto"/>
          <w:highlight w:val="none"/>
          <w:lang w:eastAsia="zh-CN"/>
        </w:rPr>
        <w:t>新疆江诣矿业有限公司</w:t>
      </w:r>
      <w:r>
        <w:rPr>
          <w:rFonts w:hint="default" w:ascii="Times New Roman" w:hAnsi="Times New Roman" w:cs="Times New Roman"/>
          <w:snapToGrid w:val="0"/>
          <w:color w:val="auto"/>
          <w:highlight w:val="none"/>
        </w:rPr>
        <w:t>应与拟建项目的施工单位协商，将施工期环境保护责任纳入双方合同文本，要求施工单位认真落实施工的环境保护措施。</w:t>
      </w:r>
    </w:p>
    <w:p w14:paraId="6B24217D">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2）项目建设区生态环境较为脆弱，施工单位严格按照环评报告书及批复要求优化施工方案，优化施工道路建设方案，尽最大可能地减少地表扰动面积。施工车辆严格遵守“施工道路行驶”原则，杜绝在草场地带随意行驶，肆意碾压。</w:t>
      </w:r>
    </w:p>
    <w:p w14:paraId="277C969D">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（3）施工单位应配备专职环境管理人员，负责各类污染源的现场监控和管理，尤其是应严格控制高噪声、高振动施工设备的施工时间；严格限制粉状物料的露天堆放；严格控制进出施工场地车辆物料遗撒。</w:t>
      </w:r>
    </w:p>
    <w:p w14:paraId="54C2055E">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（4）专职环境管理人员应做好文明施工的宣传工作，借助黑板报、宣传栏等工具对施工工人进行环境保护教育。</w:t>
      </w:r>
    </w:p>
    <w:p w14:paraId="6DDB8C39">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（5）拟建工程施工单位应自觉接受</w:t>
      </w:r>
      <w:r>
        <w:rPr>
          <w:rFonts w:hint="default" w:ascii="Times New Roman" w:hAnsi="Times New Roman" w:cs="Times New Roman"/>
          <w:color w:val="auto"/>
          <w:szCs w:val="21"/>
          <w:highlight w:val="none"/>
        </w:rPr>
        <w:t>生态环境主管部门</w:t>
      </w:r>
      <w:r>
        <w:rPr>
          <w:rFonts w:hint="default" w:ascii="Times New Roman" w:hAnsi="Times New Roman" w:cs="Times New Roman"/>
          <w:snapToGrid w:val="0"/>
          <w:color w:val="auto"/>
          <w:highlight w:val="none"/>
        </w:rPr>
        <w:t>的监督指导，主动配合环境保护主管部门搞好项目施工期的环境保护工作。</w:t>
      </w:r>
    </w:p>
    <w:p w14:paraId="4B07DA23">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（6）建设单位应按有关施工招标程序设置环境监理，并在当地</w:t>
      </w:r>
      <w:r>
        <w:rPr>
          <w:rFonts w:hint="default" w:ascii="Times New Roman" w:hAnsi="Times New Roman" w:cs="Times New Roman"/>
          <w:color w:val="auto"/>
          <w:szCs w:val="21"/>
          <w:highlight w:val="none"/>
        </w:rPr>
        <w:t>生态环境主管部门</w:t>
      </w:r>
      <w:r>
        <w:rPr>
          <w:rFonts w:hint="default" w:ascii="Times New Roman" w:hAnsi="Times New Roman" w:cs="Times New Roman"/>
          <w:snapToGrid w:val="0"/>
          <w:color w:val="auto"/>
          <w:highlight w:val="none"/>
        </w:rPr>
        <w:t>的监督指导下，全面、规范地进行施工期的环境监理，以确保将施工期的生态环境影响降到最低。</w:t>
      </w:r>
    </w:p>
    <w:p w14:paraId="3753DDB0">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2、运营期环境管理内容</w:t>
      </w:r>
    </w:p>
    <w:p w14:paraId="5E0E56CC">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（1）公司领导管理内容</w:t>
      </w:r>
    </w:p>
    <w:p w14:paraId="42ED728F">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①负责贯彻国家环境保护法、环境保护方针和政策。</w:t>
      </w:r>
    </w:p>
    <w:p w14:paraId="63AD3378">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②负责建立完整的环保机构，保证人员的落实。</w:t>
      </w:r>
    </w:p>
    <w:p w14:paraId="77AA5D7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（2）安全环保处管理内容</w:t>
      </w:r>
    </w:p>
    <w:p w14:paraId="4187FAF6">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①贯彻公司或上级</w:t>
      </w:r>
      <w:r>
        <w:rPr>
          <w:rFonts w:hint="default" w:ascii="Times New Roman" w:hAnsi="Times New Roman" w:cs="Times New Roman"/>
          <w:color w:val="auto"/>
          <w:szCs w:val="21"/>
          <w:highlight w:val="none"/>
        </w:rPr>
        <w:t>生态环境主管部门</w:t>
      </w:r>
      <w:r>
        <w:rPr>
          <w:rFonts w:hint="default" w:ascii="Times New Roman" w:hAnsi="Times New Roman" w:cs="Times New Roman"/>
          <w:snapToGrid w:val="0"/>
          <w:color w:val="auto"/>
          <w:kern w:val="24"/>
          <w:highlight w:val="none"/>
        </w:rPr>
        <w:t>有关的环保制度和规定。</w:t>
      </w:r>
    </w:p>
    <w:p w14:paraId="39A27BEC">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②汇总、编报环保年度计划及规划，并监督、检查执行情况。</w:t>
      </w:r>
    </w:p>
    <w:p w14:paraId="71EADE9A">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③制定环境质量控制指标，提出环保考核项目和经济承包有关奖罚规定。</w:t>
      </w:r>
    </w:p>
    <w:p w14:paraId="42D4CD4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④参与污染事故调查，并向上级主管部门提出书面报告。</w:t>
      </w:r>
    </w:p>
    <w:p w14:paraId="2A0EC5A7">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⑤对污染源进行监督管理，贯彻预防为主的方针，发现问题，及时向上级主管部门汇报，下达环保整改通知书，强化管理。</w:t>
      </w:r>
    </w:p>
    <w:p w14:paraId="5F94A36D">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⑥对环境保护的先进经验、先进技术进行推广和应用。</w:t>
      </w:r>
    </w:p>
    <w:p w14:paraId="4711A40B">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⑦对环境监测技术资料进行整理、统计、上报和存档。</w:t>
      </w:r>
    </w:p>
    <w:p w14:paraId="0411C1E4">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⑧监督公司内环保设备的日常运行情况，包括收尘设备、噪声控制设备等，每月考核一次设备的运行情况，并负责对环保设备大、中修的质量验收。</w:t>
      </w:r>
    </w:p>
    <w:p w14:paraId="0C8C170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（3）环卫办管理内容</w:t>
      </w:r>
    </w:p>
    <w:p w14:paraId="589C0285">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①在公司领导下，做好生产区、办公区及其所属道路的绿化、美化工作。</w:t>
      </w:r>
    </w:p>
    <w:p w14:paraId="4F6A275E">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②组织安排职工参加植树、种草等绿化及生态恢复工作。</w:t>
      </w:r>
    </w:p>
    <w:p w14:paraId="5280E831">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③按“门前三包卫生责任制”，检查、督促各车间、处室做好卫生、绿化工作。</w:t>
      </w:r>
    </w:p>
    <w:p w14:paraId="40A814D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④组织做好垃圾的定点堆放和清运工作。</w:t>
      </w:r>
    </w:p>
    <w:p w14:paraId="5F7E7985">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⑤保证清洁人员按指定地段每日将道路清扫干净，控制路面扬尘、减少无组织排放。</w:t>
      </w:r>
    </w:p>
    <w:p w14:paraId="14FCC4EF">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（4）车间环保员管理内容</w:t>
      </w:r>
    </w:p>
    <w:p w14:paraId="191398DA">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①各处、室、车间主管生产的领导及环保监督员，负责本单位环境保护工作。</w:t>
      </w:r>
    </w:p>
    <w:p w14:paraId="6CE7FEFF">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②按公司管理部门统一部署，提出本单位环保治理项目计划，报安全环保处及各职能部门。</w:t>
      </w:r>
    </w:p>
    <w:p w14:paraId="1BEC06FC">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③负责本单位环保设施使用、管理和检查，保证环保设施处于最佳状态。每半月车间主管环保的领导和环保员最少应对所辖范围内的环保设备工作情况进行一次巡回检查。</w:t>
      </w:r>
    </w:p>
    <w:p w14:paraId="0EBA1690">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④负责本单位各生产岗位文明生产的严格管理，为员工创造良好的工作、劳动环境。</w:t>
      </w:r>
    </w:p>
    <w:p w14:paraId="1F01B6D0">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⑤参加公司环保会议和污染事故调查，并提出本单位出现的污染事故报告。</w:t>
      </w:r>
    </w:p>
    <w:p w14:paraId="0875B2EA">
      <w:pPr>
        <w:overflowPunct w:val="0"/>
        <w:topLinePunct/>
        <w:ind w:firstLine="480"/>
        <w:jc w:val="left"/>
        <w:rPr>
          <w:rFonts w:hint="default" w:ascii="Times New Roman" w:hAnsi="Times New Roman" w:cs="Times New Roman" w:eastAsiaTheme="minorEastAsia"/>
          <w:color w:val="auto"/>
          <w:szCs w:val="21"/>
          <w:highlight w:val="none"/>
        </w:rPr>
      </w:pPr>
      <w:bookmarkStart w:id="1064" w:name="_Toc321501717"/>
      <w:bookmarkStart w:id="1065" w:name="_Toc19637"/>
      <w:bookmarkStart w:id="1066" w:name="_Toc8987"/>
      <w:r>
        <w:rPr>
          <w:rFonts w:hint="default" w:ascii="Times New Roman" w:hAnsi="Times New Roman" w:cs="Times New Roman" w:eastAsiaTheme="minorEastAsia"/>
          <w:color w:val="auto"/>
          <w:szCs w:val="21"/>
          <w:highlight w:val="none"/>
        </w:rPr>
        <w:t>3、退役期环境管理内容</w:t>
      </w:r>
    </w:p>
    <w:p w14:paraId="4F01A02E">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退役期各管理机构主要的管理内容是监督生态恢复工作的落实，选厂、尾矿库必须按照矿山安全、地质恢复、环境保护工作的有关规定拆除无用的地面建筑物，将破坏的地表推平，对受破坏的地表恢复原貌等工作。</w:t>
      </w:r>
    </w:p>
    <w:p w14:paraId="697AE860">
      <w:pPr>
        <w:pStyle w:val="4"/>
        <w:rPr>
          <w:rFonts w:hint="default" w:ascii="Times New Roman" w:hAnsi="Times New Roman" w:cs="Times New Roman"/>
          <w:color w:val="auto"/>
          <w:highlight w:val="none"/>
        </w:rPr>
      </w:pPr>
      <w:bookmarkStart w:id="1067" w:name="_Toc3798"/>
      <w:bookmarkStart w:id="1068" w:name="_Toc4499"/>
      <w:bookmarkStart w:id="1069" w:name="_Toc23561"/>
      <w:bookmarkStart w:id="1070" w:name="_Toc3930"/>
      <w:r>
        <w:rPr>
          <w:rFonts w:hint="default" w:ascii="Times New Roman" w:hAnsi="Times New Roman" w:cs="Times New Roman"/>
          <w:color w:val="auto"/>
          <w:highlight w:val="none"/>
        </w:rPr>
        <w:t>8.1.5环境管理</w:t>
      </w:r>
      <w:bookmarkEnd w:id="1041"/>
      <w:bookmarkEnd w:id="1042"/>
      <w:bookmarkEnd w:id="1043"/>
      <w:bookmarkEnd w:id="1044"/>
      <w:bookmarkEnd w:id="1045"/>
      <w:bookmarkEnd w:id="1046"/>
      <w:bookmarkEnd w:id="1047"/>
      <w:bookmarkEnd w:id="1048"/>
      <w:bookmarkEnd w:id="1049"/>
      <w:bookmarkEnd w:id="1050"/>
      <w:bookmarkEnd w:id="1051"/>
      <w:r>
        <w:rPr>
          <w:rFonts w:hint="default" w:ascii="Times New Roman" w:hAnsi="Times New Roman" w:cs="Times New Roman"/>
          <w:color w:val="auto"/>
          <w:highlight w:val="none"/>
        </w:rPr>
        <w:t>制度</w:t>
      </w:r>
      <w:bookmarkEnd w:id="1052"/>
      <w:bookmarkEnd w:id="1053"/>
      <w:bookmarkEnd w:id="1064"/>
      <w:bookmarkEnd w:id="1065"/>
      <w:bookmarkEnd w:id="1066"/>
      <w:bookmarkEnd w:id="1067"/>
      <w:bookmarkEnd w:id="1068"/>
      <w:bookmarkEnd w:id="1069"/>
      <w:bookmarkEnd w:id="1070"/>
    </w:p>
    <w:p w14:paraId="78773373">
      <w:pPr>
        <w:widowControl/>
        <w:overflowPunct w:val="0"/>
        <w:topLinePunct/>
        <w:ind w:firstLine="480"/>
        <w:jc w:val="left"/>
        <w:rPr>
          <w:rFonts w:hint="default" w:ascii="Times New Roman" w:hAnsi="Times New Roman" w:cs="Times New Roman"/>
          <w:color w:val="auto"/>
          <w:kern w:val="0"/>
          <w:szCs w:val="21"/>
          <w:highlight w:val="none"/>
        </w:rPr>
      </w:pPr>
      <w:bookmarkStart w:id="1071" w:name="_Toc164774413"/>
      <w:bookmarkStart w:id="1072" w:name="_Toc168317240"/>
      <w:bookmarkStart w:id="1073" w:name="_Toc149680598"/>
      <w:bookmarkStart w:id="1074" w:name="_Toc153689587"/>
      <w:bookmarkStart w:id="1075" w:name="_Toc149680835"/>
      <w:bookmarkStart w:id="1076" w:name="_Toc172698698"/>
      <w:bookmarkStart w:id="1077" w:name="_Toc179653311"/>
      <w:bookmarkStart w:id="1078" w:name="_Toc170970695"/>
      <w:bookmarkStart w:id="1079" w:name="_Toc180891810"/>
      <w:bookmarkStart w:id="1080" w:name="_Toc179522851"/>
      <w:bookmarkStart w:id="1081" w:name="_Toc170869099"/>
      <w:r>
        <w:rPr>
          <w:rFonts w:hint="default" w:ascii="Times New Roman" w:hAnsi="Times New Roman" w:cs="Times New Roman"/>
          <w:color w:val="auto"/>
          <w:kern w:val="0"/>
          <w:szCs w:val="21"/>
          <w:highlight w:val="none"/>
        </w:rPr>
        <w:t>建立健全必要的环境管理规章制度，并把它作为企业领导和全体职工必须严格遵守的一种规范和准则，“有规可循，执规必严”是环境管理计划得以顺利实施的重要保证。各项规章制度要体现环境管理的任务、内容和准则，使环境管理的特点和要求渗透到企业的各项管理工作之中。</w:t>
      </w:r>
    </w:p>
    <w:p w14:paraId="7F2851E5">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最基本的环境管理制度有如下几个方面：</w:t>
      </w:r>
    </w:p>
    <w:p w14:paraId="23AFDCD6">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（1）环境保护</w:t>
      </w:r>
      <w:r>
        <w:rPr>
          <w:rFonts w:hint="default" w:cs="Times New Roman"/>
          <w:color w:val="auto"/>
          <w:kern w:val="0"/>
          <w:szCs w:val="21"/>
          <w:highlight w:val="none"/>
          <w:lang w:eastAsia="zh-CN"/>
        </w:rPr>
        <w:t>管理条例</w:t>
      </w:r>
      <w:r>
        <w:rPr>
          <w:rFonts w:hint="default" w:ascii="Times New Roman" w:hAnsi="Times New Roman" w:cs="Times New Roman"/>
          <w:color w:val="auto"/>
          <w:kern w:val="0"/>
          <w:szCs w:val="21"/>
          <w:highlight w:val="none"/>
        </w:rPr>
        <w:t>；</w:t>
      </w:r>
    </w:p>
    <w:p w14:paraId="0E602F4D">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（2）环境质量管理规程；</w:t>
      </w:r>
    </w:p>
    <w:p w14:paraId="662FDC5F">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（3）环境管理的经济责任制；</w:t>
      </w:r>
    </w:p>
    <w:p w14:paraId="532A60FC">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（4）环境保护业务管理制度；</w:t>
      </w:r>
    </w:p>
    <w:p w14:paraId="3AD75ABA">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（5）环境管理岗位责任制；</w:t>
      </w:r>
    </w:p>
    <w:p w14:paraId="43282DEE">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（6）环境技术管理规程；</w:t>
      </w:r>
    </w:p>
    <w:p w14:paraId="4B96FEAF">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（7）环境保护考核制度；</w:t>
      </w:r>
    </w:p>
    <w:p w14:paraId="66BC3D38">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（8）污染物防治、控制措施及达标排放实施办法；</w:t>
      </w:r>
    </w:p>
    <w:p w14:paraId="0541F3FF">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（9）环境污染事故管理规定；</w:t>
      </w:r>
    </w:p>
    <w:p w14:paraId="64A78DBF">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（10）清洁生产审计制度。</w:t>
      </w:r>
    </w:p>
    <w:p w14:paraId="2BD39703">
      <w:pPr>
        <w:pStyle w:val="4"/>
        <w:rPr>
          <w:rFonts w:hint="default" w:ascii="Times New Roman" w:hAnsi="Times New Roman" w:cs="Times New Roman"/>
          <w:color w:val="auto"/>
          <w:highlight w:val="none"/>
        </w:rPr>
      </w:pPr>
      <w:bookmarkStart w:id="1082" w:name="_Toc26322"/>
      <w:bookmarkStart w:id="1083" w:name="_Toc26711"/>
      <w:bookmarkStart w:id="1084" w:name="_Toc27111"/>
      <w:bookmarkStart w:id="1085" w:name="_Toc762"/>
      <w:r>
        <w:rPr>
          <w:rFonts w:hint="default" w:ascii="Times New Roman" w:hAnsi="Times New Roman" w:cs="Times New Roman"/>
          <w:color w:val="auto"/>
          <w:highlight w:val="none"/>
        </w:rPr>
        <w:t>8.1.6排污口规范化</w:t>
      </w:r>
      <w:bookmarkEnd w:id="1082"/>
      <w:bookmarkEnd w:id="1083"/>
      <w:bookmarkEnd w:id="1084"/>
      <w:bookmarkEnd w:id="1085"/>
    </w:p>
    <w:p w14:paraId="768C32C3">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排污口是企业污染物进入环境、污染环境的通道，强化排污口的管理是实施污染物总量控制的基础工作之一，也是区域环境管理逐步实现污染物排放科学化、定量化的重要手段。具体管理原则如下：</w:t>
      </w:r>
    </w:p>
    <w:p w14:paraId="68AB63AB">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（1）向环境排放的污染物的排放口必须规范化；</w:t>
      </w:r>
    </w:p>
    <w:p w14:paraId="3CF9A9EC">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（2）排污口应便于采样与计量监测，便于日常现场监督检查；</w:t>
      </w:r>
    </w:p>
    <w:p w14:paraId="769829A4">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（3）如实向环保管理部门申报排污口数量、位置及所排放的主要污染物种类、数量、浓度、排放去向等情况；</w:t>
      </w:r>
    </w:p>
    <w:p w14:paraId="0D05944C">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（4）废气排气装置应设置便于采样、监测的采样孔和采样平台，设置应符合《污染源监测技术规范》；</w:t>
      </w:r>
    </w:p>
    <w:p w14:paraId="4CC1B6DF">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（5）固体废物堆存场地要有防扬散、防流失措施。</w:t>
      </w:r>
    </w:p>
    <w:p w14:paraId="7AB2994E">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环境保护图形标志具体设置图形见表8.1-1。</w:t>
      </w:r>
    </w:p>
    <w:p w14:paraId="76F58A7C">
      <w:pPr>
        <w:widowControl/>
        <w:ind w:firstLine="0" w:firstLineChars="0"/>
        <w:jc w:val="center"/>
        <w:rPr>
          <w:rFonts w:hint="default" w:ascii="Times New Roman" w:hAnsi="Times New Roman" w:cs="Times New Roman"/>
          <w:b/>
          <w:color w:val="auto"/>
          <w:kern w:val="0"/>
          <w:szCs w:val="21"/>
          <w:highlight w:val="none"/>
        </w:rPr>
      </w:pPr>
    </w:p>
    <w:p w14:paraId="54F8C38E">
      <w:pPr>
        <w:widowControl/>
        <w:ind w:firstLine="0" w:firstLineChars="0"/>
        <w:jc w:val="center"/>
        <w:rPr>
          <w:rFonts w:hint="default" w:ascii="Times New Roman" w:hAnsi="Times New Roman" w:cs="Times New Roman"/>
          <w:b/>
          <w:color w:val="auto"/>
          <w:kern w:val="0"/>
          <w:szCs w:val="21"/>
          <w:highlight w:val="none"/>
        </w:rPr>
      </w:pPr>
    </w:p>
    <w:p w14:paraId="73CA440B">
      <w:pPr>
        <w:widowControl/>
        <w:ind w:firstLine="0" w:firstLineChars="0"/>
        <w:jc w:val="center"/>
        <w:rPr>
          <w:rFonts w:hint="default" w:ascii="Times New Roman" w:hAnsi="Times New Roman" w:cs="Times New Roman"/>
          <w:b/>
          <w:color w:val="auto"/>
          <w:kern w:val="0"/>
          <w:szCs w:val="21"/>
          <w:highlight w:val="none"/>
        </w:rPr>
      </w:pPr>
    </w:p>
    <w:p w14:paraId="5C3CF76F">
      <w:pPr>
        <w:widowControl/>
        <w:ind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表8.1-1    环境保护图形标志设置图形表</w:t>
      </w:r>
    </w:p>
    <w:tbl>
      <w:tblPr>
        <w:tblStyle w:val="33"/>
        <w:tblW w:w="84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8"/>
        <w:gridCol w:w="1786"/>
        <w:gridCol w:w="1649"/>
        <w:gridCol w:w="1711"/>
        <w:gridCol w:w="1787"/>
      </w:tblGrid>
      <w:tr w14:paraId="44C8E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8" w:type="dxa"/>
            <w:vAlign w:val="center"/>
          </w:tcPr>
          <w:p w14:paraId="16FC0C4D">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排放口</w:t>
            </w:r>
          </w:p>
        </w:tc>
        <w:tc>
          <w:tcPr>
            <w:tcW w:w="1786" w:type="dxa"/>
            <w:vAlign w:val="center"/>
          </w:tcPr>
          <w:p w14:paraId="3DD96CF2">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废水排口</w:t>
            </w:r>
          </w:p>
        </w:tc>
        <w:tc>
          <w:tcPr>
            <w:tcW w:w="1649" w:type="dxa"/>
            <w:vAlign w:val="center"/>
          </w:tcPr>
          <w:p w14:paraId="19FC6EA1">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废气排口</w:t>
            </w:r>
          </w:p>
        </w:tc>
        <w:tc>
          <w:tcPr>
            <w:tcW w:w="1711" w:type="dxa"/>
            <w:vAlign w:val="center"/>
          </w:tcPr>
          <w:p w14:paraId="3A6E064E">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固废堆场</w:t>
            </w:r>
          </w:p>
        </w:tc>
        <w:tc>
          <w:tcPr>
            <w:tcW w:w="1787" w:type="dxa"/>
            <w:vAlign w:val="center"/>
          </w:tcPr>
          <w:p w14:paraId="1F702EEA">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噪声源</w:t>
            </w:r>
          </w:p>
        </w:tc>
      </w:tr>
      <w:tr w14:paraId="13D5D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2" w:hRule="atLeast"/>
          <w:jc w:val="center"/>
        </w:trPr>
        <w:tc>
          <w:tcPr>
            <w:tcW w:w="1478" w:type="dxa"/>
            <w:vAlign w:val="center"/>
          </w:tcPr>
          <w:p w14:paraId="7B1F7E63">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图形符号</w:t>
            </w:r>
          </w:p>
        </w:tc>
        <w:tc>
          <w:tcPr>
            <w:tcW w:w="1786" w:type="dxa"/>
            <w:vAlign w:val="center"/>
          </w:tcPr>
          <w:p w14:paraId="03DF5FFB">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734016" behindDoc="0" locked="0" layoutInCell="1" allowOverlap="1">
                  <wp:simplePos x="0" y="0"/>
                  <wp:positionH relativeFrom="column">
                    <wp:posOffset>15875</wp:posOffset>
                  </wp:positionH>
                  <wp:positionV relativeFrom="paragraph">
                    <wp:posOffset>31115</wp:posOffset>
                  </wp:positionV>
                  <wp:extent cx="948055" cy="948055"/>
                  <wp:effectExtent l="0" t="0" r="4445" b="4445"/>
                  <wp:wrapNone/>
                  <wp:docPr id="211" name="Picture 166" descr="说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66" descr="说明: 001"/>
                          <pic:cNvPicPr>
                            <a:picLocks noChangeAspect="1"/>
                          </pic:cNvPicPr>
                        </pic:nvPicPr>
                        <pic:blipFill>
                          <a:blip r:embed="rId106" cstate="print">
                            <a:lum contrast="11998"/>
                          </a:blip>
                          <a:stretch>
                            <a:fillRect/>
                          </a:stretch>
                        </pic:blipFill>
                        <pic:spPr>
                          <a:xfrm>
                            <a:off x="0" y="0"/>
                            <a:ext cx="948055" cy="948055"/>
                          </a:xfrm>
                          <a:prstGeom prst="rect">
                            <a:avLst/>
                          </a:prstGeom>
                          <a:noFill/>
                          <a:ln w="9525">
                            <a:noFill/>
                          </a:ln>
                          <a:effectLst/>
                        </pic:spPr>
                      </pic:pic>
                    </a:graphicData>
                  </a:graphic>
                </wp:anchor>
              </w:drawing>
            </w:r>
          </w:p>
        </w:tc>
        <w:tc>
          <w:tcPr>
            <w:tcW w:w="1649" w:type="dxa"/>
            <w:vAlign w:val="center"/>
          </w:tcPr>
          <w:p w14:paraId="028B1EB0">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735040" behindDoc="0" locked="0" layoutInCell="1" allowOverlap="1">
                  <wp:simplePos x="0" y="0"/>
                  <wp:positionH relativeFrom="column">
                    <wp:posOffset>13335</wp:posOffset>
                  </wp:positionH>
                  <wp:positionV relativeFrom="paragraph">
                    <wp:posOffset>25400</wp:posOffset>
                  </wp:positionV>
                  <wp:extent cx="952500" cy="944880"/>
                  <wp:effectExtent l="0" t="0" r="0" b="7620"/>
                  <wp:wrapNone/>
                  <wp:docPr id="213" name="Picture 167" descr="说明: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67" descr="说明: 002"/>
                          <pic:cNvPicPr>
                            <a:picLocks noChangeAspect="1"/>
                          </pic:cNvPicPr>
                        </pic:nvPicPr>
                        <pic:blipFill>
                          <a:blip r:embed="rId107" cstate="print"/>
                          <a:stretch>
                            <a:fillRect/>
                          </a:stretch>
                        </pic:blipFill>
                        <pic:spPr>
                          <a:xfrm>
                            <a:off x="0" y="0"/>
                            <a:ext cx="952500" cy="944880"/>
                          </a:xfrm>
                          <a:prstGeom prst="rect">
                            <a:avLst/>
                          </a:prstGeom>
                          <a:noFill/>
                          <a:ln w="9525">
                            <a:noFill/>
                          </a:ln>
                          <a:effectLst/>
                        </pic:spPr>
                      </pic:pic>
                    </a:graphicData>
                  </a:graphic>
                </wp:anchor>
              </w:drawing>
            </w:r>
          </w:p>
        </w:tc>
        <w:tc>
          <w:tcPr>
            <w:tcW w:w="1711" w:type="dxa"/>
            <w:vAlign w:val="center"/>
          </w:tcPr>
          <w:p w14:paraId="2579419A">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736064" behindDoc="0" locked="0" layoutInCell="1" allowOverlap="1">
                  <wp:simplePos x="0" y="0"/>
                  <wp:positionH relativeFrom="column">
                    <wp:posOffset>-1270</wp:posOffset>
                  </wp:positionH>
                  <wp:positionV relativeFrom="paragraph">
                    <wp:posOffset>32385</wp:posOffset>
                  </wp:positionV>
                  <wp:extent cx="952500" cy="946785"/>
                  <wp:effectExtent l="0" t="0" r="0" b="5715"/>
                  <wp:wrapNone/>
                  <wp:docPr id="216" name="Picture 169" descr="说明: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69" descr="说明: 004"/>
                          <pic:cNvPicPr>
                            <a:picLocks noChangeAspect="1"/>
                          </pic:cNvPicPr>
                        </pic:nvPicPr>
                        <pic:blipFill>
                          <a:blip r:embed="rId108" cstate="print"/>
                          <a:stretch>
                            <a:fillRect/>
                          </a:stretch>
                        </pic:blipFill>
                        <pic:spPr>
                          <a:xfrm>
                            <a:off x="0" y="0"/>
                            <a:ext cx="952500" cy="946785"/>
                          </a:xfrm>
                          <a:prstGeom prst="rect">
                            <a:avLst/>
                          </a:prstGeom>
                          <a:noFill/>
                          <a:ln w="9525">
                            <a:noFill/>
                          </a:ln>
                          <a:effectLst/>
                        </pic:spPr>
                      </pic:pic>
                    </a:graphicData>
                  </a:graphic>
                </wp:anchor>
              </w:drawing>
            </w:r>
          </w:p>
        </w:tc>
        <w:tc>
          <w:tcPr>
            <w:tcW w:w="1787" w:type="dxa"/>
            <w:vAlign w:val="center"/>
          </w:tcPr>
          <w:p w14:paraId="7E7364D3">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737088" behindDoc="0" locked="0" layoutInCell="1" allowOverlap="1">
                  <wp:simplePos x="0" y="0"/>
                  <wp:positionH relativeFrom="column">
                    <wp:posOffset>72390</wp:posOffset>
                  </wp:positionH>
                  <wp:positionV relativeFrom="paragraph">
                    <wp:posOffset>38100</wp:posOffset>
                  </wp:positionV>
                  <wp:extent cx="952500" cy="942975"/>
                  <wp:effectExtent l="0" t="0" r="0" b="9525"/>
                  <wp:wrapNone/>
                  <wp:docPr id="217" name="Picture 168" descr="说明: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68" descr="说明: 003"/>
                          <pic:cNvPicPr>
                            <a:picLocks noChangeAspect="1"/>
                          </pic:cNvPicPr>
                        </pic:nvPicPr>
                        <pic:blipFill>
                          <a:blip r:embed="rId109" cstate="print"/>
                          <a:stretch>
                            <a:fillRect/>
                          </a:stretch>
                        </pic:blipFill>
                        <pic:spPr>
                          <a:xfrm>
                            <a:off x="0" y="0"/>
                            <a:ext cx="952500" cy="942975"/>
                          </a:xfrm>
                          <a:prstGeom prst="rect">
                            <a:avLst/>
                          </a:prstGeom>
                          <a:noFill/>
                          <a:ln w="9525">
                            <a:noFill/>
                          </a:ln>
                          <a:effectLst/>
                        </pic:spPr>
                      </pic:pic>
                    </a:graphicData>
                  </a:graphic>
                </wp:anchor>
              </w:drawing>
            </w:r>
          </w:p>
        </w:tc>
      </w:tr>
      <w:tr w14:paraId="434EC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8" w:type="dxa"/>
            <w:vAlign w:val="center"/>
          </w:tcPr>
          <w:p w14:paraId="3ADFBFDA">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背景颜色</w:t>
            </w:r>
          </w:p>
        </w:tc>
        <w:tc>
          <w:tcPr>
            <w:tcW w:w="6933" w:type="dxa"/>
            <w:gridSpan w:val="4"/>
            <w:vAlign w:val="center"/>
          </w:tcPr>
          <w:p w14:paraId="67DB4B2C">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绿色</w:t>
            </w:r>
          </w:p>
        </w:tc>
      </w:tr>
      <w:tr w14:paraId="01324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8" w:type="dxa"/>
            <w:vAlign w:val="center"/>
          </w:tcPr>
          <w:p w14:paraId="65D479B1">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图形颜色</w:t>
            </w:r>
          </w:p>
        </w:tc>
        <w:tc>
          <w:tcPr>
            <w:tcW w:w="6933" w:type="dxa"/>
            <w:gridSpan w:val="4"/>
            <w:vAlign w:val="center"/>
          </w:tcPr>
          <w:p w14:paraId="41F73354">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白色</w:t>
            </w:r>
          </w:p>
        </w:tc>
      </w:tr>
    </w:tbl>
    <w:p w14:paraId="3F29CC32">
      <w:pPr>
        <w:pStyle w:val="4"/>
        <w:rPr>
          <w:rFonts w:hint="default" w:ascii="Times New Roman" w:hAnsi="Times New Roman" w:cs="Times New Roman"/>
          <w:color w:val="auto"/>
          <w:highlight w:val="none"/>
        </w:rPr>
      </w:pPr>
      <w:bookmarkStart w:id="1086" w:name="_Toc68"/>
      <w:bookmarkStart w:id="1087" w:name="_Toc32723"/>
      <w:bookmarkStart w:id="1088" w:name="_Toc2850"/>
      <w:bookmarkStart w:id="1089" w:name="_Toc351735261"/>
      <w:bookmarkStart w:id="1090" w:name="_Toc6368"/>
      <w:bookmarkStart w:id="1091" w:name="_Toc483589668"/>
      <w:bookmarkStart w:id="1092" w:name="_Toc394997398"/>
      <w:bookmarkStart w:id="1093" w:name="_Toc9074"/>
      <w:bookmarkStart w:id="1094" w:name="_Toc187800073"/>
      <w:bookmarkStart w:id="1095" w:name="_Toc321501718"/>
      <w:bookmarkStart w:id="1096" w:name="_Toc22210"/>
      <w:bookmarkStart w:id="1097" w:name="_Toc28920"/>
      <w:bookmarkStart w:id="1098" w:name="_Toc245882806"/>
      <w:r>
        <w:rPr>
          <w:rFonts w:hint="default" w:ascii="Times New Roman" w:hAnsi="Times New Roman" w:cs="Times New Roman"/>
          <w:color w:val="auto"/>
          <w:highlight w:val="none"/>
        </w:rPr>
        <w:t>8.1.7排污许可证制度</w:t>
      </w:r>
      <w:bookmarkEnd w:id="1086"/>
      <w:bookmarkEnd w:id="1087"/>
      <w:bookmarkEnd w:id="1088"/>
    </w:p>
    <w:p w14:paraId="62CC846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2016年11月，国务院办公厅发布了《控制污染物排放许可制实施方案》，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p>
    <w:p w14:paraId="50E6438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因此，本项目在报批环评报告书后、项目实际运行前，应尽快</w:t>
      </w:r>
      <w:r>
        <w:rPr>
          <w:rFonts w:hint="default" w:cs="Times New Roman"/>
          <w:color w:val="auto"/>
          <w:highlight w:val="none"/>
          <w:lang w:val="en-US" w:eastAsia="zh-CN"/>
        </w:rPr>
        <w:t>申请</w:t>
      </w:r>
      <w:r>
        <w:rPr>
          <w:rFonts w:hint="default" w:ascii="Times New Roman" w:hAnsi="Times New Roman" w:cs="Times New Roman"/>
          <w:color w:val="auto"/>
          <w:highlight w:val="none"/>
        </w:rPr>
        <w:t>排污许可证，作为本项目合法运行的前提。排污许可证申请及核发按《排污许可证管理暂行规定》及《排污许可证申请与核发技术规范 水处理通用工序》（HJ 1120-2020）填报执行。</w:t>
      </w:r>
    </w:p>
    <w:p w14:paraId="3ACCD88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处理设施排污应按照水处理通用工序排污许可证申请与核发的基本情况及要求进行申报、确定许可排放限值、核算实际排放量、执行自行监测、环境管理台账与排污许可证执行报告等环境管理要求，本项目应加强污染防治可行技术要求、落实自行监测管理要求并严格环境管理台账与排污许可证执行报告编制要求。</w:t>
      </w:r>
    </w:p>
    <w:p w14:paraId="13481C00">
      <w:pPr>
        <w:pStyle w:val="3"/>
        <w:rPr>
          <w:rFonts w:hint="default" w:ascii="Times New Roman" w:hAnsi="Times New Roman" w:cs="Times New Roman"/>
          <w:color w:val="auto"/>
          <w:highlight w:val="none"/>
        </w:rPr>
      </w:pPr>
      <w:bookmarkStart w:id="1099" w:name="_Toc32016"/>
      <w:bookmarkStart w:id="1100" w:name="_Toc30780"/>
      <w:bookmarkStart w:id="1101" w:name="_Toc107414678"/>
      <w:bookmarkStart w:id="1102" w:name="_Toc18992"/>
      <w:bookmarkStart w:id="1103" w:name="_Toc25445"/>
      <w:bookmarkStart w:id="1104" w:name="_Toc107413911"/>
      <w:bookmarkStart w:id="1105" w:name="_Toc15154"/>
      <w:r>
        <w:rPr>
          <w:rFonts w:hint="default" w:ascii="Times New Roman" w:hAnsi="Times New Roman" w:cs="Times New Roman"/>
          <w:color w:val="auto"/>
          <w:highlight w:val="none"/>
        </w:rPr>
        <w:t>8.2施工期环境管理</w:t>
      </w:r>
      <w:bookmarkEnd w:id="1089"/>
      <w:bookmarkEnd w:id="1090"/>
      <w:bookmarkEnd w:id="1091"/>
      <w:bookmarkEnd w:id="1092"/>
      <w:bookmarkEnd w:id="1093"/>
      <w:bookmarkEnd w:id="1099"/>
      <w:bookmarkEnd w:id="1100"/>
      <w:bookmarkEnd w:id="1101"/>
      <w:bookmarkEnd w:id="1102"/>
      <w:bookmarkEnd w:id="1103"/>
      <w:bookmarkEnd w:id="1104"/>
      <w:bookmarkEnd w:id="1105"/>
    </w:p>
    <w:p w14:paraId="20AC4B6B">
      <w:pPr>
        <w:pStyle w:val="4"/>
        <w:rPr>
          <w:rFonts w:hint="default" w:ascii="Times New Roman" w:hAnsi="Times New Roman" w:cs="Times New Roman"/>
          <w:color w:val="auto"/>
          <w:highlight w:val="none"/>
        </w:rPr>
      </w:pPr>
      <w:bookmarkStart w:id="1106" w:name="_Toc7109"/>
      <w:bookmarkStart w:id="1107" w:name="_Toc4186"/>
      <w:bookmarkStart w:id="1108" w:name="_Toc394997399"/>
      <w:bookmarkStart w:id="1109" w:name="_Toc21803"/>
      <w:bookmarkStart w:id="1110" w:name="_Toc23615"/>
      <w:bookmarkStart w:id="1111" w:name="_Toc2036"/>
      <w:bookmarkStart w:id="1112" w:name="_Toc483589669"/>
      <w:bookmarkStart w:id="1113" w:name="_Toc13805"/>
      <w:r>
        <w:rPr>
          <w:rFonts w:hint="default" w:ascii="Times New Roman" w:hAnsi="Times New Roman" w:cs="Times New Roman"/>
          <w:color w:val="auto"/>
          <w:highlight w:val="none"/>
        </w:rPr>
        <w:t>8.2.1环境管理</w:t>
      </w:r>
      <w:bookmarkEnd w:id="1106"/>
      <w:bookmarkEnd w:id="1107"/>
      <w:bookmarkEnd w:id="1108"/>
      <w:bookmarkEnd w:id="1109"/>
      <w:bookmarkEnd w:id="1110"/>
    </w:p>
    <w:p w14:paraId="71FE58EA">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项目业主或者施工承包方进行工程施工前，应将施工期的环境污染控制列入施工工程内容，并在工程开工前和施工过程中制定相应的环保防治措施和工程计划。按规定，本项目施工时应向当地生态环境行政主管部门申报；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环保主管机构，对施工过程的环境影响进行环境监测，以保证施工期的环保措施得以完善和持续执行，使项目建设施工范围的环境质量得到充分有效保证。</w:t>
      </w:r>
    </w:p>
    <w:p w14:paraId="6EB3F30D">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并应采取以下措施：</w:t>
      </w:r>
    </w:p>
    <w:p w14:paraId="6264A710">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（1）在拟建工程实施前，要制定详尽的环保措施方案，该方案经有关主管部门批准后要严格执行。施工过程中要设置环保人员，加强现场监督、管理与考核，以便及时发现问题及时解决。</w:t>
      </w:r>
    </w:p>
    <w:p w14:paraId="25CC42A0">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（2）及时清运施工中产生生活垃圾，送到指定点进行处置，施工期间产生的生活污水严禁随意排放。</w:t>
      </w:r>
    </w:p>
    <w:p w14:paraId="294D509F">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（3）加强施工人员及施工机械的管理，增强环保意识，注意保护自然环境。</w:t>
      </w:r>
    </w:p>
    <w:p w14:paraId="526B7790">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（4）工程建设中，要做好施工区域及其周围的绿化工作。</w:t>
      </w:r>
    </w:p>
    <w:p w14:paraId="6300C9EC">
      <w:pPr>
        <w:pStyle w:val="4"/>
        <w:rPr>
          <w:rFonts w:hint="default" w:ascii="Times New Roman" w:hAnsi="Times New Roman" w:cs="Times New Roman"/>
          <w:color w:val="auto"/>
          <w:highlight w:val="none"/>
        </w:rPr>
      </w:pPr>
      <w:bookmarkStart w:id="1114" w:name="_Toc29260"/>
      <w:bookmarkStart w:id="1115" w:name="_Toc13614"/>
      <w:bookmarkStart w:id="1116" w:name="_Toc12892"/>
      <w:bookmarkStart w:id="1117" w:name="_Toc21568"/>
      <w:bookmarkStart w:id="1118" w:name="_Toc394997400"/>
      <w:r>
        <w:rPr>
          <w:rFonts w:hint="default" w:ascii="Times New Roman" w:hAnsi="Times New Roman" w:cs="Times New Roman"/>
          <w:color w:val="auto"/>
          <w:highlight w:val="none"/>
        </w:rPr>
        <w:t>8.2.2环境监理</w:t>
      </w:r>
      <w:bookmarkEnd w:id="1114"/>
      <w:bookmarkEnd w:id="1115"/>
      <w:bookmarkEnd w:id="1116"/>
      <w:bookmarkEnd w:id="1117"/>
      <w:bookmarkEnd w:id="1118"/>
    </w:p>
    <w:p w14:paraId="68A36B8C">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项目施工期环境监理内容详见表8.2-1。</w:t>
      </w:r>
    </w:p>
    <w:p w14:paraId="486E4C61">
      <w:pPr>
        <w:widowControl/>
        <w:ind w:firstLine="241" w:firstLineChars="100"/>
        <w:jc w:val="center"/>
        <w:textAlignment w:val="baseline"/>
        <w:rPr>
          <w:rFonts w:hint="default" w:ascii="Times New Roman" w:hAnsi="Times New Roman" w:cs="Times New Roman"/>
          <w:bCs/>
          <w:color w:val="auto"/>
          <w:kern w:val="0"/>
          <w:highlight w:val="none"/>
        </w:rPr>
      </w:pPr>
      <w:r>
        <w:rPr>
          <w:rFonts w:hint="default" w:ascii="Times New Roman" w:hAnsi="Times New Roman" w:cs="Times New Roman"/>
          <w:b/>
          <w:color w:val="auto"/>
          <w:kern w:val="0"/>
          <w:highlight w:val="none"/>
        </w:rPr>
        <w:t>表8.2-1    施工期环境监理一览表</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7"/>
        <w:gridCol w:w="3797"/>
        <w:gridCol w:w="3615"/>
      </w:tblGrid>
      <w:tr w14:paraId="5E793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07" w:type="dxa"/>
            <w:vAlign w:val="center"/>
          </w:tcPr>
          <w:p w14:paraId="65ADEB22">
            <w:pPr>
              <w:spacing w:line="360" w:lineRule="exact"/>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3797" w:type="dxa"/>
            <w:vAlign w:val="center"/>
          </w:tcPr>
          <w:p w14:paraId="5729FA7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监理内容</w:t>
            </w:r>
          </w:p>
        </w:tc>
        <w:tc>
          <w:tcPr>
            <w:tcW w:w="3615" w:type="dxa"/>
            <w:vAlign w:val="center"/>
          </w:tcPr>
          <w:p w14:paraId="33E7C6E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监理要求</w:t>
            </w:r>
          </w:p>
        </w:tc>
      </w:tr>
      <w:tr w14:paraId="2F841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564F8F2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3797" w:type="dxa"/>
            <w:vAlign w:val="center"/>
          </w:tcPr>
          <w:p w14:paraId="4477313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①对工地及进出口定期洒水抑尘，并清扫，保持工地整齐干净；</w:t>
            </w:r>
          </w:p>
          <w:p w14:paraId="21A708A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②运输车辆在运输砂石等粉料时应使用篷布遮盖；</w:t>
            </w:r>
          </w:p>
          <w:p w14:paraId="3088B3C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③禁止在大风天气施工作业。</w:t>
            </w:r>
          </w:p>
        </w:tc>
        <w:tc>
          <w:tcPr>
            <w:tcW w:w="3615" w:type="dxa"/>
            <w:vMerge w:val="restart"/>
            <w:vAlign w:val="center"/>
          </w:tcPr>
          <w:p w14:paraId="19C63E98">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1、在施工招标文件、施工合同、环境监理招标文件和监理合同中明确施工单位、环境监理单位的环境保护责任和目标任务；</w:t>
            </w:r>
          </w:p>
          <w:p w14:paraId="5C56C56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2、委托有资质单位开展建设期的环境监理工作，加强施工过程的环境监理和环保设施建设的环境监理，定期向自治区、地区和县生态环境主管部门备案；</w:t>
            </w:r>
          </w:p>
          <w:p w14:paraId="401225E4">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3、结合环境监理报告，自查环评报告、批复文件及设计中规定的环保设施和生态保护措施建设及进展情况；严格落实环保投资和执行建设项目环境保护“三同时”制度；</w:t>
            </w:r>
          </w:p>
          <w:p w14:paraId="1949812B">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4、自觉接受当地环保行政主管部门在建设期的环境监督与管理；</w:t>
            </w:r>
          </w:p>
          <w:p w14:paraId="4A8E3505">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5、设立企业环保机构，建立健全环境管理、环保资料档案等制度。</w:t>
            </w:r>
          </w:p>
        </w:tc>
      </w:tr>
      <w:tr w14:paraId="2A853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11ED5F9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3797" w:type="dxa"/>
            <w:vAlign w:val="center"/>
          </w:tcPr>
          <w:p w14:paraId="2305F56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①施工人员生活污水</w:t>
            </w:r>
            <w:r>
              <w:rPr>
                <w:rFonts w:hint="default" w:ascii="Times New Roman" w:hAnsi="Times New Roman" w:cs="Times New Roman"/>
                <w:color w:val="auto"/>
                <w:sz w:val="21"/>
                <w:szCs w:val="21"/>
                <w:highlight w:val="none"/>
                <w:lang w:val="en-US" w:eastAsia="zh-CN"/>
              </w:rPr>
              <w:t>建议先建设</w:t>
            </w:r>
            <w:r>
              <w:rPr>
                <w:rFonts w:hint="default" w:ascii="Times New Roman" w:hAnsi="Times New Roman" w:cs="Times New Roman"/>
                <w:color w:val="auto"/>
                <w:sz w:val="21"/>
                <w:szCs w:val="21"/>
                <w:highlight w:val="none"/>
                <w:lang w:val="zh-CN"/>
              </w:rPr>
              <w:t>生活区</w:t>
            </w:r>
            <w:r>
              <w:rPr>
                <w:rFonts w:hint="default" w:ascii="Times New Roman" w:hAnsi="Times New Roman" w:cs="Times New Roman"/>
                <w:color w:val="auto"/>
                <w:sz w:val="21"/>
                <w:szCs w:val="21"/>
                <w:highlight w:val="none"/>
              </w:rPr>
              <w:t>污水处理设施处理，经处理后用于选矿生产工序循环利用及绿化。</w:t>
            </w:r>
          </w:p>
          <w:p w14:paraId="0CA5087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②避免在雨季进行基础开挖施工。</w:t>
            </w:r>
          </w:p>
        </w:tc>
        <w:tc>
          <w:tcPr>
            <w:tcW w:w="3615" w:type="dxa"/>
            <w:vMerge w:val="continue"/>
            <w:vAlign w:val="center"/>
          </w:tcPr>
          <w:p w14:paraId="6491DC61">
            <w:pPr>
              <w:spacing w:line="360" w:lineRule="exact"/>
              <w:ind w:firstLine="420"/>
              <w:rPr>
                <w:rFonts w:hint="default" w:ascii="Times New Roman" w:hAnsi="Times New Roman" w:cs="Times New Roman"/>
                <w:color w:val="auto"/>
                <w:sz w:val="21"/>
                <w:szCs w:val="21"/>
                <w:highlight w:val="none"/>
              </w:rPr>
            </w:pPr>
          </w:p>
        </w:tc>
      </w:tr>
      <w:tr w14:paraId="108D7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201354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3797" w:type="dxa"/>
            <w:vAlign w:val="center"/>
          </w:tcPr>
          <w:p w14:paraId="7A3DB6C2">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①合理布局施工设备，避免局部声级过高，对敏感点是否设置临时声屏障；</w:t>
            </w:r>
          </w:p>
          <w:p w14:paraId="0B28F4F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②开工15日前向生态环境主管部门申报《建设施工环保审批表》。</w:t>
            </w:r>
          </w:p>
        </w:tc>
        <w:tc>
          <w:tcPr>
            <w:tcW w:w="3615" w:type="dxa"/>
            <w:vMerge w:val="continue"/>
            <w:vAlign w:val="center"/>
          </w:tcPr>
          <w:p w14:paraId="53952B15">
            <w:pPr>
              <w:spacing w:line="360" w:lineRule="exact"/>
              <w:ind w:firstLine="420"/>
              <w:rPr>
                <w:rFonts w:hint="default" w:ascii="Times New Roman" w:hAnsi="Times New Roman" w:cs="Times New Roman"/>
                <w:color w:val="auto"/>
                <w:sz w:val="21"/>
                <w:szCs w:val="21"/>
                <w:highlight w:val="none"/>
              </w:rPr>
            </w:pPr>
          </w:p>
        </w:tc>
      </w:tr>
      <w:tr w14:paraId="5CB72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5169AB3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797" w:type="dxa"/>
            <w:vAlign w:val="center"/>
          </w:tcPr>
          <w:p w14:paraId="78A0EEF7">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①施工期废弃土石方用于场地平整；废金属、废钢筋等废弃建筑材料由施工单位及时收集后回收利用，不能回收利用的集中收集后送至当地建筑垃圾填埋场填埋处理。</w:t>
            </w:r>
          </w:p>
          <w:p w14:paraId="2F6E253A">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②施工期生活垃圾集中收集，定期清运</w:t>
            </w:r>
            <w:r>
              <w:rPr>
                <w:rFonts w:hint="default" w:ascii="Times New Roman" w:hAnsi="Times New Roman" w:cs="Times New Roman"/>
                <w:color w:val="auto"/>
                <w:sz w:val="21"/>
                <w:szCs w:val="21"/>
                <w:highlight w:val="none"/>
                <w:lang w:val="en-US" w:eastAsia="zh-CN"/>
              </w:rPr>
              <w:t>至富蕴县杜热镇生活垃圾填埋场处置</w:t>
            </w:r>
            <w:r>
              <w:rPr>
                <w:rFonts w:hint="default" w:ascii="Times New Roman" w:hAnsi="Times New Roman" w:cs="Times New Roman"/>
                <w:color w:val="auto"/>
                <w:sz w:val="21"/>
                <w:szCs w:val="21"/>
                <w:highlight w:val="none"/>
              </w:rPr>
              <w:t>。</w:t>
            </w:r>
          </w:p>
        </w:tc>
        <w:tc>
          <w:tcPr>
            <w:tcW w:w="3615" w:type="dxa"/>
            <w:vMerge w:val="continue"/>
            <w:vAlign w:val="center"/>
          </w:tcPr>
          <w:p w14:paraId="338C4AAD">
            <w:pPr>
              <w:spacing w:line="360" w:lineRule="exact"/>
              <w:ind w:firstLine="420"/>
              <w:rPr>
                <w:rFonts w:hint="default" w:ascii="Times New Roman" w:hAnsi="Times New Roman" w:cs="Times New Roman"/>
                <w:color w:val="auto"/>
                <w:sz w:val="21"/>
                <w:szCs w:val="21"/>
                <w:highlight w:val="none"/>
              </w:rPr>
            </w:pPr>
          </w:p>
        </w:tc>
      </w:tr>
      <w:tr w14:paraId="6A3F3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4753182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生态影响</w:t>
            </w:r>
          </w:p>
        </w:tc>
        <w:tc>
          <w:tcPr>
            <w:tcW w:w="3797" w:type="dxa"/>
            <w:vAlign w:val="center"/>
          </w:tcPr>
          <w:p w14:paraId="6E450CB6">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①施工期间水土流失问题、矿石堆场及主体工程开挖、弃渣及弃渣堆放应符合环境管理规范要求。</w:t>
            </w:r>
          </w:p>
          <w:p w14:paraId="5DFFF178">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②绿化面积达到规划要求。</w:t>
            </w:r>
          </w:p>
        </w:tc>
        <w:tc>
          <w:tcPr>
            <w:tcW w:w="3615" w:type="dxa"/>
            <w:vMerge w:val="continue"/>
            <w:vAlign w:val="center"/>
          </w:tcPr>
          <w:p w14:paraId="74BA88C7">
            <w:pPr>
              <w:spacing w:line="360" w:lineRule="exact"/>
              <w:ind w:firstLine="420"/>
              <w:rPr>
                <w:rFonts w:hint="default" w:ascii="Times New Roman" w:hAnsi="Times New Roman" w:cs="Times New Roman"/>
                <w:color w:val="auto"/>
                <w:sz w:val="21"/>
                <w:szCs w:val="21"/>
                <w:highlight w:val="none"/>
              </w:rPr>
            </w:pPr>
          </w:p>
        </w:tc>
      </w:tr>
    </w:tbl>
    <w:p w14:paraId="5BF160A5">
      <w:pPr>
        <w:pStyle w:val="3"/>
        <w:rPr>
          <w:rFonts w:hint="default" w:ascii="Times New Roman" w:hAnsi="Times New Roman" w:cs="Times New Roman"/>
          <w:color w:val="auto"/>
          <w:highlight w:val="none"/>
        </w:rPr>
      </w:pPr>
      <w:bookmarkStart w:id="1119" w:name="_Toc8157"/>
      <w:bookmarkStart w:id="1120" w:name="_Toc107414679"/>
      <w:bookmarkStart w:id="1121" w:name="_Toc31539"/>
      <w:bookmarkStart w:id="1122" w:name="_Toc3629"/>
      <w:bookmarkStart w:id="1123" w:name="_Toc107413912"/>
      <w:bookmarkStart w:id="1124" w:name="_Toc22196"/>
      <w:bookmarkStart w:id="1125" w:name="_Toc23506"/>
      <w:r>
        <w:rPr>
          <w:rFonts w:hint="default" w:ascii="Times New Roman" w:hAnsi="Times New Roman" w:cs="Times New Roman"/>
          <w:color w:val="auto"/>
          <w:highlight w:val="none"/>
        </w:rPr>
        <w:t>8.3环境</w:t>
      </w:r>
      <w:bookmarkEnd w:id="1071"/>
      <w:bookmarkEnd w:id="1072"/>
      <w:bookmarkEnd w:id="1073"/>
      <w:bookmarkEnd w:id="1074"/>
      <w:bookmarkEnd w:id="1075"/>
      <w:r>
        <w:rPr>
          <w:rFonts w:hint="default" w:ascii="Times New Roman" w:hAnsi="Times New Roman" w:cs="Times New Roman"/>
          <w:color w:val="auto"/>
          <w:highlight w:val="none"/>
        </w:rPr>
        <w:t>监测计划</w:t>
      </w:r>
      <w:bookmarkEnd w:id="1076"/>
      <w:bookmarkEnd w:id="1077"/>
      <w:bookmarkEnd w:id="1078"/>
      <w:bookmarkEnd w:id="1079"/>
      <w:bookmarkEnd w:id="1080"/>
      <w:bookmarkEnd w:id="1081"/>
      <w:bookmarkEnd w:id="1094"/>
      <w:bookmarkEnd w:id="1095"/>
      <w:bookmarkEnd w:id="1096"/>
      <w:bookmarkEnd w:id="1097"/>
      <w:bookmarkEnd w:id="1098"/>
      <w:bookmarkEnd w:id="1111"/>
      <w:bookmarkEnd w:id="1112"/>
      <w:bookmarkEnd w:id="1113"/>
      <w:bookmarkEnd w:id="1119"/>
      <w:bookmarkEnd w:id="1120"/>
      <w:bookmarkEnd w:id="1121"/>
      <w:bookmarkEnd w:id="1122"/>
      <w:bookmarkEnd w:id="1123"/>
      <w:bookmarkEnd w:id="1124"/>
      <w:bookmarkEnd w:id="1125"/>
    </w:p>
    <w:p w14:paraId="39DA1C49">
      <w:pPr>
        <w:widowControl/>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监测制度是为环境管理服务的一项重要制度，通过环境监测，及时了解企业的环境状况，不断完善、改进防治措施，清洁生产，不断适应环境保护的发展要求，是实现企业环境管理定量化、规范化的重要技术支持。建立一套完善而行之有效的环境监测制度是企业环境保护工作的重要组成部分。</w:t>
      </w:r>
    </w:p>
    <w:p w14:paraId="4F0773B5">
      <w:pPr>
        <w:keepNext/>
        <w:keepLines/>
        <w:spacing w:before="60" w:after="60"/>
        <w:ind w:firstLine="0" w:firstLineChars="0"/>
        <w:outlineLvl w:val="2"/>
        <w:rPr>
          <w:rFonts w:hint="default" w:ascii="Times New Roman" w:hAnsi="Times New Roman" w:cs="Times New Roman"/>
          <w:b/>
          <w:bCs/>
          <w:color w:val="auto"/>
          <w:sz w:val="30"/>
          <w:szCs w:val="32"/>
          <w:highlight w:val="none"/>
        </w:rPr>
      </w:pPr>
      <w:bookmarkStart w:id="1126" w:name="_Toc15274"/>
      <w:bookmarkStart w:id="1127" w:name="_Toc16163"/>
      <w:bookmarkStart w:id="1128" w:name="_Toc18597"/>
      <w:bookmarkStart w:id="1129" w:name="_Toc5506"/>
      <w:bookmarkStart w:id="1130" w:name="_Toc32240"/>
      <w:bookmarkStart w:id="1131" w:name="_Toc15111"/>
      <w:r>
        <w:rPr>
          <w:rFonts w:hint="default" w:ascii="Times New Roman" w:hAnsi="Times New Roman" w:cs="Times New Roman"/>
          <w:b/>
          <w:bCs/>
          <w:color w:val="auto"/>
          <w:sz w:val="30"/>
          <w:szCs w:val="32"/>
          <w:highlight w:val="none"/>
        </w:rPr>
        <w:t>8.3.1监测机构</w:t>
      </w:r>
      <w:bookmarkEnd w:id="1126"/>
      <w:bookmarkEnd w:id="1127"/>
      <w:bookmarkEnd w:id="1128"/>
      <w:bookmarkEnd w:id="1129"/>
      <w:bookmarkEnd w:id="1130"/>
      <w:bookmarkEnd w:id="1131"/>
    </w:p>
    <w:p w14:paraId="6605581D">
      <w:pPr>
        <w:widowControl/>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考虑到厂区的实际条件，厂区可不设监测机构，有关的环境监测工作可委托第三方环境监测公司承担，确保监测计划的顺利实施。</w:t>
      </w:r>
    </w:p>
    <w:p w14:paraId="37B95AE0">
      <w:pPr>
        <w:keepNext/>
        <w:keepLines/>
        <w:spacing w:before="60" w:after="60"/>
        <w:ind w:firstLine="0" w:firstLineChars="0"/>
        <w:outlineLvl w:val="2"/>
        <w:rPr>
          <w:rFonts w:hint="default" w:ascii="Times New Roman" w:hAnsi="Times New Roman" w:cs="Times New Roman"/>
          <w:b/>
          <w:bCs/>
          <w:color w:val="auto"/>
          <w:sz w:val="30"/>
          <w:szCs w:val="32"/>
          <w:highlight w:val="none"/>
        </w:rPr>
      </w:pPr>
      <w:bookmarkStart w:id="1132" w:name="_Toc3635"/>
      <w:bookmarkStart w:id="1133" w:name="_Toc9548"/>
      <w:bookmarkStart w:id="1134" w:name="_Toc15947"/>
      <w:bookmarkStart w:id="1135" w:name="_Toc1751"/>
      <w:bookmarkStart w:id="1136" w:name="_Toc11984"/>
      <w:bookmarkStart w:id="1137" w:name="_Toc11465"/>
      <w:r>
        <w:rPr>
          <w:rFonts w:hint="default" w:ascii="Times New Roman" w:hAnsi="Times New Roman" w:cs="Times New Roman"/>
          <w:b/>
          <w:bCs/>
          <w:color w:val="auto"/>
          <w:sz w:val="30"/>
          <w:szCs w:val="32"/>
          <w:highlight w:val="none"/>
        </w:rPr>
        <w:t>8.3.2监测内容</w:t>
      </w:r>
      <w:bookmarkEnd w:id="1132"/>
      <w:bookmarkEnd w:id="1133"/>
      <w:bookmarkEnd w:id="1134"/>
      <w:bookmarkEnd w:id="1135"/>
      <w:bookmarkEnd w:id="1136"/>
      <w:bookmarkEnd w:id="1137"/>
    </w:p>
    <w:p w14:paraId="6E015E60">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8.3.2.1施工期监测内容</w:t>
      </w:r>
    </w:p>
    <w:p w14:paraId="28F16620">
      <w:pPr>
        <w:overflowPunct w:val="0"/>
        <w:topLinePunct/>
        <w:ind w:firstLine="482" w:firstLineChars="0"/>
        <w:rPr>
          <w:rFonts w:hint="default" w:ascii="Times New Roman" w:hAnsi="Times New Roman" w:cs="Times New Roman"/>
          <w:b/>
          <w:color w:val="auto"/>
          <w:sz w:val="21"/>
          <w:highlight w:val="none"/>
        </w:rPr>
      </w:pPr>
      <w:r>
        <w:rPr>
          <w:rFonts w:hint="default" w:ascii="Times New Roman" w:hAnsi="Times New Roman" w:cs="Times New Roman"/>
          <w:color w:val="auto"/>
          <w:highlight w:val="none"/>
        </w:rPr>
        <w:t>为了及时了解和掌握拟建项目施工期主要污染物的排放情况，建设单位应委托有资质的环境监测部门对其污染源和施工场界周边的环境质量进行监测，监测要求见表8.3-1。</w:t>
      </w:r>
    </w:p>
    <w:p w14:paraId="5A8C4A90">
      <w:pPr>
        <w:adjustRightInd w:val="0"/>
        <w:ind w:firstLine="0" w:firstLineChars="0"/>
        <w:jc w:val="center"/>
        <w:textAlignment w:val="baseline"/>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表8.3-1    施工期环境监测要求</w:t>
      </w:r>
    </w:p>
    <w:tbl>
      <w:tblPr>
        <w:tblStyle w:val="33"/>
        <w:tblW w:w="89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8"/>
        <w:gridCol w:w="1133"/>
        <w:gridCol w:w="1617"/>
        <w:gridCol w:w="785"/>
        <w:gridCol w:w="1707"/>
        <w:gridCol w:w="2976"/>
      </w:tblGrid>
      <w:tr w14:paraId="480AD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68" w:type="dxa"/>
            <w:vAlign w:val="center"/>
          </w:tcPr>
          <w:p w14:paraId="0016306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监测类别</w:t>
            </w:r>
          </w:p>
        </w:tc>
        <w:tc>
          <w:tcPr>
            <w:tcW w:w="1133" w:type="dxa"/>
            <w:vAlign w:val="center"/>
          </w:tcPr>
          <w:p w14:paraId="3709290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1617" w:type="dxa"/>
            <w:vAlign w:val="center"/>
          </w:tcPr>
          <w:p w14:paraId="4D8340C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监测点位置</w:t>
            </w:r>
          </w:p>
        </w:tc>
        <w:tc>
          <w:tcPr>
            <w:tcW w:w="785" w:type="dxa"/>
            <w:vAlign w:val="center"/>
          </w:tcPr>
          <w:p w14:paraId="439C38C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测点数</w:t>
            </w:r>
          </w:p>
        </w:tc>
        <w:tc>
          <w:tcPr>
            <w:tcW w:w="1707" w:type="dxa"/>
            <w:vAlign w:val="center"/>
          </w:tcPr>
          <w:p w14:paraId="3830044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c>
          <w:tcPr>
            <w:tcW w:w="2976" w:type="dxa"/>
            <w:vAlign w:val="center"/>
          </w:tcPr>
          <w:p w14:paraId="5311B32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技术要求</w:t>
            </w:r>
          </w:p>
        </w:tc>
      </w:tr>
      <w:tr w14:paraId="66A78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8" w:type="dxa"/>
            <w:vAlign w:val="center"/>
          </w:tcPr>
          <w:p w14:paraId="0F91112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场界噪声</w:t>
            </w:r>
          </w:p>
        </w:tc>
        <w:tc>
          <w:tcPr>
            <w:tcW w:w="1133" w:type="dxa"/>
            <w:vAlign w:val="center"/>
          </w:tcPr>
          <w:p w14:paraId="432429F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施工场界Leq（A）</w:t>
            </w:r>
          </w:p>
        </w:tc>
        <w:tc>
          <w:tcPr>
            <w:tcW w:w="1617" w:type="dxa"/>
            <w:vAlign w:val="center"/>
          </w:tcPr>
          <w:p w14:paraId="71F1B43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施工场界四周</w:t>
            </w:r>
          </w:p>
        </w:tc>
        <w:tc>
          <w:tcPr>
            <w:tcW w:w="785" w:type="dxa"/>
            <w:vAlign w:val="center"/>
          </w:tcPr>
          <w:p w14:paraId="0F5D054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707" w:type="dxa"/>
            <w:vAlign w:val="center"/>
          </w:tcPr>
          <w:p w14:paraId="0878D96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施工期一次/季</w:t>
            </w:r>
          </w:p>
        </w:tc>
        <w:tc>
          <w:tcPr>
            <w:tcW w:w="2976" w:type="dxa"/>
            <w:vAlign w:val="center"/>
          </w:tcPr>
          <w:p w14:paraId="511BBDF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w:t>
            </w:r>
            <w:r>
              <w:rPr>
                <w:rFonts w:hint="default" w:cs="Times New Roman"/>
                <w:color w:val="auto"/>
                <w:sz w:val="21"/>
                <w:szCs w:val="21"/>
                <w:highlight w:val="none"/>
                <w:lang w:eastAsia="zh-CN"/>
              </w:rPr>
              <w:t>建筑施工噪声排放标准</w:t>
            </w:r>
            <w:r>
              <w:rPr>
                <w:rFonts w:hint="default" w:ascii="Times New Roman" w:hAnsi="Times New Roman" w:cs="Times New Roman"/>
                <w:color w:val="auto"/>
                <w:sz w:val="21"/>
                <w:szCs w:val="21"/>
                <w:highlight w:val="none"/>
              </w:rPr>
              <w:t>》（</w:t>
            </w:r>
            <w:r>
              <w:rPr>
                <w:rFonts w:hint="default" w:cs="Times New Roman"/>
                <w:color w:val="auto"/>
                <w:sz w:val="21"/>
                <w:szCs w:val="21"/>
                <w:highlight w:val="none"/>
                <w:lang w:eastAsia="zh-CN"/>
              </w:rPr>
              <w:t>GB 12523-2025</w:t>
            </w:r>
            <w:r>
              <w:rPr>
                <w:rFonts w:hint="default" w:ascii="Times New Roman" w:hAnsi="Times New Roman" w:cs="Times New Roman"/>
                <w:color w:val="auto"/>
                <w:sz w:val="21"/>
                <w:szCs w:val="21"/>
                <w:highlight w:val="none"/>
              </w:rPr>
              <w:t>）</w:t>
            </w:r>
          </w:p>
        </w:tc>
      </w:tr>
      <w:tr w14:paraId="07F99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8" w:type="dxa"/>
            <w:vAlign w:val="center"/>
          </w:tcPr>
          <w:p w14:paraId="0F12C7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1133" w:type="dxa"/>
            <w:vAlign w:val="center"/>
          </w:tcPr>
          <w:p w14:paraId="17A0E8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1617" w:type="dxa"/>
            <w:vAlign w:val="center"/>
          </w:tcPr>
          <w:p w14:paraId="6BC3680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施工场地上、下风向</w:t>
            </w:r>
          </w:p>
        </w:tc>
        <w:tc>
          <w:tcPr>
            <w:tcW w:w="785" w:type="dxa"/>
            <w:vAlign w:val="center"/>
          </w:tcPr>
          <w:p w14:paraId="1D137BB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707" w:type="dxa"/>
            <w:vAlign w:val="center"/>
          </w:tcPr>
          <w:p w14:paraId="3C0C80A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施工期一次/季</w:t>
            </w:r>
          </w:p>
        </w:tc>
        <w:tc>
          <w:tcPr>
            <w:tcW w:w="2976" w:type="dxa"/>
            <w:vAlign w:val="center"/>
          </w:tcPr>
          <w:p w14:paraId="4A38BEB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满足《大气污染物综合排放标准》（16297-1996）</w:t>
            </w:r>
          </w:p>
        </w:tc>
      </w:tr>
      <w:tr w14:paraId="7324E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8" w:type="dxa"/>
            <w:vMerge w:val="restart"/>
            <w:vAlign w:val="center"/>
          </w:tcPr>
          <w:p w14:paraId="5C0FFB8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1133" w:type="dxa"/>
            <w:vAlign w:val="center"/>
          </w:tcPr>
          <w:p w14:paraId="3D86F0D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施工现场清理</w:t>
            </w:r>
          </w:p>
        </w:tc>
        <w:tc>
          <w:tcPr>
            <w:tcW w:w="1617" w:type="dxa"/>
            <w:vAlign w:val="center"/>
          </w:tcPr>
          <w:p w14:paraId="3EF3A8E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w:t>
            </w:r>
          </w:p>
        </w:tc>
        <w:tc>
          <w:tcPr>
            <w:tcW w:w="785" w:type="dxa"/>
            <w:vAlign w:val="center"/>
          </w:tcPr>
          <w:p w14:paraId="7C99906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707" w:type="dxa"/>
            <w:vAlign w:val="center"/>
          </w:tcPr>
          <w:p w14:paraId="3C4A398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施工结束后一次</w:t>
            </w:r>
          </w:p>
        </w:tc>
        <w:tc>
          <w:tcPr>
            <w:tcW w:w="2976" w:type="dxa"/>
            <w:vAlign w:val="center"/>
          </w:tcPr>
          <w:p w14:paraId="64F5E0D0">
            <w:pPr>
              <w:spacing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施工清理后，施工现场的弃土石方等废弃物的处置和生态环境恢复情况</w:t>
            </w:r>
          </w:p>
        </w:tc>
      </w:tr>
      <w:tr w14:paraId="42A06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8" w:type="dxa"/>
            <w:vMerge w:val="continue"/>
            <w:vAlign w:val="center"/>
          </w:tcPr>
          <w:p w14:paraId="784BE545">
            <w:pPr>
              <w:spacing w:line="360" w:lineRule="exact"/>
              <w:ind w:firstLine="0" w:firstLineChars="0"/>
              <w:jc w:val="center"/>
              <w:rPr>
                <w:rFonts w:hint="default" w:ascii="Times New Roman" w:hAnsi="Times New Roman" w:cs="Times New Roman"/>
                <w:color w:val="auto"/>
                <w:sz w:val="21"/>
                <w:szCs w:val="21"/>
                <w:highlight w:val="none"/>
              </w:rPr>
            </w:pPr>
          </w:p>
        </w:tc>
        <w:tc>
          <w:tcPr>
            <w:tcW w:w="1133" w:type="dxa"/>
            <w:vAlign w:val="center"/>
          </w:tcPr>
          <w:p w14:paraId="1B9E547B">
            <w:pPr>
              <w:spacing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临时占地恢复</w:t>
            </w:r>
          </w:p>
        </w:tc>
        <w:tc>
          <w:tcPr>
            <w:tcW w:w="1617" w:type="dxa"/>
            <w:vAlign w:val="center"/>
          </w:tcPr>
          <w:p w14:paraId="556B96B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施工临时占地区施工营地</w:t>
            </w:r>
          </w:p>
        </w:tc>
        <w:tc>
          <w:tcPr>
            <w:tcW w:w="785" w:type="dxa"/>
            <w:vAlign w:val="center"/>
          </w:tcPr>
          <w:p w14:paraId="27A773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707" w:type="dxa"/>
            <w:vAlign w:val="center"/>
          </w:tcPr>
          <w:p w14:paraId="2207BBBB">
            <w:pPr>
              <w:spacing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施工结束后一次</w:t>
            </w:r>
          </w:p>
        </w:tc>
        <w:tc>
          <w:tcPr>
            <w:tcW w:w="2976" w:type="dxa"/>
            <w:vAlign w:val="center"/>
          </w:tcPr>
          <w:p w14:paraId="2CB8B7E4">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临时占地地表</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植被</w:t>
            </w:r>
            <w:r>
              <w:rPr>
                <w:rFonts w:hint="default" w:ascii="Times New Roman" w:hAnsi="Times New Roman" w:cs="Times New Roman"/>
                <w:color w:val="auto"/>
                <w:sz w:val="21"/>
                <w:szCs w:val="21"/>
                <w:highlight w:val="none"/>
              </w:rPr>
              <w:t>恢复</w:t>
            </w:r>
            <w:r>
              <w:rPr>
                <w:rFonts w:hint="default" w:cs="Times New Roman"/>
                <w:color w:val="auto"/>
                <w:sz w:val="21"/>
                <w:szCs w:val="21"/>
                <w:highlight w:val="none"/>
                <w:lang w:val="en-US" w:eastAsia="zh-CN"/>
              </w:rPr>
              <w:t>至原有状态</w:t>
            </w:r>
          </w:p>
        </w:tc>
      </w:tr>
    </w:tbl>
    <w:p w14:paraId="6B92ECFE">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8.3.2.2运营期监测内容</w:t>
      </w:r>
    </w:p>
    <w:p w14:paraId="034DBA34">
      <w:pPr>
        <w:overflowPunct w:val="0"/>
        <w:topLinePunct/>
        <w:ind w:firstLine="48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本项目运营期环境监测计划见下表。</w:t>
      </w:r>
    </w:p>
    <w:p w14:paraId="1264AB84">
      <w:pPr>
        <w:adjustRightInd w:val="0"/>
        <w:spacing w:line="440" w:lineRule="exact"/>
        <w:ind w:firstLine="0" w:firstLineChars="0"/>
        <w:jc w:val="center"/>
        <w:textAlignment w:val="baseline"/>
        <w:rPr>
          <w:rFonts w:hint="default" w:ascii="Times New Roman" w:hAnsi="Times New Roman" w:cs="Times New Roman"/>
          <w:b/>
          <w:color w:val="auto"/>
          <w:spacing w:val="6"/>
          <w:kern w:val="0"/>
          <w:highlight w:val="none"/>
        </w:rPr>
      </w:pPr>
      <w:r>
        <w:rPr>
          <w:rFonts w:hint="default" w:ascii="Times New Roman" w:hAnsi="Times New Roman" w:cs="Times New Roman"/>
          <w:b/>
          <w:color w:val="auto"/>
          <w:highlight w:val="none"/>
        </w:rPr>
        <w:t>表8.3-2    运营期环境监测计划表</w:t>
      </w:r>
    </w:p>
    <w:tbl>
      <w:tblPr>
        <w:tblStyle w:val="33"/>
        <w:tblW w:w="90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80"/>
        <w:gridCol w:w="766"/>
        <w:gridCol w:w="2957"/>
        <w:gridCol w:w="4835"/>
      </w:tblGrid>
      <w:tr w14:paraId="5AE04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246" w:type="dxa"/>
            <w:gridSpan w:val="2"/>
            <w:vAlign w:val="center"/>
          </w:tcPr>
          <w:p w14:paraId="2C327F98">
            <w:pPr>
              <w:adjustRightIn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监测内容</w:t>
            </w:r>
          </w:p>
        </w:tc>
        <w:tc>
          <w:tcPr>
            <w:tcW w:w="2957" w:type="dxa"/>
            <w:vAlign w:val="center"/>
          </w:tcPr>
          <w:p w14:paraId="14DC1FC2">
            <w:pPr>
              <w:adjustRightIn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监测因子、频率</w:t>
            </w:r>
          </w:p>
        </w:tc>
        <w:tc>
          <w:tcPr>
            <w:tcW w:w="4835" w:type="dxa"/>
            <w:vAlign w:val="center"/>
          </w:tcPr>
          <w:p w14:paraId="18D2DD98">
            <w:pPr>
              <w:adjustRightIn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r>
      <w:tr w14:paraId="597F1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0" w:type="dxa"/>
            <w:vMerge w:val="restart"/>
            <w:vAlign w:val="center"/>
          </w:tcPr>
          <w:p w14:paraId="02471D9F">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生态景观监测</w:t>
            </w:r>
          </w:p>
        </w:tc>
        <w:tc>
          <w:tcPr>
            <w:tcW w:w="766" w:type="dxa"/>
            <w:vAlign w:val="center"/>
          </w:tcPr>
          <w:p w14:paraId="159D755B">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草地植被</w:t>
            </w:r>
          </w:p>
        </w:tc>
        <w:tc>
          <w:tcPr>
            <w:tcW w:w="2957" w:type="dxa"/>
            <w:vAlign w:val="center"/>
          </w:tcPr>
          <w:p w14:paraId="70C6AB27">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1.调查项目：植被类型、植物的种类、组成、高度、盖度、产量</w:t>
            </w:r>
          </w:p>
          <w:p w14:paraId="6B3EC72F">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2.调查频率：1次/年</w:t>
            </w:r>
          </w:p>
        </w:tc>
        <w:tc>
          <w:tcPr>
            <w:tcW w:w="4835" w:type="dxa"/>
            <w:vAlign w:val="center"/>
          </w:tcPr>
          <w:p w14:paraId="42FBA416">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进场道路两侧等布设3～5个调查点</w:t>
            </w:r>
          </w:p>
        </w:tc>
      </w:tr>
      <w:tr w14:paraId="31B8F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0" w:type="dxa"/>
            <w:vMerge w:val="continue"/>
            <w:vAlign w:val="center"/>
          </w:tcPr>
          <w:p w14:paraId="0644AACB">
            <w:pPr>
              <w:adjustRightInd w:val="0"/>
              <w:spacing w:line="360" w:lineRule="exact"/>
              <w:ind w:firstLine="0" w:firstLineChars="0"/>
              <w:jc w:val="center"/>
              <w:rPr>
                <w:rFonts w:hint="default" w:ascii="Times New Roman" w:hAnsi="Times New Roman" w:cs="Times New Roman"/>
                <w:color w:val="auto"/>
                <w:sz w:val="21"/>
                <w:szCs w:val="21"/>
                <w:highlight w:val="none"/>
              </w:rPr>
            </w:pPr>
          </w:p>
        </w:tc>
        <w:tc>
          <w:tcPr>
            <w:tcW w:w="766" w:type="dxa"/>
            <w:vAlign w:val="center"/>
          </w:tcPr>
          <w:p w14:paraId="21B421C1">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en-US"/>
              </w:rPr>
              <w:t>生物多样性</w:t>
            </w:r>
          </w:p>
        </w:tc>
        <w:tc>
          <w:tcPr>
            <w:tcW w:w="2957" w:type="dxa"/>
            <w:vAlign w:val="center"/>
          </w:tcPr>
          <w:p w14:paraId="755F7540">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1.调查项目：物种数</w:t>
            </w:r>
          </w:p>
          <w:p w14:paraId="1B4BFE85">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2.调查频率：1次/年</w:t>
            </w:r>
          </w:p>
        </w:tc>
        <w:tc>
          <w:tcPr>
            <w:tcW w:w="4835" w:type="dxa"/>
            <w:vAlign w:val="center"/>
          </w:tcPr>
          <w:p w14:paraId="0299EF00">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en-US"/>
              </w:rPr>
              <w:t>进场道路沿线</w:t>
            </w:r>
          </w:p>
        </w:tc>
      </w:tr>
      <w:tr w14:paraId="145F1E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0" w:type="dxa"/>
            <w:vMerge w:val="restart"/>
            <w:vAlign w:val="center"/>
          </w:tcPr>
          <w:p w14:paraId="779D2313">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大气环境监测</w:t>
            </w:r>
          </w:p>
        </w:tc>
        <w:tc>
          <w:tcPr>
            <w:tcW w:w="766" w:type="dxa"/>
            <w:vAlign w:val="center"/>
          </w:tcPr>
          <w:p w14:paraId="4677011D">
            <w:pPr>
              <w:pStyle w:val="31"/>
              <w:spacing w:after="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除尘器排口</w:t>
            </w:r>
          </w:p>
        </w:tc>
        <w:tc>
          <w:tcPr>
            <w:tcW w:w="2957" w:type="dxa"/>
            <w:vAlign w:val="center"/>
          </w:tcPr>
          <w:p w14:paraId="2260F3F0">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1.监测项目：PM</w:t>
            </w:r>
            <w:r>
              <w:rPr>
                <w:rFonts w:hint="default" w:ascii="Times New Roman" w:hAnsi="Times New Roman" w:cs="Times New Roman"/>
                <w:color w:val="auto"/>
                <w:sz w:val="21"/>
                <w:szCs w:val="21"/>
                <w:highlight w:val="none"/>
                <w:vertAlign w:val="subscript"/>
              </w:rPr>
              <w:t>10</w:t>
            </w:r>
          </w:p>
          <w:p w14:paraId="7D293D78">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2.监测频率：每季度一次。</w:t>
            </w:r>
          </w:p>
        </w:tc>
        <w:tc>
          <w:tcPr>
            <w:tcW w:w="4835" w:type="dxa"/>
            <w:vAlign w:val="center"/>
          </w:tcPr>
          <w:p w14:paraId="6054A4E0">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监测点：除尘器排口</w:t>
            </w:r>
          </w:p>
        </w:tc>
      </w:tr>
      <w:tr w14:paraId="5D514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80" w:type="dxa"/>
            <w:vMerge w:val="continue"/>
            <w:vAlign w:val="center"/>
          </w:tcPr>
          <w:p w14:paraId="18329C78">
            <w:pPr>
              <w:adjustRightInd w:val="0"/>
              <w:spacing w:line="360" w:lineRule="exact"/>
              <w:ind w:firstLine="0" w:firstLineChars="0"/>
              <w:jc w:val="center"/>
              <w:rPr>
                <w:rFonts w:hint="default" w:ascii="Times New Roman" w:hAnsi="Times New Roman" w:cs="Times New Roman"/>
                <w:color w:val="auto"/>
                <w:sz w:val="21"/>
                <w:szCs w:val="21"/>
                <w:highlight w:val="none"/>
              </w:rPr>
            </w:pPr>
          </w:p>
        </w:tc>
        <w:tc>
          <w:tcPr>
            <w:tcW w:w="766" w:type="dxa"/>
            <w:vAlign w:val="center"/>
          </w:tcPr>
          <w:p w14:paraId="1E0E7615">
            <w:pPr>
              <w:pStyle w:val="31"/>
              <w:spacing w:after="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2957" w:type="dxa"/>
            <w:vAlign w:val="center"/>
          </w:tcPr>
          <w:p w14:paraId="20C0EA55">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1.监测项目：TSP</w:t>
            </w:r>
          </w:p>
          <w:p w14:paraId="1CF133EC">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2.监测频率：每季度一次。</w:t>
            </w:r>
          </w:p>
        </w:tc>
        <w:tc>
          <w:tcPr>
            <w:tcW w:w="4835" w:type="dxa"/>
            <w:vAlign w:val="center"/>
          </w:tcPr>
          <w:p w14:paraId="22822734">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监测点：选矿厂</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尾矿库的</w:t>
            </w:r>
            <w:r>
              <w:rPr>
                <w:rFonts w:hint="default" w:ascii="Times New Roman" w:hAnsi="Times New Roman" w:cs="Times New Roman"/>
                <w:color w:val="auto"/>
                <w:sz w:val="21"/>
                <w:szCs w:val="21"/>
                <w:highlight w:val="none"/>
              </w:rPr>
              <w:t>上、下风向</w:t>
            </w:r>
          </w:p>
        </w:tc>
      </w:tr>
      <w:tr w14:paraId="3842EB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46" w:type="dxa"/>
            <w:gridSpan w:val="2"/>
            <w:vAlign w:val="center"/>
          </w:tcPr>
          <w:p w14:paraId="21B0723F">
            <w:pPr>
              <w:pStyle w:val="31"/>
              <w:spacing w:after="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地表水环境监测</w:t>
            </w:r>
          </w:p>
        </w:tc>
        <w:tc>
          <w:tcPr>
            <w:tcW w:w="2957" w:type="dxa"/>
            <w:vAlign w:val="center"/>
          </w:tcPr>
          <w:p w14:paraId="66D6549A">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1.监测项目：pH、化学需氧量、氨氮、石油类、硫化物、铁、铬（六价）、铅、镉、汞、砷等</w:t>
            </w:r>
          </w:p>
          <w:p w14:paraId="6BFEA0C6">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w:t>
            </w:r>
            <w:r>
              <w:rPr>
                <w:rFonts w:hint="default" w:cs="Times New Roman"/>
                <w:color w:val="auto"/>
                <w:sz w:val="21"/>
                <w:szCs w:val="21"/>
                <w:highlight w:val="none"/>
                <w:lang w:val="en-US" w:eastAsia="zh-CN"/>
              </w:rPr>
              <w:t>年</w:t>
            </w:r>
            <w:r>
              <w:rPr>
                <w:rFonts w:hint="default" w:ascii="Times New Roman" w:hAnsi="Times New Roman" w:cs="Times New Roman"/>
                <w:color w:val="auto"/>
                <w:sz w:val="21"/>
                <w:szCs w:val="21"/>
                <w:highlight w:val="none"/>
              </w:rPr>
              <w:t>一次</w:t>
            </w:r>
          </w:p>
        </w:tc>
        <w:tc>
          <w:tcPr>
            <w:tcW w:w="4835" w:type="dxa"/>
            <w:vAlign w:val="center"/>
          </w:tcPr>
          <w:p w14:paraId="43149142">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环境监测点：喀拉通克河左支一河</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在有水情况下</w:t>
            </w:r>
            <w:r>
              <w:rPr>
                <w:rFonts w:hint="default" w:cs="Times New Roman"/>
                <w:color w:val="auto"/>
                <w:sz w:val="21"/>
                <w:szCs w:val="21"/>
                <w:highlight w:val="none"/>
                <w:lang w:eastAsia="zh-CN"/>
              </w:rPr>
              <w:t>）</w:t>
            </w:r>
            <w:r>
              <w:rPr>
                <w:rFonts w:hint="default" w:ascii="Times New Roman" w:hAnsi="Times New Roman" w:cs="Times New Roman"/>
                <w:color w:val="auto"/>
                <w:sz w:val="21"/>
                <w:szCs w:val="21"/>
                <w:highlight w:val="none"/>
              </w:rPr>
              <w:t>及喀拉通克河水段项目区上游500m、项目区下游500m处。</w:t>
            </w:r>
          </w:p>
        </w:tc>
      </w:tr>
      <w:tr w14:paraId="68E0B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46" w:type="dxa"/>
            <w:gridSpan w:val="2"/>
            <w:vAlign w:val="center"/>
          </w:tcPr>
          <w:p w14:paraId="2FE9C700">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地下水环境监测</w:t>
            </w:r>
          </w:p>
        </w:tc>
        <w:tc>
          <w:tcPr>
            <w:tcW w:w="2957" w:type="dxa"/>
            <w:vAlign w:val="center"/>
          </w:tcPr>
          <w:p w14:paraId="10A5475B">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1.监测项目：pH、汞、铅、铬、镉、镍</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石油类、挥发酚</w:t>
            </w:r>
            <w:r>
              <w:rPr>
                <w:rFonts w:hint="default" w:ascii="Times New Roman" w:hAnsi="Times New Roman" w:cs="Times New Roman"/>
                <w:color w:val="auto"/>
                <w:sz w:val="21"/>
                <w:szCs w:val="21"/>
                <w:highlight w:val="none"/>
              </w:rPr>
              <w:t>等</w:t>
            </w:r>
          </w:p>
          <w:p w14:paraId="3961F090">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w:t>
            </w:r>
            <w:r>
              <w:rPr>
                <w:rFonts w:hint="default" w:cs="Times New Roman"/>
                <w:color w:val="auto"/>
                <w:sz w:val="21"/>
                <w:szCs w:val="21"/>
                <w:highlight w:val="none"/>
                <w:lang w:val="en-US" w:eastAsia="zh-CN"/>
              </w:rPr>
              <w:t>年二</w:t>
            </w:r>
            <w:r>
              <w:rPr>
                <w:rFonts w:hint="default" w:ascii="Times New Roman" w:hAnsi="Times New Roman" w:cs="Times New Roman"/>
                <w:color w:val="auto"/>
                <w:sz w:val="21"/>
                <w:szCs w:val="21"/>
                <w:highlight w:val="none"/>
              </w:rPr>
              <w:t>次。</w:t>
            </w:r>
          </w:p>
        </w:tc>
        <w:tc>
          <w:tcPr>
            <w:tcW w:w="4835" w:type="dxa"/>
            <w:vAlign w:val="center"/>
          </w:tcPr>
          <w:p w14:paraId="42B4349B">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环境监测点：</w:t>
            </w:r>
            <w:r>
              <w:rPr>
                <w:rFonts w:hint="default" w:cs="Times New Roman"/>
                <w:color w:val="auto"/>
                <w:sz w:val="21"/>
                <w:szCs w:val="21"/>
                <w:highlight w:val="none"/>
                <w:lang w:val="en-US" w:eastAsia="zh-CN"/>
              </w:rPr>
              <w:t>共5口。选矿厂上游1口（对照监测井）、尾矿库上游1口（污染扩散监测井）、尾矿库北侧1口（污染扩散监测井）、采矿区南侧1口（污染扩散监测井）</w:t>
            </w:r>
            <w:r>
              <w:rPr>
                <w:rFonts w:hint="default" w:ascii="Times New Roman" w:hAnsi="Times New Roman" w:cs="Times New Roman"/>
                <w:color w:val="auto"/>
                <w:sz w:val="21"/>
                <w:szCs w:val="21"/>
                <w:highlight w:val="none"/>
              </w:rPr>
              <w:t>、</w:t>
            </w:r>
            <w:r>
              <w:rPr>
                <w:rFonts w:hint="default" w:cs="Times New Roman"/>
                <w:color w:val="auto"/>
                <w:sz w:val="21"/>
                <w:szCs w:val="21"/>
                <w:highlight w:val="none"/>
                <w:lang w:val="en-US" w:eastAsia="zh-CN"/>
              </w:rPr>
              <w:t>尾矿库下游30~50m处</w:t>
            </w:r>
            <w:r>
              <w:rPr>
                <w:rFonts w:hint="default" w:ascii="Times New Roman" w:hAnsi="Times New Roman" w:cs="Times New Roman"/>
                <w:color w:val="auto"/>
                <w:sz w:val="21"/>
                <w:szCs w:val="21"/>
                <w:highlight w:val="none"/>
              </w:rPr>
              <w:t>1口</w:t>
            </w:r>
            <w:r>
              <w:rPr>
                <w:rFonts w:hint="default" w:cs="Times New Roman"/>
                <w:color w:val="auto"/>
                <w:sz w:val="21"/>
                <w:szCs w:val="21"/>
                <w:highlight w:val="none"/>
                <w:lang w:val="en-US" w:eastAsia="zh-CN"/>
              </w:rPr>
              <w:t>（污染扩散监测井）</w:t>
            </w:r>
            <w:r>
              <w:rPr>
                <w:rFonts w:hint="default" w:ascii="Times New Roman" w:hAnsi="Times New Roman" w:cs="Times New Roman"/>
                <w:color w:val="auto"/>
                <w:sz w:val="21"/>
                <w:szCs w:val="21"/>
                <w:highlight w:val="none"/>
              </w:rPr>
              <w:t>。</w:t>
            </w:r>
          </w:p>
        </w:tc>
      </w:tr>
      <w:tr w14:paraId="5B8BC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46" w:type="dxa"/>
            <w:gridSpan w:val="2"/>
            <w:vAlign w:val="center"/>
          </w:tcPr>
          <w:p w14:paraId="2EF61ACE">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声环境质量监测</w:t>
            </w:r>
          </w:p>
        </w:tc>
        <w:tc>
          <w:tcPr>
            <w:tcW w:w="2957" w:type="dxa"/>
            <w:vAlign w:val="center"/>
          </w:tcPr>
          <w:p w14:paraId="7DE5708F">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1.监测项目：厂界噪声</w:t>
            </w:r>
          </w:p>
          <w:p w14:paraId="174F57A4">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2.监测频率：1－2次/年，昼、夜各一次</w:t>
            </w:r>
          </w:p>
        </w:tc>
        <w:tc>
          <w:tcPr>
            <w:tcW w:w="4835" w:type="dxa"/>
            <w:vAlign w:val="center"/>
          </w:tcPr>
          <w:p w14:paraId="1BA0EA51">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尾矿库</w:t>
            </w:r>
            <w:r>
              <w:rPr>
                <w:rFonts w:hint="default" w:ascii="Times New Roman" w:hAnsi="Times New Roman" w:cs="Times New Roman"/>
                <w:color w:val="auto"/>
                <w:sz w:val="21"/>
                <w:szCs w:val="21"/>
                <w:highlight w:val="none"/>
              </w:rPr>
              <w:t>周界各布设4个监测点；</w:t>
            </w:r>
          </w:p>
        </w:tc>
      </w:tr>
      <w:tr w14:paraId="2692B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46" w:type="dxa"/>
            <w:gridSpan w:val="2"/>
            <w:vAlign w:val="center"/>
          </w:tcPr>
          <w:p w14:paraId="45AE530A">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土壤环境质量监测</w:t>
            </w:r>
          </w:p>
        </w:tc>
        <w:tc>
          <w:tcPr>
            <w:tcW w:w="2957" w:type="dxa"/>
            <w:vAlign w:val="center"/>
          </w:tcPr>
          <w:p w14:paraId="6C49C335">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1.监测项目：pH、砷、汞，铅、铬、镉、铜、锌、镍、硫化物等</w:t>
            </w:r>
          </w:p>
          <w:p w14:paraId="2CC4A4E1">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w:t>
            </w:r>
            <w:r>
              <w:rPr>
                <w:rFonts w:hint="default"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年一次</w:t>
            </w:r>
          </w:p>
        </w:tc>
        <w:tc>
          <w:tcPr>
            <w:tcW w:w="4835" w:type="dxa"/>
            <w:vAlign w:val="center"/>
          </w:tcPr>
          <w:p w14:paraId="0A3A2360">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选矿厂及尾矿库附近</w:t>
            </w:r>
          </w:p>
        </w:tc>
      </w:tr>
      <w:tr w14:paraId="1AE86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246" w:type="dxa"/>
            <w:gridSpan w:val="2"/>
            <w:vAlign w:val="center"/>
          </w:tcPr>
          <w:p w14:paraId="7D38C8D3">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生态恢复监管内容</w:t>
            </w:r>
          </w:p>
        </w:tc>
        <w:tc>
          <w:tcPr>
            <w:tcW w:w="2957" w:type="dxa"/>
            <w:vAlign w:val="center"/>
          </w:tcPr>
          <w:p w14:paraId="233ADA10">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24"/>
                <w:sz w:val="21"/>
                <w:szCs w:val="21"/>
                <w:highlight w:val="none"/>
              </w:rPr>
              <w:t>选矿厂、尾矿库的建设导致原有地形地貌发生变化，破坏了项目区地表植被和自然景观，同时也会影响物种的多样性，破坏原有的生态系统。</w:t>
            </w:r>
          </w:p>
        </w:tc>
        <w:tc>
          <w:tcPr>
            <w:tcW w:w="4835" w:type="dxa"/>
            <w:vAlign w:val="center"/>
          </w:tcPr>
          <w:p w14:paraId="542AA979">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4"/>
                <w:sz w:val="21"/>
                <w:szCs w:val="21"/>
                <w:highlight w:val="none"/>
              </w:rPr>
              <w:t>检查厂区周围、道路两侧绿化工作计划完成进度，以及水土流失的控制情况，并根据实际情况随时修正厂区生态恢复计划，保证各项计划落实到位。</w:t>
            </w:r>
          </w:p>
        </w:tc>
      </w:tr>
    </w:tbl>
    <w:p w14:paraId="496ECE08">
      <w:pPr>
        <w:pStyle w:val="3"/>
        <w:rPr>
          <w:rFonts w:hint="default" w:ascii="Times New Roman" w:hAnsi="Times New Roman" w:cs="Times New Roman"/>
          <w:color w:val="auto"/>
          <w:highlight w:val="none"/>
        </w:rPr>
      </w:pPr>
      <w:bookmarkStart w:id="1138" w:name="_Toc7201"/>
      <w:bookmarkStart w:id="1139" w:name="_Toc107413913"/>
      <w:bookmarkStart w:id="1140" w:name="_Toc107414680"/>
      <w:r>
        <w:rPr>
          <w:rFonts w:hint="default" w:ascii="Times New Roman" w:hAnsi="Times New Roman" w:cs="Times New Roman"/>
          <w:color w:val="auto"/>
          <w:highlight w:val="none"/>
        </w:rPr>
        <w:t>8.4环境管理措施及环保行动计划</w:t>
      </w:r>
      <w:bookmarkEnd w:id="1138"/>
      <w:bookmarkEnd w:id="1139"/>
      <w:bookmarkEnd w:id="1140"/>
    </w:p>
    <w:p w14:paraId="2FB3F14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本项目环境管理措施及环保行动计划见表8.4-1、8.4-2。</w:t>
      </w:r>
    </w:p>
    <w:p w14:paraId="797C436C">
      <w:pPr>
        <w:ind w:firstLine="0" w:firstLineChars="0"/>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表8.4-1    运营期环境管理措施</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25"/>
        <w:gridCol w:w="1148"/>
        <w:gridCol w:w="1747"/>
      </w:tblGrid>
      <w:tr w14:paraId="28CA4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625" w:type="dxa"/>
            <w:vAlign w:val="center"/>
          </w:tcPr>
          <w:p w14:paraId="3DC90E1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环境监控管理措施</w:t>
            </w:r>
          </w:p>
        </w:tc>
        <w:tc>
          <w:tcPr>
            <w:tcW w:w="1148" w:type="dxa"/>
            <w:vAlign w:val="center"/>
          </w:tcPr>
          <w:p w14:paraId="6B4679B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实施方</w:t>
            </w:r>
          </w:p>
        </w:tc>
        <w:tc>
          <w:tcPr>
            <w:tcW w:w="1747" w:type="dxa"/>
            <w:vAlign w:val="center"/>
          </w:tcPr>
          <w:p w14:paraId="1CA01DF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监督管理</w:t>
            </w:r>
          </w:p>
        </w:tc>
      </w:tr>
      <w:tr w14:paraId="71E5A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vAlign w:val="center"/>
          </w:tcPr>
          <w:p w14:paraId="678372D8">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（1）废气</w:t>
            </w:r>
          </w:p>
          <w:p w14:paraId="24B4829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①车间在上料工序的落料点设备和破碎设备上方安装集气罩，并配套安装袋式除尘器，车间安装排气筒。</w:t>
            </w:r>
          </w:p>
          <w:p w14:paraId="1FE29C2D">
            <w:pPr>
              <w:spacing w:line="360" w:lineRule="exact"/>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②在车间设置喷雾降尘</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原</w:t>
            </w:r>
            <w:r>
              <w:rPr>
                <w:rFonts w:hint="default" w:cs="Times New Roman"/>
                <w:color w:val="auto"/>
                <w:sz w:val="21"/>
                <w:szCs w:val="21"/>
                <w:highlight w:val="none"/>
                <w:lang w:eastAsia="zh-CN"/>
              </w:rPr>
              <w:t>矿堆场、精矿仓设置防风抑尘网、洒水降尘等抑尘措施；</w:t>
            </w:r>
            <w:r>
              <w:rPr>
                <w:rFonts w:hint="default" w:cs="Times New Roman"/>
                <w:color w:val="auto"/>
                <w:sz w:val="21"/>
                <w:szCs w:val="21"/>
                <w:highlight w:val="none"/>
                <w:lang w:val="en-US" w:eastAsia="zh-CN"/>
              </w:rPr>
              <w:t>尾矿库</w:t>
            </w:r>
            <w:r>
              <w:rPr>
                <w:rFonts w:hint="default" w:cs="Times New Roman"/>
                <w:color w:val="auto"/>
                <w:sz w:val="21"/>
                <w:szCs w:val="21"/>
                <w:highlight w:val="none"/>
                <w:lang w:eastAsia="zh-CN"/>
              </w:rPr>
              <w:t>喷洒生态高效抑制剂。</w:t>
            </w:r>
          </w:p>
          <w:p w14:paraId="3377ABB8">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③矿石装卸过程控制落差，降低扬尘量。</w:t>
            </w:r>
          </w:p>
          <w:p w14:paraId="13A7A477">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④矿区道路路面</w:t>
            </w:r>
            <w:r>
              <w:rPr>
                <w:rFonts w:hint="default" w:cs="Times New Roman"/>
                <w:color w:val="auto"/>
                <w:sz w:val="21"/>
                <w:szCs w:val="21"/>
                <w:highlight w:val="none"/>
                <w:lang w:eastAsia="zh-CN"/>
              </w:rPr>
              <w:t>做</w:t>
            </w:r>
            <w:r>
              <w:rPr>
                <w:rFonts w:hint="default" w:ascii="Times New Roman" w:hAnsi="Times New Roman" w:cs="Times New Roman"/>
                <w:color w:val="auto"/>
                <w:sz w:val="21"/>
                <w:szCs w:val="21"/>
                <w:highlight w:val="none"/>
              </w:rPr>
              <w:t>硬化处理及运输道路洒水。</w:t>
            </w:r>
          </w:p>
          <w:p w14:paraId="2B9D7C6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⑤加强工人的个人防护。</w:t>
            </w:r>
          </w:p>
          <w:p w14:paraId="5B6EAC41">
            <w:pPr>
              <w:spacing w:line="360" w:lineRule="exact"/>
              <w:ind w:firstLine="0" w:firstLineChars="0"/>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⑥</w:t>
            </w:r>
            <w:r>
              <w:rPr>
                <w:rFonts w:hint="default" w:ascii="Times New Roman" w:hAnsi="Times New Roman" w:cs="Times New Roman"/>
                <w:color w:val="auto"/>
                <w:sz w:val="21"/>
                <w:szCs w:val="21"/>
                <w:highlight w:val="none"/>
              </w:rPr>
              <w:t>定期进行监测。</w:t>
            </w:r>
          </w:p>
        </w:tc>
        <w:tc>
          <w:tcPr>
            <w:tcW w:w="1148" w:type="dxa"/>
            <w:vAlign w:val="center"/>
          </w:tcPr>
          <w:p w14:paraId="01DDF3C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747" w:type="dxa"/>
            <w:vAlign w:val="center"/>
          </w:tcPr>
          <w:p w14:paraId="2A1D8293">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阿勒泰地区生态环境局富蕴县分局</w:t>
            </w:r>
          </w:p>
        </w:tc>
      </w:tr>
      <w:tr w14:paraId="434FD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vAlign w:val="center"/>
          </w:tcPr>
          <w:p w14:paraId="1B6039C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（2）废水</w:t>
            </w:r>
          </w:p>
          <w:p w14:paraId="1368F1C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①本项目生产废水闭路循环，不外排。</w:t>
            </w:r>
          </w:p>
          <w:p w14:paraId="32ABC01D">
            <w:pPr>
              <w:spacing w:line="3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②生活污水排入地埋式一体化污水处理设施处理。</w:t>
            </w:r>
          </w:p>
        </w:tc>
        <w:tc>
          <w:tcPr>
            <w:tcW w:w="1148" w:type="dxa"/>
            <w:vAlign w:val="center"/>
          </w:tcPr>
          <w:p w14:paraId="13E30EC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747" w:type="dxa"/>
            <w:vAlign w:val="center"/>
          </w:tcPr>
          <w:p w14:paraId="0856E74D">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阿勒泰地区生态环境局富蕴县分局</w:t>
            </w:r>
          </w:p>
        </w:tc>
      </w:tr>
      <w:tr w14:paraId="2D3C5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vAlign w:val="center"/>
          </w:tcPr>
          <w:p w14:paraId="693AA86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（3）固体废物</w:t>
            </w:r>
          </w:p>
          <w:p w14:paraId="545580D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①一般固废合理堆放，尽量综合利用。</w:t>
            </w:r>
          </w:p>
          <w:p w14:paraId="72AFC9A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②生活垃圾集中收集清运。</w:t>
            </w:r>
          </w:p>
          <w:p w14:paraId="7D96E3CD">
            <w:pPr>
              <w:spacing w:line="3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③危废暂存于危废</w:t>
            </w:r>
            <w:r>
              <w:rPr>
                <w:rFonts w:hint="default" w:cs="Times New Roman"/>
                <w:color w:val="auto"/>
                <w:sz w:val="21"/>
                <w:szCs w:val="21"/>
                <w:highlight w:val="none"/>
                <w:lang w:val="en-US" w:eastAsia="zh-CN"/>
              </w:rPr>
              <w:t>贮存点</w:t>
            </w:r>
            <w:r>
              <w:rPr>
                <w:rFonts w:hint="default" w:ascii="Times New Roman" w:hAnsi="Times New Roman" w:cs="Times New Roman"/>
                <w:color w:val="auto"/>
                <w:sz w:val="21"/>
                <w:szCs w:val="21"/>
                <w:highlight w:val="none"/>
              </w:rPr>
              <w:t>，定期委托有资质的单位处置。</w:t>
            </w:r>
          </w:p>
        </w:tc>
        <w:tc>
          <w:tcPr>
            <w:tcW w:w="1148" w:type="dxa"/>
            <w:vAlign w:val="center"/>
          </w:tcPr>
          <w:p w14:paraId="7DF4209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747" w:type="dxa"/>
            <w:vAlign w:val="center"/>
          </w:tcPr>
          <w:p w14:paraId="46A0C23B">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阿勒泰地区生态环境局富蕴县分局</w:t>
            </w:r>
          </w:p>
        </w:tc>
      </w:tr>
      <w:tr w14:paraId="4FB47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vAlign w:val="center"/>
          </w:tcPr>
          <w:p w14:paraId="0207E4A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（4）噪声</w:t>
            </w:r>
          </w:p>
          <w:p w14:paraId="6E12EA67">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①选用低噪声设备及必要的消声措施。</w:t>
            </w:r>
          </w:p>
          <w:p w14:paraId="08528B6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②保持设备良好的运营工况，及时维修检修。</w:t>
            </w:r>
          </w:p>
          <w:p w14:paraId="2A5451E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③加强个人防护。</w:t>
            </w:r>
          </w:p>
        </w:tc>
        <w:tc>
          <w:tcPr>
            <w:tcW w:w="1148" w:type="dxa"/>
            <w:vAlign w:val="center"/>
          </w:tcPr>
          <w:p w14:paraId="0BD42F4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747" w:type="dxa"/>
            <w:vAlign w:val="center"/>
          </w:tcPr>
          <w:p w14:paraId="3805932A">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阿勒泰地区生态环境局富蕴县分局</w:t>
            </w:r>
          </w:p>
        </w:tc>
      </w:tr>
      <w:tr w14:paraId="0F795F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7" w:hRule="atLeast"/>
          <w:jc w:val="center"/>
        </w:trPr>
        <w:tc>
          <w:tcPr>
            <w:tcW w:w="5625" w:type="dxa"/>
            <w:vAlign w:val="center"/>
          </w:tcPr>
          <w:p w14:paraId="3761E39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（5）生态保护</w:t>
            </w:r>
          </w:p>
          <w:p w14:paraId="52D1FB1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①控制地表扰动面积。</w:t>
            </w:r>
          </w:p>
          <w:p w14:paraId="2C605BD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②限制车辆行驶路线，减小影响范围。</w:t>
            </w:r>
          </w:p>
          <w:p w14:paraId="295B5CC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③做好水土保持工作。</w:t>
            </w:r>
          </w:p>
          <w:p w14:paraId="569E539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④退役期尽快开展生态恢复建设工作。</w:t>
            </w:r>
          </w:p>
        </w:tc>
        <w:tc>
          <w:tcPr>
            <w:tcW w:w="1148" w:type="dxa"/>
            <w:vAlign w:val="center"/>
          </w:tcPr>
          <w:p w14:paraId="0BC0C7D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747" w:type="dxa"/>
            <w:vAlign w:val="center"/>
          </w:tcPr>
          <w:p w14:paraId="407C9D73">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阿勒泰地区生态环境局富蕴县分局</w:t>
            </w:r>
          </w:p>
        </w:tc>
      </w:tr>
      <w:tr w14:paraId="48487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vAlign w:val="center"/>
          </w:tcPr>
          <w:p w14:paraId="794EE9A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（6）安全措施</w:t>
            </w:r>
          </w:p>
          <w:p w14:paraId="1B8D7B1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尾矿库周边设置相应标识（安全警示牌、铁丝围栏等），避免事故发生。</w:t>
            </w:r>
          </w:p>
        </w:tc>
        <w:tc>
          <w:tcPr>
            <w:tcW w:w="1148" w:type="dxa"/>
            <w:vAlign w:val="center"/>
          </w:tcPr>
          <w:p w14:paraId="565ECDF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747" w:type="dxa"/>
            <w:vAlign w:val="center"/>
          </w:tcPr>
          <w:p w14:paraId="6A117350">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阿勒泰地区生态环境局富蕴县分局</w:t>
            </w:r>
          </w:p>
        </w:tc>
      </w:tr>
      <w:tr w14:paraId="4675E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vAlign w:val="center"/>
          </w:tcPr>
          <w:p w14:paraId="5D27D0F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（7）环境管理</w:t>
            </w:r>
          </w:p>
          <w:p w14:paraId="690124F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建立环境管理，制定环境管理手段，按要求开展环境监测，完善矿区环境管理工作。按照《生态环境档案管理规范 生态环境监测》（HJ8.2-2020）中相关要求，建立生态环境档案。</w:t>
            </w:r>
          </w:p>
        </w:tc>
        <w:tc>
          <w:tcPr>
            <w:tcW w:w="1148" w:type="dxa"/>
            <w:vAlign w:val="center"/>
          </w:tcPr>
          <w:p w14:paraId="792FEB2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747" w:type="dxa"/>
            <w:vAlign w:val="center"/>
          </w:tcPr>
          <w:p w14:paraId="74B31EDB">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eastAsia="zh-CN"/>
              </w:rPr>
              <w:t>阿勒泰地区生态环境局富蕴县分局</w:t>
            </w:r>
          </w:p>
        </w:tc>
      </w:tr>
    </w:tbl>
    <w:p w14:paraId="219CF624">
      <w:pPr>
        <w:ind w:firstLine="0" w:firstLineChars="0"/>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表8.4-2    环保行动计划</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080"/>
        <w:gridCol w:w="4485"/>
        <w:gridCol w:w="1144"/>
        <w:gridCol w:w="962"/>
      </w:tblGrid>
      <w:tr w14:paraId="647A2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14:paraId="2FF8E357">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时段</w:t>
            </w:r>
          </w:p>
        </w:tc>
        <w:tc>
          <w:tcPr>
            <w:tcW w:w="1080" w:type="dxa"/>
            <w:vAlign w:val="center"/>
          </w:tcPr>
          <w:p w14:paraId="4BDD89F3">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环境问题</w:t>
            </w:r>
          </w:p>
        </w:tc>
        <w:tc>
          <w:tcPr>
            <w:tcW w:w="4485" w:type="dxa"/>
            <w:vAlign w:val="center"/>
          </w:tcPr>
          <w:p w14:paraId="5DCCA7F1">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环境保护措施</w:t>
            </w:r>
          </w:p>
        </w:tc>
        <w:tc>
          <w:tcPr>
            <w:tcW w:w="1144" w:type="dxa"/>
            <w:vAlign w:val="center"/>
          </w:tcPr>
          <w:p w14:paraId="18A77EBD">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实施责任单位</w:t>
            </w:r>
          </w:p>
        </w:tc>
        <w:tc>
          <w:tcPr>
            <w:tcW w:w="962" w:type="dxa"/>
            <w:vAlign w:val="center"/>
          </w:tcPr>
          <w:p w14:paraId="3E63A753">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监督责任单位</w:t>
            </w:r>
          </w:p>
        </w:tc>
      </w:tr>
      <w:tr w14:paraId="40474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14:paraId="082E88E9">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运营期</w:t>
            </w:r>
          </w:p>
        </w:tc>
        <w:tc>
          <w:tcPr>
            <w:tcW w:w="1080" w:type="dxa"/>
            <w:vAlign w:val="center"/>
          </w:tcPr>
          <w:p w14:paraId="2C55C40E">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w:t>
            </w:r>
          </w:p>
        </w:tc>
        <w:tc>
          <w:tcPr>
            <w:tcW w:w="4485" w:type="dxa"/>
            <w:vAlign w:val="center"/>
          </w:tcPr>
          <w:p w14:paraId="2E30BD1D">
            <w:pPr>
              <w:spacing w:line="360" w:lineRule="exact"/>
              <w:ind w:firstLine="0" w:firstLineChars="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1.对进入厂区的一切人员严格要求，不得随意乱扔垃圾</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不得破坏植被，不得猎杀动物</w:t>
            </w:r>
            <w:r>
              <w:rPr>
                <w:rFonts w:hint="default" w:ascii="Times New Roman" w:hAnsi="Times New Roman" w:cs="Times New Roman" w:eastAsiaTheme="minorEastAsia"/>
                <w:color w:val="auto"/>
                <w:sz w:val="21"/>
                <w:szCs w:val="21"/>
                <w:highlight w:val="none"/>
              </w:rPr>
              <w:t>；</w:t>
            </w:r>
          </w:p>
          <w:p w14:paraId="5BB459E2">
            <w:pPr>
              <w:spacing w:line="360" w:lineRule="exact"/>
              <w:ind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2.对于工程运营期产生的固废和生活垃圾等都要进行定点处理排放，最大限度</w:t>
            </w:r>
            <w:r>
              <w:rPr>
                <w:rFonts w:hint="default" w:cs="Times New Roman" w:eastAsiaTheme="minorEastAsia"/>
                <w:color w:val="auto"/>
                <w:sz w:val="21"/>
                <w:szCs w:val="21"/>
                <w:highlight w:val="none"/>
                <w:lang w:eastAsia="zh-CN"/>
              </w:rPr>
              <w:t>地</w:t>
            </w:r>
            <w:r>
              <w:rPr>
                <w:rFonts w:hint="default" w:ascii="Times New Roman" w:hAnsi="Times New Roman" w:cs="Times New Roman" w:eastAsiaTheme="minorEastAsia"/>
                <w:color w:val="auto"/>
                <w:sz w:val="21"/>
                <w:szCs w:val="21"/>
                <w:highlight w:val="none"/>
              </w:rPr>
              <w:t>保护</w:t>
            </w:r>
            <w:r>
              <w:rPr>
                <w:rFonts w:hint="default" w:cs="Times New Roman" w:eastAsiaTheme="minorEastAsia"/>
                <w:color w:val="auto"/>
                <w:sz w:val="21"/>
                <w:szCs w:val="21"/>
                <w:highlight w:val="none"/>
                <w:lang w:eastAsia="zh-CN"/>
              </w:rPr>
              <w:t>项目区</w:t>
            </w:r>
            <w:r>
              <w:rPr>
                <w:rFonts w:hint="default" w:ascii="Times New Roman" w:hAnsi="Times New Roman" w:cs="Times New Roman" w:eastAsiaTheme="minorEastAsia"/>
                <w:color w:val="auto"/>
                <w:sz w:val="21"/>
                <w:szCs w:val="21"/>
                <w:highlight w:val="none"/>
              </w:rPr>
              <w:t>的周围环境</w:t>
            </w:r>
            <w:r>
              <w:rPr>
                <w:rFonts w:hint="default" w:cs="Times New Roman" w:eastAsiaTheme="minorEastAsia"/>
                <w:color w:val="auto"/>
                <w:sz w:val="21"/>
                <w:szCs w:val="21"/>
                <w:highlight w:val="none"/>
                <w:lang w:eastAsia="zh-CN"/>
              </w:rPr>
              <w:t>。</w:t>
            </w:r>
          </w:p>
        </w:tc>
        <w:tc>
          <w:tcPr>
            <w:tcW w:w="1144" w:type="dxa"/>
            <w:vAlign w:val="center"/>
          </w:tcPr>
          <w:p w14:paraId="71360F50">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建设单位</w:t>
            </w:r>
          </w:p>
        </w:tc>
        <w:tc>
          <w:tcPr>
            <w:tcW w:w="962" w:type="dxa"/>
            <w:vMerge w:val="restart"/>
            <w:vAlign w:val="center"/>
          </w:tcPr>
          <w:p w14:paraId="44EC4774">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cs="Times New Roman"/>
                <w:color w:val="auto"/>
                <w:sz w:val="21"/>
                <w:szCs w:val="21"/>
                <w:highlight w:val="none"/>
                <w:lang w:eastAsia="zh-CN"/>
              </w:rPr>
              <w:t>阿勒泰地区生态环境局富蕴县分局</w:t>
            </w:r>
          </w:p>
        </w:tc>
      </w:tr>
      <w:tr w14:paraId="3C14A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14:paraId="674B315A">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退役期</w:t>
            </w:r>
          </w:p>
        </w:tc>
        <w:tc>
          <w:tcPr>
            <w:tcW w:w="1080" w:type="dxa"/>
            <w:vAlign w:val="center"/>
          </w:tcPr>
          <w:p w14:paraId="69B483CA">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w:t>
            </w:r>
          </w:p>
        </w:tc>
        <w:tc>
          <w:tcPr>
            <w:tcW w:w="4485" w:type="dxa"/>
            <w:vAlign w:val="center"/>
          </w:tcPr>
          <w:p w14:paraId="5B263F32">
            <w:pPr>
              <w:spacing w:line="360" w:lineRule="exact"/>
              <w:ind w:firstLine="0" w:firstLineChars="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选矿厂及尾矿库生态恢复及绿化</w:t>
            </w:r>
          </w:p>
        </w:tc>
        <w:tc>
          <w:tcPr>
            <w:tcW w:w="1144" w:type="dxa"/>
            <w:vAlign w:val="center"/>
          </w:tcPr>
          <w:p w14:paraId="1E20988C">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建设单位</w:t>
            </w:r>
          </w:p>
        </w:tc>
        <w:tc>
          <w:tcPr>
            <w:tcW w:w="962" w:type="dxa"/>
            <w:vMerge w:val="continue"/>
            <w:vAlign w:val="center"/>
          </w:tcPr>
          <w:p w14:paraId="0DB9A626">
            <w:pPr>
              <w:spacing w:line="360" w:lineRule="exact"/>
              <w:ind w:firstLine="0" w:firstLineChars="0"/>
              <w:jc w:val="center"/>
              <w:rPr>
                <w:rFonts w:hint="default" w:ascii="Times New Roman" w:hAnsi="Times New Roman" w:cs="Times New Roman" w:eastAsiaTheme="minorEastAsia"/>
                <w:color w:val="auto"/>
                <w:sz w:val="21"/>
                <w:szCs w:val="21"/>
                <w:highlight w:val="none"/>
              </w:rPr>
            </w:pPr>
          </w:p>
        </w:tc>
      </w:tr>
    </w:tbl>
    <w:p w14:paraId="0457E572">
      <w:pPr>
        <w:pStyle w:val="3"/>
        <w:rPr>
          <w:rFonts w:hint="default" w:ascii="Times New Roman" w:hAnsi="Times New Roman" w:cs="Times New Roman"/>
          <w:color w:val="auto"/>
          <w:highlight w:val="none"/>
        </w:rPr>
      </w:pPr>
      <w:bookmarkStart w:id="1141" w:name="_Toc13041"/>
      <w:bookmarkStart w:id="1142" w:name="_Toc107414681"/>
      <w:bookmarkStart w:id="1143" w:name="_Toc107413914"/>
      <w:r>
        <w:rPr>
          <w:rFonts w:hint="default" w:ascii="Times New Roman" w:hAnsi="Times New Roman" w:cs="Times New Roman"/>
          <w:color w:val="auto"/>
          <w:highlight w:val="none"/>
        </w:rPr>
        <w:t>8.5环境保护竣工验收计划</w:t>
      </w:r>
      <w:bookmarkEnd w:id="1141"/>
      <w:bookmarkEnd w:id="1142"/>
      <w:bookmarkEnd w:id="1143"/>
    </w:p>
    <w:p w14:paraId="2F703AEA">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“三同时”验收针对本项目环保设施进行验收，验收内容见表8.5-1。</w:t>
      </w:r>
    </w:p>
    <w:p w14:paraId="70F739F4">
      <w:pPr>
        <w:ind w:firstLine="0" w:firstLineChars="0"/>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表8.5-1    环境保护“三同时”验收一览表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434"/>
        <w:gridCol w:w="1621"/>
        <w:gridCol w:w="1589"/>
        <w:gridCol w:w="527"/>
        <w:gridCol w:w="597"/>
        <w:gridCol w:w="3324"/>
      </w:tblGrid>
      <w:tr w14:paraId="178F19D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250" w:type="pct"/>
            <w:vAlign w:val="center"/>
          </w:tcPr>
          <w:p w14:paraId="799F839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工段</w:t>
            </w:r>
          </w:p>
        </w:tc>
        <w:tc>
          <w:tcPr>
            <w:tcW w:w="255" w:type="pct"/>
            <w:vAlign w:val="center"/>
          </w:tcPr>
          <w:p w14:paraId="10C9316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951" w:type="pct"/>
            <w:vAlign w:val="center"/>
          </w:tcPr>
          <w:p w14:paraId="171113D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932" w:type="pct"/>
            <w:vAlign w:val="center"/>
          </w:tcPr>
          <w:p w14:paraId="7C23303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环保设施</w:t>
            </w:r>
          </w:p>
        </w:tc>
        <w:tc>
          <w:tcPr>
            <w:tcW w:w="309" w:type="pct"/>
            <w:vAlign w:val="center"/>
          </w:tcPr>
          <w:p w14:paraId="79EE77E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数量</w:t>
            </w:r>
          </w:p>
        </w:tc>
        <w:tc>
          <w:tcPr>
            <w:tcW w:w="350" w:type="pct"/>
            <w:vAlign w:val="center"/>
          </w:tcPr>
          <w:p w14:paraId="1CF90F5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治理对象</w:t>
            </w:r>
          </w:p>
        </w:tc>
        <w:tc>
          <w:tcPr>
            <w:tcW w:w="1949" w:type="pct"/>
            <w:vAlign w:val="center"/>
          </w:tcPr>
          <w:p w14:paraId="182A43D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效果及要求</w:t>
            </w:r>
          </w:p>
        </w:tc>
      </w:tr>
      <w:tr w14:paraId="18A73D6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restart"/>
            <w:vAlign w:val="center"/>
          </w:tcPr>
          <w:p w14:paraId="6EBC105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255" w:type="pct"/>
            <w:vMerge w:val="restart"/>
            <w:vAlign w:val="center"/>
          </w:tcPr>
          <w:p w14:paraId="3476C68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951" w:type="pct"/>
            <w:vAlign w:val="center"/>
          </w:tcPr>
          <w:p w14:paraId="1B5029C6">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粗碎厂房</w:t>
            </w:r>
            <w:r>
              <w:rPr>
                <w:rFonts w:hint="default" w:ascii="Times New Roman" w:hAnsi="Times New Roman" w:cs="Times New Roman"/>
                <w:color w:val="auto"/>
                <w:sz w:val="21"/>
                <w:szCs w:val="21"/>
                <w:highlight w:val="none"/>
              </w:rPr>
              <w:t>排气筒（P1）</w:t>
            </w:r>
          </w:p>
        </w:tc>
        <w:tc>
          <w:tcPr>
            <w:tcW w:w="932" w:type="pct"/>
            <w:tcBorders>
              <w:bottom w:val="single" w:color="000000" w:sz="4" w:space="0"/>
            </w:tcBorders>
            <w:vAlign w:val="center"/>
          </w:tcPr>
          <w:p w14:paraId="66FD278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m排气筒</w:t>
            </w:r>
          </w:p>
        </w:tc>
        <w:tc>
          <w:tcPr>
            <w:tcW w:w="309" w:type="pct"/>
            <w:vAlign w:val="center"/>
          </w:tcPr>
          <w:p w14:paraId="704D166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1套</w:t>
            </w:r>
          </w:p>
        </w:tc>
        <w:tc>
          <w:tcPr>
            <w:tcW w:w="350" w:type="pct"/>
            <w:vAlign w:val="center"/>
          </w:tcPr>
          <w:p w14:paraId="5E3C660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val="en-US" w:eastAsia="zh-CN"/>
              </w:rPr>
              <w:t>颗粒物</w:t>
            </w:r>
          </w:p>
        </w:tc>
        <w:tc>
          <w:tcPr>
            <w:tcW w:w="1949" w:type="pct"/>
            <w:vMerge w:val="restart"/>
            <w:vAlign w:val="center"/>
          </w:tcPr>
          <w:p w14:paraId="086007D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r>
      <w:tr w14:paraId="4D0F2DC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0CF4965A">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61CCFF40">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vAlign w:val="center"/>
          </w:tcPr>
          <w:p w14:paraId="62540A13">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中细碎厂房</w:t>
            </w:r>
            <w:r>
              <w:rPr>
                <w:rFonts w:hint="default" w:ascii="Times New Roman" w:hAnsi="Times New Roman" w:cs="Times New Roman"/>
                <w:color w:val="auto"/>
                <w:sz w:val="21"/>
                <w:szCs w:val="21"/>
                <w:highlight w:val="none"/>
              </w:rPr>
              <w:t>排气筒（P2）</w:t>
            </w:r>
          </w:p>
        </w:tc>
        <w:tc>
          <w:tcPr>
            <w:tcW w:w="932" w:type="pct"/>
            <w:tcBorders>
              <w:bottom w:val="single" w:color="000000" w:sz="4" w:space="0"/>
            </w:tcBorders>
            <w:vAlign w:val="center"/>
          </w:tcPr>
          <w:p w14:paraId="1552C40D">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m排气筒</w:t>
            </w:r>
          </w:p>
        </w:tc>
        <w:tc>
          <w:tcPr>
            <w:tcW w:w="309" w:type="pct"/>
            <w:vAlign w:val="center"/>
          </w:tcPr>
          <w:p w14:paraId="001952A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1套</w:t>
            </w:r>
          </w:p>
        </w:tc>
        <w:tc>
          <w:tcPr>
            <w:tcW w:w="350" w:type="pct"/>
            <w:vAlign w:val="center"/>
          </w:tcPr>
          <w:p w14:paraId="45F49EBB">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颗粒物</w:t>
            </w:r>
          </w:p>
        </w:tc>
        <w:tc>
          <w:tcPr>
            <w:tcW w:w="1949" w:type="pct"/>
            <w:vMerge w:val="continue"/>
            <w:vAlign w:val="center"/>
          </w:tcPr>
          <w:p w14:paraId="72B93BA3">
            <w:pPr>
              <w:spacing w:line="360" w:lineRule="exact"/>
              <w:ind w:firstLine="0" w:firstLineChars="0"/>
              <w:jc w:val="center"/>
              <w:rPr>
                <w:rFonts w:hint="default" w:ascii="Times New Roman" w:hAnsi="Times New Roman" w:cs="Times New Roman"/>
                <w:color w:val="auto"/>
                <w:sz w:val="21"/>
                <w:szCs w:val="21"/>
                <w:highlight w:val="none"/>
              </w:rPr>
            </w:pPr>
          </w:p>
        </w:tc>
      </w:tr>
      <w:tr w14:paraId="571D261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7D2C0AFF">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68EFFABD">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vAlign w:val="center"/>
          </w:tcPr>
          <w:p w14:paraId="11A34CA8">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筛分厂房</w:t>
            </w:r>
            <w:r>
              <w:rPr>
                <w:rFonts w:hint="default" w:ascii="Times New Roman" w:hAnsi="Times New Roman" w:cs="Times New Roman"/>
                <w:bCs/>
                <w:color w:val="auto"/>
                <w:sz w:val="21"/>
                <w:szCs w:val="21"/>
                <w:highlight w:val="none"/>
              </w:rPr>
              <w:t>排气筒（P3）</w:t>
            </w:r>
          </w:p>
        </w:tc>
        <w:tc>
          <w:tcPr>
            <w:tcW w:w="932" w:type="pct"/>
            <w:tcBorders>
              <w:top w:val="single" w:color="auto" w:sz="4" w:space="0"/>
              <w:bottom w:val="single" w:color="000000" w:sz="4" w:space="0"/>
            </w:tcBorders>
            <w:vAlign w:val="center"/>
          </w:tcPr>
          <w:p w14:paraId="7CB77A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m排气筒</w:t>
            </w:r>
          </w:p>
        </w:tc>
        <w:tc>
          <w:tcPr>
            <w:tcW w:w="309" w:type="pct"/>
            <w:tcBorders>
              <w:bottom w:val="single" w:color="000000" w:sz="4" w:space="0"/>
            </w:tcBorders>
            <w:vAlign w:val="center"/>
          </w:tcPr>
          <w:p w14:paraId="4C0EA4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1套</w:t>
            </w:r>
          </w:p>
        </w:tc>
        <w:tc>
          <w:tcPr>
            <w:tcW w:w="350" w:type="pct"/>
            <w:tcBorders>
              <w:bottom w:val="single" w:color="000000" w:sz="4" w:space="0"/>
            </w:tcBorders>
            <w:vAlign w:val="center"/>
          </w:tcPr>
          <w:p w14:paraId="6315C5C5">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颗粒物</w:t>
            </w:r>
          </w:p>
        </w:tc>
        <w:tc>
          <w:tcPr>
            <w:tcW w:w="1949" w:type="pct"/>
            <w:vMerge w:val="continue"/>
            <w:vAlign w:val="center"/>
          </w:tcPr>
          <w:p w14:paraId="6C5448E5">
            <w:pPr>
              <w:spacing w:line="360" w:lineRule="exact"/>
              <w:ind w:firstLine="0" w:firstLineChars="0"/>
              <w:jc w:val="center"/>
              <w:rPr>
                <w:rFonts w:hint="default" w:ascii="Times New Roman" w:hAnsi="Times New Roman" w:cs="Times New Roman"/>
                <w:color w:val="auto"/>
                <w:sz w:val="21"/>
                <w:szCs w:val="21"/>
                <w:highlight w:val="none"/>
              </w:rPr>
            </w:pPr>
          </w:p>
        </w:tc>
      </w:tr>
      <w:tr w14:paraId="2C2431A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6F620B0C">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3498F30F">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vAlign w:val="center"/>
          </w:tcPr>
          <w:p w14:paraId="07E1D9AD">
            <w:pPr>
              <w:spacing w:line="360" w:lineRule="exact"/>
              <w:ind w:firstLine="0" w:firstLineChars="0"/>
              <w:jc w:val="center"/>
              <w:rPr>
                <w:rFonts w:hint="default" w:ascii="Times New Roman" w:hAnsi="Times New Roman" w:eastAsia="宋体" w:cs="Times New Roman"/>
                <w:color w:val="auto"/>
                <w:spacing w:val="-2"/>
                <w:sz w:val="21"/>
                <w:szCs w:val="21"/>
                <w:highlight w:val="none"/>
                <w:lang w:val="en-US" w:eastAsia="zh-CN"/>
              </w:rPr>
            </w:pPr>
            <w:r>
              <w:rPr>
                <w:rFonts w:hint="default" w:cs="Times New Roman"/>
                <w:color w:val="auto"/>
                <w:spacing w:val="-2"/>
                <w:sz w:val="21"/>
                <w:szCs w:val="21"/>
                <w:highlight w:val="none"/>
                <w:lang w:val="en-US" w:eastAsia="zh-CN"/>
              </w:rPr>
              <w:t>粉矿仓排气筒（P4）</w:t>
            </w:r>
          </w:p>
        </w:tc>
        <w:tc>
          <w:tcPr>
            <w:tcW w:w="932" w:type="pct"/>
            <w:tcBorders>
              <w:top w:val="single" w:color="auto" w:sz="4" w:space="0"/>
              <w:bottom w:val="single" w:color="000000" w:sz="4" w:space="0"/>
            </w:tcBorders>
            <w:vAlign w:val="center"/>
          </w:tcPr>
          <w:p w14:paraId="3DE3FC51">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仓顶排放（15m高）</w:t>
            </w:r>
          </w:p>
        </w:tc>
        <w:tc>
          <w:tcPr>
            <w:tcW w:w="309" w:type="pct"/>
            <w:tcBorders>
              <w:bottom w:val="single" w:color="000000" w:sz="4" w:space="0"/>
            </w:tcBorders>
            <w:shd w:val="clear" w:color="auto" w:fill="auto"/>
            <w:vAlign w:val="center"/>
          </w:tcPr>
          <w:p w14:paraId="3D772C34">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1套</w:t>
            </w:r>
          </w:p>
        </w:tc>
        <w:tc>
          <w:tcPr>
            <w:tcW w:w="350" w:type="pct"/>
            <w:tcBorders>
              <w:bottom w:val="single" w:color="000000" w:sz="4" w:space="0"/>
            </w:tcBorders>
            <w:shd w:val="clear" w:color="auto" w:fill="auto"/>
            <w:vAlign w:val="center"/>
          </w:tcPr>
          <w:p w14:paraId="421745EB">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颗粒物</w:t>
            </w:r>
          </w:p>
        </w:tc>
        <w:tc>
          <w:tcPr>
            <w:tcW w:w="1949" w:type="pct"/>
            <w:vMerge w:val="continue"/>
            <w:vAlign w:val="center"/>
          </w:tcPr>
          <w:p w14:paraId="6F5F0B41">
            <w:pPr>
              <w:spacing w:line="360" w:lineRule="exact"/>
              <w:ind w:firstLine="0" w:firstLineChars="0"/>
              <w:jc w:val="center"/>
              <w:rPr>
                <w:rFonts w:hint="default" w:ascii="Times New Roman" w:hAnsi="Times New Roman" w:cs="Times New Roman"/>
                <w:color w:val="auto"/>
                <w:sz w:val="21"/>
                <w:szCs w:val="21"/>
                <w:highlight w:val="none"/>
              </w:rPr>
            </w:pPr>
          </w:p>
        </w:tc>
      </w:tr>
      <w:tr w14:paraId="5B1ADF6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041674A6">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346C7FE8">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vAlign w:val="center"/>
          </w:tcPr>
          <w:p w14:paraId="545D65F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运输扬尘</w:t>
            </w:r>
          </w:p>
        </w:tc>
        <w:tc>
          <w:tcPr>
            <w:tcW w:w="932" w:type="pct"/>
            <w:tcBorders>
              <w:top w:val="single" w:color="auto" w:sz="4" w:space="0"/>
              <w:bottom w:val="single" w:color="000000" w:sz="4" w:space="0"/>
            </w:tcBorders>
            <w:vAlign w:val="center"/>
          </w:tcPr>
          <w:p w14:paraId="22455ED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洒水降尘</w:t>
            </w:r>
          </w:p>
        </w:tc>
        <w:tc>
          <w:tcPr>
            <w:tcW w:w="309" w:type="pct"/>
            <w:tcBorders>
              <w:bottom w:val="single" w:color="000000" w:sz="4" w:space="0"/>
            </w:tcBorders>
            <w:vAlign w:val="center"/>
          </w:tcPr>
          <w:p w14:paraId="0CF57FF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tcBorders>
              <w:bottom w:val="single" w:color="000000" w:sz="4" w:space="0"/>
            </w:tcBorders>
            <w:vAlign w:val="center"/>
          </w:tcPr>
          <w:p w14:paraId="3379BE3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运输扬尘</w:t>
            </w:r>
          </w:p>
        </w:tc>
        <w:tc>
          <w:tcPr>
            <w:tcW w:w="1949" w:type="pct"/>
            <w:vMerge w:val="restart"/>
            <w:vAlign w:val="center"/>
          </w:tcPr>
          <w:p w14:paraId="5BDCBF8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r>
      <w:tr w14:paraId="28A36F9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1ABFE117">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5542A750">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vAlign w:val="center"/>
          </w:tcPr>
          <w:p w14:paraId="53789A5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破碎筛分</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原矿仓扬尘、</w:t>
            </w:r>
            <w:r>
              <w:rPr>
                <w:rFonts w:hint="default" w:ascii="Times New Roman" w:hAnsi="Times New Roman" w:cs="Times New Roman"/>
                <w:color w:val="auto"/>
                <w:sz w:val="21"/>
                <w:szCs w:val="21"/>
                <w:highlight w:val="none"/>
              </w:rPr>
              <w:t>尾矿库</w:t>
            </w:r>
            <w:r>
              <w:rPr>
                <w:rFonts w:hint="default" w:ascii="Times New Roman" w:hAnsi="Times New Roman" w:cs="Times New Roman"/>
                <w:color w:val="auto"/>
                <w:sz w:val="21"/>
                <w:szCs w:val="21"/>
                <w:highlight w:val="none"/>
                <w:lang w:eastAsia="zh-CN"/>
              </w:rPr>
              <w:t>扬尘</w:t>
            </w:r>
            <w:r>
              <w:rPr>
                <w:rFonts w:hint="default" w:ascii="Times New Roman" w:hAnsi="Times New Roman" w:cs="Times New Roman"/>
                <w:color w:val="auto"/>
                <w:sz w:val="21"/>
                <w:szCs w:val="21"/>
                <w:highlight w:val="none"/>
              </w:rPr>
              <w:t>等</w:t>
            </w:r>
          </w:p>
        </w:tc>
        <w:tc>
          <w:tcPr>
            <w:tcW w:w="932" w:type="pct"/>
            <w:tcBorders>
              <w:top w:val="single" w:color="auto" w:sz="4" w:space="0"/>
              <w:bottom w:val="single" w:color="000000" w:sz="4" w:space="0"/>
            </w:tcBorders>
            <w:vAlign w:val="center"/>
          </w:tcPr>
          <w:p w14:paraId="4537509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在车间设置喷雾降尘</w:t>
            </w:r>
            <w:r>
              <w:rPr>
                <w:rFonts w:hint="default" w:cs="Times New Roman"/>
                <w:color w:val="auto"/>
                <w:sz w:val="21"/>
                <w:szCs w:val="21"/>
                <w:highlight w:val="none"/>
                <w:lang w:eastAsia="zh-CN"/>
              </w:rPr>
              <w:t>；</w:t>
            </w:r>
            <w:r>
              <w:rPr>
                <w:rFonts w:hint="default" w:cs="Times New Roman"/>
                <w:color w:val="auto"/>
                <w:sz w:val="21"/>
                <w:szCs w:val="21"/>
                <w:highlight w:val="none"/>
                <w:lang w:val="en-US" w:eastAsia="zh-CN"/>
              </w:rPr>
              <w:t>原</w:t>
            </w:r>
            <w:r>
              <w:rPr>
                <w:rFonts w:hint="default" w:cs="Times New Roman"/>
                <w:color w:val="auto"/>
                <w:sz w:val="21"/>
                <w:szCs w:val="21"/>
                <w:highlight w:val="none"/>
                <w:lang w:eastAsia="zh-CN"/>
              </w:rPr>
              <w:t>矿堆场、精矿仓设置防风抑尘网、洒水降尘等抑尘措施；</w:t>
            </w:r>
            <w:r>
              <w:rPr>
                <w:rFonts w:hint="default" w:cs="Times New Roman"/>
                <w:color w:val="auto"/>
                <w:sz w:val="21"/>
                <w:szCs w:val="21"/>
                <w:highlight w:val="none"/>
                <w:lang w:val="en-US" w:eastAsia="zh-CN"/>
              </w:rPr>
              <w:t>尾矿库</w:t>
            </w:r>
            <w:r>
              <w:rPr>
                <w:rFonts w:hint="default" w:cs="Times New Roman"/>
                <w:color w:val="auto"/>
                <w:sz w:val="21"/>
                <w:szCs w:val="21"/>
                <w:highlight w:val="none"/>
                <w:lang w:eastAsia="zh-CN"/>
              </w:rPr>
              <w:t>喷洒生态高效抑制剂</w:t>
            </w:r>
          </w:p>
        </w:tc>
        <w:tc>
          <w:tcPr>
            <w:tcW w:w="309" w:type="pct"/>
            <w:tcBorders>
              <w:bottom w:val="single" w:color="000000" w:sz="4" w:space="0"/>
            </w:tcBorders>
            <w:vAlign w:val="center"/>
          </w:tcPr>
          <w:p w14:paraId="65FFD3E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tcBorders>
              <w:bottom w:val="single" w:color="000000" w:sz="4" w:space="0"/>
            </w:tcBorders>
            <w:vAlign w:val="center"/>
          </w:tcPr>
          <w:p w14:paraId="78ACC8E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w:t>
            </w:r>
          </w:p>
          <w:p w14:paraId="7E3B4A8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织扬</w:t>
            </w:r>
          </w:p>
          <w:p w14:paraId="6A4CBA9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尘</w:t>
            </w:r>
          </w:p>
        </w:tc>
        <w:tc>
          <w:tcPr>
            <w:tcW w:w="1949" w:type="pct"/>
            <w:vMerge w:val="continue"/>
            <w:vAlign w:val="center"/>
          </w:tcPr>
          <w:p w14:paraId="7C9DB67E">
            <w:pPr>
              <w:spacing w:line="360" w:lineRule="exact"/>
              <w:ind w:firstLine="0" w:firstLineChars="0"/>
              <w:jc w:val="center"/>
              <w:rPr>
                <w:rFonts w:hint="default" w:ascii="Times New Roman" w:hAnsi="Times New Roman" w:cs="Times New Roman"/>
                <w:color w:val="auto"/>
                <w:sz w:val="21"/>
                <w:szCs w:val="21"/>
                <w:highlight w:val="none"/>
              </w:rPr>
            </w:pPr>
          </w:p>
        </w:tc>
      </w:tr>
      <w:tr w14:paraId="43EC523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218BBE14">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restart"/>
            <w:vAlign w:val="center"/>
          </w:tcPr>
          <w:p w14:paraId="30E1891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951" w:type="pct"/>
            <w:vAlign w:val="center"/>
          </w:tcPr>
          <w:p w14:paraId="1429415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选矿废水</w:t>
            </w:r>
          </w:p>
        </w:tc>
        <w:tc>
          <w:tcPr>
            <w:tcW w:w="932" w:type="pct"/>
            <w:vAlign w:val="center"/>
          </w:tcPr>
          <w:p w14:paraId="08CC273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闭路循环不外排</w:t>
            </w:r>
          </w:p>
        </w:tc>
        <w:tc>
          <w:tcPr>
            <w:tcW w:w="309" w:type="pct"/>
            <w:vAlign w:val="center"/>
          </w:tcPr>
          <w:p w14:paraId="792B938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vAlign w:val="center"/>
          </w:tcPr>
          <w:p w14:paraId="04A224C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949" w:type="pct"/>
            <w:vAlign w:val="center"/>
          </w:tcPr>
          <w:p w14:paraId="457BA4C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466E9EB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37E06358">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089BADEE">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vAlign w:val="center"/>
          </w:tcPr>
          <w:p w14:paraId="4E4C914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932" w:type="pct"/>
            <w:vAlign w:val="center"/>
          </w:tcPr>
          <w:p w14:paraId="5A0D39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地埋式一体化污水处理设施</w:t>
            </w:r>
          </w:p>
        </w:tc>
        <w:tc>
          <w:tcPr>
            <w:tcW w:w="309" w:type="pct"/>
            <w:vAlign w:val="center"/>
          </w:tcPr>
          <w:p w14:paraId="5CCC88A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1套</w:t>
            </w:r>
          </w:p>
        </w:tc>
        <w:tc>
          <w:tcPr>
            <w:tcW w:w="350" w:type="pct"/>
            <w:vAlign w:val="center"/>
          </w:tcPr>
          <w:p w14:paraId="56B36C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949" w:type="pct"/>
            <w:vAlign w:val="center"/>
          </w:tcPr>
          <w:p w14:paraId="5A38CFD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生活污水经地埋式一体化污水处理设施处理达到《农村生活污水处理排放标准》（DB65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sz w:val="21"/>
                <w:szCs w:val="21"/>
                <w:highlight w:val="none"/>
                <w:lang w:val="en-US" w:eastAsia="zh-CN"/>
              </w:rPr>
              <w:t>灌溉季用于厂区绿化，非灌溉季</w:t>
            </w:r>
            <w:r>
              <w:rPr>
                <w:rFonts w:hint="default" w:ascii="Times New Roman" w:hAnsi="Times New Roman" w:cs="Times New Roman"/>
                <w:color w:val="auto"/>
                <w:sz w:val="21"/>
                <w:szCs w:val="21"/>
                <w:highlight w:val="none"/>
              </w:rPr>
              <w:t>用于选矿生产工序循环利用及绿化，不外排。</w:t>
            </w:r>
          </w:p>
        </w:tc>
      </w:tr>
      <w:tr w14:paraId="0A7857F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6D059B51">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Align w:val="center"/>
          </w:tcPr>
          <w:p w14:paraId="55DD973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951" w:type="pct"/>
            <w:tcBorders>
              <w:top w:val="single" w:color="auto" w:sz="4" w:space="0"/>
            </w:tcBorders>
            <w:vAlign w:val="center"/>
          </w:tcPr>
          <w:p w14:paraId="1362DD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球磨机</w:t>
            </w:r>
            <w:r>
              <w:rPr>
                <w:rFonts w:hint="default" w:ascii="Times New Roman" w:hAnsi="Times New Roman" w:cs="Times New Roman"/>
                <w:color w:val="auto"/>
                <w:sz w:val="21"/>
                <w:szCs w:val="21"/>
                <w:highlight w:val="none"/>
              </w:rPr>
              <w:t>、</w:t>
            </w:r>
          </w:p>
          <w:p w14:paraId="7103CC06">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破碎机</w:t>
            </w:r>
            <w:r>
              <w:rPr>
                <w:rFonts w:hint="default" w:ascii="Times New Roman" w:hAnsi="Times New Roman" w:cs="Times New Roman"/>
                <w:color w:val="auto"/>
                <w:sz w:val="21"/>
                <w:szCs w:val="21"/>
                <w:highlight w:val="none"/>
              </w:rPr>
              <w:t>等</w:t>
            </w:r>
          </w:p>
        </w:tc>
        <w:tc>
          <w:tcPr>
            <w:tcW w:w="932" w:type="pct"/>
            <w:tcBorders>
              <w:bottom w:val="single" w:color="000000" w:sz="4" w:space="0"/>
            </w:tcBorders>
            <w:vAlign w:val="center"/>
          </w:tcPr>
          <w:p w14:paraId="740E2A2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选用低噪声型、厂房隔声、设备基座减振</w:t>
            </w:r>
          </w:p>
        </w:tc>
        <w:tc>
          <w:tcPr>
            <w:tcW w:w="309" w:type="pct"/>
            <w:vAlign w:val="center"/>
          </w:tcPr>
          <w:p w14:paraId="06D0247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vAlign w:val="center"/>
          </w:tcPr>
          <w:p w14:paraId="4202415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949" w:type="pct"/>
            <w:vAlign w:val="center"/>
          </w:tcPr>
          <w:p w14:paraId="4C3E58D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厂界噪声达到《工业企业厂界环境噪声排放标准》</w:t>
            </w:r>
            <w:r>
              <w:rPr>
                <w:rFonts w:hint="default" w:ascii="Times New Roman" w:hAnsi="Times New Roman" w:cs="Times New Roman"/>
                <w:color w:val="auto"/>
                <w:sz w:val="21"/>
                <w:szCs w:val="21"/>
                <w:highlight w:val="none"/>
                <w:lang w:val="zh-CN"/>
              </w:rPr>
              <w:t>（GB12348-2008）</w:t>
            </w:r>
            <w:r>
              <w:rPr>
                <w:rFonts w:hint="default" w:ascii="Times New Roman" w:hAnsi="Times New Roman" w:cs="Times New Roman"/>
                <w:color w:val="auto"/>
                <w:sz w:val="21"/>
                <w:szCs w:val="21"/>
                <w:highlight w:val="none"/>
              </w:rPr>
              <w:t>2类标准</w:t>
            </w:r>
          </w:p>
        </w:tc>
      </w:tr>
      <w:tr w14:paraId="2C79034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53BB8B3F">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restart"/>
            <w:vAlign w:val="center"/>
          </w:tcPr>
          <w:p w14:paraId="0119F03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951" w:type="pct"/>
            <w:tcBorders>
              <w:bottom w:val="single" w:color="000000" w:sz="4" w:space="0"/>
            </w:tcBorders>
            <w:vAlign w:val="center"/>
          </w:tcPr>
          <w:p w14:paraId="20D5C28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尾矿砂</w:t>
            </w:r>
          </w:p>
        </w:tc>
        <w:tc>
          <w:tcPr>
            <w:tcW w:w="932" w:type="pct"/>
            <w:vAlign w:val="center"/>
          </w:tcPr>
          <w:p w14:paraId="0154575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309" w:type="pct"/>
            <w:tcBorders>
              <w:right w:val="single" w:color="auto" w:sz="4" w:space="0"/>
            </w:tcBorders>
            <w:vAlign w:val="center"/>
          </w:tcPr>
          <w:p w14:paraId="585CABC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tcBorders>
              <w:left w:val="single" w:color="auto" w:sz="4" w:space="0"/>
            </w:tcBorders>
            <w:vAlign w:val="center"/>
          </w:tcPr>
          <w:p w14:paraId="6CA289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p>
        </w:tc>
        <w:tc>
          <w:tcPr>
            <w:tcW w:w="1949" w:type="pct"/>
            <w:vAlign w:val="center"/>
          </w:tcPr>
          <w:p w14:paraId="6BDA7AE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尾矿砂堆积于尾矿库，部分用于井下充填，尽量综合利用。满足《一般工业固体废物贮存和填埋污染控制标准》（GB18599-2020）中的固体废物执行标准</w:t>
            </w:r>
          </w:p>
        </w:tc>
      </w:tr>
      <w:tr w14:paraId="30B4D42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2E6C4A41">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5321EB84">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4EC996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932" w:type="pct"/>
            <w:tcBorders>
              <w:bottom w:val="single" w:color="000000" w:sz="4" w:space="0"/>
            </w:tcBorders>
            <w:vAlign w:val="center"/>
          </w:tcPr>
          <w:p w14:paraId="1C0C2AB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生活垃圾桶</w:t>
            </w:r>
          </w:p>
        </w:tc>
        <w:tc>
          <w:tcPr>
            <w:tcW w:w="309" w:type="pct"/>
            <w:tcBorders>
              <w:bottom w:val="single" w:color="000000" w:sz="4" w:space="0"/>
              <w:right w:val="single" w:color="auto" w:sz="4" w:space="0"/>
            </w:tcBorders>
            <w:vAlign w:val="center"/>
          </w:tcPr>
          <w:p w14:paraId="0D5A459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1套</w:t>
            </w:r>
          </w:p>
        </w:tc>
        <w:tc>
          <w:tcPr>
            <w:tcW w:w="350" w:type="pct"/>
            <w:tcBorders>
              <w:left w:val="single" w:color="auto" w:sz="4" w:space="0"/>
              <w:bottom w:val="single" w:color="000000" w:sz="4" w:space="0"/>
            </w:tcBorders>
            <w:vAlign w:val="center"/>
          </w:tcPr>
          <w:p w14:paraId="7BD2C16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1949" w:type="pct"/>
            <w:tcBorders>
              <w:bottom w:val="single" w:color="000000" w:sz="4" w:space="0"/>
            </w:tcBorders>
            <w:vAlign w:val="center"/>
          </w:tcPr>
          <w:p w14:paraId="432E0BE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生活垃圾集中收集后，</w:t>
            </w:r>
            <w:r>
              <w:rPr>
                <w:rFonts w:hint="default" w:ascii="Times New Roman" w:hAnsi="Times New Roman" w:eastAsia="宋体" w:cs="Times New Roman"/>
                <w:color w:val="auto"/>
                <w:sz w:val="21"/>
                <w:highlight w:val="none"/>
              </w:rPr>
              <w:t>定期拉运至</w:t>
            </w:r>
            <w:r>
              <w:rPr>
                <w:rFonts w:hint="default" w:ascii="Times New Roman" w:hAnsi="Times New Roman" w:eastAsia="宋体" w:cs="Times New Roman"/>
                <w:color w:val="auto"/>
                <w:sz w:val="21"/>
                <w:highlight w:val="none"/>
                <w:lang w:val="en-US" w:eastAsia="zh-CN"/>
              </w:rPr>
              <w:t>富蕴县杜热镇生活垃圾填埋场处置</w:t>
            </w:r>
          </w:p>
        </w:tc>
      </w:tr>
      <w:tr w14:paraId="4EE7725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3295B8B7">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7AEC102F">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1ECBE4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废</w:t>
            </w:r>
            <w:r>
              <w:rPr>
                <w:rFonts w:hint="default" w:ascii="Times New Roman" w:hAnsi="Times New Roman" w:cs="Times New Roman"/>
                <w:color w:val="auto"/>
                <w:spacing w:val="6"/>
                <w:sz w:val="21"/>
                <w:szCs w:val="21"/>
                <w:highlight w:val="none"/>
                <w:lang w:val="en-US" w:eastAsia="zh-CN"/>
              </w:rPr>
              <w:t>矿物油</w:t>
            </w:r>
            <w:r>
              <w:rPr>
                <w:rFonts w:hint="default" w:ascii="Times New Roman" w:hAnsi="Times New Roman" w:cs="Times New Roman"/>
                <w:color w:val="auto"/>
                <w:sz w:val="21"/>
                <w:szCs w:val="21"/>
                <w:highlight w:val="none"/>
              </w:rPr>
              <w:t>及油桶</w:t>
            </w:r>
          </w:p>
        </w:tc>
        <w:tc>
          <w:tcPr>
            <w:tcW w:w="932" w:type="pct"/>
            <w:vMerge w:val="restart"/>
            <w:vAlign w:val="center"/>
          </w:tcPr>
          <w:p w14:paraId="0F1517F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危废暂存间</w:t>
            </w:r>
          </w:p>
        </w:tc>
        <w:tc>
          <w:tcPr>
            <w:tcW w:w="309" w:type="pct"/>
            <w:tcBorders>
              <w:bottom w:val="single" w:color="000000" w:sz="4" w:space="0"/>
              <w:right w:val="single" w:color="auto" w:sz="4" w:space="0"/>
            </w:tcBorders>
            <w:vAlign w:val="center"/>
          </w:tcPr>
          <w:p w14:paraId="563DDA7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vMerge w:val="restart"/>
            <w:tcBorders>
              <w:left w:val="single" w:color="auto" w:sz="4" w:space="0"/>
            </w:tcBorders>
            <w:vAlign w:val="center"/>
          </w:tcPr>
          <w:p w14:paraId="648409B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w:t>
            </w:r>
          </w:p>
        </w:tc>
        <w:tc>
          <w:tcPr>
            <w:tcW w:w="1949" w:type="pct"/>
            <w:vMerge w:val="restart"/>
            <w:vAlign w:val="center"/>
          </w:tcPr>
          <w:p w14:paraId="6B9C0DB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临时贮存于危废</w:t>
            </w:r>
            <w:r>
              <w:rPr>
                <w:rFonts w:hint="default" w:cs="Times New Roman"/>
                <w:color w:val="auto"/>
                <w:sz w:val="21"/>
                <w:szCs w:val="21"/>
                <w:highlight w:val="none"/>
                <w:lang w:val="en-US" w:eastAsia="zh-CN"/>
              </w:rPr>
              <w:t>贮存点</w:t>
            </w:r>
            <w:r>
              <w:rPr>
                <w:rFonts w:hint="default" w:ascii="Times New Roman" w:hAnsi="Times New Roman" w:cs="Times New Roman"/>
                <w:color w:val="auto"/>
                <w:sz w:val="21"/>
                <w:szCs w:val="21"/>
                <w:highlight w:val="none"/>
              </w:rPr>
              <w:t>，定期交由有资质单位处置</w:t>
            </w:r>
          </w:p>
        </w:tc>
      </w:tr>
      <w:tr w14:paraId="5B4DD54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70A43C9D">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48EBB653">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2F155AD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废药剂及包装物</w:t>
            </w:r>
          </w:p>
        </w:tc>
        <w:tc>
          <w:tcPr>
            <w:tcW w:w="932" w:type="pct"/>
            <w:vMerge w:val="continue"/>
            <w:vAlign w:val="center"/>
          </w:tcPr>
          <w:p w14:paraId="7A1F64B1">
            <w:pPr>
              <w:spacing w:line="360" w:lineRule="exact"/>
              <w:ind w:firstLine="0" w:firstLineChars="0"/>
              <w:jc w:val="center"/>
              <w:rPr>
                <w:rFonts w:hint="default" w:ascii="Times New Roman" w:hAnsi="Times New Roman" w:cs="Times New Roman"/>
                <w:color w:val="auto"/>
                <w:sz w:val="21"/>
                <w:szCs w:val="21"/>
                <w:highlight w:val="none"/>
              </w:rPr>
            </w:pPr>
          </w:p>
        </w:tc>
        <w:tc>
          <w:tcPr>
            <w:tcW w:w="309" w:type="pct"/>
            <w:tcBorders>
              <w:bottom w:val="single" w:color="000000" w:sz="4" w:space="0"/>
              <w:right w:val="single" w:color="auto" w:sz="4" w:space="0"/>
            </w:tcBorders>
            <w:vAlign w:val="center"/>
          </w:tcPr>
          <w:p w14:paraId="03EA9B2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vMerge w:val="continue"/>
            <w:tcBorders>
              <w:left w:val="single" w:color="auto" w:sz="4" w:space="0"/>
            </w:tcBorders>
            <w:vAlign w:val="center"/>
          </w:tcPr>
          <w:p w14:paraId="49E542D0">
            <w:pPr>
              <w:spacing w:line="360" w:lineRule="exact"/>
              <w:ind w:firstLine="0" w:firstLineChars="0"/>
              <w:jc w:val="center"/>
              <w:rPr>
                <w:rFonts w:hint="default" w:ascii="Times New Roman" w:hAnsi="Times New Roman" w:cs="Times New Roman"/>
                <w:color w:val="auto"/>
                <w:sz w:val="21"/>
                <w:szCs w:val="21"/>
                <w:highlight w:val="none"/>
              </w:rPr>
            </w:pPr>
          </w:p>
        </w:tc>
        <w:tc>
          <w:tcPr>
            <w:tcW w:w="1949" w:type="pct"/>
            <w:vMerge w:val="continue"/>
            <w:vAlign w:val="center"/>
          </w:tcPr>
          <w:p w14:paraId="67317B6C">
            <w:pPr>
              <w:spacing w:line="360" w:lineRule="exact"/>
              <w:ind w:firstLine="0" w:firstLineChars="0"/>
              <w:jc w:val="center"/>
              <w:rPr>
                <w:rFonts w:hint="default" w:ascii="Times New Roman" w:hAnsi="Times New Roman" w:cs="Times New Roman"/>
                <w:color w:val="auto"/>
                <w:sz w:val="21"/>
                <w:szCs w:val="21"/>
                <w:highlight w:val="none"/>
              </w:rPr>
            </w:pPr>
          </w:p>
        </w:tc>
      </w:tr>
      <w:tr w14:paraId="66B9C1B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5C37FC33">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231A07A2">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12E43ABD">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试验废液</w:t>
            </w:r>
          </w:p>
        </w:tc>
        <w:tc>
          <w:tcPr>
            <w:tcW w:w="932" w:type="pct"/>
            <w:vMerge w:val="continue"/>
            <w:tcBorders>
              <w:bottom w:val="single" w:color="000000" w:sz="4" w:space="0"/>
            </w:tcBorders>
            <w:vAlign w:val="center"/>
          </w:tcPr>
          <w:p w14:paraId="12E9877D">
            <w:pPr>
              <w:spacing w:line="360" w:lineRule="exact"/>
              <w:ind w:firstLine="0" w:firstLineChars="0"/>
              <w:jc w:val="center"/>
              <w:rPr>
                <w:rFonts w:hint="default" w:ascii="Times New Roman" w:hAnsi="Times New Roman" w:cs="Times New Roman"/>
                <w:color w:val="auto"/>
                <w:sz w:val="21"/>
                <w:szCs w:val="21"/>
                <w:highlight w:val="none"/>
              </w:rPr>
            </w:pPr>
          </w:p>
        </w:tc>
        <w:tc>
          <w:tcPr>
            <w:tcW w:w="309" w:type="pct"/>
            <w:tcBorders>
              <w:bottom w:val="single" w:color="000000" w:sz="4" w:space="0"/>
              <w:right w:val="single" w:color="auto" w:sz="4" w:space="0"/>
            </w:tcBorders>
            <w:vAlign w:val="center"/>
          </w:tcPr>
          <w:p w14:paraId="47B25A65">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350" w:type="pct"/>
            <w:vMerge w:val="continue"/>
            <w:tcBorders>
              <w:left w:val="single" w:color="auto" w:sz="4" w:space="0"/>
              <w:bottom w:val="single" w:color="000000" w:sz="4" w:space="0"/>
            </w:tcBorders>
            <w:vAlign w:val="center"/>
          </w:tcPr>
          <w:p w14:paraId="37E554AE">
            <w:pPr>
              <w:spacing w:line="360" w:lineRule="exact"/>
              <w:ind w:firstLine="0" w:firstLineChars="0"/>
              <w:jc w:val="center"/>
              <w:rPr>
                <w:rFonts w:hint="default" w:ascii="Times New Roman" w:hAnsi="Times New Roman" w:cs="Times New Roman"/>
                <w:color w:val="auto"/>
                <w:sz w:val="21"/>
                <w:szCs w:val="21"/>
                <w:highlight w:val="none"/>
              </w:rPr>
            </w:pPr>
          </w:p>
        </w:tc>
        <w:tc>
          <w:tcPr>
            <w:tcW w:w="1949" w:type="pct"/>
            <w:vMerge w:val="continue"/>
            <w:tcBorders>
              <w:bottom w:val="single" w:color="000000" w:sz="4" w:space="0"/>
            </w:tcBorders>
            <w:vAlign w:val="center"/>
          </w:tcPr>
          <w:p w14:paraId="40EB2CAB">
            <w:pPr>
              <w:spacing w:line="360" w:lineRule="exact"/>
              <w:ind w:firstLine="0" w:firstLineChars="0"/>
              <w:jc w:val="center"/>
              <w:rPr>
                <w:rFonts w:hint="default" w:ascii="Times New Roman" w:hAnsi="Times New Roman" w:cs="Times New Roman"/>
                <w:color w:val="auto"/>
                <w:sz w:val="21"/>
                <w:szCs w:val="21"/>
                <w:highlight w:val="none"/>
              </w:rPr>
            </w:pPr>
          </w:p>
        </w:tc>
      </w:tr>
      <w:tr w14:paraId="3535D1A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649E38B8">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09789163">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3696A3F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除尘灰</w:t>
            </w:r>
          </w:p>
        </w:tc>
        <w:tc>
          <w:tcPr>
            <w:tcW w:w="932" w:type="pct"/>
            <w:tcBorders>
              <w:bottom w:val="single" w:color="000000" w:sz="4" w:space="0"/>
            </w:tcBorders>
            <w:vAlign w:val="center"/>
          </w:tcPr>
          <w:p w14:paraId="3510ACD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09" w:type="pct"/>
            <w:tcBorders>
              <w:bottom w:val="single" w:color="000000" w:sz="4" w:space="0"/>
              <w:right w:val="single" w:color="auto" w:sz="4" w:space="0"/>
            </w:tcBorders>
            <w:vAlign w:val="center"/>
          </w:tcPr>
          <w:p w14:paraId="4F09C4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vMerge w:val="restart"/>
            <w:tcBorders>
              <w:left w:val="single" w:color="auto" w:sz="4" w:space="0"/>
            </w:tcBorders>
            <w:vAlign w:val="center"/>
          </w:tcPr>
          <w:p w14:paraId="36BA7AB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p>
        </w:tc>
        <w:tc>
          <w:tcPr>
            <w:tcW w:w="1949" w:type="pct"/>
            <w:tcBorders>
              <w:bottom w:val="single" w:color="000000" w:sz="4" w:space="0"/>
            </w:tcBorders>
            <w:vAlign w:val="center"/>
          </w:tcPr>
          <w:p w14:paraId="04EC21A7">
            <w:pPr>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highlight w:val="none"/>
              </w:rPr>
              <w:t>通过除尘器灰斗收集后回用于选矿生产，不外排</w:t>
            </w:r>
          </w:p>
        </w:tc>
      </w:tr>
      <w:tr w14:paraId="3A37275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6FE7898D">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204F0F4B">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1FD9164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生活污水处理设施底泥</w:t>
            </w:r>
          </w:p>
        </w:tc>
        <w:tc>
          <w:tcPr>
            <w:tcW w:w="932" w:type="pct"/>
            <w:tcBorders>
              <w:bottom w:val="single" w:color="000000" w:sz="4" w:space="0"/>
            </w:tcBorders>
            <w:vAlign w:val="center"/>
          </w:tcPr>
          <w:p w14:paraId="1FF5CF4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09" w:type="pct"/>
            <w:tcBorders>
              <w:bottom w:val="single" w:color="000000" w:sz="4" w:space="0"/>
              <w:right w:val="single" w:color="auto" w:sz="4" w:space="0"/>
            </w:tcBorders>
            <w:vAlign w:val="center"/>
          </w:tcPr>
          <w:p w14:paraId="01D0E04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 w:type="pct"/>
            <w:vMerge w:val="continue"/>
            <w:tcBorders>
              <w:left w:val="single" w:color="auto" w:sz="4" w:space="0"/>
            </w:tcBorders>
            <w:vAlign w:val="center"/>
          </w:tcPr>
          <w:p w14:paraId="054A16BB">
            <w:pPr>
              <w:spacing w:line="360" w:lineRule="exact"/>
              <w:ind w:firstLine="0" w:firstLineChars="0"/>
              <w:jc w:val="center"/>
              <w:rPr>
                <w:rFonts w:hint="default" w:ascii="Times New Roman" w:hAnsi="Times New Roman" w:cs="Times New Roman"/>
                <w:color w:val="auto"/>
                <w:sz w:val="21"/>
                <w:szCs w:val="21"/>
                <w:highlight w:val="none"/>
              </w:rPr>
            </w:pPr>
          </w:p>
        </w:tc>
        <w:tc>
          <w:tcPr>
            <w:tcW w:w="1949" w:type="pct"/>
            <w:tcBorders>
              <w:bottom w:val="single" w:color="000000" w:sz="4" w:space="0"/>
            </w:tcBorders>
            <w:vAlign w:val="center"/>
          </w:tcPr>
          <w:p w14:paraId="4E14250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定期拉运</w:t>
            </w:r>
            <w:r>
              <w:rPr>
                <w:rFonts w:hint="default" w:cs="Times New Roman"/>
                <w:color w:val="auto"/>
                <w:sz w:val="21"/>
                <w:szCs w:val="21"/>
                <w:highlight w:val="none"/>
                <w:lang w:eastAsia="zh-CN"/>
              </w:rPr>
              <w:t>至</w:t>
            </w:r>
            <w:r>
              <w:rPr>
                <w:rFonts w:hint="default" w:ascii="Times New Roman" w:hAnsi="Times New Roman" w:eastAsia="宋体" w:cs="Times New Roman"/>
                <w:color w:val="auto"/>
                <w:sz w:val="21"/>
                <w:highlight w:val="none"/>
                <w:lang w:val="en-US" w:eastAsia="zh-CN"/>
              </w:rPr>
              <w:t>富蕴县杜热镇生活垃圾填埋场</w:t>
            </w:r>
            <w:r>
              <w:rPr>
                <w:rFonts w:hint="default" w:ascii="Times New Roman" w:hAnsi="Times New Roman" w:cs="Times New Roman"/>
                <w:color w:val="auto"/>
                <w:sz w:val="21"/>
                <w:szCs w:val="21"/>
                <w:highlight w:val="none"/>
              </w:rPr>
              <w:t>填埋处置</w:t>
            </w:r>
          </w:p>
        </w:tc>
      </w:tr>
      <w:tr w14:paraId="19CC3C8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07827CEE">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0E48E093">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shd w:val="clear" w:color="auto" w:fill="auto"/>
            <w:vAlign w:val="center"/>
          </w:tcPr>
          <w:p w14:paraId="7D006A85">
            <w:pPr>
              <w:spacing w:line="360" w:lineRule="exact"/>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生产</w:t>
            </w:r>
            <w:r>
              <w:rPr>
                <w:rFonts w:hint="default" w:ascii="Times New Roman" w:hAnsi="Times New Roman" w:eastAsia="宋体" w:cs="Times New Roman"/>
                <w:color w:val="auto"/>
                <w:sz w:val="21"/>
                <w:highlight w:val="none"/>
                <w:lang w:eastAsia="zh-CN"/>
              </w:rPr>
              <w:t>回水池</w:t>
            </w:r>
            <w:r>
              <w:rPr>
                <w:rFonts w:hint="default" w:ascii="Times New Roman" w:hAnsi="Times New Roman" w:cs="Times New Roman"/>
                <w:bCs/>
                <w:color w:val="auto"/>
                <w:sz w:val="21"/>
                <w:szCs w:val="21"/>
                <w:highlight w:val="none"/>
              </w:rPr>
              <w:t>底泥</w:t>
            </w:r>
          </w:p>
        </w:tc>
        <w:tc>
          <w:tcPr>
            <w:tcW w:w="932" w:type="pct"/>
            <w:tcBorders>
              <w:bottom w:val="single" w:color="000000" w:sz="4" w:space="0"/>
            </w:tcBorders>
            <w:shd w:val="clear" w:color="auto" w:fill="auto"/>
            <w:vAlign w:val="center"/>
          </w:tcPr>
          <w:p w14:paraId="5D8A5A4B">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09" w:type="pct"/>
            <w:tcBorders>
              <w:bottom w:val="single" w:color="000000" w:sz="4" w:space="0"/>
              <w:right w:val="single" w:color="auto" w:sz="4" w:space="0"/>
            </w:tcBorders>
            <w:shd w:val="clear" w:color="auto" w:fill="auto"/>
            <w:vAlign w:val="center"/>
          </w:tcPr>
          <w:p w14:paraId="6C1C954E">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50" w:type="pct"/>
            <w:vMerge w:val="continue"/>
            <w:tcBorders>
              <w:left w:val="single" w:color="auto" w:sz="4" w:space="0"/>
            </w:tcBorders>
            <w:vAlign w:val="center"/>
          </w:tcPr>
          <w:p w14:paraId="62472D4B">
            <w:pPr>
              <w:spacing w:line="360" w:lineRule="exact"/>
              <w:ind w:firstLine="0" w:firstLineChars="0"/>
              <w:jc w:val="center"/>
              <w:rPr>
                <w:rFonts w:hint="default" w:ascii="Times New Roman" w:hAnsi="Times New Roman" w:cs="Times New Roman"/>
                <w:color w:val="auto"/>
                <w:sz w:val="21"/>
                <w:szCs w:val="21"/>
                <w:highlight w:val="none"/>
              </w:rPr>
            </w:pPr>
          </w:p>
        </w:tc>
        <w:tc>
          <w:tcPr>
            <w:tcW w:w="1949" w:type="pct"/>
            <w:tcBorders>
              <w:bottom w:val="single" w:color="000000" w:sz="4" w:space="0"/>
            </w:tcBorders>
            <w:vAlign w:val="center"/>
          </w:tcPr>
          <w:p w14:paraId="29883F4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定期清理，返回生产工序</w:t>
            </w:r>
            <w:r>
              <w:rPr>
                <w:rFonts w:hint="default" w:ascii="Times New Roman" w:hAnsi="Times New Roman" w:eastAsia="宋体" w:cs="Times New Roman"/>
                <w:color w:val="auto"/>
                <w:sz w:val="21"/>
                <w:szCs w:val="21"/>
                <w:highlight w:val="none"/>
                <w:lang w:eastAsia="zh-CN"/>
              </w:rPr>
              <w:t>，后期用于土地复垦</w:t>
            </w:r>
          </w:p>
        </w:tc>
      </w:tr>
      <w:tr w14:paraId="0C966CE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01948305">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5066A56B">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54B06AE1">
            <w:pPr>
              <w:spacing w:line="360" w:lineRule="exact"/>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废布袋</w:t>
            </w:r>
          </w:p>
        </w:tc>
        <w:tc>
          <w:tcPr>
            <w:tcW w:w="932" w:type="pct"/>
            <w:tcBorders>
              <w:bottom w:val="single" w:color="000000" w:sz="4" w:space="0"/>
            </w:tcBorders>
            <w:vAlign w:val="center"/>
          </w:tcPr>
          <w:p w14:paraId="0C87B954">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09" w:type="pct"/>
            <w:tcBorders>
              <w:bottom w:val="single" w:color="000000" w:sz="4" w:space="0"/>
              <w:right w:val="single" w:color="auto" w:sz="4" w:space="0"/>
            </w:tcBorders>
            <w:vAlign w:val="center"/>
          </w:tcPr>
          <w:p w14:paraId="1505EAE0">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0" w:type="pct"/>
            <w:vMerge w:val="continue"/>
            <w:tcBorders>
              <w:left w:val="single" w:color="auto" w:sz="4" w:space="0"/>
            </w:tcBorders>
            <w:vAlign w:val="center"/>
          </w:tcPr>
          <w:p w14:paraId="6D951CFC">
            <w:pPr>
              <w:spacing w:line="360" w:lineRule="exact"/>
              <w:ind w:firstLine="0" w:firstLineChars="0"/>
              <w:jc w:val="center"/>
              <w:rPr>
                <w:rFonts w:hint="default" w:ascii="Times New Roman" w:hAnsi="Times New Roman" w:cs="Times New Roman"/>
                <w:color w:val="auto"/>
                <w:sz w:val="21"/>
                <w:szCs w:val="21"/>
                <w:highlight w:val="none"/>
              </w:rPr>
            </w:pPr>
          </w:p>
        </w:tc>
        <w:tc>
          <w:tcPr>
            <w:tcW w:w="1949" w:type="pct"/>
            <w:tcBorders>
              <w:bottom w:val="single" w:color="000000" w:sz="4" w:space="0"/>
            </w:tcBorders>
            <w:vAlign w:val="center"/>
          </w:tcPr>
          <w:p w14:paraId="1323D915">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定期收集后外售</w:t>
            </w:r>
          </w:p>
        </w:tc>
      </w:tr>
      <w:tr w14:paraId="56302D3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7DE166BE">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restart"/>
            <w:vAlign w:val="center"/>
          </w:tcPr>
          <w:p w14:paraId="0EAF964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951" w:type="pct"/>
            <w:tcBorders>
              <w:bottom w:val="single" w:color="000000" w:sz="4" w:space="0"/>
            </w:tcBorders>
            <w:vAlign w:val="center"/>
          </w:tcPr>
          <w:p w14:paraId="4E3BEA6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事故水</w:t>
            </w:r>
          </w:p>
        </w:tc>
        <w:tc>
          <w:tcPr>
            <w:tcW w:w="932" w:type="pct"/>
            <w:tcBorders>
              <w:bottom w:val="single" w:color="000000" w:sz="4" w:space="0"/>
            </w:tcBorders>
            <w:vAlign w:val="center"/>
          </w:tcPr>
          <w:p w14:paraId="55E375D1">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w:t>
            </w:r>
            <w:r>
              <w:rPr>
                <w:rFonts w:hint="default" w:ascii="Times New Roman" w:hAnsi="Times New Roman" w:cs="Times New Roman"/>
                <w:bCs/>
                <w:color w:val="auto"/>
                <w:sz w:val="21"/>
                <w:szCs w:val="21"/>
                <w:highlight w:val="none"/>
                <w:lang w:val="en-US" w:eastAsia="zh-CN"/>
              </w:rPr>
              <w:t>西南侧坝脚处</w:t>
            </w:r>
            <w:r>
              <w:rPr>
                <w:rFonts w:hint="default" w:ascii="Times New Roman" w:hAnsi="Times New Roman" w:cs="Times New Roman"/>
                <w:bCs/>
                <w:color w:val="auto"/>
                <w:sz w:val="21"/>
                <w:szCs w:val="21"/>
                <w:highlight w:val="none"/>
              </w:rPr>
              <w:t>设置事故水池，用以收集事故废水</w:t>
            </w:r>
          </w:p>
        </w:tc>
        <w:tc>
          <w:tcPr>
            <w:tcW w:w="309" w:type="pct"/>
            <w:tcBorders>
              <w:bottom w:val="single" w:color="000000" w:sz="4" w:space="0"/>
              <w:right w:val="single" w:color="auto" w:sz="4" w:space="0"/>
            </w:tcBorders>
            <w:vAlign w:val="center"/>
          </w:tcPr>
          <w:p w14:paraId="6AC1D6B9">
            <w:pPr>
              <w:spacing w:line="360" w:lineRule="exac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1</w:t>
            </w:r>
          </w:p>
        </w:tc>
        <w:tc>
          <w:tcPr>
            <w:tcW w:w="350" w:type="pct"/>
            <w:tcBorders>
              <w:left w:val="single" w:color="auto" w:sz="4" w:space="0"/>
              <w:bottom w:val="single" w:color="000000" w:sz="4" w:space="0"/>
            </w:tcBorders>
            <w:vAlign w:val="center"/>
          </w:tcPr>
          <w:p w14:paraId="09A86C9B">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1949" w:type="pct"/>
            <w:tcBorders>
              <w:bottom w:val="single" w:color="000000" w:sz="4" w:space="0"/>
            </w:tcBorders>
            <w:vAlign w:val="center"/>
          </w:tcPr>
          <w:p w14:paraId="685E7272">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收集事故状态下的废水，确保任何事故情况下未经处理的废水不外排</w:t>
            </w:r>
          </w:p>
        </w:tc>
      </w:tr>
      <w:tr w14:paraId="6609BB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0C090FAE">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6599C4EA">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tcBorders>
              <w:bottom w:val="single" w:color="000000" w:sz="4" w:space="0"/>
            </w:tcBorders>
            <w:vAlign w:val="center"/>
          </w:tcPr>
          <w:p w14:paraId="65823EF1">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尾矿库溃坝废水</w:t>
            </w:r>
          </w:p>
        </w:tc>
        <w:tc>
          <w:tcPr>
            <w:tcW w:w="932" w:type="pct"/>
            <w:tcBorders>
              <w:bottom w:val="single" w:color="000000" w:sz="4" w:space="0"/>
            </w:tcBorders>
            <w:vAlign w:val="center"/>
          </w:tcPr>
          <w:p w14:paraId="797A455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从尾矿库外围设置截溢洪道-明渠系统</w:t>
            </w:r>
          </w:p>
        </w:tc>
        <w:tc>
          <w:tcPr>
            <w:tcW w:w="309" w:type="pct"/>
            <w:tcBorders>
              <w:bottom w:val="single" w:color="000000" w:sz="4" w:space="0"/>
              <w:right w:val="single" w:color="auto" w:sz="4" w:space="0"/>
            </w:tcBorders>
            <w:vAlign w:val="center"/>
          </w:tcPr>
          <w:p w14:paraId="4662D6E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350" w:type="pct"/>
            <w:tcBorders>
              <w:left w:val="single" w:color="auto" w:sz="4" w:space="0"/>
              <w:bottom w:val="single" w:color="000000" w:sz="4" w:space="0"/>
            </w:tcBorders>
            <w:vAlign w:val="center"/>
          </w:tcPr>
          <w:p w14:paraId="6F2EF409">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1949" w:type="pct"/>
            <w:tcBorders>
              <w:bottom w:val="single" w:color="000000" w:sz="4" w:space="0"/>
            </w:tcBorders>
            <w:vAlign w:val="center"/>
          </w:tcPr>
          <w:p w14:paraId="786F5FCC">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确保在发生溃坝情况下，对周边环境的影响降到最低</w:t>
            </w:r>
          </w:p>
        </w:tc>
      </w:tr>
      <w:tr w14:paraId="0082337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68202FCF">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restart"/>
            <w:vAlign w:val="center"/>
          </w:tcPr>
          <w:p w14:paraId="5FEEADF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951" w:type="pct"/>
            <w:vAlign w:val="center"/>
          </w:tcPr>
          <w:p w14:paraId="205E51C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绿化工程</w:t>
            </w:r>
          </w:p>
        </w:tc>
        <w:tc>
          <w:tcPr>
            <w:tcW w:w="932" w:type="pct"/>
            <w:vAlign w:val="center"/>
          </w:tcPr>
          <w:p w14:paraId="51535921">
            <w:pPr>
              <w:pStyle w:val="7"/>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highlight w:val="none"/>
                <w:lang w:bidi="ar"/>
              </w:rPr>
              <w:t>对</w:t>
            </w:r>
            <w:r>
              <w:rPr>
                <w:rFonts w:hint="default" w:ascii="Times New Roman" w:hAnsi="Times New Roman" w:cs="Times New Roman"/>
                <w:color w:val="auto"/>
                <w:sz w:val="21"/>
                <w:highlight w:val="none"/>
                <w:lang w:val="en-US" w:eastAsia="zh-CN" w:bidi="ar"/>
              </w:rPr>
              <w:t>项目区周边</w:t>
            </w:r>
            <w:r>
              <w:rPr>
                <w:rFonts w:hint="default" w:ascii="Times New Roman" w:hAnsi="Times New Roman" w:cs="Times New Roman"/>
                <w:color w:val="auto"/>
                <w:sz w:val="21"/>
                <w:highlight w:val="none"/>
                <w:lang w:bidi="ar"/>
              </w:rPr>
              <w:t>进行绿化</w:t>
            </w:r>
          </w:p>
        </w:tc>
        <w:tc>
          <w:tcPr>
            <w:tcW w:w="309" w:type="pct"/>
            <w:tcBorders>
              <w:right w:val="single" w:color="auto" w:sz="4" w:space="0"/>
            </w:tcBorders>
            <w:vAlign w:val="center"/>
          </w:tcPr>
          <w:p w14:paraId="0F20740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00" w:type="pct"/>
            <w:gridSpan w:val="2"/>
            <w:tcBorders>
              <w:left w:val="single" w:color="auto" w:sz="4" w:space="0"/>
            </w:tcBorders>
            <w:vAlign w:val="center"/>
          </w:tcPr>
          <w:p w14:paraId="6A4C8BFA">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highlight w:val="none"/>
                <w:lang w:bidi="ar"/>
              </w:rPr>
              <w:t>满足相关要求</w:t>
            </w:r>
          </w:p>
        </w:tc>
      </w:tr>
      <w:tr w14:paraId="35D8197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7734B352">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2C8CE95A">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vAlign w:val="center"/>
          </w:tcPr>
          <w:p w14:paraId="7D9C2A5D">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highlight w:val="none"/>
                <w:lang w:bidi="ar"/>
              </w:rPr>
              <w:t>生态保护</w:t>
            </w:r>
          </w:p>
        </w:tc>
        <w:tc>
          <w:tcPr>
            <w:tcW w:w="932" w:type="pct"/>
            <w:vAlign w:val="center"/>
          </w:tcPr>
          <w:p w14:paraId="039A2671">
            <w:pPr>
              <w:pStyle w:val="7"/>
              <w:snapToGrid w:val="0"/>
              <w:spacing w:line="360" w:lineRule="exact"/>
              <w:ind w:firstLine="0" w:firstLineChars="0"/>
              <w:contextualSpacing/>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highlight w:val="none"/>
                <w:lang w:bidi="ar"/>
              </w:rPr>
              <w:t>施工临时占地及时恢复，尾矿库服务期满后及时采取闭库措施</w:t>
            </w:r>
            <w:r>
              <w:rPr>
                <w:rFonts w:hint="default" w:ascii="Times New Roman" w:hAnsi="Times New Roman" w:cs="Times New Roman"/>
                <w:color w:val="auto"/>
                <w:sz w:val="21"/>
                <w:highlight w:val="none"/>
                <w:lang w:eastAsia="zh-CN" w:bidi="ar"/>
              </w:rPr>
              <w:t>、土地复垦，播撒草籽等措施</w:t>
            </w:r>
          </w:p>
        </w:tc>
        <w:tc>
          <w:tcPr>
            <w:tcW w:w="309" w:type="pct"/>
            <w:tcBorders>
              <w:right w:val="single" w:color="auto" w:sz="4" w:space="0"/>
            </w:tcBorders>
            <w:vAlign w:val="center"/>
          </w:tcPr>
          <w:p w14:paraId="18E1BB7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00" w:type="pct"/>
            <w:gridSpan w:val="2"/>
            <w:tcBorders>
              <w:left w:val="single" w:color="auto" w:sz="4" w:space="0"/>
            </w:tcBorders>
            <w:vAlign w:val="center"/>
          </w:tcPr>
          <w:p w14:paraId="4871534D">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highlight w:val="none"/>
                <w:lang w:bidi="ar"/>
              </w:rPr>
              <w:t>达到相应的恢复面积</w:t>
            </w:r>
          </w:p>
        </w:tc>
      </w:tr>
      <w:tr w14:paraId="3A2D339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restart"/>
            <w:vAlign w:val="center"/>
          </w:tcPr>
          <w:p w14:paraId="66575F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退役期</w:t>
            </w:r>
          </w:p>
        </w:tc>
        <w:tc>
          <w:tcPr>
            <w:tcW w:w="255" w:type="pct"/>
            <w:vMerge w:val="restart"/>
            <w:vAlign w:val="center"/>
          </w:tcPr>
          <w:p w14:paraId="33EC2E1F">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color w:val="auto"/>
                <w:sz w:val="21"/>
                <w:szCs w:val="21"/>
                <w:highlight w:val="none"/>
                <w:lang w:eastAsia="zh-CN"/>
              </w:rPr>
              <w:t>生态</w:t>
            </w:r>
          </w:p>
        </w:tc>
        <w:tc>
          <w:tcPr>
            <w:tcW w:w="951" w:type="pct"/>
            <w:vAlign w:val="center"/>
          </w:tcPr>
          <w:p w14:paraId="6E9187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土地恢复</w:t>
            </w:r>
          </w:p>
        </w:tc>
        <w:tc>
          <w:tcPr>
            <w:tcW w:w="932" w:type="pct"/>
            <w:vAlign w:val="center"/>
          </w:tcPr>
          <w:p w14:paraId="14E833A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拆除不用的建筑，恢复土地原有功能</w:t>
            </w:r>
          </w:p>
        </w:tc>
        <w:tc>
          <w:tcPr>
            <w:tcW w:w="309" w:type="pct"/>
            <w:tcBorders>
              <w:right w:val="single" w:color="auto" w:sz="4" w:space="0"/>
            </w:tcBorders>
            <w:vAlign w:val="center"/>
          </w:tcPr>
          <w:p w14:paraId="33C0E82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00" w:type="pct"/>
            <w:gridSpan w:val="2"/>
            <w:tcBorders>
              <w:left w:val="single" w:color="auto" w:sz="4" w:space="0"/>
            </w:tcBorders>
            <w:vAlign w:val="center"/>
          </w:tcPr>
          <w:p w14:paraId="664219F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景观和植被恢复</w:t>
            </w:r>
          </w:p>
        </w:tc>
      </w:tr>
      <w:tr w14:paraId="34901B9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533D427F">
            <w:pPr>
              <w:spacing w:line="360" w:lineRule="exact"/>
              <w:ind w:firstLine="0" w:firstLineChars="0"/>
              <w:jc w:val="center"/>
              <w:rPr>
                <w:rFonts w:hint="default" w:ascii="Times New Roman" w:hAnsi="Times New Roman" w:cs="Times New Roman"/>
                <w:color w:val="auto"/>
                <w:sz w:val="21"/>
                <w:szCs w:val="21"/>
                <w:highlight w:val="none"/>
              </w:rPr>
            </w:pPr>
          </w:p>
        </w:tc>
        <w:tc>
          <w:tcPr>
            <w:tcW w:w="255" w:type="pct"/>
            <w:vMerge w:val="continue"/>
            <w:vAlign w:val="center"/>
          </w:tcPr>
          <w:p w14:paraId="5AE66115">
            <w:pPr>
              <w:spacing w:line="360" w:lineRule="exact"/>
              <w:ind w:firstLine="0" w:firstLineChars="0"/>
              <w:jc w:val="center"/>
              <w:rPr>
                <w:rFonts w:hint="default" w:ascii="Times New Roman" w:hAnsi="Times New Roman" w:cs="Times New Roman"/>
                <w:color w:val="auto"/>
                <w:sz w:val="21"/>
                <w:szCs w:val="21"/>
                <w:highlight w:val="none"/>
              </w:rPr>
            </w:pPr>
          </w:p>
        </w:tc>
        <w:tc>
          <w:tcPr>
            <w:tcW w:w="951" w:type="pct"/>
            <w:shd w:val="clear" w:color="auto" w:fill="auto"/>
            <w:vAlign w:val="center"/>
          </w:tcPr>
          <w:p w14:paraId="4851107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尾矿库闭库</w:t>
            </w:r>
          </w:p>
        </w:tc>
        <w:tc>
          <w:tcPr>
            <w:tcW w:w="932" w:type="pct"/>
            <w:shd w:val="clear" w:color="auto" w:fill="auto"/>
            <w:vAlign w:val="center"/>
          </w:tcPr>
          <w:p w14:paraId="29B0B3F3">
            <w:pPr>
              <w:keepNext w:val="0"/>
              <w:keepLines w:val="0"/>
              <w:pageBreakBefore w:val="0"/>
              <w:widowControl w:val="0"/>
              <w:kinsoku/>
              <w:wordWrap w:val="0"/>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闭库后</w:t>
            </w:r>
            <w:r>
              <w:rPr>
                <w:rFonts w:hint="default" w:ascii="Times New Roman" w:hAnsi="Times New Roman" w:eastAsia="宋体" w:cs="Times New Roman"/>
                <w:color w:val="auto"/>
                <w:spacing w:val="6"/>
                <w:sz w:val="21"/>
                <w:szCs w:val="21"/>
                <w:highlight w:val="none"/>
              </w:rPr>
              <w:t>设置围栏</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采取遮挡和防护措施，设立警示牌，尽可能恢复原有地貌</w:t>
            </w:r>
          </w:p>
        </w:tc>
        <w:tc>
          <w:tcPr>
            <w:tcW w:w="309" w:type="pct"/>
            <w:tcBorders>
              <w:right w:val="single" w:color="auto" w:sz="4" w:space="0"/>
            </w:tcBorders>
            <w:vAlign w:val="center"/>
          </w:tcPr>
          <w:p w14:paraId="6E55A05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2300" w:type="pct"/>
            <w:gridSpan w:val="2"/>
            <w:tcBorders>
              <w:left w:val="single" w:color="auto" w:sz="4" w:space="0"/>
            </w:tcBorders>
            <w:vAlign w:val="center"/>
          </w:tcPr>
          <w:p w14:paraId="0AD88CBF">
            <w:pPr>
              <w:spacing w:line="360" w:lineRule="exact"/>
              <w:ind w:firstLine="0" w:firstLineChars="0"/>
              <w:jc w:val="center"/>
              <w:rPr>
                <w:rFonts w:hint="default" w:ascii="Times New Roman" w:hAnsi="Times New Roman"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恢复地表植被</w:t>
            </w:r>
          </w:p>
        </w:tc>
      </w:tr>
    </w:tbl>
    <w:p w14:paraId="58EB9452">
      <w:pPr>
        <w:pStyle w:val="3"/>
        <w:rPr>
          <w:rFonts w:hint="default" w:ascii="Times New Roman" w:hAnsi="Times New Roman" w:cs="Times New Roman"/>
          <w:color w:val="auto"/>
          <w:szCs w:val="24"/>
          <w:highlight w:val="none"/>
        </w:rPr>
      </w:pPr>
      <w:bookmarkStart w:id="1144" w:name="_Toc107413915"/>
      <w:bookmarkStart w:id="1145" w:name="_Toc9644"/>
      <w:bookmarkStart w:id="1146" w:name="_Toc107414682"/>
      <w:r>
        <w:rPr>
          <w:rFonts w:hint="default" w:ascii="Times New Roman" w:hAnsi="Times New Roman" w:cs="Times New Roman"/>
          <w:color w:val="auto"/>
          <w:szCs w:val="24"/>
          <w:highlight w:val="none"/>
        </w:rPr>
        <w:t>8.6排污清单</w:t>
      </w:r>
      <w:bookmarkEnd w:id="1144"/>
      <w:bookmarkEnd w:id="1145"/>
      <w:bookmarkEnd w:id="1146"/>
    </w:p>
    <w:p w14:paraId="421EDCD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本项目排污清单见表8.6-1。</w:t>
      </w:r>
    </w:p>
    <w:p w14:paraId="7F958588">
      <w:pPr>
        <w:widowControl/>
        <w:ind w:firstLine="0" w:firstLineChars="0"/>
        <w:jc w:val="center"/>
        <w:rPr>
          <w:rFonts w:hint="default" w:ascii="Times New Roman" w:hAnsi="Times New Roman" w:cs="Times New Roman" w:eastAsiaTheme="minorEastAsia"/>
          <w:b/>
          <w:color w:val="auto"/>
          <w:kern w:val="0"/>
          <w:szCs w:val="21"/>
          <w:highlight w:val="none"/>
        </w:rPr>
      </w:pPr>
      <w:r>
        <w:rPr>
          <w:rFonts w:hint="default" w:ascii="Times New Roman" w:hAnsi="Times New Roman" w:cs="Times New Roman" w:eastAsiaTheme="minorEastAsia"/>
          <w:b/>
          <w:color w:val="auto"/>
          <w:kern w:val="0"/>
          <w:szCs w:val="21"/>
          <w:highlight w:val="none"/>
        </w:rPr>
        <w:t>表8.6-1    项目排污清单一览表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1519"/>
        <w:gridCol w:w="934"/>
        <w:gridCol w:w="898"/>
        <w:gridCol w:w="2184"/>
        <w:gridCol w:w="2132"/>
      </w:tblGrid>
      <w:tr w14:paraId="410A4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 w:type="pct"/>
            <w:gridSpan w:val="2"/>
            <w:shd w:val="clear" w:color="auto" w:fill="FFFFFF"/>
            <w:vAlign w:val="center"/>
          </w:tcPr>
          <w:p w14:paraId="7D526083">
            <w:pPr>
              <w:spacing w:line="360" w:lineRule="exact"/>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污染</w:t>
            </w:r>
          </w:p>
          <w:p w14:paraId="6681835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zh-CN"/>
              </w:rPr>
              <w:t>类别</w:t>
            </w:r>
          </w:p>
        </w:tc>
        <w:tc>
          <w:tcPr>
            <w:tcW w:w="891" w:type="pct"/>
            <w:shd w:val="clear" w:color="auto" w:fill="FFFFFF"/>
            <w:vAlign w:val="center"/>
          </w:tcPr>
          <w:p w14:paraId="499618B5">
            <w:pPr>
              <w:spacing w:line="360" w:lineRule="exact"/>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污染源</w:t>
            </w:r>
          </w:p>
        </w:tc>
        <w:tc>
          <w:tcPr>
            <w:tcW w:w="548" w:type="pct"/>
            <w:shd w:val="clear" w:color="auto" w:fill="FFFFFF"/>
            <w:vAlign w:val="center"/>
          </w:tcPr>
          <w:p w14:paraId="55D9737D">
            <w:pPr>
              <w:spacing w:line="360" w:lineRule="exact"/>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rPr>
              <w:t>污染物名称</w:t>
            </w:r>
          </w:p>
        </w:tc>
        <w:tc>
          <w:tcPr>
            <w:tcW w:w="527" w:type="pct"/>
            <w:shd w:val="clear" w:color="auto" w:fill="FFFFFF"/>
            <w:vAlign w:val="center"/>
          </w:tcPr>
          <w:p w14:paraId="65D3202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zh-CN"/>
              </w:rPr>
              <w:t>排放量</w:t>
            </w:r>
            <w:r>
              <w:rPr>
                <w:rFonts w:hint="default" w:cs="Times New Roman"/>
                <w:b/>
                <w:bCs/>
                <w:color w:val="auto"/>
                <w:sz w:val="21"/>
                <w:szCs w:val="21"/>
                <w:highlight w:val="none"/>
                <w:lang w:val="zh-CN"/>
              </w:rPr>
              <w:t>（</w:t>
            </w:r>
            <w:r>
              <w:rPr>
                <w:rFonts w:hint="default" w:cs="Times New Roman"/>
                <w:b/>
                <w:bCs/>
                <w:color w:val="auto"/>
                <w:sz w:val="21"/>
                <w:szCs w:val="21"/>
                <w:highlight w:val="none"/>
                <w:lang w:val="en-US" w:eastAsia="zh-CN"/>
              </w:rPr>
              <w:t>t/a</w:t>
            </w:r>
            <w:r>
              <w:rPr>
                <w:rFonts w:hint="default" w:cs="Times New Roman"/>
                <w:b/>
                <w:bCs/>
                <w:color w:val="auto"/>
                <w:sz w:val="21"/>
                <w:szCs w:val="21"/>
                <w:highlight w:val="none"/>
                <w:lang w:val="zh-CN"/>
              </w:rPr>
              <w:t>）</w:t>
            </w:r>
          </w:p>
        </w:tc>
        <w:tc>
          <w:tcPr>
            <w:tcW w:w="1281" w:type="pct"/>
            <w:shd w:val="clear" w:color="auto" w:fill="FFFFFF"/>
            <w:vAlign w:val="center"/>
          </w:tcPr>
          <w:p w14:paraId="709C0C54">
            <w:pPr>
              <w:spacing w:line="360" w:lineRule="exact"/>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环保措施</w:t>
            </w:r>
          </w:p>
        </w:tc>
        <w:tc>
          <w:tcPr>
            <w:tcW w:w="1250" w:type="pct"/>
            <w:shd w:val="clear" w:color="auto" w:fill="FFFFFF"/>
            <w:vAlign w:val="center"/>
          </w:tcPr>
          <w:p w14:paraId="7B18CDBB">
            <w:pPr>
              <w:spacing w:line="360" w:lineRule="exact"/>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排放标准</w:t>
            </w:r>
          </w:p>
        </w:tc>
      </w:tr>
      <w:tr w14:paraId="7E158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50" w:type="pct"/>
            <w:vMerge w:val="restart"/>
            <w:shd w:val="clear" w:color="auto" w:fill="FFFFFF"/>
            <w:vAlign w:val="center"/>
          </w:tcPr>
          <w:p w14:paraId="1CC533B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250" w:type="pct"/>
            <w:vMerge w:val="restart"/>
            <w:shd w:val="clear" w:color="auto" w:fill="FFFFFF"/>
            <w:vAlign w:val="center"/>
          </w:tcPr>
          <w:p w14:paraId="412FA2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891" w:type="pct"/>
            <w:shd w:val="clear" w:color="auto" w:fill="auto"/>
            <w:vAlign w:val="center"/>
          </w:tcPr>
          <w:p w14:paraId="1AB85BDE">
            <w:pPr>
              <w:spacing w:line="360" w:lineRule="exact"/>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粗碎厂房</w:t>
            </w:r>
            <w:r>
              <w:rPr>
                <w:rFonts w:hint="default" w:ascii="Times New Roman" w:hAnsi="Times New Roman" w:cs="Times New Roman"/>
                <w:color w:val="auto"/>
                <w:sz w:val="21"/>
                <w:szCs w:val="21"/>
                <w:highlight w:val="none"/>
              </w:rPr>
              <w:t>排气筒（P1）</w:t>
            </w:r>
          </w:p>
        </w:tc>
        <w:tc>
          <w:tcPr>
            <w:tcW w:w="548" w:type="pct"/>
            <w:shd w:val="clear" w:color="auto" w:fill="FFFFFF"/>
            <w:vAlign w:val="center"/>
          </w:tcPr>
          <w:p w14:paraId="361ABD2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PM</w:t>
            </w:r>
            <w:r>
              <w:rPr>
                <w:rFonts w:hint="default" w:ascii="Times New Roman" w:hAnsi="Times New Roman" w:eastAsia="宋体" w:cs="Times New Roman"/>
                <w:color w:val="auto"/>
                <w:spacing w:val="0"/>
                <w:sz w:val="21"/>
                <w:szCs w:val="21"/>
                <w:highlight w:val="none"/>
                <w:vertAlign w:val="subscript"/>
                <w:lang w:val="en-US" w:eastAsia="zh-CN"/>
              </w:rPr>
              <w:t>10</w:t>
            </w:r>
          </w:p>
        </w:tc>
        <w:tc>
          <w:tcPr>
            <w:tcW w:w="527" w:type="pct"/>
            <w:shd w:val="clear" w:color="auto" w:fill="auto"/>
            <w:vAlign w:val="center"/>
          </w:tcPr>
          <w:p w14:paraId="4302A0B5">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0.6</w:t>
            </w:r>
          </w:p>
        </w:tc>
        <w:tc>
          <w:tcPr>
            <w:tcW w:w="1281" w:type="pct"/>
            <w:shd w:val="clear" w:color="auto" w:fill="FFFFFF"/>
            <w:vAlign w:val="center"/>
          </w:tcPr>
          <w:p w14:paraId="0E5085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m排气筒</w:t>
            </w:r>
          </w:p>
        </w:tc>
        <w:tc>
          <w:tcPr>
            <w:tcW w:w="1250" w:type="pct"/>
            <w:vMerge w:val="restart"/>
            <w:shd w:val="clear" w:color="auto" w:fill="FFFFFF"/>
            <w:vAlign w:val="center"/>
          </w:tcPr>
          <w:p w14:paraId="162623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r>
      <w:tr w14:paraId="2FF31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50" w:type="pct"/>
            <w:vMerge w:val="continue"/>
            <w:shd w:val="clear" w:color="auto" w:fill="FFFFFF"/>
            <w:vAlign w:val="center"/>
          </w:tcPr>
          <w:p w14:paraId="0FEDA920">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349CEE5A">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7095F566">
            <w:pPr>
              <w:spacing w:line="360" w:lineRule="exact"/>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中细碎厂房</w:t>
            </w:r>
            <w:r>
              <w:rPr>
                <w:rFonts w:hint="default" w:ascii="Times New Roman" w:hAnsi="Times New Roman" w:cs="Times New Roman"/>
                <w:color w:val="auto"/>
                <w:sz w:val="21"/>
                <w:szCs w:val="21"/>
                <w:highlight w:val="none"/>
              </w:rPr>
              <w:t>排气筒（P2）</w:t>
            </w:r>
          </w:p>
        </w:tc>
        <w:tc>
          <w:tcPr>
            <w:tcW w:w="548" w:type="pct"/>
            <w:shd w:val="clear" w:color="auto" w:fill="FFFFFF"/>
            <w:vAlign w:val="center"/>
          </w:tcPr>
          <w:p w14:paraId="7C4640A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PM</w:t>
            </w:r>
            <w:r>
              <w:rPr>
                <w:rFonts w:hint="default" w:ascii="Times New Roman" w:hAnsi="Times New Roman" w:eastAsia="宋体" w:cs="Times New Roman"/>
                <w:color w:val="auto"/>
                <w:spacing w:val="0"/>
                <w:sz w:val="21"/>
                <w:szCs w:val="21"/>
                <w:highlight w:val="none"/>
                <w:vertAlign w:val="subscript"/>
                <w:lang w:val="en-US" w:eastAsia="zh-CN"/>
              </w:rPr>
              <w:t>10</w:t>
            </w:r>
          </w:p>
        </w:tc>
        <w:tc>
          <w:tcPr>
            <w:tcW w:w="527" w:type="pct"/>
            <w:shd w:val="clear" w:color="auto" w:fill="auto"/>
            <w:vAlign w:val="center"/>
          </w:tcPr>
          <w:p w14:paraId="0917560A">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1.313</w:t>
            </w:r>
          </w:p>
        </w:tc>
        <w:tc>
          <w:tcPr>
            <w:tcW w:w="1281" w:type="pct"/>
            <w:shd w:val="clear" w:color="auto" w:fill="FFFFFF"/>
            <w:vAlign w:val="center"/>
          </w:tcPr>
          <w:p w14:paraId="30052A2A">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m排气筒</w:t>
            </w:r>
          </w:p>
        </w:tc>
        <w:tc>
          <w:tcPr>
            <w:tcW w:w="1250" w:type="pct"/>
            <w:vMerge w:val="continue"/>
            <w:shd w:val="clear" w:color="auto" w:fill="FFFFFF"/>
            <w:vAlign w:val="center"/>
          </w:tcPr>
          <w:p w14:paraId="4C460507">
            <w:pPr>
              <w:spacing w:line="360" w:lineRule="exact"/>
              <w:ind w:firstLine="0" w:firstLineChars="0"/>
              <w:jc w:val="center"/>
              <w:rPr>
                <w:rFonts w:hint="default" w:ascii="Times New Roman" w:hAnsi="Times New Roman" w:cs="Times New Roman"/>
                <w:color w:val="auto"/>
                <w:sz w:val="21"/>
                <w:szCs w:val="21"/>
                <w:highlight w:val="none"/>
              </w:rPr>
            </w:pPr>
          </w:p>
        </w:tc>
      </w:tr>
      <w:tr w14:paraId="5CA8E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250" w:type="pct"/>
            <w:vMerge w:val="continue"/>
            <w:shd w:val="clear" w:color="auto" w:fill="FFFFFF"/>
            <w:vAlign w:val="center"/>
          </w:tcPr>
          <w:p w14:paraId="1991BB8D">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452DB332">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161C0096">
            <w:pPr>
              <w:spacing w:line="360" w:lineRule="exact"/>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w:t>
            </w:r>
            <w:r>
              <w:rPr>
                <w:rFonts w:hint="default" w:ascii="Times New Roman" w:hAnsi="Times New Roman" w:cs="Times New Roman"/>
                <w:bCs/>
                <w:color w:val="auto"/>
                <w:sz w:val="21"/>
                <w:szCs w:val="21"/>
                <w:highlight w:val="none"/>
              </w:rPr>
              <w:t>排气筒（P3）</w:t>
            </w:r>
          </w:p>
        </w:tc>
        <w:tc>
          <w:tcPr>
            <w:tcW w:w="548" w:type="pct"/>
            <w:shd w:val="clear" w:color="auto" w:fill="FFFFFF"/>
            <w:vAlign w:val="center"/>
          </w:tcPr>
          <w:p w14:paraId="5F599E45">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PM</w:t>
            </w:r>
            <w:r>
              <w:rPr>
                <w:rFonts w:hint="default" w:ascii="Times New Roman" w:hAnsi="Times New Roman" w:eastAsia="宋体" w:cs="Times New Roman"/>
                <w:color w:val="auto"/>
                <w:spacing w:val="0"/>
                <w:sz w:val="21"/>
                <w:szCs w:val="21"/>
                <w:highlight w:val="none"/>
                <w:vertAlign w:val="subscript"/>
                <w:lang w:val="en-US" w:eastAsia="zh-CN"/>
              </w:rPr>
              <w:t>10</w:t>
            </w:r>
          </w:p>
        </w:tc>
        <w:tc>
          <w:tcPr>
            <w:tcW w:w="527" w:type="pct"/>
            <w:shd w:val="clear" w:color="auto" w:fill="auto"/>
            <w:vAlign w:val="center"/>
          </w:tcPr>
          <w:p w14:paraId="246047FD">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1.575</w:t>
            </w:r>
          </w:p>
        </w:tc>
        <w:tc>
          <w:tcPr>
            <w:tcW w:w="1281" w:type="pct"/>
            <w:shd w:val="clear" w:color="auto" w:fill="FFFFFF"/>
            <w:vAlign w:val="center"/>
          </w:tcPr>
          <w:p w14:paraId="11B8D16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m排气筒</w:t>
            </w:r>
          </w:p>
        </w:tc>
        <w:tc>
          <w:tcPr>
            <w:tcW w:w="1250" w:type="pct"/>
            <w:vMerge w:val="continue"/>
            <w:shd w:val="clear" w:color="auto" w:fill="FFFFFF"/>
            <w:vAlign w:val="center"/>
          </w:tcPr>
          <w:p w14:paraId="5FF1DA0D">
            <w:pPr>
              <w:spacing w:line="360" w:lineRule="exact"/>
              <w:ind w:firstLine="0" w:firstLineChars="0"/>
              <w:jc w:val="center"/>
              <w:rPr>
                <w:rFonts w:hint="default" w:ascii="Times New Roman" w:hAnsi="Times New Roman" w:cs="Times New Roman"/>
                <w:color w:val="auto"/>
                <w:sz w:val="21"/>
                <w:szCs w:val="21"/>
                <w:highlight w:val="none"/>
              </w:rPr>
            </w:pPr>
          </w:p>
        </w:tc>
      </w:tr>
      <w:tr w14:paraId="70589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250" w:type="pct"/>
            <w:vMerge w:val="continue"/>
            <w:shd w:val="clear" w:color="auto" w:fill="FFFFFF"/>
            <w:vAlign w:val="center"/>
          </w:tcPr>
          <w:p w14:paraId="4148D57A">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5E4699DC">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6F681AC5">
            <w:pPr>
              <w:spacing w:line="360" w:lineRule="exact"/>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cs="Times New Roman"/>
                <w:color w:val="auto"/>
                <w:spacing w:val="-2"/>
                <w:sz w:val="21"/>
                <w:szCs w:val="21"/>
                <w:highlight w:val="none"/>
                <w:lang w:val="en-US" w:eastAsia="zh-CN"/>
              </w:rPr>
              <w:t>粉矿仓排气筒（P4）</w:t>
            </w:r>
          </w:p>
        </w:tc>
        <w:tc>
          <w:tcPr>
            <w:tcW w:w="548" w:type="pct"/>
            <w:shd w:val="clear" w:color="auto" w:fill="FFFFFF"/>
            <w:vAlign w:val="center"/>
          </w:tcPr>
          <w:p w14:paraId="33D440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PM</w:t>
            </w:r>
            <w:r>
              <w:rPr>
                <w:rFonts w:hint="default" w:ascii="Times New Roman" w:hAnsi="Times New Roman" w:eastAsia="宋体" w:cs="Times New Roman"/>
                <w:color w:val="auto"/>
                <w:spacing w:val="0"/>
                <w:sz w:val="21"/>
                <w:szCs w:val="21"/>
                <w:highlight w:val="none"/>
                <w:vertAlign w:val="subscript"/>
                <w:lang w:val="en-US" w:eastAsia="zh-CN"/>
              </w:rPr>
              <w:t>10</w:t>
            </w:r>
          </w:p>
        </w:tc>
        <w:tc>
          <w:tcPr>
            <w:tcW w:w="527" w:type="pct"/>
            <w:shd w:val="clear" w:color="auto" w:fill="auto"/>
            <w:vAlign w:val="center"/>
          </w:tcPr>
          <w:p w14:paraId="1D55ACC7">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0.2625</w:t>
            </w:r>
          </w:p>
        </w:tc>
        <w:tc>
          <w:tcPr>
            <w:tcW w:w="1281" w:type="pct"/>
            <w:shd w:val="clear" w:color="auto" w:fill="FFFFFF"/>
            <w:vAlign w:val="center"/>
          </w:tcPr>
          <w:p w14:paraId="52F061D2">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lang w:val="en-US" w:eastAsia="zh-CN"/>
              </w:rPr>
              <w:t>除尘器</w:t>
            </w:r>
            <w:r>
              <w:rPr>
                <w:rFonts w:hint="default" w:ascii="Times New Roman" w:hAnsi="Times New Roman" w:cs="Times New Roman"/>
                <w:color w:val="auto"/>
                <w:sz w:val="21"/>
                <w:szCs w:val="21"/>
                <w:highlight w:val="none"/>
              </w:rPr>
              <w:t>（除尘效率99%）+</w:t>
            </w:r>
            <w:r>
              <w:rPr>
                <w:rFonts w:hint="default" w:cs="Times New Roman"/>
                <w:color w:val="auto"/>
                <w:sz w:val="21"/>
                <w:szCs w:val="21"/>
                <w:highlight w:val="none"/>
                <w:lang w:val="en-US" w:eastAsia="zh-CN"/>
              </w:rPr>
              <w:t>仓顶排放（15m）</w:t>
            </w:r>
          </w:p>
        </w:tc>
        <w:tc>
          <w:tcPr>
            <w:tcW w:w="1250" w:type="pct"/>
            <w:vMerge w:val="continue"/>
            <w:shd w:val="clear" w:color="auto" w:fill="FFFFFF"/>
            <w:vAlign w:val="center"/>
          </w:tcPr>
          <w:p w14:paraId="053FA479">
            <w:pPr>
              <w:spacing w:line="360" w:lineRule="exact"/>
              <w:ind w:firstLine="0" w:firstLineChars="0"/>
              <w:jc w:val="center"/>
              <w:rPr>
                <w:rFonts w:hint="default" w:ascii="Times New Roman" w:hAnsi="Times New Roman" w:cs="Times New Roman"/>
                <w:color w:val="auto"/>
                <w:sz w:val="21"/>
                <w:szCs w:val="21"/>
                <w:highlight w:val="none"/>
              </w:rPr>
            </w:pPr>
          </w:p>
        </w:tc>
      </w:tr>
      <w:tr w14:paraId="75CC8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shd w:val="clear" w:color="auto" w:fill="FFFFFF"/>
            <w:vAlign w:val="center"/>
          </w:tcPr>
          <w:p w14:paraId="68EB99D2">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restart"/>
            <w:shd w:val="clear" w:color="auto" w:fill="FFFFFF"/>
            <w:vAlign w:val="center"/>
          </w:tcPr>
          <w:p w14:paraId="5A85E87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891" w:type="pct"/>
            <w:shd w:val="clear" w:color="auto" w:fill="auto"/>
            <w:vAlign w:val="center"/>
          </w:tcPr>
          <w:p w14:paraId="21FDA754">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粗碎厂房</w:t>
            </w:r>
          </w:p>
        </w:tc>
        <w:tc>
          <w:tcPr>
            <w:tcW w:w="548" w:type="pct"/>
            <w:shd w:val="clear" w:color="auto" w:fill="auto"/>
            <w:vAlign w:val="center"/>
          </w:tcPr>
          <w:p w14:paraId="574B10B5">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898" w:type="dxa"/>
            <w:shd w:val="clear" w:color="auto" w:fill="auto"/>
            <w:vAlign w:val="center"/>
          </w:tcPr>
          <w:p w14:paraId="254F0E0D">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0.006</w:t>
            </w:r>
          </w:p>
        </w:tc>
        <w:tc>
          <w:tcPr>
            <w:tcW w:w="1281" w:type="pct"/>
            <w:shd w:val="clear" w:color="auto" w:fill="auto"/>
            <w:vAlign w:val="center"/>
          </w:tcPr>
          <w:p w14:paraId="166CD887">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1250" w:type="pct"/>
            <w:vMerge w:val="restart"/>
            <w:shd w:val="clear" w:color="auto" w:fill="FFFFFF"/>
            <w:vAlign w:val="center"/>
          </w:tcPr>
          <w:p w14:paraId="7FCDB46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p>
        </w:tc>
      </w:tr>
      <w:tr w14:paraId="1BB35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shd w:val="clear" w:color="auto" w:fill="FFFFFF"/>
            <w:vAlign w:val="center"/>
          </w:tcPr>
          <w:p w14:paraId="462A1F2D">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64137EAC">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4AD0C4FB">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中细碎厂房</w:t>
            </w:r>
          </w:p>
        </w:tc>
        <w:tc>
          <w:tcPr>
            <w:tcW w:w="548" w:type="pct"/>
            <w:shd w:val="clear" w:color="auto" w:fill="auto"/>
            <w:vAlign w:val="center"/>
          </w:tcPr>
          <w:p w14:paraId="529B2415">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898" w:type="dxa"/>
            <w:shd w:val="clear" w:color="auto" w:fill="auto"/>
            <w:vAlign w:val="center"/>
          </w:tcPr>
          <w:p w14:paraId="3329D95A">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0.013</w:t>
            </w:r>
          </w:p>
        </w:tc>
        <w:tc>
          <w:tcPr>
            <w:tcW w:w="1281" w:type="pct"/>
            <w:shd w:val="clear" w:color="auto" w:fill="auto"/>
            <w:vAlign w:val="center"/>
          </w:tcPr>
          <w:p w14:paraId="73F27A12">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1250" w:type="pct"/>
            <w:vMerge w:val="continue"/>
            <w:shd w:val="clear" w:color="auto" w:fill="FFFFFF"/>
            <w:vAlign w:val="center"/>
          </w:tcPr>
          <w:p w14:paraId="34F85755">
            <w:pPr>
              <w:spacing w:line="360" w:lineRule="exact"/>
              <w:ind w:firstLine="0" w:firstLineChars="0"/>
              <w:jc w:val="center"/>
              <w:rPr>
                <w:rFonts w:hint="default" w:ascii="Times New Roman" w:hAnsi="Times New Roman" w:cs="Times New Roman"/>
                <w:color w:val="auto"/>
                <w:sz w:val="21"/>
                <w:szCs w:val="21"/>
                <w:highlight w:val="none"/>
              </w:rPr>
            </w:pPr>
          </w:p>
        </w:tc>
      </w:tr>
      <w:tr w14:paraId="71EFC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50" w:type="pct"/>
            <w:vMerge w:val="continue"/>
            <w:shd w:val="clear" w:color="auto" w:fill="FFFFFF"/>
            <w:vAlign w:val="center"/>
          </w:tcPr>
          <w:p w14:paraId="7600A359">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0C5AA6A7">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47C6C12C">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筛分厂房</w:t>
            </w:r>
          </w:p>
        </w:tc>
        <w:tc>
          <w:tcPr>
            <w:tcW w:w="548" w:type="pct"/>
            <w:shd w:val="clear" w:color="auto" w:fill="auto"/>
            <w:vAlign w:val="center"/>
          </w:tcPr>
          <w:p w14:paraId="2A364B45">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898" w:type="dxa"/>
            <w:shd w:val="clear" w:color="auto" w:fill="auto"/>
            <w:vAlign w:val="center"/>
          </w:tcPr>
          <w:p w14:paraId="207647B0">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0.016</w:t>
            </w:r>
          </w:p>
        </w:tc>
        <w:tc>
          <w:tcPr>
            <w:tcW w:w="1281" w:type="pct"/>
            <w:shd w:val="clear" w:color="auto" w:fill="auto"/>
            <w:vAlign w:val="center"/>
          </w:tcPr>
          <w:p w14:paraId="27E3D1C3">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厂房封闭，设置喷淋降尘设施</w:t>
            </w:r>
          </w:p>
        </w:tc>
        <w:tc>
          <w:tcPr>
            <w:tcW w:w="1250" w:type="pct"/>
            <w:vMerge w:val="continue"/>
            <w:shd w:val="clear" w:color="auto" w:fill="FFFFFF"/>
            <w:vAlign w:val="center"/>
          </w:tcPr>
          <w:p w14:paraId="4159DFCC">
            <w:pPr>
              <w:spacing w:line="360" w:lineRule="exact"/>
              <w:ind w:firstLine="0" w:firstLineChars="0"/>
              <w:jc w:val="center"/>
              <w:rPr>
                <w:rFonts w:hint="default" w:ascii="Times New Roman" w:hAnsi="Times New Roman" w:cs="Times New Roman"/>
                <w:color w:val="auto"/>
                <w:sz w:val="21"/>
                <w:szCs w:val="21"/>
                <w:highlight w:val="none"/>
              </w:rPr>
            </w:pPr>
          </w:p>
        </w:tc>
      </w:tr>
      <w:tr w14:paraId="4D22B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50" w:type="pct"/>
            <w:vMerge w:val="continue"/>
            <w:shd w:val="clear" w:color="auto" w:fill="FFFFFF"/>
            <w:vAlign w:val="center"/>
          </w:tcPr>
          <w:p w14:paraId="0EC233ED">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713D0EB1">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2738D270">
            <w:pPr>
              <w:pStyle w:val="127"/>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粉矿仓</w:t>
            </w:r>
          </w:p>
        </w:tc>
        <w:tc>
          <w:tcPr>
            <w:tcW w:w="548" w:type="pct"/>
            <w:shd w:val="clear" w:color="auto" w:fill="auto"/>
            <w:vAlign w:val="center"/>
          </w:tcPr>
          <w:p w14:paraId="2C81AD98">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cs="Times New Roman"/>
                <w:color w:val="auto"/>
                <w:spacing w:val="0"/>
                <w:sz w:val="21"/>
                <w:szCs w:val="21"/>
                <w:highlight w:val="none"/>
                <w:lang w:val="en-US" w:eastAsia="zh-CN"/>
              </w:rPr>
              <w:t>TSP</w:t>
            </w:r>
          </w:p>
        </w:tc>
        <w:tc>
          <w:tcPr>
            <w:tcW w:w="898" w:type="dxa"/>
            <w:shd w:val="clear" w:color="auto" w:fill="auto"/>
            <w:vAlign w:val="center"/>
          </w:tcPr>
          <w:p w14:paraId="6903D51A">
            <w:pPr>
              <w:pStyle w:val="127"/>
              <w:widowControl w:val="0"/>
              <w:spacing w:line="360" w:lineRule="exact"/>
              <w:ind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0.003</w:t>
            </w:r>
          </w:p>
        </w:tc>
        <w:tc>
          <w:tcPr>
            <w:tcW w:w="1281" w:type="pct"/>
            <w:shd w:val="clear" w:color="auto" w:fill="auto"/>
            <w:vAlign w:val="center"/>
          </w:tcPr>
          <w:p w14:paraId="1D1C33EF">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cs="Times New Roman"/>
                <w:color w:val="auto"/>
                <w:spacing w:val="-2"/>
                <w:sz w:val="21"/>
                <w:szCs w:val="21"/>
                <w:highlight w:val="none"/>
                <w:lang w:val="en-US" w:eastAsia="zh-CN"/>
              </w:rPr>
              <w:t>粉矿仓</w:t>
            </w:r>
            <w:r>
              <w:rPr>
                <w:rFonts w:hint="default" w:ascii="Times New Roman" w:hAnsi="Times New Roman" w:cs="Times New Roman"/>
                <w:color w:val="auto"/>
                <w:spacing w:val="-2"/>
                <w:sz w:val="21"/>
                <w:szCs w:val="21"/>
                <w:highlight w:val="none"/>
                <w:lang w:val="en-US" w:eastAsia="zh-CN"/>
              </w:rPr>
              <w:t>封闭，设置喷淋降尘设施</w:t>
            </w:r>
          </w:p>
        </w:tc>
        <w:tc>
          <w:tcPr>
            <w:tcW w:w="1250" w:type="pct"/>
            <w:vMerge w:val="continue"/>
            <w:shd w:val="clear" w:color="auto" w:fill="FFFFFF"/>
            <w:vAlign w:val="center"/>
          </w:tcPr>
          <w:p w14:paraId="2D132824">
            <w:pPr>
              <w:spacing w:line="360" w:lineRule="exact"/>
              <w:ind w:firstLine="0" w:firstLineChars="0"/>
              <w:jc w:val="center"/>
              <w:rPr>
                <w:rFonts w:hint="default" w:ascii="Times New Roman" w:hAnsi="Times New Roman" w:cs="Times New Roman"/>
                <w:color w:val="auto"/>
                <w:sz w:val="21"/>
                <w:szCs w:val="21"/>
                <w:highlight w:val="none"/>
              </w:rPr>
            </w:pPr>
          </w:p>
        </w:tc>
      </w:tr>
      <w:tr w14:paraId="74133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shd w:val="clear" w:color="auto" w:fill="FFFFFF"/>
            <w:vAlign w:val="center"/>
          </w:tcPr>
          <w:p w14:paraId="1E4887C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184AA0A8">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52E6BD2A">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原料</w:t>
            </w:r>
            <w:r>
              <w:rPr>
                <w:rFonts w:hint="default" w:ascii="Times New Roman" w:hAnsi="Times New Roman" w:eastAsia="宋体" w:cs="Times New Roman"/>
                <w:color w:val="auto"/>
                <w:spacing w:val="0"/>
                <w:sz w:val="21"/>
                <w:szCs w:val="21"/>
                <w:highlight w:val="none"/>
                <w:lang w:val="en-US" w:eastAsia="zh-CN"/>
              </w:rPr>
              <w:t>堆场</w:t>
            </w:r>
            <w:r>
              <w:rPr>
                <w:rFonts w:hint="default" w:ascii="Times New Roman" w:hAnsi="Times New Roman" w:cs="Times New Roman"/>
                <w:color w:val="auto"/>
                <w:spacing w:val="0"/>
                <w:sz w:val="21"/>
                <w:szCs w:val="21"/>
                <w:highlight w:val="none"/>
                <w:lang w:val="en-US" w:eastAsia="zh-CN"/>
              </w:rPr>
              <w:t>扬尘</w:t>
            </w:r>
          </w:p>
        </w:tc>
        <w:tc>
          <w:tcPr>
            <w:tcW w:w="548" w:type="pct"/>
            <w:shd w:val="clear" w:color="auto" w:fill="auto"/>
            <w:vAlign w:val="center"/>
          </w:tcPr>
          <w:p w14:paraId="33C9605A">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898" w:type="dxa"/>
            <w:shd w:val="clear" w:color="auto" w:fill="auto"/>
            <w:vAlign w:val="center"/>
          </w:tcPr>
          <w:p w14:paraId="00AD0F13">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2.68</w:t>
            </w:r>
          </w:p>
        </w:tc>
        <w:tc>
          <w:tcPr>
            <w:tcW w:w="1281" w:type="pct"/>
            <w:shd w:val="clear" w:color="auto" w:fill="auto"/>
            <w:vAlign w:val="center"/>
          </w:tcPr>
          <w:p w14:paraId="4E6CB207">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抑尘网覆盖、洒水降尘</w:t>
            </w:r>
          </w:p>
        </w:tc>
        <w:tc>
          <w:tcPr>
            <w:tcW w:w="1250" w:type="pct"/>
            <w:vMerge w:val="continue"/>
            <w:shd w:val="clear" w:color="auto" w:fill="FFFFFF"/>
            <w:vAlign w:val="center"/>
          </w:tcPr>
          <w:p w14:paraId="53CA0450">
            <w:pPr>
              <w:spacing w:line="360" w:lineRule="exact"/>
              <w:ind w:firstLine="0" w:firstLineChars="0"/>
              <w:jc w:val="center"/>
              <w:rPr>
                <w:rFonts w:hint="default" w:ascii="Times New Roman" w:hAnsi="Times New Roman" w:cs="Times New Roman"/>
                <w:color w:val="auto"/>
                <w:sz w:val="21"/>
                <w:szCs w:val="21"/>
                <w:highlight w:val="none"/>
              </w:rPr>
            </w:pPr>
          </w:p>
        </w:tc>
      </w:tr>
      <w:tr w14:paraId="79E95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shd w:val="clear" w:color="auto" w:fill="FFFFFF"/>
            <w:vAlign w:val="center"/>
          </w:tcPr>
          <w:p w14:paraId="277E774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0796DB99">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533FCB44">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运输扬尘</w:t>
            </w:r>
          </w:p>
        </w:tc>
        <w:tc>
          <w:tcPr>
            <w:tcW w:w="548" w:type="pct"/>
            <w:shd w:val="clear" w:color="auto" w:fill="auto"/>
            <w:vAlign w:val="center"/>
          </w:tcPr>
          <w:p w14:paraId="0AF06A62">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898" w:type="dxa"/>
            <w:shd w:val="clear" w:color="auto" w:fill="auto"/>
            <w:vAlign w:val="center"/>
          </w:tcPr>
          <w:p w14:paraId="50F500F1">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0.69</w:t>
            </w:r>
          </w:p>
        </w:tc>
        <w:tc>
          <w:tcPr>
            <w:tcW w:w="1281" w:type="pct"/>
            <w:shd w:val="clear" w:color="auto" w:fill="auto"/>
            <w:vAlign w:val="center"/>
          </w:tcPr>
          <w:p w14:paraId="06A84826">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道路洒水、道路路面铺碎石、降低车速及加盖篷布</w:t>
            </w:r>
          </w:p>
        </w:tc>
        <w:tc>
          <w:tcPr>
            <w:tcW w:w="1250" w:type="pct"/>
            <w:vMerge w:val="continue"/>
            <w:shd w:val="clear" w:color="auto" w:fill="FFFFFF"/>
            <w:vAlign w:val="center"/>
          </w:tcPr>
          <w:p w14:paraId="438E7DA1">
            <w:pPr>
              <w:spacing w:line="360" w:lineRule="exact"/>
              <w:ind w:firstLine="0" w:firstLineChars="0"/>
              <w:jc w:val="center"/>
              <w:rPr>
                <w:rFonts w:hint="default" w:ascii="Times New Roman" w:hAnsi="Times New Roman" w:cs="Times New Roman"/>
                <w:color w:val="auto"/>
                <w:sz w:val="21"/>
                <w:szCs w:val="21"/>
                <w:highlight w:val="none"/>
              </w:rPr>
            </w:pPr>
          </w:p>
        </w:tc>
      </w:tr>
      <w:tr w14:paraId="1A914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shd w:val="clear" w:color="auto" w:fill="FFFFFF"/>
            <w:vAlign w:val="center"/>
          </w:tcPr>
          <w:p w14:paraId="7A48520B">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shd w:val="clear" w:color="auto" w:fill="FFFFFF"/>
            <w:vAlign w:val="center"/>
          </w:tcPr>
          <w:p w14:paraId="187C045F">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61A4D3DF">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尾矿库扬尘</w:t>
            </w:r>
          </w:p>
        </w:tc>
        <w:tc>
          <w:tcPr>
            <w:tcW w:w="548" w:type="pct"/>
            <w:shd w:val="clear" w:color="auto" w:fill="auto"/>
            <w:vAlign w:val="center"/>
          </w:tcPr>
          <w:p w14:paraId="257752DA">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TSP</w:t>
            </w:r>
          </w:p>
        </w:tc>
        <w:tc>
          <w:tcPr>
            <w:tcW w:w="898" w:type="dxa"/>
            <w:shd w:val="clear" w:color="auto" w:fill="auto"/>
            <w:vAlign w:val="center"/>
          </w:tcPr>
          <w:p w14:paraId="6B01D86E">
            <w:pPr>
              <w:pStyle w:val="127"/>
              <w:widowControl w:val="0"/>
              <w:spacing w:line="360" w:lineRule="exact"/>
              <w:ind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spacing w:val="-2"/>
                <w:kern w:val="2"/>
                <w:sz w:val="21"/>
                <w:szCs w:val="21"/>
                <w:highlight w:val="none"/>
                <w:u w:val="none"/>
                <w:lang w:val="en-US" w:eastAsia="zh-CN" w:bidi="ar"/>
              </w:rPr>
              <w:t>0.038</w:t>
            </w:r>
          </w:p>
        </w:tc>
        <w:tc>
          <w:tcPr>
            <w:tcW w:w="1281" w:type="pct"/>
            <w:shd w:val="clear" w:color="auto" w:fill="auto"/>
            <w:vAlign w:val="center"/>
          </w:tcPr>
          <w:p w14:paraId="499C7A5E">
            <w:pPr>
              <w:keepNext w:val="0"/>
              <w:keepLines w:val="0"/>
              <w:pageBreakBefore w:val="0"/>
              <w:widowControl w:val="0"/>
              <w:kinsoku/>
              <w:wordWrap/>
              <w:overflowPunct/>
              <w:topLinePunct w:val="0"/>
              <w:autoSpaceDE/>
              <w:autoSpaceDN/>
              <w:bidi w:val="0"/>
              <w:adjustRightInd/>
              <w:snapToGrid/>
              <w:spacing w:line="35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洒水降尘</w:t>
            </w:r>
          </w:p>
        </w:tc>
        <w:tc>
          <w:tcPr>
            <w:tcW w:w="1250" w:type="pct"/>
            <w:vMerge w:val="continue"/>
            <w:shd w:val="clear" w:color="auto" w:fill="FFFFFF"/>
            <w:vAlign w:val="center"/>
          </w:tcPr>
          <w:p w14:paraId="0A8A5319">
            <w:pPr>
              <w:spacing w:line="360" w:lineRule="exact"/>
              <w:ind w:firstLine="0" w:firstLineChars="0"/>
              <w:jc w:val="center"/>
              <w:rPr>
                <w:rFonts w:hint="default" w:ascii="Times New Roman" w:hAnsi="Times New Roman" w:cs="Times New Roman"/>
                <w:color w:val="auto"/>
                <w:sz w:val="21"/>
                <w:szCs w:val="21"/>
                <w:highlight w:val="none"/>
              </w:rPr>
            </w:pPr>
          </w:p>
        </w:tc>
      </w:tr>
      <w:tr w14:paraId="2E9B5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500" w:type="pct"/>
            <w:gridSpan w:val="2"/>
            <w:vMerge w:val="restart"/>
            <w:shd w:val="clear" w:color="auto" w:fill="FFFFFF"/>
            <w:vAlign w:val="center"/>
          </w:tcPr>
          <w:p w14:paraId="47364C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891" w:type="pct"/>
            <w:shd w:val="clear" w:color="auto" w:fill="FFFFFF"/>
            <w:vAlign w:val="center"/>
          </w:tcPr>
          <w:p w14:paraId="0B138F7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选矿废水</w:t>
            </w:r>
          </w:p>
        </w:tc>
        <w:tc>
          <w:tcPr>
            <w:tcW w:w="548" w:type="pct"/>
            <w:shd w:val="clear" w:color="auto" w:fill="FFFFFF"/>
            <w:vAlign w:val="center"/>
          </w:tcPr>
          <w:p w14:paraId="3022DD8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7" w:type="pct"/>
            <w:shd w:val="clear" w:color="auto" w:fill="FFFFFF"/>
            <w:vAlign w:val="center"/>
          </w:tcPr>
          <w:p w14:paraId="5EA87399">
            <w:pPr>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14.1444</w:t>
            </w:r>
            <w:r>
              <w:rPr>
                <w:rFonts w:hint="default" w:ascii="Times New Roman" w:hAnsi="Times New Roman" w:cs="Times New Roman"/>
                <w:color w:val="auto"/>
                <w:sz w:val="21"/>
                <w:szCs w:val="21"/>
                <w:highlight w:val="none"/>
              </w:rPr>
              <w:t>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1281" w:type="pct"/>
            <w:shd w:val="clear" w:color="auto" w:fill="FFFFFF"/>
            <w:vAlign w:val="center"/>
          </w:tcPr>
          <w:p w14:paraId="1935062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循环使用，不外排。</w:t>
            </w:r>
          </w:p>
        </w:tc>
        <w:tc>
          <w:tcPr>
            <w:tcW w:w="1250" w:type="pct"/>
            <w:shd w:val="clear" w:color="auto" w:fill="FFFFFF"/>
            <w:vAlign w:val="center"/>
          </w:tcPr>
          <w:p w14:paraId="233A6FBB">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cs="Times New Roman"/>
                <w:color w:val="auto"/>
                <w:sz w:val="21"/>
                <w:szCs w:val="21"/>
                <w:highlight w:val="none"/>
                <w:lang w:val="en-US" w:eastAsia="zh-CN"/>
              </w:rPr>
              <w:t>/</w:t>
            </w:r>
          </w:p>
        </w:tc>
      </w:tr>
      <w:tr w14:paraId="3E336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37BAD086">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FFFFFF"/>
            <w:vAlign w:val="center"/>
          </w:tcPr>
          <w:p w14:paraId="582EA17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548" w:type="pct"/>
            <w:shd w:val="clear" w:color="auto" w:fill="FFFFFF"/>
            <w:vAlign w:val="center"/>
          </w:tcPr>
          <w:p w14:paraId="1ACC66E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7" w:type="pct"/>
            <w:shd w:val="clear" w:color="auto" w:fill="FFFFFF"/>
            <w:vAlign w:val="center"/>
          </w:tcPr>
          <w:p w14:paraId="7404600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1978</w:t>
            </w:r>
            <w:r>
              <w:rPr>
                <w:rFonts w:hint="default" w:ascii="Times New Roman" w:hAnsi="Times New Roman" w:cs="Times New Roman"/>
                <w:color w:val="auto"/>
                <w:sz w:val="21"/>
                <w:szCs w:val="21"/>
                <w:highlight w:val="none"/>
              </w:rPr>
              <w:t>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1281" w:type="pct"/>
            <w:shd w:val="clear" w:color="auto" w:fill="FFFFFF"/>
            <w:vAlign w:val="center"/>
          </w:tcPr>
          <w:p w14:paraId="0ECE6E4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新建地埋式一体化污水处理装置，处理达标后</w:t>
            </w:r>
            <w:r>
              <w:rPr>
                <w:rFonts w:hint="default" w:ascii="Times New Roman" w:hAnsi="Times New Roman" w:cs="Times New Roman"/>
                <w:color w:val="auto"/>
                <w:sz w:val="21"/>
                <w:szCs w:val="21"/>
                <w:highlight w:val="none"/>
                <w:lang w:val="en-US" w:eastAsia="zh-CN"/>
              </w:rPr>
              <w:t>灌溉季用于厂区绿化，非灌溉季</w:t>
            </w:r>
            <w:r>
              <w:rPr>
                <w:rFonts w:hint="default" w:ascii="Times New Roman" w:hAnsi="Times New Roman" w:cs="Times New Roman"/>
                <w:color w:val="auto"/>
                <w:sz w:val="21"/>
                <w:szCs w:val="21"/>
                <w:highlight w:val="none"/>
              </w:rPr>
              <w:t>用于选矿生产工序循环利用及绿化，不外排。</w:t>
            </w:r>
          </w:p>
        </w:tc>
        <w:tc>
          <w:tcPr>
            <w:tcW w:w="1250" w:type="pct"/>
            <w:shd w:val="clear" w:color="auto" w:fill="FFFFFF"/>
            <w:vAlign w:val="center"/>
          </w:tcPr>
          <w:p w14:paraId="5DEC676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《农村生活污水处理排放标准》（DB65 4275-2019）表2规定的A级排放限值以及《城市污水再生利用 城市杂用水水质》（GB/T18920-2020）</w:t>
            </w:r>
          </w:p>
        </w:tc>
      </w:tr>
      <w:tr w14:paraId="2FC5F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 w:type="pct"/>
            <w:gridSpan w:val="2"/>
            <w:vMerge w:val="restart"/>
            <w:shd w:val="clear" w:color="auto" w:fill="FFFFFF"/>
            <w:vAlign w:val="center"/>
          </w:tcPr>
          <w:p w14:paraId="7BAC0C9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891" w:type="pct"/>
            <w:shd w:val="clear" w:color="auto" w:fill="FFFFFF"/>
            <w:vAlign w:val="center"/>
          </w:tcPr>
          <w:p w14:paraId="23A90C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尾矿砂</w:t>
            </w:r>
          </w:p>
        </w:tc>
        <w:tc>
          <w:tcPr>
            <w:tcW w:w="548" w:type="pct"/>
            <w:shd w:val="clear" w:color="auto" w:fill="FFFFFF"/>
            <w:vAlign w:val="center"/>
          </w:tcPr>
          <w:p w14:paraId="66F1E774">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FFFFFF"/>
            <w:vAlign w:val="center"/>
          </w:tcPr>
          <w:p w14:paraId="2CCAC628">
            <w:pPr>
              <w:widowControl/>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eastAsia="宋体" w:cs="Times New Roman"/>
                <w:color w:val="auto"/>
                <w:sz w:val="21"/>
                <w:highlight w:val="none"/>
                <w:lang w:val="en-US" w:eastAsia="zh-CN"/>
              </w:rPr>
              <w:t>14.5</w:t>
            </w:r>
            <w:r>
              <w:rPr>
                <w:rFonts w:hint="default" w:cs="Times New Roman"/>
                <w:color w:val="auto"/>
                <w:sz w:val="21"/>
                <w:highlight w:val="none"/>
                <w:lang w:val="en-US" w:eastAsia="zh-CN"/>
              </w:rPr>
              <w:t>8</w:t>
            </w:r>
            <w:r>
              <w:rPr>
                <w:rFonts w:hint="default" w:ascii="Times New Roman" w:hAnsi="Times New Roman" w:cs="Times New Roman"/>
                <w:b w:val="0"/>
                <w:bCs/>
                <w:color w:val="auto"/>
                <w:kern w:val="0"/>
                <w:sz w:val="21"/>
                <w:szCs w:val="21"/>
                <w:highlight w:val="none"/>
              </w:rPr>
              <w:t>万</w:t>
            </w:r>
          </w:p>
        </w:tc>
        <w:tc>
          <w:tcPr>
            <w:tcW w:w="1281" w:type="pct"/>
            <w:shd w:val="clear" w:color="auto" w:fill="FFFFFF"/>
            <w:vAlign w:val="center"/>
          </w:tcPr>
          <w:p w14:paraId="3FFE9FF7">
            <w:pPr>
              <w:spacing w:line="360" w:lineRule="exact"/>
              <w:ind w:firstLine="0" w:firstLineChars="0"/>
              <w:jc w:val="center"/>
              <w:rPr>
                <w:rFonts w:hint="default" w:ascii="Times New Roman" w:hAnsi="Times New Roman" w:cs="Times New Roman"/>
                <w:color w:val="auto"/>
                <w:sz w:val="21"/>
                <w:szCs w:val="21"/>
                <w:highlight w:val="none"/>
              </w:rPr>
            </w:pPr>
            <w:r>
              <w:rPr>
                <w:rFonts w:hint="default" w:cs="Times New Roman"/>
                <w:bCs/>
                <w:color w:val="auto"/>
                <w:sz w:val="21"/>
                <w:szCs w:val="21"/>
                <w:highlight w:val="none"/>
                <w:lang w:val="en-US" w:eastAsia="zh-CN"/>
              </w:rPr>
              <w:t>部分用于井下充填，剩余部分</w:t>
            </w:r>
            <w:r>
              <w:rPr>
                <w:rFonts w:hint="default" w:ascii="Times New Roman" w:hAnsi="Times New Roman" w:cs="Times New Roman"/>
                <w:bCs/>
                <w:color w:val="auto"/>
                <w:sz w:val="21"/>
                <w:szCs w:val="21"/>
                <w:highlight w:val="none"/>
              </w:rPr>
              <w:t>排入尾矿库中，服役期满后进行闭库处置</w:t>
            </w:r>
          </w:p>
        </w:tc>
        <w:tc>
          <w:tcPr>
            <w:tcW w:w="1250" w:type="pct"/>
            <w:vMerge w:val="restart"/>
            <w:shd w:val="clear" w:color="auto" w:fill="FFFFFF"/>
            <w:vAlign w:val="center"/>
          </w:tcPr>
          <w:p w14:paraId="19C0433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合理处置，不外排</w:t>
            </w:r>
          </w:p>
        </w:tc>
      </w:tr>
      <w:tr w14:paraId="633B9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00" w:type="pct"/>
            <w:gridSpan w:val="2"/>
            <w:vMerge w:val="continue"/>
            <w:shd w:val="clear" w:color="auto" w:fill="FFFFFF"/>
            <w:vAlign w:val="center"/>
          </w:tcPr>
          <w:p w14:paraId="718AA896">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4573E68B">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除尘灰</w:t>
            </w:r>
          </w:p>
        </w:tc>
        <w:tc>
          <w:tcPr>
            <w:tcW w:w="548" w:type="pct"/>
            <w:shd w:val="clear" w:color="auto" w:fill="FFFFFF"/>
            <w:vAlign w:val="center"/>
          </w:tcPr>
          <w:p w14:paraId="28D7761A">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51C626A6">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33.41</w:t>
            </w:r>
          </w:p>
        </w:tc>
        <w:tc>
          <w:tcPr>
            <w:tcW w:w="1281" w:type="pct"/>
            <w:shd w:val="clear" w:color="auto" w:fill="auto"/>
            <w:vAlign w:val="center"/>
          </w:tcPr>
          <w:p w14:paraId="3E740AD7">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rPr>
              <w:t>通过除尘器灰斗收集后回用于选矿生产，不外排。</w:t>
            </w:r>
          </w:p>
        </w:tc>
        <w:tc>
          <w:tcPr>
            <w:tcW w:w="1250" w:type="pct"/>
            <w:vMerge w:val="continue"/>
            <w:shd w:val="clear" w:color="auto" w:fill="FFFFFF"/>
            <w:vAlign w:val="center"/>
          </w:tcPr>
          <w:p w14:paraId="445BCB89">
            <w:pPr>
              <w:spacing w:line="360" w:lineRule="exact"/>
              <w:ind w:firstLine="0" w:firstLineChars="0"/>
              <w:jc w:val="center"/>
              <w:rPr>
                <w:rFonts w:hint="default" w:ascii="Times New Roman" w:hAnsi="Times New Roman" w:cs="Times New Roman"/>
                <w:color w:val="auto"/>
                <w:sz w:val="21"/>
                <w:szCs w:val="21"/>
                <w:highlight w:val="none"/>
              </w:rPr>
            </w:pPr>
          </w:p>
        </w:tc>
      </w:tr>
      <w:tr w14:paraId="1C5BB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00" w:type="pct"/>
            <w:gridSpan w:val="2"/>
            <w:vMerge w:val="continue"/>
            <w:shd w:val="clear" w:color="auto" w:fill="FFFFFF"/>
            <w:vAlign w:val="center"/>
          </w:tcPr>
          <w:p w14:paraId="275B8ACE">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0A1DF0B0">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lang w:val="en-US" w:eastAsia="zh-CN"/>
              </w:rPr>
              <w:t>生产</w:t>
            </w:r>
            <w:r>
              <w:rPr>
                <w:rFonts w:hint="default" w:ascii="Times New Roman" w:hAnsi="Times New Roman" w:eastAsia="宋体" w:cs="Times New Roman"/>
                <w:color w:val="auto"/>
                <w:sz w:val="21"/>
                <w:highlight w:val="none"/>
                <w:lang w:eastAsia="zh-CN"/>
              </w:rPr>
              <w:t>回水池底泥</w:t>
            </w:r>
          </w:p>
        </w:tc>
        <w:tc>
          <w:tcPr>
            <w:tcW w:w="548" w:type="pct"/>
            <w:shd w:val="clear" w:color="auto" w:fill="FFFFFF"/>
            <w:vAlign w:val="center"/>
          </w:tcPr>
          <w:p w14:paraId="3747E111">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0FC47E94">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62.5</w:t>
            </w:r>
          </w:p>
        </w:tc>
        <w:tc>
          <w:tcPr>
            <w:tcW w:w="1281" w:type="pct"/>
            <w:shd w:val="clear" w:color="auto" w:fill="auto"/>
            <w:vAlign w:val="center"/>
          </w:tcPr>
          <w:p w14:paraId="460AA6C3">
            <w:pPr>
              <w:autoSpaceDE w:val="0"/>
              <w:autoSpaceDN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生产回水池底泥</w:t>
            </w:r>
            <w:r>
              <w:rPr>
                <w:rFonts w:hint="default" w:ascii="Times New Roman" w:hAnsi="Times New Roman" w:cs="Times New Roman"/>
                <w:color w:val="auto"/>
                <w:sz w:val="21"/>
                <w:highlight w:val="none"/>
              </w:rPr>
              <w:t>定期清理，返回生产工序</w:t>
            </w:r>
            <w:r>
              <w:rPr>
                <w:rFonts w:hint="default" w:ascii="Times New Roman" w:hAnsi="Times New Roman" w:eastAsia="宋体" w:cs="Times New Roman"/>
                <w:color w:val="auto"/>
                <w:sz w:val="21"/>
                <w:szCs w:val="21"/>
                <w:highlight w:val="none"/>
                <w:lang w:eastAsia="zh-CN"/>
              </w:rPr>
              <w:t>，后期用于土地复垦</w:t>
            </w:r>
            <w:r>
              <w:rPr>
                <w:rFonts w:hint="default" w:ascii="Times New Roman" w:hAnsi="Times New Roman" w:cs="Times New Roman"/>
                <w:color w:val="auto"/>
                <w:sz w:val="21"/>
                <w:highlight w:val="none"/>
              </w:rPr>
              <w:t>。</w:t>
            </w:r>
          </w:p>
        </w:tc>
        <w:tc>
          <w:tcPr>
            <w:tcW w:w="1250" w:type="pct"/>
            <w:vMerge w:val="continue"/>
            <w:shd w:val="clear" w:color="auto" w:fill="FFFFFF"/>
            <w:vAlign w:val="center"/>
          </w:tcPr>
          <w:p w14:paraId="2F98EE6D">
            <w:pPr>
              <w:spacing w:line="360" w:lineRule="exact"/>
              <w:ind w:firstLine="0" w:firstLineChars="0"/>
              <w:jc w:val="center"/>
              <w:rPr>
                <w:rFonts w:hint="default" w:ascii="Times New Roman" w:hAnsi="Times New Roman" w:cs="Times New Roman"/>
                <w:color w:val="auto"/>
                <w:sz w:val="21"/>
                <w:szCs w:val="21"/>
                <w:highlight w:val="none"/>
              </w:rPr>
            </w:pPr>
          </w:p>
        </w:tc>
      </w:tr>
      <w:tr w14:paraId="5C8CA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16A3601E">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0A4DD800">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lang w:eastAsia="zh-CN"/>
              </w:rPr>
              <w:t>生活污水处理设施底泥</w:t>
            </w:r>
          </w:p>
        </w:tc>
        <w:tc>
          <w:tcPr>
            <w:tcW w:w="548" w:type="pct"/>
            <w:shd w:val="clear" w:color="auto" w:fill="FFFFFF"/>
            <w:vAlign w:val="center"/>
          </w:tcPr>
          <w:p w14:paraId="4FAA36EC">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38B809F0">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5.46</w:t>
            </w:r>
          </w:p>
        </w:tc>
        <w:tc>
          <w:tcPr>
            <w:tcW w:w="1281" w:type="pct"/>
            <w:shd w:val="clear" w:color="auto" w:fill="auto"/>
            <w:vAlign w:val="center"/>
          </w:tcPr>
          <w:p w14:paraId="59789C0F">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cs="Times New Roman"/>
                <w:color w:val="auto"/>
                <w:sz w:val="21"/>
                <w:highlight w:val="none"/>
                <w:lang w:val="en-US" w:eastAsia="zh-CN"/>
              </w:rPr>
              <w:t>干化后</w:t>
            </w:r>
            <w:r>
              <w:rPr>
                <w:rFonts w:hint="default" w:ascii="Times New Roman" w:hAnsi="Times New Roman" w:cs="Times New Roman"/>
                <w:color w:val="auto"/>
                <w:sz w:val="21"/>
                <w:highlight w:val="none"/>
              </w:rPr>
              <w:t>定期拉运至</w:t>
            </w:r>
            <w:r>
              <w:rPr>
                <w:rFonts w:hint="default" w:ascii="Times New Roman" w:hAnsi="Times New Roman" w:cs="Times New Roman"/>
                <w:color w:val="auto"/>
                <w:sz w:val="21"/>
                <w:highlight w:val="none"/>
                <w:lang w:val="en-US" w:eastAsia="zh-CN"/>
              </w:rPr>
              <w:t>富蕴县杜热镇生活垃圾填埋场处置</w:t>
            </w:r>
            <w:r>
              <w:rPr>
                <w:rFonts w:hint="default" w:ascii="Times New Roman" w:hAnsi="Times New Roman" w:cs="Times New Roman"/>
                <w:color w:val="auto"/>
                <w:sz w:val="21"/>
                <w:highlight w:val="none"/>
                <w:lang w:eastAsia="zh-CN"/>
              </w:rPr>
              <w:t>。</w:t>
            </w:r>
          </w:p>
        </w:tc>
        <w:tc>
          <w:tcPr>
            <w:tcW w:w="1250" w:type="pct"/>
            <w:vMerge w:val="continue"/>
            <w:shd w:val="clear" w:color="auto" w:fill="FFFFFF"/>
            <w:vAlign w:val="center"/>
          </w:tcPr>
          <w:p w14:paraId="3CE62274">
            <w:pPr>
              <w:spacing w:line="360" w:lineRule="exact"/>
              <w:ind w:firstLine="0" w:firstLineChars="0"/>
              <w:jc w:val="center"/>
              <w:rPr>
                <w:rFonts w:hint="default" w:ascii="Times New Roman" w:hAnsi="Times New Roman" w:cs="Times New Roman"/>
                <w:color w:val="auto"/>
                <w:sz w:val="21"/>
                <w:szCs w:val="21"/>
                <w:highlight w:val="none"/>
              </w:rPr>
            </w:pPr>
          </w:p>
        </w:tc>
      </w:tr>
      <w:tr w14:paraId="735D7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1657A446">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2C336F90">
            <w:pPr>
              <w:autoSpaceDE w:val="0"/>
              <w:autoSpaceDN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废布袋</w:t>
            </w:r>
          </w:p>
        </w:tc>
        <w:tc>
          <w:tcPr>
            <w:tcW w:w="548" w:type="pct"/>
            <w:shd w:val="clear" w:color="auto" w:fill="FFFFFF"/>
            <w:vAlign w:val="center"/>
          </w:tcPr>
          <w:p w14:paraId="332E7BB2">
            <w:pPr>
              <w:spacing w:line="360" w:lineRule="exact"/>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527" w:type="pct"/>
            <w:shd w:val="clear" w:color="auto" w:fill="auto"/>
            <w:vAlign w:val="center"/>
          </w:tcPr>
          <w:p w14:paraId="2897B8CB">
            <w:pPr>
              <w:autoSpaceDE w:val="0"/>
              <w:autoSpaceDN w:val="0"/>
              <w:spacing w:line="360" w:lineRule="exact"/>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0.5</w:t>
            </w:r>
          </w:p>
        </w:tc>
        <w:tc>
          <w:tcPr>
            <w:tcW w:w="1281" w:type="pct"/>
            <w:shd w:val="clear" w:color="auto" w:fill="auto"/>
            <w:vAlign w:val="center"/>
          </w:tcPr>
          <w:p w14:paraId="3F0F82CF">
            <w:pPr>
              <w:autoSpaceDE w:val="0"/>
              <w:autoSpaceDN w:val="0"/>
              <w:spacing w:line="360" w:lineRule="exact"/>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定期收集后外售</w:t>
            </w:r>
          </w:p>
        </w:tc>
        <w:tc>
          <w:tcPr>
            <w:tcW w:w="1250" w:type="pct"/>
            <w:vMerge w:val="continue"/>
            <w:shd w:val="clear" w:color="auto" w:fill="FFFFFF"/>
            <w:vAlign w:val="center"/>
          </w:tcPr>
          <w:p w14:paraId="0C1C3396">
            <w:pPr>
              <w:spacing w:line="360" w:lineRule="exact"/>
              <w:ind w:firstLine="0" w:firstLineChars="0"/>
              <w:jc w:val="center"/>
              <w:rPr>
                <w:rFonts w:hint="default" w:ascii="Times New Roman" w:hAnsi="Times New Roman" w:cs="Times New Roman"/>
                <w:color w:val="auto"/>
                <w:sz w:val="21"/>
                <w:szCs w:val="21"/>
                <w:highlight w:val="none"/>
              </w:rPr>
            </w:pPr>
          </w:p>
        </w:tc>
      </w:tr>
      <w:tr w14:paraId="495AA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292A7630">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1BBFBB71">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6"/>
                <w:sz w:val="21"/>
                <w:szCs w:val="21"/>
                <w:highlight w:val="none"/>
              </w:rPr>
              <w:t>废</w:t>
            </w:r>
            <w:r>
              <w:rPr>
                <w:rFonts w:hint="default" w:ascii="Times New Roman" w:hAnsi="Times New Roman" w:cs="Times New Roman"/>
                <w:color w:val="auto"/>
                <w:spacing w:val="6"/>
                <w:sz w:val="21"/>
                <w:szCs w:val="21"/>
                <w:highlight w:val="none"/>
                <w:lang w:val="en-US" w:eastAsia="zh-CN"/>
              </w:rPr>
              <w:t>矿物油</w:t>
            </w:r>
          </w:p>
        </w:tc>
        <w:tc>
          <w:tcPr>
            <w:tcW w:w="548" w:type="pct"/>
            <w:shd w:val="clear" w:color="auto" w:fill="FFFFFF"/>
            <w:vAlign w:val="center"/>
          </w:tcPr>
          <w:p w14:paraId="1DAABA39">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3448B210">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p>
        </w:tc>
        <w:tc>
          <w:tcPr>
            <w:tcW w:w="1281" w:type="pct"/>
            <w:vMerge w:val="restart"/>
            <w:shd w:val="clear" w:color="auto" w:fill="FFFFFF"/>
            <w:vAlign w:val="center"/>
          </w:tcPr>
          <w:p w14:paraId="3342C449">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highlight w:val="none"/>
              </w:rPr>
              <w:t>收集至防渗</w:t>
            </w:r>
            <w:r>
              <w:rPr>
                <w:rFonts w:hint="default" w:cs="Times New Roman"/>
                <w:color w:val="auto"/>
                <w:sz w:val="21"/>
                <w:highlight w:val="none"/>
                <w:lang w:eastAsia="zh-CN"/>
              </w:rPr>
              <w:t>危废贮存点</w:t>
            </w:r>
            <w:r>
              <w:rPr>
                <w:rFonts w:hint="default" w:ascii="Times New Roman" w:hAnsi="Times New Roman" w:eastAsia="宋体" w:cs="Times New Roman"/>
                <w:color w:val="auto"/>
                <w:sz w:val="21"/>
                <w:highlight w:val="none"/>
              </w:rPr>
              <w:t>，委托具有相应危险废物处置资质的单位进行处置。</w:t>
            </w:r>
          </w:p>
        </w:tc>
        <w:tc>
          <w:tcPr>
            <w:tcW w:w="1250" w:type="pct"/>
            <w:vMerge w:val="continue"/>
            <w:shd w:val="clear" w:color="auto" w:fill="FFFFFF"/>
            <w:vAlign w:val="center"/>
          </w:tcPr>
          <w:p w14:paraId="5873F3DC">
            <w:pPr>
              <w:spacing w:line="360" w:lineRule="exact"/>
              <w:ind w:firstLine="0" w:firstLineChars="0"/>
              <w:jc w:val="center"/>
              <w:rPr>
                <w:rFonts w:hint="default" w:ascii="Times New Roman" w:hAnsi="Times New Roman" w:cs="Times New Roman"/>
                <w:color w:val="auto"/>
                <w:sz w:val="21"/>
                <w:szCs w:val="21"/>
                <w:highlight w:val="none"/>
              </w:rPr>
            </w:pPr>
          </w:p>
        </w:tc>
      </w:tr>
      <w:tr w14:paraId="05967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55CC13AA">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5AC69EE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pacing w:val="-2"/>
                <w:sz w:val="21"/>
                <w:szCs w:val="21"/>
                <w:highlight w:val="none"/>
                <w:lang w:eastAsia="zh-CN"/>
              </w:rPr>
              <w:t>废油桶</w:t>
            </w:r>
          </w:p>
        </w:tc>
        <w:tc>
          <w:tcPr>
            <w:tcW w:w="548" w:type="pct"/>
            <w:shd w:val="clear" w:color="auto" w:fill="FFFFFF"/>
            <w:vAlign w:val="center"/>
          </w:tcPr>
          <w:p w14:paraId="3E02560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3C3C13DD">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0.6</w:t>
            </w:r>
          </w:p>
        </w:tc>
        <w:tc>
          <w:tcPr>
            <w:tcW w:w="1281" w:type="pct"/>
            <w:vMerge w:val="continue"/>
            <w:shd w:val="clear" w:color="auto" w:fill="FFFFFF"/>
            <w:vAlign w:val="center"/>
          </w:tcPr>
          <w:p w14:paraId="0409F98A">
            <w:pPr>
              <w:spacing w:line="360" w:lineRule="exact"/>
              <w:ind w:firstLine="0" w:firstLineChars="0"/>
              <w:jc w:val="center"/>
              <w:rPr>
                <w:rFonts w:hint="default" w:ascii="Times New Roman" w:hAnsi="Times New Roman" w:cs="Times New Roman"/>
                <w:bCs/>
                <w:color w:val="auto"/>
                <w:sz w:val="21"/>
                <w:szCs w:val="21"/>
                <w:highlight w:val="none"/>
              </w:rPr>
            </w:pPr>
          </w:p>
        </w:tc>
        <w:tc>
          <w:tcPr>
            <w:tcW w:w="1250" w:type="pct"/>
            <w:vMerge w:val="continue"/>
            <w:shd w:val="clear" w:color="auto" w:fill="FFFFFF"/>
            <w:vAlign w:val="center"/>
          </w:tcPr>
          <w:p w14:paraId="59E5C5D3">
            <w:pPr>
              <w:spacing w:line="360" w:lineRule="exact"/>
              <w:ind w:firstLine="0" w:firstLineChars="0"/>
              <w:jc w:val="center"/>
              <w:rPr>
                <w:rFonts w:hint="default" w:ascii="Times New Roman" w:hAnsi="Times New Roman" w:cs="Times New Roman"/>
                <w:color w:val="auto"/>
                <w:sz w:val="21"/>
                <w:szCs w:val="21"/>
                <w:highlight w:val="none"/>
              </w:rPr>
            </w:pPr>
          </w:p>
        </w:tc>
      </w:tr>
      <w:tr w14:paraId="63D83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16A311F8">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075FD8C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沾染毒性</w:t>
            </w:r>
          </w:p>
          <w:p w14:paraId="11F3F764">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废弃包装物</w:t>
            </w:r>
          </w:p>
        </w:tc>
        <w:tc>
          <w:tcPr>
            <w:tcW w:w="548" w:type="pct"/>
            <w:shd w:val="clear" w:color="auto" w:fill="FFFFFF"/>
            <w:vAlign w:val="center"/>
          </w:tcPr>
          <w:p w14:paraId="59AD8982">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63043BC7">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0.686</w:t>
            </w:r>
          </w:p>
        </w:tc>
        <w:tc>
          <w:tcPr>
            <w:tcW w:w="1281" w:type="pct"/>
            <w:vMerge w:val="continue"/>
            <w:shd w:val="clear" w:color="auto" w:fill="FFFFFF"/>
            <w:vAlign w:val="center"/>
          </w:tcPr>
          <w:p w14:paraId="1709FC6D">
            <w:pPr>
              <w:spacing w:line="360" w:lineRule="exact"/>
              <w:ind w:firstLine="0" w:firstLineChars="0"/>
              <w:jc w:val="center"/>
              <w:rPr>
                <w:rFonts w:hint="default" w:ascii="Times New Roman" w:hAnsi="Times New Roman" w:cs="Times New Roman"/>
                <w:bCs/>
                <w:color w:val="auto"/>
                <w:sz w:val="21"/>
                <w:szCs w:val="21"/>
                <w:highlight w:val="none"/>
              </w:rPr>
            </w:pPr>
          </w:p>
        </w:tc>
        <w:tc>
          <w:tcPr>
            <w:tcW w:w="1250" w:type="pct"/>
            <w:vMerge w:val="continue"/>
            <w:shd w:val="clear" w:color="auto" w:fill="FFFFFF"/>
            <w:vAlign w:val="center"/>
          </w:tcPr>
          <w:p w14:paraId="6532DE77">
            <w:pPr>
              <w:spacing w:line="360" w:lineRule="exact"/>
              <w:ind w:firstLine="0" w:firstLineChars="0"/>
              <w:jc w:val="center"/>
              <w:rPr>
                <w:rFonts w:hint="default" w:ascii="Times New Roman" w:hAnsi="Times New Roman" w:cs="Times New Roman"/>
                <w:color w:val="auto"/>
                <w:sz w:val="21"/>
                <w:szCs w:val="21"/>
                <w:highlight w:val="none"/>
              </w:rPr>
            </w:pPr>
          </w:p>
        </w:tc>
      </w:tr>
      <w:tr w14:paraId="20666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21F57436">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5BBE2B73">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cs="Times New Roman"/>
                <w:color w:val="auto"/>
                <w:spacing w:val="-2"/>
                <w:sz w:val="21"/>
                <w:szCs w:val="21"/>
                <w:highlight w:val="none"/>
                <w:lang w:val="en-US" w:eastAsia="zh-CN"/>
              </w:rPr>
              <w:t>废药剂</w:t>
            </w:r>
          </w:p>
        </w:tc>
        <w:tc>
          <w:tcPr>
            <w:tcW w:w="548" w:type="pct"/>
            <w:shd w:val="clear" w:color="auto" w:fill="FFFFFF"/>
            <w:vAlign w:val="center"/>
          </w:tcPr>
          <w:p w14:paraId="4296A891">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693A052C">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1281" w:type="pct"/>
            <w:vMerge w:val="continue"/>
            <w:shd w:val="clear" w:color="auto" w:fill="FFFFFF"/>
            <w:vAlign w:val="center"/>
          </w:tcPr>
          <w:p w14:paraId="701B4EC5">
            <w:pPr>
              <w:spacing w:line="360" w:lineRule="exact"/>
              <w:ind w:firstLine="0" w:firstLineChars="0"/>
              <w:jc w:val="center"/>
              <w:rPr>
                <w:rFonts w:hint="default" w:ascii="Times New Roman" w:hAnsi="Times New Roman" w:cs="Times New Roman"/>
                <w:color w:val="auto"/>
                <w:sz w:val="21"/>
                <w:szCs w:val="21"/>
                <w:highlight w:val="none"/>
              </w:rPr>
            </w:pPr>
          </w:p>
        </w:tc>
        <w:tc>
          <w:tcPr>
            <w:tcW w:w="1250" w:type="pct"/>
            <w:vMerge w:val="continue"/>
            <w:shd w:val="clear" w:color="auto" w:fill="FFFFFF"/>
            <w:vAlign w:val="center"/>
          </w:tcPr>
          <w:p w14:paraId="091387BC">
            <w:pPr>
              <w:spacing w:line="360" w:lineRule="exact"/>
              <w:ind w:firstLine="0" w:firstLineChars="0"/>
              <w:jc w:val="center"/>
              <w:rPr>
                <w:rFonts w:hint="default" w:ascii="Times New Roman" w:hAnsi="Times New Roman" w:cs="Times New Roman"/>
                <w:color w:val="auto"/>
                <w:sz w:val="21"/>
                <w:szCs w:val="21"/>
                <w:highlight w:val="none"/>
              </w:rPr>
            </w:pPr>
          </w:p>
        </w:tc>
      </w:tr>
      <w:tr w14:paraId="2E9FC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78F0C280">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0ECAC9EF">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试验废液</w:t>
            </w:r>
          </w:p>
        </w:tc>
        <w:tc>
          <w:tcPr>
            <w:tcW w:w="548" w:type="pct"/>
            <w:shd w:val="clear" w:color="auto" w:fill="FFFFFF"/>
            <w:vAlign w:val="center"/>
          </w:tcPr>
          <w:p w14:paraId="5BF990A9">
            <w:pPr>
              <w:spacing w:line="360" w:lineRule="exac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cs="Times New Roman"/>
                <w:bCs/>
                <w:color w:val="auto"/>
                <w:sz w:val="21"/>
                <w:szCs w:val="21"/>
                <w:highlight w:val="none"/>
                <w:lang w:val="en-US" w:eastAsia="zh-CN"/>
              </w:rPr>
              <w:t>/</w:t>
            </w:r>
          </w:p>
        </w:tc>
        <w:tc>
          <w:tcPr>
            <w:tcW w:w="527" w:type="pct"/>
            <w:shd w:val="clear" w:color="auto" w:fill="auto"/>
            <w:vAlign w:val="center"/>
          </w:tcPr>
          <w:p w14:paraId="5AC7CDE8">
            <w:pPr>
              <w:pStyle w:val="127"/>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w:t>
            </w:r>
          </w:p>
        </w:tc>
        <w:tc>
          <w:tcPr>
            <w:tcW w:w="1281" w:type="pct"/>
            <w:vMerge w:val="continue"/>
            <w:shd w:val="clear" w:color="auto" w:fill="FFFFFF"/>
            <w:vAlign w:val="center"/>
          </w:tcPr>
          <w:p w14:paraId="0EC28EE6">
            <w:pPr>
              <w:spacing w:line="360" w:lineRule="exact"/>
              <w:ind w:firstLine="0" w:firstLineChars="0"/>
              <w:jc w:val="center"/>
              <w:rPr>
                <w:rFonts w:hint="default" w:ascii="Times New Roman" w:hAnsi="Times New Roman" w:cs="Times New Roman"/>
                <w:color w:val="auto"/>
                <w:sz w:val="21"/>
                <w:szCs w:val="21"/>
                <w:highlight w:val="none"/>
              </w:rPr>
            </w:pPr>
          </w:p>
        </w:tc>
        <w:tc>
          <w:tcPr>
            <w:tcW w:w="1250" w:type="pct"/>
            <w:vMerge w:val="continue"/>
            <w:shd w:val="clear" w:color="auto" w:fill="FFFFFF"/>
            <w:vAlign w:val="center"/>
          </w:tcPr>
          <w:p w14:paraId="400133D1">
            <w:pPr>
              <w:spacing w:line="360" w:lineRule="exact"/>
              <w:ind w:firstLine="0" w:firstLineChars="0"/>
              <w:jc w:val="center"/>
              <w:rPr>
                <w:rFonts w:hint="default" w:ascii="Times New Roman" w:hAnsi="Times New Roman" w:cs="Times New Roman"/>
                <w:color w:val="auto"/>
                <w:sz w:val="21"/>
                <w:szCs w:val="21"/>
                <w:highlight w:val="none"/>
              </w:rPr>
            </w:pPr>
          </w:p>
        </w:tc>
      </w:tr>
      <w:tr w14:paraId="715BF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FFFFFF"/>
            <w:vAlign w:val="center"/>
          </w:tcPr>
          <w:p w14:paraId="47CE7DD4">
            <w:pPr>
              <w:spacing w:line="360" w:lineRule="exact"/>
              <w:ind w:firstLine="0" w:firstLineChars="0"/>
              <w:jc w:val="center"/>
              <w:rPr>
                <w:rFonts w:hint="default" w:ascii="Times New Roman" w:hAnsi="Times New Roman" w:cs="Times New Roman"/>
                <w:color w:val="auto"/>
                <w:sz w:val="21"/>
                <w:szCs w:val="21"/>
                <w:highlight w:val="none"/>
              </w:rPr>
            </w:pPr>
          </w:p>
        </w:tc>
        <w:tc>
          <w:tcPr>
            <w:tcW w:w="891" w:type="pct"/>
            <w:shd w:val="clear" w:color="auto" w:fill="auto"/>
            <w:vAlign w:val="center"/>
          </w:tcPr>
          <w:p w14:paraId="10607BCB">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lang w:val="zh-CN"/>
              </w:rPr>
              <w:t>生活垃圾</w:t>
            </w:r>
          </w:p>
        </w:tc>
        <w:tc>
          <w:tcPr>
            <w:tcW w:w="548" w:type="pct"/>
            <w:shd w:val="clear" w:color="auto" w:fill="FFFFFF"/>
            <w:vAlign w:val="center"/>
          </w:tcPr>
          <w:p w14:paraId="52B2786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527" w:type="pct"/>
            <w:shd w:val="clear" w:color="auto" w:fill="auto"/>
            <w:vAlign w:val="center"/>
          </w:tcPr>
          <w:p w14:paraId="7C4C5C95">
            <w:pPr>
              <w:autoSpaceDE w:val="0"/>
              <w:autoSpaceDN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12.36</w:t>
            </w:r>
          </w:p>
        </w:tc>
        <w:tc>
          <w:tcPr>
            <w:tcW w:w="1281" w:type="pct"/>
            <w:shd w:val="clear" w:color="auto" w:fill="FFFFFF"/>
            <w:vAlign w:val="center"/>
          </w:tcPr>
          <w:p w14:paraId="7CF795B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highlight w:val="none"/>
              </w:rPr>
              <w:t>集中收集，定期拉运至</w:t>
            </w:r>
            <w:r>
              <w:rPr>
                <w:rFonts w:hint="default" w:ascii="Times New Roman" w:hAnsi="Times New Roman" w:cs="Times New Roman"/>
                <w:color w:val="auto"/>
                <w:sz w:val="21"/>
                <w:highlight w:val="none"/>
                <w:lang w:val="en-US" w:eastAsia="zh-CN"/>
              </w:rPr>
              <w:t>富蕴县杜热镇生活垃圾填埋场</w:t>
            </w:r>
            <w:r>
              <w:rPr>
                <w:rFonts w:hint="default" w:ascii="Times New Roman" w:hAnsi="Times New Roman" w:eastAsia="宋体" w:cs="Times New Roman"/>
                <w:color w:val="auto"/>
                <w:sz w:val="21"/>
                <w:highlight w:val="none"/>
                <w:lang w:val="en-US" w:eastAsia="zh-CN"/>
              </w:rPr>
              <w:t>处置</w:t>
            </w:r>
            <w:r>
              <w:rPr>
                <w:rFonts w:hint="default" w:ascii="Times New Roman" w:hAnsi="Times New Roman" w:eastAsia="宋体" w:cs="Times New Roman"/>
                <w:color w:val="auto"/>
                <w:sz w:val="21"/>
                <w:highlight w:val="none"/>
              </w:rPr>
              <w:t>。</w:t>
            </w:r>
          </w:p>
        </w:tc>
        <w:tc>
          <w:tcPr>
            <w:tcW w:w="1250" w:type="pct"/>
            <w:vMerge w:val="continue"/>
            <w:shd w:val="clear" w:color="auto" w:fill="FFFFFF"/>
            <w:vAlign w:val="center"/>
          </w:tcPr>
          <w:p w14:paraId="63ACE787">
            <w:pPr>
              <w:spacing w:line="360" w:lineRule="exact"/>
              <w:ind w:firstLine="0" w:firstLineChars="0"/>
              <w:jc w:val="center"/>
              <w:rPr>
                <w:rFonts w:hint="default" w:ascii="Times New Roman" w:hAnsi="Times New Roman" w:cs="Times New Roman"/>
                <w:color w:val="auto"/>
                <w:sz w:val="21"/>
                <w:szCs w:val="21"/>
                <w:highlight w:val="none"/>
              </w:rPr>
            </w:pPr>
          </w:p>
        </w:tc>
      </w:tr>
    </w:tbl>
    <w:p w14:paraId="3A2721F3">
      <w:pPr>
        <w:pStyle w:val="3"/>
        <w:rPr>
          <w:rFonts w:hint="default" w:ascii="Times New Roman" w:hAnsi="Times New Roman" w:cs="Times New Roman"/>
          <w:color w:val="auto"/>
          <w:highlight w:val="none"/>
        </w:rPr>
      </w:pPr>
      <w:bookmarkStart w:id="1147" w:name="_Toc31851"/>
      <w:r>
        <w:rPr>
          <w:rFonts w:hint="default" w:ascii="Times New Roman" w:hAnsi="Times New Roman" w:cs="Times New Roman"/>
          <w:color w:val="auto"/>
          <w:szCs w:val="24"/>
          <w:highlight w:val="none"/>
        </w:rPr>
        <w:t>8.7</w:t>
      </w:r>
      <w:r>
        <w:rPr>
          <w:rFonts w:hint="default" w:ascii="Times New Roman" w:hAnsi="Times New Roman" w:cs="Times New Roman"/>
          <w:color w:val="auto"/>
          <w:highlight w:val="none"/>
        </w:rPr>
        <w:t>总量控制</w:t>
      </w:r>
      <w:bookmarkEnd w:id="1019"/>
      <w:bookmarkEnd w:id="1020"/>
      <w:bookmarkEnd w:id="1147"/>
    </w:p>
    <w:p w14:paraId="2E62BA73">
      <w:pPr>
        <w:ind w:firstLine="480"/>
        <w:rPr>
          <w:rFonts w:hint="default" w:ascii="Times New Roman" w:hAnsi="Times New Roman" w:cs="Times New Roman"/>
          <w:color w:val="auto"/>
          <w:szCs w:val="22"/>
          <w:highlight w:val="none"/>
          <w:lang w:eastAsia="zh-CN"/>
        </w:rPr>
      </w:pPr>
      <w:r>
        <w:rPr>
          <w:rFonts w:hint="default" w:ascii="Times New Roman" w:hAnsi="Times New Roman" w:cs="Times New Roman"/>
          <w:color w:val="auto"/>
          <w:szCs w:val="24"/>
          <w:highlight w:val="none"/>
          <w:lang w:eastAsia="zh-TW"/>
        </w:rPr>
        <w:t>根据</w:t>
      </w:r>
      <w:r>
        <w:rPr>
          <w:rFonts w:hint="default" w:ascii="Times New Roman" w:hAnsi="Times New Roman" w:cs="Times New Roman"/>
          <w:color w:val="auto"/>
          <w:szCs w:val="24"/>
          <w:highlight w:val="none"/>
          <w:lang w:val="en-US" w:eastAsia="zh-CN"/>
        </w:rPr>
        <w:t>新疆维吾尔自治区党委、新疆维吾尔自治区人民政府于2021年12</w:t>
      </w:r>
      <w:r>
        <w:rPr>
          <w:rFonts w:hint="default" w:cs="Times New Roman"/>
          <w:color w:val="auto"/>
          <w:szCs w:val="24"/>
          <w:highlight w:val="none"/>
          <w:lang w:val="en-US" w:eastAsia="zh-CN"/>
        </w:rPr>
        <w:t>月</w:t>
      </w:r>
      <w:r>
        <w:rPr>
          <w:rFonts w:hint="default" w:ascii="Times New Roman" w:hAnsi="Times New Roman" w:cs="Times New Roman"/>
          <w:color w:val="auto"/>
          <w:szCs w:val="24"/>
          <w:highlight w:val="none"/>
          <w:lang w:val="en-US" w:eastAsia="zh-CN"/>
        </w:rPr>
        <w:t>24日印发的</w:t>
      </w:r>
      <w:r>
        <w:rPr>
          <w:rFonts w:hint="default" w:ascii="Times New Roman" w:hAnsi="Times New Roman" w:cs="Times New Roman"/>
          <w:color w:val="auto"/>
          <w:szCs w:val="24"/>
          <w:highlight w:val="none"/>
          <w:lang w:eastAsia="zh-TW"/>
        </w:rPr>
        <w:t>《</w:t>
      </w:r>
      <w:r>
        <w:rPr>
          <w:rFonts w:hint="default" w:ascii="Times New Roman" w:hAnsi="Times New Roman" w:cs="Times New Roman"/>
          <w:color w:val="auto"/>
          <w:szCs w:val="24"/>
          <w:highlight w:val="none"/>
          <w:lang w:val="en-US" w:eastAsia="zh-CN"/>
        </w:rPr>
        <w:t>新疆生态环境保护“十四五”规划》总量控制要求及本项目污染特点，本次环评确定的污染物排放总量控制因子为：</w:t>
      </w:r>
      <w:r>
        <w:rPr>
          <w:rFonts w:hint="default" w:cs="Times New Roman"/>
          <w:color w:val="auto"/>
          <w:szCs w:val="24"/>
          <w:highlight w:val="none"/>
          <w:lang w:val="en-US" w:eastAsia="zh-CN"/>
        </w:rPr>
        <w:t>SO</w:t>
      </w:r>
      <w:r>
        <w:rPr>
          <w:rFonts w:hint="default" w:cs="Times New Roman"/>
          <w:color w:val="auto"/>
          <w:szCs w:val="24"/>
          <w:highlight w:val="none"/>
          <w:vertAlign w:val="subscript"/>
          <w:lang w:val="en-US" w:eastAsia="zh-CN"/>
        </w:rPr>
        <w:t>2</w:t>
      </w:r>
      <w:r>
        <w:rPr>
          <w:rFonts w:hint="default" w:cs="Times New Roman"/>
          <w:color w:val="auto"/>
          <w:szCs w:val="24"/>
          <w:highlight w:val="none"/>
          <w:lang w:val="en-US" w:eastAsia="zh-CN"/>
        </w:rPr>
        <w:t>、NOx、</w:t>
      </w:r>
      <w:r>
        <w:rPr>
          <w:rFonts w:hint="default" w:ascii="Times New Roman" w:hAnsi="Times New Roman" w:cs="Times New Roman"/>
          <w:color w:val="auto"/>
          <w:szCs w:val="22"/>
          <w:highlight w:val="none"/>
        </w:rPr>
        <w:t>COD</w:t>
      </w:r>
      <w:r>
        <w:rPr>
          <w:rFonts w:hint="default" w:ascii="Times New Roman" w:hAnsi="Times New Roman" w:cs="Times New Roman"/>
          <w:color w:val="auto"/>
          <w:szCs w:val="22"/>
          <w:highlight w:val="none"/>
          <w:lang w:eastAsia="zh-CN"/>
        </w:rPr>
        <w:t>、</w:t>
      </w:r>
      <w:r>
        <w:rPr>
          <w:rFonts w:hint="default" w:ascii="Times New Roman" w:hAnsi="Times New Roman" w:cs="Times New Roman"/>
          <w:color w:val="auto"/>
          <w:szCs w:val="22"/>
          <w:highlight w:val="none"/>
        </w:rPr>
        <w:t>氨氮</w:t>
      </w:r>
      <w:r>
        <w:rPr>
          <w:rFonts w:hint="default" w:ascii="Times New Roman" w:hAnsi="Times New Roman" w:cs="Times New Roman"/>
          <w:color w:val="auto"/>
          <w:szCs w:val="22"/>
          <w:highlight w:val="none"/>
          <w:lang w:eastAsia="zh-CN"/>
        </w:rPr>
        <w:t>。</w:t>
      </w:r>
    </w:p>
    <w:p w14:paraId="7479F34D">
      <w:pPr>
        <w:ind w:firstLine="480"/>
        <w:rPr>
          <w:rFonts w:hint="default" w:ascii="Times New Roman" w:hAnsi="Times New Roman" w:cs="Times New Roman"/>
          <w:color w:val="auto"/>
          <w:szCs w:val="24"/>
          <w:highlight w:val="none"/>
          <w:lang w:eastAsia="zh-TW"/>
        </w:rPr>
      </w:pPr>
      <w:r>
        <w:rPr>
          <w:rFonts w:hint="default" w:ascii="Times New Roman" w:hAnsi="Times New Roman" w:cs="Times New Roman"/>
          <w:color w:val="auto"/>
          <w:sz w:val="24"/>
          <w:szCs w:val="24"/>
          <w:highlight w:val="none"/>
          <w:lang w:val="en-US" w:eastAsia="zh-CN"/>
        </w:rPr>
        <w:t>根据《关于加强涉重金属行业污染防控的意见》《关于印发新疆维吾尔自治区加强涉重金属行业污染防控工作方案的通知》中所涉及的重金属行业，</w:t>
      </w:r>
      <w:r>
        <w:rPr>
          <w:rFonts w:hint="default" w:ascii="Times New Roman" w:hAnsi="Times New Roman" w:cs="Times New Roman"/>
          <w:color w:val="auto"/>
          <w:szCs w:val="24"/>
          <w:highlight w:val="none"/>
          <w:lang w:val="en-US" w:eastAsia="zh-CN"/>
        </w:rPr>
        <w:t>本项目为</w:t>
      </w:r>
      <w:r>
        <w:rPr>
          <w:rFonts w:hint="default" w:ascii="Times New Roman" w:hAnsi="Times New Roman" w:cs="Times New Roman"/>
          <w:color w:val="auto"/>
          <w:szCs w:val="24"/>
          <w:highlight w:val="none"/>
        </w:rPr>
        <w:t>金矿</w:t>
      </w:r>
      <w:r>
        <w:rPr>
          <w:rFonts w:hint="default" w:ascii="Times New Roman" w:hAnsi="Times New Roman" w:cs="Times New Roman"/>
          <w:color w:val="auto"/>
          <w:szCs w:val="24"/>
          <w:highlight w:val="none"/>
          <w:lang w:eastAsia="zh-TW"/>
        </w:rPr>
        <w:t>采选</w:t>
      </w:r>
      <w:r>
        <w:rPr>
          <w:rFonts w:hint="default" w:ascii="Times New Roman" w:hAnsi="Times New Roman" w:cs="Times New Roman"/>
          <w:color w:val="auto"/>
          <w:szCs w:val="24"/>
          <w:highlight w:val="none"/>
          <w:lang w:val="en-US" w:eastAsia="zh-CN"/>
        </w:rPr>
        <w:t>项目，</w:t>
      </w:r>
      <w:r>
        <w:rPr>
          <w:rFonts w:hint="default" w:ascii="Times New Roman" w:hAnsi="Times New Roman" w:cs="Times New Roman"/>
          <w:color w:val="auto"/>
          <w:szCs w:val="24"/>
          <w:highlight w:val="none"/>
          <w:lang w:eastAsia="zh-TW"/>
        </w:rPr>
        <w:t>不属于重金属行业，可不申请重金属总量指标。</w:t>
      </w:r>
    </w:p>
    <w:p w14:paraId="1ECEBFEF">
      <w:pPr>
        <w:pStyle w:val="41"/>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lang w:eastAsia="zh-CN"/>
        </w:rPr>
        <w:t>本</w:t>
      </w:r>
      <w:r>
        <w:rPr>
          <w:rFonts w:hint="default" w:ascii="Times New Roman" w:hAnsi="Times New Roman" w:cs="Times New Roman"/>
          <w:color w:val="auto"/>
          <w:szCs w:val="24"/>
          <w:highlight w:val="none"/>
          <w:lang w:eastAsia="zh-TW"/>
        </w:rPr>
        <w:t>项目大气污染物主要为</w:t>
      </w:r>
      <w:r>
        <w:rPr>
          <w:rFonts w:hint="default" w:ascii="Times New Roman" w:hAnsi="Times New Roman" w:cs="Times New Roman"/>
          <w:color w:val="auto"/>
          <w:szCs w:val="24"/>
          <w:highlight w:val="none"/>
        </w:rPr>
        <w:t>颗粒物</w:t>
      </w:r>
      <w:r>
        <w:rPr>
          <w:rFonts w:hint="default" w:ascii="Times New Roman" w:hAnsi="Times New Roman" w:cs="Times New Roman"/>
          <w:color w:val="auto"/>
          <w:szCs w:val="24"/>
          <w:highlight w:val="none"/>
          <w:lang w:eastAsia="zh-TW"/>
        </w:rPr>
        <w:t>；</w:t>
      </w:r>
      <w:r>
        <w:rPr>
          <w:rFonts w:hint="default" w:ascii="Times New Roman" w:hAnsi="Times New Roman" w:cs="Times New Roman"/>
          <w:color w:val="auto"/>
          <w:szCs w:val="24"/>
          <w:highlight w:val="none"/>
        </w:rPr>
        <w:t>选矿过程中生产废水</w:t>
      </w:r>
      <w:r>
        <w:rPr>
          <w:rFonts w:hint="default" w:ascii="Times New Roman" w:hAnsi="Times New Roman" w:cs="Times New Roman"/>
          <w:color w:val="auto"/>
          <w:szCs w:val="24"/>
          <w:highlight w:val="none"/>
          <w:lang w:val="en-US" w:eastAsia="zh-CN"/>
        </w:rPr>
        <w:t>经选矿厂循环使用于选矿生产，</w:t>
      </w:r>
      <w:r>
        <w:rPr>
          <w:rFonts w:hint="default" w:ascii="Times New Roman" w:hAnsi="Times New Roman" w:cs="Times New Roman"/>
          <w:color w:val="auto"/>
          <w:szCs w:val="24"/>
          <w:highlight w:val="none"/>
        </w:rPr>
        <w:t>不外排</w:t>
      </w:r>
      <w:r>
        <w:rPr>
          <w:rFonts w:hint="default" w:ascii="Times New Roman" w:hAnsi="Times New Roman" w:cs="Times New Roman"/>
          <w:color w:val="auto"/>
          <w:szCs w:val="24"/>
          <w:highlight w:val="none"/>
          <w:lang w:eastAsia="zh-TW"/>
        </w:rPr>
        <w:t>；生活污水</w:t>
      </w:r>
      <w:r>
        <w:rPr>
          <w:rFonts w:hint="default" w:ascii="Times New Roman" w:hAnsi="Times New Roman" w:cs="Times New Roman"/>
          <w:color w:val="auto"/>
          <w:szCs w:val="24"/>
          <w:highlight w:val="none"/>
          <w:lang w:val="en-US" w:eastAsia="zh-CN"/>
        </w:rPr>
        <w:t>经</w:t>
      </w:r>
      <w:r>
        <w:rPr>
          <w:rFonts w:hint="default" w:ascii="Times New Roman" w:hAnsi="Times New Roman" w:cs="Times New Roman"/>
          <w:color w:val="auto"/>
          <w:szCs w:val="24"/>
          <w:highlight w:val="none"/>
          <w:lang w:eastAsia="zh-TW"/>
        </w:rPr>
        <w:t>地埋式一体化污水</w:t>
      </w:r>
      <w:r>
        <w:rPr>
          <w:rFonts w:hint="default" w:ascii="Times New Roman" w:hAnsi="Times New Roman" w:cs="Times New Roman"/>
          <w:color w:val="auto"/>
          <w:szCs w:val="24"/>
          <w:highlight w:val="none"/>
          <w:lang w:val="en-US" w:eastAsia="zh-CN"/>
        </w:rPr>
        <w:t>处理设施</w:t>
      </w:r>
      <w:r>
        <w:rPr>
          <w:rFonts w:hint="default" w:ascii="Times New Roman" w:hAnsi="Times New Roman" w:cs="Times New Roman"/>
          <w:color w:val="auto"/>
          <w:szCs w:val="24"/>
          <w:highlight w:val="none"/>
          <w:lang w:eastAsia="zh-TW"/>
        </w:rPr>
        <w:t>处理达标后</w:t>
      </w:r>
      <w:r>
        <w:rPr>
          <w:rFonts w:hint="default" w:ascii="Times New Roman" w:hAnsi="Times New Roman" w:cs="Times New Roman"/>
          <w:color w:val="auto"/>
          <w:szCs w:val="24"/>
          <w:highlight w:val="none"/>
          <w:lang w:val="en-US" w:eastAsia="zh-CN"/>
        </w:rPr>
        <w:t>回用不外排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厂区供暖采用</w:t>
      </w:r>
      <w:r>
        <w:rPr>
          <w:rFonts w:hint="default" w:ascii="Times New Roman" w:hAnsi="Times New Roman" w:cs="Times New Roman"/>
          <w:color w:val="auto"/>
          <w:highlight w:val="none"/>
          <w:lang w:eastAsia="zh-CN"/>
        </w:rPr>
        <w:t>电热水锅炉</w:t>
      </w:r>
      <w:r>
        <w:rPr>
          <w:rFonts w:hint="default" w:ascii="Times New Roman" w:hAnsi="Times New Roman" w:cs="Times New Roman"/>
          <w:color w:val="auto"/>
          <w:highlight w:val="none"/>
          <w:lang w:val="en-US" w:eastAsia="zh-CN"/>
        </w:rPr>
        <w:t>进行厂区供暖</w:t>
      </w:r>
      <w:r>
        <w:rPr>
          <w:rFonts w:hint="default" w:ascii="Times New Roman" w:hAnsi="Times New Roman" w:cs="Times New Roman"/>
          <w:color w:val="auto"/>
          <w:szCs w:val="24"/>
          <w:highlight w:val="none"/>
          <w:lang w:eastAsia="zh-TW"/>
        </w:rPr>
        <w:t>。</w:t>
      </w:r>
      <w:r>
        <w:rPr>
          <w:rFonts w:hint="default" w:ascii="Times New Roman" w:hAnsi="Times New Roman" w:cs="Times New Roman"/>
          <w:color w:val="auto"/>
          <w:szCs w:val="24"/>
          <w:highlight w:val="none"/>
          <w:lang w:val="en-US" w:eastAsia="zh-CN"/>
        </w:rPr>
        <w:t>因此，本项目无总量控制指标。</w:t>
      </w:r>
    </w:p>
    <w:p w14:paraId="7A5ACFC7">
      <w:pPr>
        <w:pStyle w:val="2"/>
        <w:spacing w:line="720" w:lineRule="exact"/>
        <w:rPr>
          <w:rFonts w:hint="default" w:ascii="Times New Roman" w:hAnsi="Times New Roman" w:cs="Times New Roman"/>
          <w:color w:val="auto"/>
          <w:highlight w:val="none"/>
        </w:rPr>
        <w:sectPr>
          <w:pgSz w:w="11906" w:h="16838"/>
          <w:pgMar w:top="1440" w:right="1800" w:bottom="1440" w:left="1800" w:header="851" w:footer="992" w:gutter="0"/>
          <w:cols w:space="425" w:num="1"/>
          <w:docGrid w:type="lines" w:linePitch="312" w:charSpace="0"/>
        </w:sectPr>
      </w:pPr>
    </w:p>
    <w:p w14:paraId="42A5746F">
      <w:pPr>
        <w:pStyle w:val="2"/>
        <w:spacing w:line="720" w:lineRule="exact"/>
        <w:rPr>
          <w:rFonts w:hint="default" w:ascii="Times New Roman" w:hAnsi="Times New Roman" w:cs="Times New Roman"/>
          <w:color w:val="auto"/>
          <w:highlight w:val="none"/>
        </w:rPr>
      </w:pPr>
      <w:bookmarkStart w:id="1148" w:name="_Toc11787"/>
      <w:bookmarkStart w:id="1149" w:name="_Toc1997"/>
      <w:bookmarkStart w:id="1150" w:name="_Toc13936"/>
      <w:bookmarkStart w:id="1151" w:name="_Toc20735"/>
      <w:bookmarkStart w:id="1152" w:name="_Toc107414684"/>
      <w:bookmarkStart w:id="1153" w:name="_Toc32718"/>
      <w:bookmarkStart w:id="1154" w:name="_Toc107413917"/>
      <w:r>
        <w:rPr>
          <w:rFonts w:hint="default" w:ascii="Times New Roman" w:hAnsi="Times New Roman" w:cs="Times New Roman"/>
          <w:color w:val="auto"/>
          <w:highlight w:val="none"/>
        </w:rPr>
        <w:t>9环境影响评价结论</w:t>
      </w:r>
      <w:bookmarkEnd w:id="1148"/>
      <w:bookmarkEnd w:id="1149"/>
      <w:bookmarkEnd w:id="1150"/>
      <w:bookmarkEnd w:id="1151"/>
      <w:bookmarkEnd w:id="1152"/>
      <w:bookmarkEnd w:id="1153"/>
      <w:bookmarkEnd w:id="1154"/>
    </w:p>
    <w:p w14:paraId="53E76B44">
      <w:pPr>
        <w:pStyle w:val="3"/>
        <w:spacing w:line="560" w:lineRule="atLeast"/>
        <w:rPr>
          <w:rFonts w:hint="default" w:ascii="Times New Roman" w:hAnsi="Times New Roman" w:cs="Times New Roman"/>
          <w:color w:val="auto"/>
          <w:highlight w:val="none"/>
        </w:rPr>
      </w:pPr>
      <w:bookmarkStart w:id="1155" w:name="_Toc16689"/>
      <w:bookmarkStart w:id="1156" w:name="_Toc28547"/>
      <w:bookmarkStart w:id="1157" w:name="_Toc12518"/>
      <w:bookmarkStart w:id="1158" w:name="_Toc26917"/>
      <w:bookmarkStart w:id="1159" w:name="_Toc2440"/>
      <w:bookmarkStart w:id="1160" w:name="_Toc107414685"/>
      <w:bookmarkStart w:id="1161" w:name="_Toc107413918"/>
      <w:r>
        <w:rPr>
          <w:rFonts w:hint="default" w:ascii="Times New Roman" w:hAnsi="Times New Roman" w:cs="Times New Roman"/>
          <w:color w:val="auto"/>
          <w:highlight w:val="none"/>
        </w:rPr>
        <w:t>9.1项目概况</w:t>
      </w:r>
      <w:bookmarkEnd w:id="1155"/>
      <w:bookmarkEnd w:id="1156"/>
      <w:bookmarkEnd w:id="1157"/>
      <w:bookmarkEnd w:id="1158"/>
      <w:bookmarkEnd w:id="1159"/>
      <w:bookmarkEnd w:id="1160"/>
      <w:bookmarkEnd w:id="1161"/>
    </w:p>
    <w:p w14:paraId="473780EA">
      <w:pPr>
        <w:pStyle w:val="53"/>
        <w:overflowPunct w:val="0"/>
        <w:topLinePunct/>
        <w:snapToGrid w:val="0"/>
        <w:ind w:firstLine="480" w:firstLineChars="200"/>
        <w:rPr>
          <w:rFonts w:hint="default" w:ascii="Times New Roman" w:hAnsi="Times New Roman" w:cs="Times New Roman"/>
          <w:color w:val="auto"/>
          <w:highlight w:val="none"/>
        </w:rPr>
      </w:pPr>
      <w:bookmarkStart w:id="1162" w:name="_Toc107414686"/>
      <w:bookmarkStart w:id="1163" w:name="_Toc5630"/>
      <w:bookmarkStart w:id="1164" w:name="_Toc27524"/>
      <w:bookmarkStart w:id="1165" w:name="_Toc789"/>
      <w:bookmarkStart w:id="1166" w:name="_Toc482784728"/>
      <w:bookmarkStart w:id="1167" w:name="_Toc15679"/>
      <w:bookmarkStart w:id="1168" w:name="_Toc16927"/>
      <w:bookmarkStart w:id="1169" w:name="_Toc1618"/>
      <w:bookmarkStart w:id="1170" w:name="_Toc18333"/>
      <w:bookmarkStart w:id="1171" w:name="_Toc23250"/>
      <w:bookmarkStart w:id="1172" w:name="_Toc2326"/>
      <w:bookmarkStart w:id="1173" w:name="_Toc5604"/>
      <w:bookmarkStart w:id="1174" w:name="_Toc492457108"/>
      <w:bookmarkStart w:id="1175" w:name="_Toc8222"/>
      <w:bookmarkStart w:id="1176" w:name="_Toc7960"/>
      <w:bookmarkStart w:id="1177" w:name="_Toc4550"/>
      <w:bookmarkStart w:id="1178" w:name="_Toc3962"/>
      <w:bookmarkStart w:id="1179" w:name="_Toc13836"/>
      <w:bookmarkStart w:id="1180" w:name="_Toc107413919"/>
      <w:r>
        <w:rPr>
          <w:rFonts w:hint="default" w:ascii="Times New Roman" w:hAnsi="Times New Roman" w:cs="Times New Roman"/>
          <w:color w:val="auto"/>
          <w:highlight w:val="none"/>
        </w:rPr>
        <w:t>项目名称：新疆富蕴县阿克塔斯矿区金矿选矿及尾矿库项目</w:t>
      </w:r>
    </w:p>
    <w:p w14:paraId="51BA9643">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建设单位：新疆江诣矿业有限公司</w:t>
      </w:r>
    </w:p>
    <w:p w14:paraId="1E5083C4">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建设性质：新建</w:t>
      </w:r>
    </w:p>
    <w:p w14:paraId="12957C6A">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国民经济行业类型：0921金矿采选</w:t>
      </w:r>
    </w:p>
    <w:p w14:paraId="706865FE">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生产规模：选矿厂年处理</w:t>
      </w:r>
      <w:r>
        <w:rPr>
          <w:rFonts w:hint="default" w:ascii="Times New Roman" w:hAnsi="Times New Roman" w:cs="Times New Roman"/>
          <w:color w:val="auto"/>
          <w:szCs w:val="24"/>
          <w:highlight w:val="none"/>
          <w:lang w:eastAsia="zh-CN"/>
        </w:rPr>
        <w:t>金矿</w:t>
      </w:r>
      <w:r>
        <w:rPr>
          <w:rFonts w:hint="default" w:ascii="Times New Roman" w:hAnsi="Times New Roman" w:cs="Times New Roman"/>
          <w:color w:val="auto"/>
          <w:szCs w:val="24"/>
          <w:highlight w:val="none"/>
        </w:rPr>
        <w:t>原矿</w:t>
      </w:r>
      <w:r>
        <w:rPr>
          <w:rFonts w:hint="default" w:ascii="Times New Roman" w:hAnsi="Times New Roman" w:cs="Times New Roman"/>
          <w:color w:val="auto"/>
          <w:szCs w:val="24"/>
          <w:highlight w:val="none"/>
          <w:lang w:val="en-US" w:eastAsia="zh-CN"/>
        </w:rPr>
        <w:t>15</w:t>
      </w:r>
      <w:r>
        <w:rPr>
          <w:rFonts w:hint="default" w:ascii="Times New Roman" w:hAnsi="Times New Roman" w:cs="Times New Roman"/>
          <w:color w:val="auto"/>
          <w:szCs w:val="24"/>
          <w:highlight w:val="none"/>
        </w:rPr>
        <w:t>万t/a</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625t/d</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w:t>
      </w:r>
    </w:p>
    <w:p w14:paraId="312D1DC4">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建设地点：本项目位于</w:t>
      </w:r>
      <w:r>
        <w:rPr>
          <w:rFonts w:hint="default" w:ascii="Times New Roman" w:hAnsi="Times New Roman" w:cs="Times New Roman"/>
          <w:color w:val="auto"/>
          <w:highlight w:val="none"/>
          <w:lang w:val="en-US" w:eastAsia="zh-CN"/>
        </w:rPr>
        <w:t>富蕴</w:t>
      </w:r>
      <w:r>
        <w:rPr>
          <w:rFonts w:hint="default" w:ascii="Times New Roman" w:hAnsi="Times New Roman" w:cs="Times New Roman"/>
          <w:color w:val="auto"/>
          <w:highlight w:val="none"/>
        </w:rPr>
        <w:t>县城东南144°方位</w:t>
      </w:r>
      <w:r>
        <w:rPr>
          <w:rFonts w:hint="default" w:ascii="Times New Roman" w:hAnsi="Times New Roman" w:cs="Times New Roman"/>
          <w:color w:val="auto"/>
          <w:highlight w:val="none"/>
          <w:lang w:val="en-US" w:eastAsia="zh-CN"/>
        </w:rPr>
        <w:t>约</w:t>
      </w:r>
      <w:r>
        <w:rPr>
          <w:rFonts w:hint="default" w:ascii="Times New Roman" w:hAnsi="Times New Roman" w:cs="Times New Roman"/>
          <w:color w:val="auto"/>
          <w:highlight w:val="none"/>
        </w:rPr>
        <w:t>40km处，行政区划属于富蕴县喀拉通克镇管辖。本次新建选矿厂</w:t>
      </w:r>
      <w:r>
        <w:rPr>
          <w:rFonts w:hint="default" w:ascii="Times New Roman" w:hAnsi="Times New Roman" w:cs="Times New Roman"/>
          <w:color w:val="auto"/>
          <w:szCs w:val="24"/>
          <w:highlight w:val="none"/>
          <w:lang w:val="en-US" w:eastAsia="zh-CN"/>
        </w:rPr>
        <w:t>西南距</w:t>
      </w:r>
      <w:r>
        <w:rPr>
          <w:rFonts w:hint="default" w:ascii="Times New Roman" w:hAnsi="Times New Roman" w:cs="Times New Roman"/>
          <w:color w:val="auto"/>
          <w:highlight w:val="none"/>
        </w:rPr>
        <w:t>采矿工程</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350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办公生活区紧邻选矿厂南侧，尾矿库南距</w:t>
      </w:r>
      <w:r>
        <w:rPr>
          <w:rFonts w:hint="default" w:ascii="Times New Roman" w:hAnsi="Times New Roman" w:cs="Times New Roman"/>
          <w:color w:val="auto"/>
          <w:highlight w:val="none"/>
        </w:rPr>
        <w:t>采矿工程</w:t>
      </w:r>
      <w:r>
        <w:rPr>
          <w:rFonts w:hint="default" w:ascii="Times New Roman" w:hAnsi="Times New Roman" w:cs="Times New Roman"/>
          <w:color w:val="auto"/>
          <w:szCs w:val="24"/>
          <w:highlight w:val="none"/>
        </w:rPr>
        <w:t>约</w:t>
      </w:r>
      <w:r>
        <w:rPr>
          <w:rFonts w:hint="default" w:ascii="Times New Roman" w:hAnsi="Times New Roman" w:cs="Times New Roman"/>
          <w:color w:val="auto"/>
          <w:szCs w:val="24"/>
          <w:highlight w:val="none"/>
          <w:lang w:val="en-US" w:eastAsia="zh-CN"/>
        </w:rPr>
        <w:t>1.3</w:t>
      </w:r>
      <w:r>
        <w:rPr>
          <w:rFonts w:hint="default" w:ascii="Times New Roman" w:hAnsi="Times New Roman" w:cs="Times New Roman"/>
          <w:color w:val="auto"/>
          <w:szCs w:val="24"/>
          <w:highlight w:val="none"/>
        </w:rPr>
        <w:t>km</w:t>
      </w:r>
      <w:r>
        <w:rPr>
          <w:rFonts w:hint="default" w:ascii="Times New Roman" w:hAnsi="Times New Roman" w:cs="Times New Roman"/>
          <w:color w:val="auto"/>
          <w:highlight w:val="none"/>
        </w:rPr>
        <w:t>。本项目地理位置见图3.2-1、区域位置图见图3.2-2。</w:t>
      </w:r>
    </w:p>
    <w:p w14:paraId="32285EC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服务年限：选矿厂、尾矿库服务年限为</w:t>
      </w:r>
      <w:r>
        <w:rPr>
          <w:rFonts w:hint="eastAsia" w:cs="Times New Roman"/>
          <w:color w:val="auto"/>
          <w:highlight w:val="none"/>
          <w:lang w:val="en-US" w:eastAsia="zh-CN"/>
        </w:rPr>
        <w:t>25</w:t>
      </w:r>
      <w:r>
        <w:rPr>
          <w:rFonts w:hint="default" w:ascii="Times New Roman" w:hAnsi="Times New Roman" w:cs="Times New Roman"/>
          <w:color w:val="auto"/>
          <w:highlight w:val="none"/>
        </w:rPr>
        <w:t>年。</w:t>
      </w:r>
    </w:p>
    <w:p w14:paraId="42FD645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项目建设周期：计划开工时间为202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年4月，计划建设周期为</w:t>
      </w:r>
      <w:r>
        <w:rPr>
          <w:rFonts w:hint="default" w:ascii="Times New Roman" w:hAnsi="Times New Roman" w:cs="Times New Roman"/>
          <w:color w:val="auto"/>
          <w:highlight w:val="none"/>
          <w:lang w:val="en-US" w:eastAsia="zh-CN"/>
        </w:rPr>
        <w:t>4.5年（54</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w:t>
      </w:r>
    </w:p>
    <w:p w14:paraId="66B9C1A8">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项目投资：</w:t>
      </w:r>
      <w:r>
        <w:rPr>
          <w:rFonts w:hint="default" w:ascii="Times New Roman" w:hAnsi="Times New Roman" w:cs="Times New Roman"/>
          <w:color w:val="auto"/>
          <w:highlight w:val="none"/>
          <w:lang w:val="en-US" w:eastAsia="zh-CN"/>
        </w:rPr>
        <w:t>本项目总投资</w:t>
      </w:r>
      <w:r>
        <w:rPr>
          <w:rFonts w:hint="default" w:cs="Times New Roman"/>
          <w:color w:val="auto"/>
          <w:highlight w:val="none"/>
          <w:lang w:val="en-US" w:eastAsia="zh-CN"/>
        </w:rPr>
        <w:t>18744.36</w:t>
      </w:r>
      <w:r>
        <w:rPr>
          <w:rFonts w:hint="default" w:ascii="Times New Roman" w:hAnsi="Times New Roman" w:cs="Times New Roman"/>
          <w:color w:val="auto"/>
          <w:highlight w:val="none"/>
        </w:rPr>
        <w:t>万元，其中</w:t>
      </w:r>
      <w:r>
        <w:rPr>
          <w:rFonts w:hint="default" w:ascii="Times New Roman" w:hAnsi="Times New Roman" w:cs="Times New Roman"/>
          <w:color w:val="auto"/>
          <w:highlight w:val="none"/>
          <w:lang w:val="en-US" w:eastAsia="zh-CN"/>
        </w:rPr>
        <w:t>环保投资</w:t>
      </w:r>
      <w:r>
        <w:rPr>
          <w:rFonts w:hint="default" w:cs="Times New Roman"/>
          <w:color w:val="auto"/>
          <w:highlight w:val="none"/>
          <w:lang w:val="en-US" w:eastAsia="zh-CN"/>
        </w:rPr>
        <w:t>1733</w:t>
      </w:r>
      <w:r>
        <w:rPr>
          <w:rFonts w:hint="default" w:ascii="Times New Roman" w:hAnsi="Times New Roman" w:cs="Times New Roman"/>
          <w:color w:val="auto"/>
          <w:highlight w:val="none"/>
        </w:rPr>
        <w:t>万元，</w:t>
      </w:r>
      <w:r>
        <w:rPr>
          <w:rFonts w:hint="default" w:ascii="Times New Roman" w:hAnsi="Times New Roman" w:cs="Times New Roman"/>
          <w:color w:val="auto"/>
          <w:highlight w:val="none"/>
          <w:lang w:val="en-US" w:eastAsia="zh-CN"/>
        </w:rPr>
        <w:t>占总投资的</w:t>
      </w:r>
      <w:r>
        <w:rPr>
          <w:rFonts w:hint="default" w:cs="Times New Roman"/>
          <w:color w:val="auto"/>
          <w:highlight w:val="none"/>
          <w:lang w:val="en-US" w:eastAsia="zh-CN"/>
        </w:rPr>
        <w:t>9.25</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。均为企业自筹。</w:t>
      </w:r>
    </w:p>
    <w:p w14:paraId="413E22E6">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工作制度：选矿厂的工作制度为连续工作制。全年运转</w:t>
      </w:r>
      <w:r>
        <w:rPr>
          <w:rFonts w:hint="default" w:ascii="Times New Roman" w:hAnsi="Times New Roman" w:cs="Times New Roman"/>
          <w:color w:val="auto"/>
          <w:szCs w:val="24"/>
          <w:highlight w:val="none"/>
          <w:lang w:val="en-US" w:eastAsia="zh-CN"/>
        </w:rPr>
        <w:t>5760</w:t>
      </w:r>
      <w:r>
        <w:rPr>
          <w:rFonts w:hint="default" w:ascii="Times New Roman" w:hAnsi="Times New Roman" w:cs="Times New Roman"/>
          <w:color w:val="auto"/>
          <w:szCs w:val="24"/>
          <w:highlight w:val="none"/>
        </w:rPr>
        <w:t>小时，相当于年工作</w:t>
      </w:r>
      <w:r>
        <w:rPr>
          <w:rFonts w:hint="default" w:ascii="Times New Roman" w:hAnsi="Times New Roman" w:cs="Times New Roman"/>
          <w:color w:val="auto"/>
          <w:szCs w:val="24"/>
          <w:highlight w:val="none"/>
          <w:lang w:val="en-US" w:eastAsia="zh-CN"/>
        </w:rPr>
        <w:t>240</w:t>
      </w:r>
      <w:r>
        <w:rPr>
          <w:rFonts w:hint="default" w:ascii="Times New Roman" w:hAnsi="Times New Roman" w:cs="Times New Roman"/>
          <w:color w:val="auto"/>
          <w:szCs w:val="24"/>
          <w:highlight w:val="none"/>
        </w:rPr>
        <w:t>天，每天3班，每班8小时。</w:t>
      </w:r>
    </w:p>
    <w:p w14:paraId="5C59A2B3">
      <w:pPr>
        <w:pStyle w:val="41"/>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劳动定员：</w:t>
      </w:r>
      <w:r>
        <w:rPr>
          <w:rFonts w:hint="default" w:ascii="Times New Roman" w:hAnsi="Times New Roman" w:cs="Times New Roman"/>
          <w:color w:val="auto"/>
          <w:szCs w:val="24"/>
          <w:highlight w:val="none"/>
          <w:lang w:val="en-US" w:eastAsia="zh-CN"/>
        </w:rPr>
        <w:t>本项目劳动定员共计</w:t>
      </w:r>
      <w:r>
        <w:rPr>
          <w:rFonts w:hint="default" w:ascii="Times New Roman" w:hAnsi="Times New Roman" w:cs="Times New Roman"/>
          <w:color w:val="auto"/>
          <w:highlight w:val="none"/>
          <w:lang w:val="en-US" w:eastAsia="zh-CN"/>
        </w:rPr>
        <w:t>103</w:t>
      </w:r>
      <w:r>
        <w:rPr>
          <w:rFonts w:hint="default" w:ascii="Times New Roman" w:hAnsi="Times New Roman" w:cs="Times New Roman"/>
          <w:color w:val="auto"/>
          <w:highlight w:val="none"/>
        </w:rPr>
        <w:t>人，其中</w:t>
      </w:r>
      <w:r>
        <w:rPr>
          <w:rFonts w:hint="default" w:ascii="Times New Roman" w:hAnsi="Times New Roman" w:cs="Times New Roman"/>
          <w:color w:val="auto"/>
          <w:highlight w:val="none"/>
          <w:lang w:val="en-US" w:eastAsia="zh-CN"/>
        </w:rPr>
        <w:t>选矿厂</w:t>
      </w:r>
      <w:r>
        <w:rPr>
          <w:rFonts w:hint="default" w:ascii="Times New Roman" w:hAnsi="Times New Roman" w:cs="Times New Roman"/>
          <w:color w:val="auto"/>
          <w:highlight w:val="none"/>
        </w:rPr>
        <w:t>生产人员</w:t>
      </w:r>
      <w:r>
        <w:rPr>
          <w:rFonts w:hint="default" w:ascii="Times New Roman" w:hAnsi="Times New Roman" w:cs="Times New Roman"/>
          <w:color w:val="auto"/>
          <w:highlight w:val="none"/>
          <w:lang w:val="en-US" w:eastAsia="zh-CN"/>
        </w:rPr>
        <w:t>59人，尾矿库</w:t>
      </w:r>
      <w:r>
        <w:rPr>
          <w:rFonts w:hint="default" w:ascii="Times New Roman" w:hAnsi="Times New Roman" w:cs="Times New Roman"/>
          <w:color w:val="auto"/>
          <w:highlight w:val="none"/>
        </w:rPr>
        <w:t>生产人员</w:t>
      </w:r>
      <w:r>
        <w:rPr>
          <w:rFonts w:hint="default" w:ascii="Times New Roman" w:hAnsi="Times New Roman" w:cs="Times New Roman"/>
          <w:color w:val="auto"/>
          <w:highlight w:val="none"/>
          <w:lang w:val="en-US" w:eastAsia="zh-CN"/>
        </w:rPr>
        <w:t>44人</w:t>
      </w:r>
      <w:r>
        <w:rPr>
          <w:rFonts w:hint="default" w:ascii="Times New Roman" w:hAnsi="Times New Roman" w:cs="Times New Roman"/>
          <w:color w:val="auto"/>
          <w:highlight w:val="none"/>
        </w:rPr>
        <w:t>。</w:t>
      </w:r>
    </w:p>
    <w:p w14:paraId="14F94194">
      <w:pPr>
        <w:pStyle w:val="53"/>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本项目占地：</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选矿厂占地面积为</w:t>
      </w:r>
      <w:r>
        <w:rPr>
          <w:rFonts w:hint="eastAsia" w:cs="Times New Roman"/>
          <w:color w:val="auto"/>
          <w:highlight w:val="none"/>
          <w:lang w:val="en-US" w:eastAsia="zh-CN"/>
        </w:rPr>
        <w:t>5.57</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eastAsia" w:cs="Times New Roman"/>
          <w:color w:val="auto"/>
          <w:highlight w:val="none"/>
          <w:vertAlign w:val="baseline"/>
          <w:lang w:val="en-US" w:eastAsia="zh-CN"/>
        </w:rPr>
        <w:t>85</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，尾矿库占地面积</w:t>
      </w:r>
      <w:r>
        <w:rPr>
          <w:rFonts w:hint="default" w:cs="Times New Roman"/>
          <w:color w:val="auto"/>
          <w:highlight w:val="none"/>
          <w:lang w:val="en-US" w:eastAsia="zh-CN"/>
        </w:rPr>
        <w:t>2</w:t>
      </w:r>
      <w:r>
        <w:rPr>
          <w:rFonts w:hint="eastAsia" w:cs="Times New Roman"/>
          <w:color w:val="auto"/>
          <w:highlight w:val="none"/>
          <w:lang w:val="en-US" w:eastAsia="zh-CN"/>
        </w:rPr>
        <w:t>6.0</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eastAsia" w:cs="Times New Roman"/>
          <w:color w:val="auto"/>
          <w:highlight w:val="none"/>
          <w:vertAlign w:val="baseline"/>
          <w:lang w:val="en-US" w:eastAsia="zh-CN"/>
        </w:rPr>
        <w:t>390</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，生活办公区占地面积为</w:t>
      </w:r>
      <w:r>
        <w:rPr>
          <w:rFonts w:hint="default" w:ascii="Times New Roman" w:hAnsi="Times New Roman" w:cs="Times New Roman"/>
          <w:color w:val="auto"/>
          <w:highlight w:val="none"/>
          <w:lang w:val="en-US" w:eastAsia="zh-CN"/>
        </w:rPr>
        <w:t>1.3</w:t>
      </w:r>
      <w:r>
        <w:rPr>
          <w:rFonts w:hint="eastAsia" w:cs="Times New Roman"/>
          <w:color w:val="auto"/>
          <w:highlight w:val="none"/>
          <w:lang w:val="en-US" w:eastAsia="zh-CN"/>
        </w:rPr>
        <w:t>3</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eastAsia" w:cs="Times New Roman"/>
          <w:color w:val="auto"/>
          <w:highlight w:val="none"/>
          <w:vertAlign w:val="baseline"/>
          <w:lang w:val="en-US" w:eastAsia="zh-CN"/>
        </w:rPr>
        <w:t>20</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lang w:val="en-US" w:eastAsia="zh-CN"/>
        </w:rPr>
        <w:t>道路占地0.7</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default" w:cs="Times New Roman"/>
          <w:color w:val="auto"/>
          <w:highlight w:val="none"/>
          <w:vertAlign w:val="baseline"/>
          <w:lang w:val="en-US" w:eastAsia="zh-CN"/>
        </w:rPr>
        <w:t>10.5</w:t>
      </w:r>
      <w:r>
        <w:rPr>
          <w:rFonts w:hint="default" w:ascii="Times New Roman" w:hAnsi="Times New Roman" w:cs="Times New Roman"/>
          <w:color w:val="auto"/>
          <w:highlight w:val="none"/>
          <w:vertAlign w:val="baseline"/>
          <w:lang w:val="en-US" w:eastAsia="zh-CN"/>
        </w:rPr>
        <w:t>亩</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。本项目占地面积</w:t>
      </w:r>
      <w:r>
        <w:rPr>
          <w:rFonts w:hint="default" w:ascii="Times New Roman" w:hAnsi="Times New Roman" w:cs="Times New Roman"/>
          <w:color w:val="auto"/>
          <w:highlight w:val="none"/>
          <w:lang w:val="en-US" w:eastAsia="zh-CN"/>
        </w:rPr>
        <w:t>合计</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3.6</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，占地类型均为天然牧草地。</w:t>
      </w:r>
    </w:p>
    <w:p w14:paraId="534EC783">
      <w:pPr>
        <w:pStyle w:val="3"/>
        <w:spacing w:line="560" w:lineRule="atLeast"/>
        <w:rPr>
          <w:rFonts w:hint="default" w:ascii="Times New Roman" w:hAnsi="Times New Roman" w:cs="Times New Roman"/>
          <w:color w:val="auto"/>
          <w:highlight w:val="none"/>
        </w:rPr>
      </w:pPr>
      <w:bookmarkStart w:id="1181" w:name="_Toc67"/>
      <w:r>
        <w:rPr>
          <w:rFonts w:hint="default" w:ascii="Times New Roman" w:hAnsi="Times New Roman" w:cs="Times New Roman"/>
          <w:color w:val="auto"/>
          <w:highlight w:val="none"/>
        </w:rPr>
        <w:t>9.2符合性分析</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10E5E103">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本项目为</w:t>
      </w:r>
      <w:r>
        <w:rPr>
          <w:rFonts w:hint="default" w:cs="Times New Roman"/>
          <w:color w:val="auto"/>
          <w:kern w:val="0"/>
          <w:highlight w:val="none"/>
          <w:lang w:val="en-US" w:eastAsia="zh-CN"/>
        </w:rPr>
        <w:t>金矿选矿</w:t>
      </w:r>
      <w:r>
        <w:rPr>
          <w:rFonts w:hint="default" w:ascii="Times New Roman" w:hAnsi="Times New Roman" w:cs="Times New Roman"/>
          <w:color w:val="auto"/>
          <w:kern w:val="0"/>
          <w:highlight w:val="none"/>
        </w:rPr>
        <w:t>工程，根据《国民经济行业分类》（GB/T4754-2017），本项目属于</w:t>
      </w:r>
      <w:r>
        <w:rPr>
          <w:rFonts w:hint="default" w:ascii="Times New Roman" w:hAnsi="Times New Roman" w:cs="Times New Roman"/>
          <w:color w:val="auto"/>
          <w:highlight w:val="none"/>
        </w:rPr>
        <w:t>金矿采选业（B0921）</w:t>
      </w:r>
      <w:r>
        <w:rPr>
          <w:rFonts w:hint="default" w:ascii="Times New Roman" w:hAnsi="Times New Roman" w:cs="Times New Roman"/>
          <w:color w:val="auto"/>
          <w:kern w:val="0"/>
          <w:highlight w:val="none"/>
        </w:rPr>
        <w:t>；根据《建设项目环境影响评价分类管理名录》（2021年版），本项目属于</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七、有色金属矿采选业，092贵金属矿采选</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kern w:val="0"/>
          <w:highlight w:val="none"/>
        </w:rPr>
        <w:t>。</w:t>
      </w:r>
      <w:r>
        <w:rPr>
          <w:rFonts w:hint="default" w:ascii="Times New Roman" w:hAnsi="Times New Roman" w:eastAsia="宋体" w:cs="Times New Roman"/>
          <w:color w:val="auto"/>
          <w:highlight w:val="none"/>
        </w:rPr>
        <w:t>根据《产业结构调整指导目录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2024年本</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不属于产业政策鼓励类、限制类、淘汰类，</w:t>
      </w:r>
      <w:r>
        <w:rPr>
          <w:rFonts w:hint="default" w:ascii="Times New Roman" w:hAnsi="Times New Roman" w:cs="Times New Roman"/>
          <w:color w:val="auto"/>
          <w:highlight w:val="none"/>
          <w:lang w:val="en-US" w:eastAsia="zh-CN"/>
        </w:rPr>
        <w:t>可</w:t>
      </w:r>
      <w:r>
        <w:rPr>
          <w:rFonts w:hint="default" w:ascii="Times New Roman" w:hAnsi="Times New Roman" w:cs="Times New Roman"/>
          <w:color w:val="auto"/>
          <w:highlight w:val="none"/>
        </w:rPr>
        <w:t>视为允许类。</w:t>
      </w:r>
    </w:p>
    <w:p w14:paraId="464736C6">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项目选址与空间布局符合性及污染防治与环境影响符合性，满足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新疆维吾尔自治区重点行业生态环境准入条件（2024年）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（新环环评发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93号）的有关要求。</w:t>
      </w:r>
    </w:p>
    <w:p w14:paraId="71015A1A">
      <w:pPr>
        <w:pStyle w:val="3"/>
        <w:rPr>
          <w:rFonts w:hint="default" w:ascii="Times New Roman" w:hAnsi="Times New Roman" w:cs="Times New Roman"/>
          <w:color w:val="auto"/>
          <w:highlight w:val="none"/>
        </w:rPr>
      </w:pPr>
      <w:bookmarkStart w:id="1182" w:name="_Toc16233"/>
      <w:bookmarkStart w:id="1183" w:name="_Toc21105"/>
      <w:bookmarkStart w:id="1184" w:name="_Toc6144"/>
      <w:bookmarkStart w:id="1185" w:name="_Toc2869"/>
      <w:bookmarkStart w:id="1186" w:name="_Toc1072"/>
      <w:bookmarkStart w:id="1187" w:name="_Toc29814"/>
      <w:bookmarkStart w:id="1188" w:name="_Toc1532"/>
      <w:bookmarkStart w:id="1189" w:name="_Toc492457109"/>
      <w:bookmarkStart w:id="1190" w:name="_Toc107414687"/>
      <w:bookmarkStart w:id="1191" w:name="_Toc22747"/>
      <w:bookmarkStart w:id="1192" w:name="_Toc26156"/>
      <w:bookmarkStart w:id="1193" w:name="_Toc27324"/>
      <w:bookmarkStart w:id="1194" w:name="_Toc18653"/>
      <w:bookmarkStart w:id="1195" w:name="_Toc28824"/>
      <w:bookmarkStart w:id="1196" w:name="_Toc31142"/>
      <w:bookmarkStart w:id="1197" w:name="_Toc107413920"/>
      <w:bookmarkStart w:id="1198" w:name="_Toc3682"/>
      <w:bookmarkStart w:id="1199" w:name="_Toc19452"/>
      <w:bookmarkStart w:id="1200" w:name="_Toc482784729"/>
      <w:bookmarkStart w:id="1201" w:name="_Toc30278"/>
      <w:r>
        <w:rPr>
          <w:rFonts w:hint="default" w:ascii="Times New Roman" w:hAnsi="Times New Roman" w:cs="Times New Roman"/>
          <w:color w:val="auto"/>
          <w:highlight w:val="none"/>
        </w:rPr>
        <w:t>9.3环境质量现状</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4BE4F3CA">
      <w:pPr>
        <w:pStyle w:val="4"/>
        <w:rPr>
          <w:rFonts w:hint="default" w:ascii="Times New Roman" w:hAnsi="Times New Roman" w:cs="Times New Roman"/>
          <w:color w:val="auto"/>
          <w:highlight w:val="none"/>
        </w:rPr>
      </w:pPr>
      <w:bookmarkStart w:id="1202" w:name="_Toc32381"/>
      <w:bookmarkStart w:id="1203" w:name="_Toc7322"/>
      <w:bookmarkStart w:id="1204" w:name="_Toc18924"/>
      <w:bookmarkStart w:id="1205" w:name="_Toc14059"/>
      <w:bookmarkStart w:id="1206" w:name="_Toc15657"/>
      <w:bookmarkStart w:id="1207" w:name="_Toc16219"/>
      <w:bookmarkStart w:id="1208" w:name="_Toc30636"/>
      <w:bookmarkStart w:id="1209" w:name="_Toc10108"/>
      <w:r>
        <w:rPr>
          <w:rFonts w:hint="default" w:ascii="Times New Roman" w:hAnsi="Times New Roman" w:cs="Times New Roman"/>
          <w:color w:val="auto"/>
          <w:highlight w:val="none"/>
        </w:rPr>
        <w:t>9.3.1环境空气质量现状</w:t>
      </w:r>
      <w:bookmarkEnd w:id="1202"/>
      <w:bookmarkEnd w:id="1203"/>
      <w:bookmarkEnd w:id="1204"/>
      <w:bookmarkEnd w:id="1205"/>
      <w:bookmarkEnd w:id="1206"/>
      <w:bookmarkEnd w:id="1207"/>
      <w:bookmarkEnd w:id="1208"/>
      <w:bookmarkEnd w:id="1209"/>
    </w:p>
    <w:p w14:paraId="0E1A1B85">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kern w:val="0"/>
          <w:highlight w:val="none"/>
        </w:rPr>
        <w:t>根据</w:t>
      </w:r>
      <w:r>
        <w:rPr>
          <w:rFonts w:hint="default" w:cs="Times New Roman"/>
          <w:color w:val="auto"/>
          <w:highlight w:val="none"/>
          <w:lang w:val="en-US" w:eastAsia="zh-CN" w:bidi="ar"/>
        </w:rPr>
        <w:t>阿勒泰地区</w:t>
      </w:r>
      <w:r>
        <w:rPr>
          <w:rFonts w:hint="default" w:ascii="Times New Roman" w:hAnsi="Times New Roman" w:cs="Times New Roman"/>
          <w:color w:val="auto"/>
          <w:highlight w:val="none"/>
          <w:lang w:bidi="ar"/>
        </w:rPr>
        <w:t>202</w:t>
      </w:r>
      <w:r>
        <w:rPr>
          <w:rFonts w:hint="default" w:cs="Times New Roman"/>
          <w:color w:val="auto"/>
          <w:highlight w:val="none"/>
          <w:lang w:val="en-US" w:eastAsia="zh-CN" w:bidi="ar"/>
        </w:rPr>
        <w:t>3</w:t>
      </w:r>
      <w:r>
        <w:rPr>
          <w:rFonts w:hint="default" w:ascii="Times New Roman" w:hAnsi="Times New Roman" w:cs="Times New Roman"/>
          <w:color w:val="auto"/>
          <w:highlight w:val="none"/>
          <w:lang w:bidi="ar"/>
        </w:rPr>
        <w:t>年的监测数据可知，</w:t>
      </w:r>
      <w:r>
        <w:rPr>
          <w:rFonts w:hint="default" w:ascii="Times New Roman" w:hAnsi="Times New Roman" w:cs="Times New Roman"/>
          <w:color w:val="auto"/>
          <w:kern w:val="0"/>
          <w:highlight w:val="none"/>
        </w:rPr>
        <w:t>区域环境空气中SO</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年平均浓度、NO</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年平均浓度、PM</w:t>
      </w:r>
      <w:r>
        <w:rPr>
          <w:rFonts w:hint="default" w:ascii="Times New Roman" w:hAnsi="Times New Roman" w:cs="Times New Roman"/>
          <w:color w:val="auto"/>
          <w:kern w:val="0"/>
          <w:highlight w:val="none"/>
          <w:vertAlign w:val="subscript"/>
        </w:rPr>
        <w:t>10</w:t>
      </w:r>
      <w:r>
        <w:rPr>
          <w:rFonts w:hint="default" w:ascii="Times New Roman" w:hAnsi="Times New Roman" w:cs="Times New Roman"/>
          <w:color w:val="auto"/>
          <w:kern w:val="0"/>
          <w:highlight w:val="none"/>
        </w:rPr>
        <w:t>、PM</w:t>
      </w:r>
      <w:r>
        <w:rPr>
          <w:rFonts w:hint="default" w:ascii="Times New Roman" w:hAnsi="Times New Roman" w:cs="Times New Roman"/>
          <w:color w:val="auto"/>
          <w:kern w:val="0"/>
          <w:highlight w:val="none"/>
          <w:vertAlign w:val="subscript"/>
        </w:rPr>
        <w:t>2.5</w:t>
      </w:r>
      <w:r>
        <w:rPr>
          <w:rFonts w:hint="default" w:ascii="Times New Roman" w:hAnsi="Times New Roman" w:cs="Times New Roman"/>
          <w:color w:val="auto"/>
          <w:kern w:val="0"/>
          <w:highlight w:val="none"/>
        </w:rPr>
        <w:t>年平均浓度</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CO 24小时平均浓度和O</w:t>
      </w:r>
      <w:r>
        <w:rPr>
          <w:rFonts w:hint="default" w:ascii="Times New Roman" w:hAnsi="Times New Roman" w:cs="Times New Roman"/>
          <w:color w:val="auto"/>
          <w:kern w:val="0"/>
          <w:highlight w:val="none"/>
          <w:vertAlign w:val="subscript"/>
        </w:rPr>
        <w:t>3</w:t>
      </w:r>
      <w:r>
        <w:rPr>
          <w:rFonts w:hint="default" w:ascii="Times New Roman" w:hAnsi="Times New Roman" w:cs="Times New Roman"/>
          <w:color w:val="auto"/>
          <w:kern w:val="0"/>
          <w:highlight w:val="none"/>
        </w:rPr>
        <w:t>日最大8小时浓度均满足《环境空气质量标准》（</w:t>
      </w:r>
      <w:r>
        <w:rPr>
          <w:rFonts w:hint="default" w:cs="Times New Roman"/>
          <w:color w:val="auto"/>
          <w:kern w:val="0"/>
          <w:highlight w:val="none"/>
          <w:lang w:eastAsia="zh-CN"/>
        </w:rPr>
        <w:t>GB 3095-2026</w:t>
      </w:r>
      <w:r>
        <w:rPr>
          <w:rFonts w:hint="default" w:ascii="Times New Roman" w:hAnsi="Times New Roman" w:cs="Times New Roman"/>
          <w:color w:val="auto"/>
          <w:kern w:val="0"/>
          <w:highlight w:val="none"/>
        </w:rPr>
        <w:t>）中的二级标准要求，属于环境空气质量达标区。</w:t>
      </w:r>
    </w:p>
    <w:p w14:paraId="209913F8">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szCs w:val="24"/>
          <w:highlight w:val="none"/>
        </w:rPr>
        <w:t>根据现场监测结果表明，本次评价项目区TSP日均浓度满足《环境空气质量标准》（</w:t>
      </w:r>
      <w:r>
        <w:rPr>
          <w:rFonts w:hint="default" w:cs="Times New Roman"/>
          <w:color w:val="auto"/>
          <w:szCs w:val="24"/>
          <w:highlight w:val="none"/>
          <w:lang w:eastAsia="zh-CN"/>
        </w:rPr>
        <w:t>GB 3095-2026</w:t>
      </w:r>
      <w:r>
        <w:rPr>
          <w:rFonts w:hint="default" w:ascii="Times New Roman" w:hAnsi="Times New Roman" w:cs="Times New Roman"/>
          <w:color w:val="auto"/>
          <w:szCs w:val="24"/>
          <w:highlight w:val="none"/>
        </w:rPr>
        <w:t>）</w:t>
      </w:r>
      <w:r>
        <w:rPr>
          <w:rFonts w:hint="default" w:ascii="Times New Roman" w:hAnsi="Times New Roman" w:cs="Times New Roman"/>
          <w:color w:val="auto"/>
          <w:spacing w:val="-4"/>
          <w:szCs w:val="24"/>
          <w:highlight w:val="none"/>
        </w:rPr>
        <w:t>二级标准要求</w:t>
      </w:r>
      <w:r>
        <w:rPr>
          <w:rFonts w:hint="default" w:ascii="Times New Roman" w:hAnsi="Times New Roman" w:cs="Times New Roman"/>
          <w:color w:val="auto"/>
          <w:szCs w:val="24"/>
          <w:highlight w:val="none"/>
        </w:rPr>
        <w:t>。</w:t>
      </w:r>
    </w:p>
    <w:p w14:paraId="54AAEB9C">
      <w:pPr>
        <w:pStyle w:val="4"/>
        <w:rPr>
          <w:rFonts w:hint="default" w:ascii="Times New Roman" w:hAnsi="Times New Roman" w:cs="Times New Roman"/>
          <w:color w:val="auto"/>
          <w:highlight w:val="none"/>
        </w:rPr>
      </w:pPr>
      <w:bookmarkStart w:id="1210" w:name="_Toc15121"/>
      <w:bookmarkStart w:id="1211" w:name="_Toc25270"/>
      <w:bookmarkStart w:id="1212" w:name="_Toc26387"/>
      <w:bookmarkStart w:id="1213" w:name="_Toc13535"/>
      <w:bookmarkStart w:id="1214" w:name="_Toc21865"/>
      <w:bookmarkStart w:id="1215" w:name="_Toc17200"/>
      <w:bookmarkStart w:id="1216" w:name="_Toc2266"/>
      <w:bookmarkStart w:id="1217" w:name="_Toc11095"/>
      <w:r>
        <w:rPr>
          <w:rFonts w:hint="default" w:ascii="Times New Roman" w:hAnsi="Times New Roman" w:cs="Times New Roman"/>
          <w:color w:val="auto"/>
          <w:highlight w:val="none"/>
        </w:rPr>
        <w:t>9.3.2水环境现状</w:t>
      </w:r>
      <w:bookmarkEnd w:id="1210"/>
      <w:bookmarkEnd w:id="1211"/>
      <w:bookmarkEnd w:id="1212"/>
      <w:bookmarkEnd w:id="1213"/>
      <w:bookmarkEnd w:id="1214"/>
      <w:bookmarkEnd w:id="1215"/>
      <w:bookmarkEnd w:id="1216"/>
      <w:bookmarkEnd w:id="1217"/>
    </w:p>
    <w:p w14:paraId="0BFDEC9A">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根据评价结果，区域地下水环境各项监测指标均可达到《地下水质量标准》（GB/T14848-2017）Ⅲ类标准要求。</w:t>
      </w:r>
    </w:p>
    <w:p w14:paraId="0BCC0739">
      <w:pPr>
        <w:pStyle w:val="4"/>
        <w:rPr>
          <w:rFonts w:hint="default" w:ascii="Times New Roman" w:hAnsi="Times New Roman" w:cs="Times New Roman"/>
          <w:color w:val="auto"/>
          <w:highlight w:val="none"/>
        </w:rPr>
      </w:pPr>
      <w:bookmarkStart w:id="1218" w:name="_Toc1615"/>
      <w:bookmarkStart w:id="1219" w:name="_Toc8103"/>
      <w:bookmarkStart w:id="1220" w:name="_Toc26961"/>
      <w:r>
        <w:rPr>
          <w:rFonts w:hint="default" w:ascii="Times New Roman" w:hAnsi="Times New Roman" w:cs="Times New Roman"/>
          <w:color w:val="auto"/>
          <w:highlight w:val="none"/>
        </w:rPr>
        <w:t>9.3.3声环境现状</w:t>
      </w:r>
      <w:bookmarkEnd w:id="1218"/>
      <w:bookmarkEnd w:id="1219"/>
      <w:bookmarkEnd w:id="1220"/>
    </w:p>
    <w:p w14:paraId="3B8D9CFE">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项目所在区域声环境质量现状均满足《声环境质量标准》（GB3096-2008）2类区标准限值，评价区域内的声环境质量较好。</w:t>
      </w:r>
    </w:p>
    <w:p w14:paraId="5B9FD918">
      <w:pPr>
        <w:pStyle w:val="4"/>
        <w:rPr>
          <w:rFonts w:hint="default" w:ascii="Times New Roman" w:hAnsi="Times New Roman" w:cs="Times New Roman"/>
          <w:color w:val="auto"/>
          <w:highlight w:val="none"/>
        </w:rPr>
      </w:pPr>
      <w:bookmarkStart w:id="1221" w:name="_Toc4205"/>
      <w:bookmarkStart w:id="1222" w:name="_Toc27415"/>
      <w:bookmarkStart w:id="1223" w:name="_Toc4246"/>
      <w:r>
        <w:rPr>
          <w:rFonts w:hint="default" w:ascii="Times New Roman" w:hAnsi="Times New Roman" w:cs="Times New Roman"/>
          <w:color w:val="auto"/>
          <w:highlight w:val="none"/>
        </w:rPr>
        <w:t>9.3.4土壤环境现状</w:t>
      </w:r>
      <w:bookmarkEnd w:id="1221"/>
      <w:bookmarkEnd w:id="1222"/>
      <w:bookmarkEnd w:id="1223"/>
    </w:p>
    <w:p w14:paraId="758E3AF3">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土壤监测结果表明：常规和特征监测因子监测值均低于《土壤环境质量 建设用地土壤污染风险管控标准</w:t>
      </w:r>
      <w:r>
        <w:rPr>
          <w:rFonts w:hint="eastAsia" w:cs="Times New Roman"/>
          <w:color w:val="auto"/>
          <w:kern w:val="0"/>
          <w:highlight w:val="none"/>
          <w:lang w:eastAsia="zh-CN"/>
        </w:rPr>
        <w:t>（试行）》</w:t>
      </w:r>
      <w:r>
        <w:rPr>
          <w:rFonts w:hint="default" w:ascii="Times New Roman" w:hAnsi="Times New Roman" w:cs="Times New Roman"/>
          <w:color w:val="auto"/>
          <w:kern w:val="0"/>
          <w:highlight w:val="none"/>
        </w:rPr>
        <w:t>中的筛选值和</w:t>
      </w:r>
      <w:r>
        <w:rPr>
          <w:rFonts w:hint="default" w:ascii="Times New Roman" w:hAnsi="Times New Roman" w:cs="Times New Roman"/>
          <w:color w:val="auto"/>
          <w:szCs w:val="24"/>
          <w:highlight w:val="none"/>
          <w:shd w:val="clear" w:color="auto" w:fill="FFFFFF"/>
        </w:rPr>
        <w:t>《土壤环境质量 农用地土壤污染风险管控标准（试行）》（GB15618-2018）中筛选值</w:t>
      </w:r>
      <w:r>
        <w:rPr>
          <w:rFonts w:hint="default" w:ascii="Times New Roman" w:hAnsi="Times New Roman" w:cs="Times New Roman"/>
          <w:color w:val="auto"/>
          <w:kern w:val="0"/>
          <w:highlight w:val="none"/>
        </w:rPr>
        <w:t>。</w:t>
      </w:r>
    </w:p>
    <w:p w14:paraId="7BFADEAF">
      <w:pPr>
        <w:pStyle w:val="3"/>
        <w:rPr>
          <w:rFonts w:hint="default" w:ascii="Times New Roman" w:hAnsi="Times New Roman" w:cs="Times New Roman"/>
          <w:color w:val="auto"/>
          <w:highlight w:val="none"/>
        </w:rPr>
      </w:pPr>
      <w:bookmarkStart w:id="1224" w:name="_Toc242"/>
      <w:bookmarkStart w:id="1225" w:name="_Toc120683074"/>
      <w:bookmarkStart w:id="1226" w:name="_Toc278281234"/>
      <w:bookmarkStart w:id="1227" w:name="_Toc30815"/>
      <w:bookmarkStart w:id="1228" w:name="_Toc5251"/>
      <w:bookmarkStart w:id="1229" w:name="_Toc8118"/>
      <w:bookmarkStart w:id="1230" w:name="_Toc31043"/>
      <w:bookmarkStart w:id="1231" w:name="_Toc361840113"/>
      <w:bookmarkStart w:id="1232" w:name="_Toc492457110"/>
      <w:bookmarkStart w:id="1233" w:name="_Toc16977"/>
      <w:bookmarkStart w:id="1234" w:name="_Toc338153326"/>
      <w:bookmarkStart w:id="1235" w:name="_Toc355715735"/>
      <w:bookmarkStart w:id="1236" w:name="_Toc17148"/>
      <w:bookmarkStart w:id="1237" w:name="_Toc28962"/>
      <w:bookmarkStart w:id="1238" w:name="_Toc27089"/>
      <w:bookmarkStart w:id="1239" w:name="_Toc4197"/>
      <w:bookmarkStart w:id="1240" w:name="_Toc26257"/>
      <w:bookmarkStart w:id="1241" w:name="_Toc15613"/>
      <w:bookmarkStart w:id="1242" w:name="_Toc107414688"/>
      <w:bookmarkStart w:id="1243" w:name="_Toc482784730"/>
      <w:bookmarkStart w:id="1244" w:name="_Toc318298695"/>
      <w:bookmarkStart w:id="1245" w:name="_Toc25951"/>
      <w:bookmarkStart w:id="1246" w:name="_Toc10848"/>
      <w:bookmarkStart w:id="1247" w:name="_Toc360205164"/>
      <w:bookmarkStart w:id="1248" w:name="_Toc8060"/>
      <w:bookmarkStart w:id="1249" w:name="_Toc17832"/>
      <w:bookmarkStart w:id="1250" w:name="_Toc107413921"/>
      <w:bookmarkStart w:id="1251" w:name="_Toc282074159"/>
      <w:r>
        <w:rPr>
          <w:rFonts w:hint="default" w:ascii="Times New Roman" w:hAnsi="Times New Roman" w:cs="Times New Roman"/>
          <w:color w:val="auto"/>
          <w:highlight w:val="none"/>
        </w:rPr>
        <w:t>9.4环境影响评价</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712E5C31">
      <w:pPr>
        <w:pStyle w:val="4"/>
        <w:rPr>
          <w:rFonts w:hint="default" w:ascii="Times New Roman" w:hAnsi="Times New Roman" w:cs="Times New Roman"/>
          <w:color w:val="auto"/>
          <w:highlight w:val="none"/>
        </w:rPr>
      </w:pPr>
      <w:bookmarkStart w:id="1252" w:name="_Toc6124"/>
      <w:bookmarkStart w:id="1253" w:name="_Toc12680"/>
      <w:bookmarkStart w:id="1254" w:name="_Toc14678"/>
      <w:bookmarkStart w:id="1255" w:name="_Toc12184"/>
      <w:bookmarkStart w:id="1256" w:name="_Toc28282"/>
      <w:bookmarkStart w:id="1257" w:name="_Toc2073"/>
      <w:bookmarkStart w:id="1258" w:name="_Toc2287"/>
      <w:bookmarkStart w:id="1259" w:name="_Toc31433"/>
      <w:r>
        <w:rPr>
          <w:rFonts w:hint="default" w:ascii="Times New Roman" w:hAnsi="Times New Roman" w:cs="Times New Roman"/>
          <w:color w:val="auto"/>
          <w:highlight w:val="none"/>
        </w:rPr>
        <w:t>9.4.1大气环境影响评价</w:t>
      </w:r>
      <w:bookmarkEnd w:id="1252"/>
      <w:bookmarkEnd w:id="1253"/>
      <w:bookmarkEnd w:id="1254"/>
      <w:bookmarkEnd w:id="1255"/>
      <w:bookmarkEnd w:id="1256"/>
      <w:bookmarkEnd w:id="1257"/>
      <w:bookmarkEnd w:id="1258"/>
      <w:bookmarkEnd w:id="1259"/>
    </w:p>
    <w:p w14:paraId="7D987ADC">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shd w:val="clear" w:color="auto" w:fill="FFFFFF"/>
        </w:rPr>
        <w:t>本项目位于</w:t>
      </w:r>
      <w:r>
        <w:rPr>
          <w:rFonts w:hint="default" w:cs="Times New Roman"/>
          <w:color w:val="auto"/>
          <w:highlight w:val="none"/>
          <w:shd w:val="clear" w:color="auto" w:fill="FFFFFF"/>
          <w:lang w:val="en-US" w:eastAsia="zh-CN"/>
        </w:rPr>
        <w:t>富蕴县达标区</w:t>
      </w:r>
      <w:r>
        <w:rPr>
          <w:rFonts w:hint="default" w:ascii="Times New Roman" w:hAnsi="Times New Roman" w:cs="Times New Roman"/>
          <w:color w:val="auto"/>
          <w:highlight w:val="none"/>
          <w:shd w:val="clear" w:color="auto" w:fill="FFFFFF"/>
        </w:rPr>
        <w:t>，根据预测，本项目新增污染源正常排放下污染物短期浓度贡献值最大浓度占标率≤100%；新增污染源正常排放下污染物年均浓度贡献值最大浓度占标率≤30%，同时叠加现状浓度后，本项目主要污染物的保证率日平均质量浓度和年平均质量浓度均符合环境质量标准，因此本项目对大气环境的影响可接受。</w:t>
      </w:r>
    </w:p>
    <w:p w14:paraId="16D0F33A">
      <w:pPr>
        <w:pStyle w:val="4"/>
        <w:rPr>
          <w:rFonts w:hint="default" w:ascii="Times New Roman" w:hAnsi="Times New Roman" w:cs="Times New Roman"/>
          <w:color w:val="auto"/>
          <w:highlight w:val="none"/>
        </w:rPr>
      </w:pPr>
      <w:bookmarkStart w:id="1260" w:name="_Toc32573"/>
      <w:bookmarkStart w:id="1261" w:name="_Toc10249"/>
      <w:bookmarkStart w:id="1262" w:name="_Toc10434"/>
      <w:bookmarkStart w:id="1263" w:name="_Toc24973"/>
      <w:bookmarkStart w:id="1264" w:name="_Toc22647"/>
      <w:bookmarkStart w:id="1265" w:name="_Toc12705"/>
      <w:bookmarkStart w:id="1266" w:name="_Toc6154"/>
      <w:bookmarkStart w:id="1267" w:name="_Toc5891"/>
      <w:r>
        <w:rPr>
          <w:rFonts w:hint="default" w:ascii="Times New Roman" w:hAnsi="Times New Roman" w:cs="Times New Roman"/>
          <w:color w:val="auto"/>
          <w:highlight w:val="none"/>
        </w:rPr>
        <w:t>9.4.2水环境影响评价</w:t>
      </w:r>
      <w:bookmarkEnd w:id="1260"/>
      <w:bookmarkEnd w:id="1261"/>
      <w:bookmarkEnd w:id="1262"/>
      <w:bookmarkEnd w:id="1263"/>
      <w:bookmarkEnd w:id="1264"/>
      <w:bookmarkEnd w:id="1265"/>
      <w:bookmarkEnd w:id="1266"/>
      <w:bookmarkEnd w:id="1267"/>
    </w:p>
    <w:p w14:paraId="0F59F2DD">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正常工况下：项目选矿废水“闭路循环”，全部回用，不外排；生活污水经地埋式一体化生活污水处理设施处理达到</w:t>
      </w:r>
      <w:r>
        <w:rPr>
          <w:rFonts w:hint="default" w:ascii="Times New Roman" w:hAnsi="Times New Roman" w:cs="Times New Roman"/>
          <w:color w:val="auto"/>
          <w:highlight w:val="none"/>
        </w:rPr>
        <w:t>《农村生活污水处理排放标准》（DB65 4275-2019）表2规定的A级排放限值以及《城市污水再生利用 城市杂用水水质》（GB/T18920-2020）中的城市绿化、道路清扫、消防、建筑施工限值后</w:t>
      </w:r>
      <w:r>
        <w:rPr>
          <w:rFonts w:hint="default" w:ascii="Times New Roman" w:hAnsi="Times New Roman" w:cs="Times New Roman"/>
          <w:color w:val="auto"/>
          <w:spacing w:val="-1"/>
          <w:highlight w:val="none"/>
        </w:rPr>
        <w:t>用于选矿生产工序循环利用及绿化</w:t>
      </w:r>
      <w:r>
        <w:rPr>
          <w:rFonts w:hint="default" w:ascii="Times New Roman" w:hAnsi="Times New Roman" w:cs="Times New Roman"/>
          <w:color w:val="auto"/>
          <w:kern w:val="0"/>
          <w:highlight w:val="none"/>
        </w:rPr>
        <w:t>，不外排。</w:t>
      </w:r>
    </w:p>
    <w:p w14:paraId="31F37B85">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GB"/>
        </w:rPr>
        <w:t>非正常工况下：为防止选矿生产系统故障或事故矿浆溢流对外环境造成污染影响，选厂在</w:t>
      </w:r>
      <w:r>
        <w:rPr>
          <w:rFonts w:hint="default" w:ascii="Times New Roman" w:hAnsi="Times New Roman" w:cs="Times New Roman"/>
          <w:color w:val="auto"/>
          <w:kern w:val="0"/>
          <w:highlight w:val="none"/>
        </w:rPr>
        <w:t>发生事故时立即停止生产，溢出水排入车间排水沟，最终由车间回水泵排入防渗循环水池。</w:t>
      </w:r>
      <w:r>
        <w:rPr>
          <w:rFonts w:hint="default" w:ascii="Times New Roman" w:hAnsi="Times New Roman" w:cs="Times New Roman"/>
          <w:color w:val="auto"/>
          <w:kern w:val="0"/>
          <w:highlight w:val="none"/>
          <w:lang w:val="en-GB"/>
        </w:rPr>
        <w:t>及时维修</w:t>
      </w:r>
      <w:r>
        <w:rPr>
          <w:rFonts w:hint="default" w:ascii="Times New Roman" w:hAnsi="Times New Roman" w:cs="Times New Roman"/>
          <w:color w:val="auto"/>
          <w:kern w:val="0"/>
          <w:highlight w:val="none"/>
        </w:rPr>
        <w:t>故障设备</w:t>
      </w:r>
      <w:r>
        <w:rPr>
          <w:rFonts w:hint="default" w:ascii="Times New Roman" w:hAnsi="Times New Roman" w:cs="Times New Roman"/>
          <w:color w:val="auto"/>
          <w:kern w:val="0"/>
          <w:highlight w:val="none"/>
          <w:lang w:val="en-GB"/>
        </w:rPr>
        <w:t>，在故障或事故排除后，再泵回生产系统，不会发生外排，对外环境影响不大。</w:t>
      </w:r>
    </w:p>
    <w:p w14:paraId="3B37FB5C">
      <w:pPr>
        <w:pStyle w:val="4"/>
        <w:rPr>
          <w:rFonts w:hint="default" w:ascii="Times New Roman" w:hAnsi="Times New Roman" w:cs="Times New Roman"/>
          <w:color w:val="auto"/>
          <w:highlight w:val="none"/>
        </w:rPr>
      </w:pPr>
      <w:bookmarkStart w:id="1268" w:name="_Toc23232"/>
      <w:bookmarkStart w:id="1269" w:name="_Toc628"/>
      <w:bookmarkStart w:id="1270" w:name="_Toc31320"/>
      <w:bookmarkStart w:id="1271" w:name="_Toc1867"/>
      <w:bookmarkStart w:id="1272" w:name="_Toc26325"/>
      <w:bookmarkStart w:id="1273" w:name="_Toc20444"/>
      <w:bookmarkStart w:id="1274" w:name="_Toc31165"/>
      <w:bookmarkStart w:id="1275" w:name="_Toc113"/>
      <w:r>
        <w:rPr>
          <w:rFonts w:hint="default" w:ascii="Times New Roman" w:hAnsi="Times New Roman" w:cs="Times New Roman"/>
          <w:color w:val="auto"/>
          <w:highlight w:val="none"/>
        </w:rPr>
        <w:t>9.4.3声环境影响评价</w:t>
      </w:r>
      <w:bookmarkEnd w:id="1268"/>
      <w:bookmarkEnd w:id="1269"/>
      <w:bookmarkEnd w:id="1270"/>
      <w:bookmarkEnd w:id="1271"/>
      <w:bookmarkEnd w:id="1272"/>
      <w:bookmarkEnd w:id="1273"/>
      <w:bookmarkEnd w:id="1274"/>
      <w:bookmarkEnd w:id="1275"/>
    </w:p>
    <w:p w14:paraId="25EE664B">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项目投产后，本项目噪声影响预测值可以达到《工业企业厂界环境噪声排放标准》（GB12348-2008）中2类标准。</w:t>
      </w:r>
    </w:p>
    <w:p w14:paraId="58A01FB6">
      <w:pPr>
        <w:pStyle w:val="4"/>
        <w:rPr>
          <w:rFonts w:hint="default" w:ascii="Times New Roman" w:hAnsi="Times New Roman" w:cs="Times New Roman"/>
          <w:color w:val="auto"/>
          <w:highlight w:val="none"/>
        </w:rPr>
      </w:pPr>
      <w:bookmarkStart w:id="1276" w:name="_Toc24346"/>
      <w:bookmarkStart w:id="1277" w:name="_Toc2198"/>
      <w:bookmarkStart w:id="1278" w:name="_Toc7410"/>
      <w:bookmarkStart w:id="1279" w:name="_Toc2757"/>
      <w:bookmarkStart w:id="1280" w:name="_Toc21283"/>
      <w:bookmarkStart w:id="1281" w:name="_Toc24937"/>
      <w:bookmarkStart w:id="1282" w:name="_Toc12140"/>
      <w:bookmarkStart w:id="1283" w:name="_Toc4221"/>
      <w:r>
        <w:rPr>
          <w:rFonts w:hint="default" w:ascii="Times New Roman" w:hAnsi="Times New Roman" w:cs="Times New Roman"/>
          <w:color w:val="auto"/>
          <w:highlight w:val="none"/>
        </w:rPr>
        <w:t>9.4.4固体废物影响评价</w:t>
      </w:r>
      <w:bookmarkEnd w:id="1276"/>
      <w:bookmarkEnd w:id="1277"/>
      <w:bookmarkEnd w:id="1278"/>
      <w:bookmarkEnd w:id="1279"/>
      <w:bookmarkEnd w:id="1280"/>
      <w:bookmarkEnd w:id="1281"/>
      <w:bookmarkEnd w:id="1282"/>
      <w:bookmarkEnd w:id="1283"/>
    </w:p>
    <w:p w14:paraId="0FDF5012">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运营期固体废物主要来源于选矿工序产生的</w:t>
      </w:r>
      <w:r>
        <w:rPr>
          <w:rFonts w:hint="default" w:ascii="Times New Roman" w:hAnsi="Times New Roman" w:cs="Times New Roman"/>
          <w:color w:val="auto"/>
          <w:highlight w:val="none"/>
        </w:rPr>
        <w:t>尾矿、除尘灰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生产回水池底泥、</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矿物油及废油桶、</w:t>
      </w:r>
      <w:r>
        <w:rPr>
          <w:rFonts w:hint="default" w:ascii="Times New Roman" w:hAnsi="Times New Roman" w:cs="Times New Roman"/>
          <w:color w:val="auto"/>
          <w:highlight w:val="none"/>
        </w:rPr>
        <w:t>沾染毒性废弃包装物、</w:t>
      </w:r>
      <w:r>
        <w:rPr>
          <w:rFonts w:hint="default" w:cs="Times New Roman"/>
          <w:color w:val="auto"/>
          <w:highlight w:val="none"/>
          <w:lang w:val="en-US" w:eastAsia="zh-CN"/>
        </w:rPr>
        <w:t>试验废液、</w:t>
      </w:r>
      <w:r>
        <w:rPr>
          <w:rFonts w:hint="default" w:ascii="Times New Roman" w:hAnsi="Times New Roman" w:cs="Times New Roman"/>
          <w:color w:val="auto"/>
          <w:highlight w:val="none"/>
        </w:rPr>
        <w:t>生活污水处理设施底泥及生活垃圾</w:t>
      </w:r>
      <w:r>
        <w:rPr>
          <w:rFonts w:hint="default" w:ascii="Times New Roman" w:hAnsi="Times New Roman" w:cs="Times New Roman"/>
          <w:color w:val="auto"/>
          <w:kern w:val="0"/>
          <w:highlight w:val="none"/>
        </w:rPr>
        <w:t>。</w:t>
      </w:r>
    </w:p>
    <w:p w14:paraId="3416886E">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各项固体废物均得到妥善处置，在满足以上要求的前提下，本项目各项固体废物对项目区及周边环境影响较小。</w:t>
      </w:r>
    </w:p>
    <w:p w14:paraId="0913DF6C">
      <w:pPr>
        <w:pStyle w:val="4"/>
        <w:rPr>
          <w:rFonts w:hint="default" w:ascii="Times New Roman" w:hAnsi="Times New Roman" w:cs="Times New Roman"/>
          <w:color w:val="auto"/>
          <w:highlight w:val="none"/>
        </w:rPr>
      </w:pPr>
      <w:bookmarkStart w:id="1284" w:name="_Toc779"/>
      <w:bookmarkStart w:id="1285" w:name="_Toc26466"/>
      <w:bookmarkStart w:id="1286" w:name="_Toc24505"/>
      <w:bookmarkStart w:id="1287" w:name="_Toc25544"/>
      <w:bookmarkStart w:id="1288" w:name="_Toc23843"/>
      <w:bookmarkStart w:id="1289" w:name="_Toc30868"/>
      <w:bookmarkStart w:id="1290" w:name="_Toc10374"/>
      <w:bookmarkStart w:id="1291" w:name="_Toc13287"/>
      <w:r>
        <w:rPr>
          <w:rFonts w:hint="default" w:ascii="Times New Roman" w:hAnsi="Times New Roman" w:cs="Times New Roman"/>
          <w:color w:val="auto"/>
          <w:highlight w:val="none"/>
        </w:rPr>
        <w:t>9.4.5环境风险分析结论</w:t>
      </w:r>
      <w:bookmarkEnd w:id="1284"/>
      <w:bookmarkEnd w:id="1285"/>
      <w:bookmarkEnd w:id="1286"/>
      <w:bookmarkEnd w:id="1287"/>
      <w:bookmarkEnd w:id="1288"/>
      <w:bookmarkEnd w:id="1289"/>
      <w:bookmarkEnd w:id="1290"/>
      <w:bookmarkEnd w:id="1291"/>
    </w:p>
    <w:p w14:paraId="398D073D">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在落实本报告书中提出的环境保护措施的前提下，因地制宜地进行环境优化，本项目的环境风险在采取本次评价提出的各项措施并加强管理及风险防范措施得当的情况下，项目风险是可以接受的。</w:t>
      </w:r>
    </w:p>
    <w:p w14:paraId="4A2592A1">
      <w:pPr>
        <w:pStyle w:val="3"/>
        <w:rPr>
          <w:rFonts w:hint="default" w:ascii="Times New Roman" w:hAnsi="Times New Roman" w:cs="Times New Roman"/>
          <w:color w:val="auto"/>
          <w:highlight w:val="none"/>
        </w:rPr>
      </w:pPr>
      <w:bookmarkStart w:id="1292" w:name="_Toc107413922"/>
      <w:bookmarkStart w:id="1293" w:name="_Toc107414689"/>
      <w:bookmarkStart w:id="1294" w:name="_Toc25219"/>
      <w:r>
        <w:rPr>
          <w:rFonts w:hint="default" w:ascii="Times New Roman" w:hAnsi="Times New Roman" w:cs="Times New Roman"/>
          <w:color w:val="auto"/>
          <w:highlight w:val="none"/>
        </w:rPr>
        <w:t>9.5</w:t>
      </w:r>
      <w:bookmarkEnd w:id="1292"/>
      <w:bookmarkEnd w:id="1293"/>
      <w:r>
        <w:rPr>
          <w:rFonts w:hint="default" w:ascii="Times New Roman" w:hAnsi="Times New Roman" w:cs="Times New Roman"/>
          <w:color w:val="auto"/>
          <w:highlight w:val="none"/>
        </w:rPr>
        <w:t>总量控制</w:t>
      </w:r>
      <w:bookmarkEnd w:id="1294"/>
    </w:p>
    <w:p w14:paraId="1C42EC47">
      <w:pPr>
        <w:pStyle w:val="41"/>
        <w:overflowPunct w:val="0"/>
        <w:topLinePunct/>
        <w:spacing w:line="480" w:lineRule="exact"/>
        <w:ind w:firstLine="480"/>
        <w:rPr>
          <w:rFonts w:hint="default" w:ascii="Times New Roman" w:hAnsi="Times New Roman" w:eastAsia="宋体" w:cs="Times New Roman"/>
          <w:color w:val="auto"/>
          <w:kern w:val="0"/>
          <w:highlight w:val="none"/>
          <w:lang w:val="en-US" w:eastAsia="zh-CN"/>
        </w:rPr>
      </w:pPr>
      <w:bookmarkStart w:id="1295" w:name="_Toc107414690"/>
      <w:bookmarkStart w:id="1296" w:name="_Toc107413923"/>
      <w:r>
        <w:rPr>
          <w:rFonts w:hint="default" w:ascii="Times New Roman" w:hAnsi="Times New Roman" w:eastAsia="宋体" w:cs="Times New Roman"/>
          <w:color w:val="auto"/>
          <w:kern w:val="0"/>
          <w:highlight w:val="none"/>
          <w:lang w:eastAsia="zh-CN"/>
        </w:rPr>
        <w:t>本</w:t>
      </w:r>
      <w:r>
        <w:rPr>
          <w:rFonts w:hint="default" w:ascii="Times New Roman" w:hAnsi="Times New Roman" w:eastAsia="宋体" w:cs="Times New Roman"/>
          <w:color w:val="auto"/>
          <w:kern w:val="0"/>
          <w:highlight w:val="none"/>
          <w:lang w:eastAsia="zh-TW"/>
        </w:rPr>
        <w:t>项目大气污染物主要为</w:t>
      </w:r>
      <w:r>
        <w:rPr>
          <w:rFonts w:hint="default" w:ascii="Times New Roman" w:hAnsi="Times New Roman" w:eastAsia="宋体" w:cs="Times New Roman"/>
          <w:color w:val="auto"/>
          <w:kern w:val="0"/>
          <w:highlight w:val="none"/>
        </w:rPr>
        <w:t>颗粒物</w:t>
      </w:r>
      <w:r>
        <w:rPr>
          <w:rFonts w:hint="default" w:ascii="Times New Roman" w:hAnsi="Times New Roman" w:eastAsia="宋体" w:cs="Times New Roman"/>
          <w:color w:val="auto"/>
          <w:kern w:val="0"/>
          <w:highlight w:val="none"/>
          <w:lang w:eastAsia="zh-TW"/>
        </w:rPr>
        <w:t>；</w:t>
      </w:r>
      <w:r>
        <w:rPr>
          <w:rFonts w:hint="default" w:ascii="Times New Roman" w:hAnsi="Times New Roman" w:eastAsia="宋体" w:cs="Times New Roman"/>
          <w:color w:val="auto"/>
          <w:kern w:val="0"/>
          <w:highlight w:val="none"/>
        </w:rPr>
        <w:t>选矿过程中生产废水</w:t>
      </w:r>
      <w:r>
        <w:rPr>
          <w:rFonts w:hint="default" w:ascii="Times New Roman" w:hAnsi="Times New Roman" w:eastAsia="宋体" w:cs="Times New Roman"/>
          <w:color w:val="auto"/>
          <w:kern w:val="0"/>
          <w:highlight w:val="none"/>
          <w:lang w:val="en-US" w:eastAsia="zh-CN"/>
        </w:rPr>
        <w:t>经选矿厂循环使用于选矿生产，</w:t>
      </w:r>
      <w:r>
        <w:rPr>
          <w:rFonts w:hint="default" w:ascii="Times New Roman" w:hAnsi="Times New Roman" w:eastAsia="宋体" w:cs="Times New Roman"/>
          <w:color w:val="auto"/>
          <w:kern w:val="0"/>
          <w:highlight w:val="none"/>
        </w:rPr>
        <w:t>不外排</w:t>
      </w:r>
      <w:r>
        <w:rPr>
          <w:rFonts w:hint="default" w:ascii="Times New Roman" w:hAnsi="Times New Roman" w:eastAsia="宋体" w:cs="Times New Roman"/>
          <w:color w:val="auto"/>
          <w:kern w:val="0"/>
          <w:highlight w:val="none"/>
          <w:lang w:eastAsia="zh-TW"/>
        </w:rPr>
        <w:t>；生活污水</w:t>
      </w:r>
      <w:r>
        <w:rPr>
          <w:rFonts w:hint="default" w:ascii="Times New Roman" w:hAnsi="Times New Roman" w:eastAsia="宋体" w:cs="Times New Roman"/>
          <w:color w:val="auto"/>
          <w:kern w:val="0"/>
          <w:highlight w:val="none"/>
          <w:lang w:val="en-US" w:eastAsia="zh-CN"/>
        </w:rPr>
        <w:t>经</w:t>
      </w:r>
      <w:r>
        <w:rPr>
          <w:rFonts w:hint="default" w:ascii="Times New Roman" w:hAnsi="Times New Roman" w:eastAsia="宋体" w:cs="Times New Roman"/>
          <w:color w:val="auto"/>
          <w:kern w:val="0"/>
          <w:highlight w:val="none"/>
          <w:lang w:eastAsia="zh-TW"/>
        </w:rPr>
        <w:t>地埋式一体化污水</w:t>
      </w:r>
      <w:r>
        <w:rPr>
          <w:rFonts w:hint="default" w:ascii="Times New Roman" w:hAnsi="Times New Roman" w:eastAsia="宋体" w:cs="Times New Roman"/>
          <w:color w:val="auto"/>
          <w:kern w:val="0"/>
          <w:highlight w:val="none"/>
          <w:lang w:val="en-US" w:eastAsia="zh-CN"/>
        </w:rPr>
        <w:t>处理设施</w:t>
      </w:r>
      <w:r>
        <w:rPr>
          <w:rFonts w:hint="default" w:ascii="Times New Roman" w:hAnsi="Times New Roman" w:eastAsia="宋体" w:cs="Times New Roman"/>
          <w:color w:val="auto"/>
          <w:kern w:val="0"/>
          <w:highlight w:val="none"/>
          <w:lang w:eastAsia="zh-TW"/>
        </w:rPr>
        <w:t>处理达标后</w:t>
      </w:r>
      <w:r>
        <w:rPr>
          <w:rFonts w:hint="default" w:ascii="Times New Roman" w:hAnsi="Times New Roman" w:eastAsia="宋体" w:cs="Times New Roman"/>
          <w:color w:val="auto"/>
          <w:kern w:val="0"/>
          <w:highlight w:val="none"/>
          <w:lang w:val="en-US" w:eastAsia="zh-CN"/>
        </w:rPr>
        <w:t>回用不外排</w:t>
      </w:r>
      <w:r>
        <w:rPr>
          <w:rFonts w:hint="default"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lang w:val="en-US" w:eastAsia="zh-CN"/>
        </w:rPr>
        <w:t>厂区供暖采用</w:t>
      </w:r>
      <w:r>
        <w:rPr>
          <w:rFonts w:hint="default" w:ascii="Times New Roman" w:hAnsi="Times New Roman" w:eastAsia="宋体" w:cs="Times New Roman"/>
          <w:color w:val="auto"/>
          <w:kern w:val="0"/>
          <w:highlight w:val="none"/>
          <w:lang w:eastAsia="zh-CN"/>
        </w:rPr>
        <w:t>电热水锅炉</w:t>
      </w:r>
      <w:r>
        <w:rPr>
          <w:rFonts w:hint="default" w:ascii="Times New Roman" w:hAnsi="Times New Roman" w:eastAsia="宋体" w:cs="Times New Roman"/>
          <w:color w:val="auto"/>
          <w:kern w:val="0"/>
          <w:highlight w:val="none"/>
          <w:lang w:val="en-US" w:eastAsia="zh-CN"/>
        </w:rPr>
        <w:t>进行厂区供暖</w:t>
      </w:r>
      <w:r>
        <w:rPr>
          <w:rFonts w:hint="default" w:ascii="Times New Roman" w:hAnsi="Times New Roman" w:eastAsia="宋体" w:cs="Times New Roman"/>
          <w:color w:val="auto"/>
          <w:kern w:val="0"/>
          <w:highlight w:val="none"/>
          <w:lang w:eastAsia="zh-TW"/>
        </w:rPr>
        <w:t>。</w:t>
      </w:r>
      <w:r>
        <w:rPr>
          <w:rFonts w:hint="default" w:ascii="Times New Roman" w:hAnsi="Times New Roman" w:eastAsia="宋体" w:cs="Times New Roman"/>
          <w:color w:val="auto"/>
          <w:kern w:val="0"/>
          <w:highlight w:val="none"/>
          <w:lang w:val="en-US" w:eastAsia="zh-CN"/>
        </w:rPr>
        <w:t>因此，本项目无总量控制指标。</w:t>
      </w:r>
    </w:p>
    <w:p w14:paraId="0D233316">
      <w:pPr>
        <w:pStyle w:val="3"/>
        <w:rPr>
          <w:rFonts w:hint="default" w:ascii="Times New Roman" w:hAnsi="Times New Roman" w:cs="Times New Roman"/>
          <w:color w:val="auto"/>
          <w:kern w:val="0"/>
          <w:highlight w:val="none"/>
          <w:lang w:eastAsia="zh-TW"/>
        </w:rPr>
      </w:pPr>
      <w:bookmarkStart w:id="1297" w:name="_Toc31949"/>
      <w:r>
        <w:rPr>
          <w:rFonts w:hint="default" w:ascii="Times New Roman" w:hAnsi="Times New Roman" w:cs="Times New Roman"/>
          <w:color w:val="auto"/>
          <w:highlight w:val="none"/>
          <w:lang w:eastAsia="zh-TW"/>
        </w:rPr>
        <w:t>9.6</w:t>
      </w:r>
      <w:r>
        <w:rPr>
          <w:rFonts w:hint="default" w:ascii="Times New Roman" w:hAnsi="Times New Roman" w:cs="Times New Roman"/>
          <w:bCs w:val="0"/>
          <w:color w:val="auto"/>
          <w:highlight w:val="none"/>
          <w:lang w:eastAsia="zh-TW"/>
        </w:rPr>
        <w:t>公众参与</w:t>
      </w:r>
      <w:bookmarkEnd w:id="1295"/>
      <w:bookmarkEnd w:id="1296"/>
      <w:bookmarkEnd w:id="1297"/>
    </w:p>
    <w:p w14:paraId="1B298E45">
      <w:pPr>
        <w:pStyle w:val="41"/>
        <w:overflowPunct w:val="0"/>
        <w:topLinePunct/>
        <w:spacing w:line="480" w:lineRule="exact"/>
        <w:ind w:firstLine="480"/>
        <w:rPr>
          <w:rFonts w:hint="default" w:ascii="Times New Roman" w:hAnsi="Times New Roman" w:eastAsia="PMingLiU" w:cs="Times New Roman"/>
          <w:color w:val="auto"/>
          <w:szCs w:val="24"/>
          <w:highlight w:val="none"/>
          <w:lang w:eastAsia="zh-TW"/>
        </w:rPr>
      </w:pPr>
      <w:r>
        <w:rPr>
          <w:rFonts w:hint="default" w:ascii="Times New Roman" w:hAnsi="Times New Roman" w:cs="Times New Roman"/>
          <w:color w:val="auto"/>
          <w:highlight w:val="none"/>
          <w:lang w:eastAsia="zh-TW"/>
        </w:rPr>
        <w:t>新疆江诣矿业有限公司</w:t>
      </w:r>
      <w:r>
        <w:rPr>
          <w:rFonts w:hint="default" w:ascii="Times New Roman" w:hAnsi="Times New Roman" w:cs="Times New Roman"/>
          <w:color w:val="auto"/>
          <w:szCs w:val="24"/>
          <w:highlight w:val="none"/>
          <w:lang w:eastAsia="zh-TW"/>
        </w:rPr>
        <w:t>按照《环境影响评价公众参与办法》（生态环境部令第4号）的要求进行了本项目环境影响报告书的公众参与调查</w:t>
      </w:r>
      <w:r>
        <w:rPr>
          <w:rFonts w:hint="default" w:ascii="Times New Roman" w:hAnsi="Times New Roman" w:cs="Times New Roman"/>
          <w:color w:val="auto"/>
          <w:highlight w:val="none"/>
        </w:rPr>
        <w:t>。在确定本项目环境影响报告书编制单位后，</w:t>
      </w:r>
      <w:r>
        <w:rPr>
          <w:rFonts w:hint="default" w:ascii="Times New Roman" w:hAnsi="Times New Roman" w:cs="Times New Roman"/>
          <w:color w:val="auto"/>
          <w:szCs w:val="24"/>
          <w:highlight w:val="none"/>
          <w:lang w:eastAsia="zh-TW"/>
        </w:rPr>
        <w:t>于202</w:t>
      </w:r>
      <w:r>
        <w:rPr>
          <w:rFonts w:hint="default" w:cs="Times New Roman"/>
          <w:color w:val="auto"/>
          <w:szCs w:val="24"/>
          <w:highlight w:val="none"/>
          <w:lang w:val="en-US" w:eastAsia="zh-CN"/>
        </w:rPr>
        <w:t>5</w:t>
      </w:r>
      <w:r>
        <w:rPr>
          <w:rFonts w:hint="default" w:ascii="Times New Roman" w:hAnsi="Times New Roman" w:cs="Times New Roman"/>
          <w:color w:val="auto"/>
          <w:szCs w:val="24"/>
          <w:highlight w:val="none"/>
          <w:lang w:eastAsia="zh-TW"/>
        </w:rPr>
        <w:t>年1</w:t>
      </w:r>
      <w:r>
        <w:rPr>
          <w:rFonts w:hint="default" w:cs="Times New Roman"/>
          <w:color w:val="auto"/>
          <w:szCs w:val="24"/>
          <w:highlight w:val="none"/>
          <w:lang w:val="en-US" w:eastAsia="zh-CN"/>
        </w:rPr>
        <w:t>2</w:t>
      </w:r>
      <w:r>
        <w:rPr>
          <w:rFonts w:hint="default" w:ascii="Times New Roman" w:hAnsi="Times New Roman" w:cs="Times New Roman"/>
          <w:color w:val="auto"/>
          <w:szCs w:val="24"/>
          <w:highlight w:val="none"/>
          <w:lang w:eastAsia="zh-TW"/>
        </w:rPr>
        <w:t>月</w:t>
      </w:r>
      <w:r>
        <w:rPr>
          <w:rFonts w:hint="default" w:cs="Times New Roman"/>
          <w:color w:val="auto"/>
          <w:szCs w:val="24"/>
          <w:highlight w:val="none"/>
          <w:lang w:val="en-US" w:eastAsia="zh-CN"/>
        </w:rPr>
        <w:t>31</w:t>
      </w:r>
      <w:r>
        <w:rPr>
          <w:rFonts w:hint="default" w:ascii="Times New Roman" w:hAnsi="Times New Roman" w:cs="Times New Roman"/>
          <w:color w:val="auto"/>
          <w:szCs w:val="24"/>
          <w:highlight w:val="none"/>
          <w:lang w:eastAsia="zh-TW"/>
        </w:rPr>
        <w:t>日在</w:t>
      </w:r>
      <w:r>
        <w:rPr>
          <w:rFonts w:hint="default" w:cs="Times New Roman"/>
          <w:color w:val="auto"/>
          <w:szCs w:val="24"/>
          <w:highlight w:val="none"/>
          <w:lang w:val="en-US" w:eastAsia="zh-CN"/>
        </w:rPr>
        <w:t>环保小智</w:t>
      </w:r>
      <w:r>
        <w:rPr>
          <w:rFonts w:hint="default" w:ascii="Times New Roman" w:hAnsi="Times New Roman" w:cs="Times New Roman"/>
          <w:color w:val="auto"/>
          <w:szCs w:val="24"/>
          <w:highlight w:val="none"/>
          <w:lang w:eastAsia="zh-TW"/>
        </w:rPr>
        <w:t>进行了第一次信息公示（https://gongshi.qsyhbgj.com/h5public-detail?id=495298）</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在本项目环境影响报告书征求意见稿形成后，于</w:t>
      </w:r>
      <w:r>
        <w:rPr>
          <w:rFonts w:hint="default" w:ascii="Times New Roman" w:hAnsi="Times New Roman" w:cs="Times New Roman"/>
          <w:color w:val="auto"/>
          <w:szCs w:val="24"/>
          <w:highlight w:val="none"/>
          <w:lang w:eastAsia="zh-TW"/>
        </w:rPr>
        <w:t>202</w:t>
      </w:r>
      <w:r>
        <w:rPr>
          <w:rFonts w:hint="default" w:cs="Times New Roman"/>
          <w:color w:val="auto"/>
          <w:szCs w:val="24"/>
          <w:highlight w:val="none"/>
          <w:lang w:val="en-US" w:eastAsia="zh-CN"/>
        </w:rPr>
        <w:t>6</w:t>
      </w:r>
      <w:r>
        <w:rPr>
          <w:rFonts w:hint="default" w:ascii="Times New Roman" w:hAnsi="Times New Roman" w:cs="Times New Roman"/>
          <w:color w:val="auto"/>
          <w:szCs w:val="24"/>
          <w:highlight w:val="none"/>
          <w:lang w:eastAsia="zh-TW"/>
        </w:rPr>
        <w:t>年</w:t>
      </w:r>
      <w:r>
        <w:rPr>
          <w:rFonts w:hint="default" w:cs="Times New Roman"/>
          <w:color w:val="auto"/>
          <w:szCs w:val="24"/>
          <w:highlight w:val="none"/>
          <w:lang w:val="en-US" w:eastAsia="zh-CN"/>
        </w:rPr>
        <w:t>4</w:t>
      </w:r>
      <w:r>
        <w:rPr>
          <w:rFonts w:hint="default" w:ascii="Times New Roman" w:hAnsi="Times New Roman" w:cs="Times New Roman"/>
          <w:color w:val="auto"/>
          <w:szCs w:val="24"/>
          <w:highlight w:val="none"/>
          <w:lang w:eastAsia="zh-TW"/>
        </w:rPr>
        <w:t>月</w:t>
      </w:r>
      <w:r>
        <w:rPr>
          <w:rFonts w:hint="default" w:cs="Times New Roman"/>
          <w:color w:val="auto"/>
          <w:szCs w:val="24"/>
          <w:highlight w:val="none"/>
          <w:lang w:val="en-US" w:eastAsia="zh-CN"/>
        </w:rPr>
        <w:t>21</w:t>
      </w:r>
      <w:r>
        <w:rPr>
          <w:rFonts w:hint="default" w:ascii="Times New Roman" w:hAnsi="Times New Roman" w:cs="Times New Roman"/>
          <w:color w:val="auto"/>
          <w:szCs w:val="24"/>
          <w:highlight w:val="none"/>
          <w:lang w:eastAsia="zh-TW"/>
        </w:rPr>
        <w:t>日在</w:t>
      </w:r>
      <w:r>
        <w:rPr>
          <w:rFonts w:hint="default" w:cs="Times New Roman"/>
          <w:color w:val="auto"/>
          <w:szCs w:val="24"/>
          <w:highlight w:val="none"/>
          <w:lang w:val="en-US" w:eastAsia="zh-CN"/>
        </w:rPr>
        <w:t>环保小智</w:t>
      </w:r>
      <w:r>
        <w:rPr>
          <w:rFonts w:hint="default" w:ascii="Times New Roman" w:hAnsi="Times New Roman" w:cs="Times New Roman"/>
          <w:color w:val="auto"/>
          <w:szCs w:val="24"/>
          <w:highlight w:val="none"/>
          <w:lang w:eastAsia="zh-TW"/>
        </w:rPr>
        <w:t>进行了第二次信息公示（https://gongshi.qsyhbgj.com/h5public-detail?id=513999）</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TW"/>
        </w:rPr>
        <w:t>公示期为10个工作日，并在公示期间以登报和张贴公告的方式进行同步公开。</w:t>
      </w:r>
      <w:r>
        <w:rPr>
          <w:rFonts w:hint="default" w:ascii="Times New Roman" w:hAnsi="Times New Roman" w:cs="Times New Roman"/>
          <w:color w:val="auto"/>
          <w:szCs w:val="21"/>
          <w:highlight w:val="none"/>
          <w:lang w:eastAsia="zh-TW"/>
        </w:rPr>
        <w:t>202</w:t>
      </w:r>
      <w:r>
        <w:rPr>
          <w:rFonts w:hint="default" w:cs="Times New Roman"/>
          <w:color w:val="auto"/>
          <w:szCs w:val="21"/>
          <w:highlight w:val="none"/>
          <w:lang w:val="en-US" w:eastAsia="zh-CN"/>
        </w:rPr>
        <w:t>6</w:t>
      </w:r>
      <w:r>
        <w:rPr>
          <w:rFonts w:hint="default" w:ascii="Times New Roman" w:hAnsi="Times New Roman" w:cs="Times New Roman"/>
          <w:color w:val="auto"/>
          <w:szCs w:val="21"/>
          <w:highlight w:val="none"/>
          <w:lang w:eastAsia="zh-TW"/>
        </w:rPr>
        <w:t>年</w:t>
      </w:r>
      <w:r>
        <w:rPr>
          <w:rFonts w:hint="default" w:cs="Times New Roman"/>
          <w:color w:val="auto"/>
          <w:szCs w:val="21"/>
          <w:highlight w:val="none"/>
          <w:lang w:val="en-US" w:eastAsia="zh-CN"/>
        </w:rPr>
        <w:t>5</w:t>
      </w:r>
      <w:r>
        <w:rPr>
          <w:rFonts w:hint="default" w:ascii="Times New Roman" w:hAnsi="Times New Roman" w:cs="Times New Roman"/>
          <w:color w:val="auto"/>
          <w:szCs w:val="21"/>
          <w:highlight w:val="none"/>
          <w:lang w:eastAsia="zh-TW"/>
        </w:rPr>
        <w:t>月</w:t>
      </w:r>
      <w:r>
        <w:rPr>
          <w:rFonts w:hint="default" w:cs="Times New Roman"/>
          <w:color w:val="auto"/>
          <w:szCs w:val="21"/>
          <w:highlight w:val="none"/>
          <w:lang w:val="en-US" w:eastAsia="zh-CN"/>
        </w:rPr>
        <w:t>19</w:t>
      </w:r>
      <w:r>
        <w:rPr>
          <w:rFonts w:hint="default" w:ascii="Times New Roman" w:hAnsi="Times New Roman" w:cs="Times New Roman"/>
          <w:color w:val="auto"/>
          <w:szCs w:val="21"/>
          <w:highlight w:val="none"/>
          <w:lang w:eastAsia="zh-TW"/>
        </w:rPr>
        <w:t>日</w:t>
      </w:r>
      <w:r>
        <w:rPr>
          <w:rFonts w:hint="default" w:ascii="Times New Roman" w:hAnsi="Times New Roman" w:cs="Times New Roman"/>
          <w:color w:val="auto"/>
          <w:highlight w:val="none"/>
          <w:lang w:eastAsia="zh-TW"/>
        </w:rPr>
        <w:t>在本项目环境影响报告书报新疆维吾尔自治区生态环境厅审批前，新疆江诣矿业有限公司在</w:t>
      </w:r>
      <w:r>
        <w:rPr>
          <w:rFonts w:hint="default" w:cs="Times New Roman"/>
          <w:color w:val="auto"/>
          <w:szCs w:val="24"/>
          <w:highlight w:val="none"/>
          <w:lang w:val="en-US" w:eastAsia="zh-CN"/>
        </w:rPr>
        <w:t>环保小智</w:t>
      </w:r>
      <w:r>
        <w:rPr>
          <w:rFonts w:hint="default" w:ascii="Times New Roman" w:hAnsi="Times New Roman" w:cs="Times New Roman"/>
          <w:color w:val="auto"/>
          <w:highlight w:val="none"/>
          <w:lang w:eastAsia="zh-TW"/>
        </w:rPr>
        <w:t>进行拟报批公示</w:t>
      </w:r>
      <w:r>
        <w:rPr>
          <w:rFonts w:hint="eastAsia" w:cs="Times New Roman"/>
          <w:color w:val="auto"/>
          <w:highlight w:val="none"/>
          <w:lang w:eastAsia="zh-CN"/>
        </w:rPr>
        <w:t>（https://gongshi.qsyhbgj.com/h5public-detail?id=518338）</w:t>
      </w:r>
      <w:r>
        <w:rPr>
          <w:rFonts w:hint="default" w:ascii="Times New Roman" w:hAnsi="Times New Roman" w:cs="Times New Roman"/>
          <w:color w:val="auto"/>
          <w:highlight w:val="none"/>
          <w:lang w:eastAsia="zh-TW"/>
        </w:rPr>
        <w:t>。</w:t>
      </w:r>
    </w:p>
    <w:p w14:paraId="55FCDF94">
      <w:pPr>
        <w:pStyle w:val="41"/>
        <w:overflowPunct w:val="0"/>
        <w:topLinePunct/>
        <w:spacing w:line="480" w:lineRule="exact"/>
        <w:ind w:firstLine="480"/>
        <w:rPr>
          <w:rFonts w:hint="default" w:ascii="Times New Roman" w:hAnsi="Times New Roman" w:cs="Times New Roman"/>
          <w:color w:val="auto"/>
          <w:kern w:val="0"/>
          <w:highlight w:val="none"/>
          <w:lang w:eastAsia="zh-TW"/>
        </w:rPr>
      </w:pPr>
      <w:r>
        <w:rPr>
          <w:rFonts w:hint="default" w:ascii="Times New Roman" w:hAnsi="Times New Roman" w:cs="Times New Roman"/>
          <w:color w:val="auto"/>
          <w:szCs w:val="24"/>
          <w:highlight w:val="none"/>
          <w:lang w:eastAsia="zh-TW"/>
        </w:rPr>
        <w:t>本项目在公示期间未收到公众通过网络、电话及书信等方式提出的意见。</w:t>
      </w:r>
    </w:p>
    <w:p w14:paraId="0C58E29A">
      <w:pPr>
        <w:pStyle w:val="3"/>
        <w:rPr>
          <w:rFonts w:hint="default" w:ascii="Times New Roman" w:hAnsi="Times New Roman" w:cs="Times New Roman"/>
          <w:color w:val="auto"/>
          <w:highlight w:val="none"/>
        </w:rPr>
      </w:pPr>
      <w:bookmarkStart w:id="1298" w:name="_Toc26314"/>
      <w:bookmarkStart w:id="1299" w:name="_Toc12938"/>
      <w:bookmarkStart w:id="1300" w:name="_Toc1723"/>
      <w:bookmarkStart w:id="1301" w:name="_Toc18341"/>
      <w:bookmarkStart w:id="1302" w:name="_Toc360205168"/>
      <w:bookmarkStart w:id="1303" w:name="_Toc361840117"/>
      <w:bookmarkStart w:id="1304" w:name="_Toc6314"/>
      <w:bookmarkStart w:id="1305" w:name="_Toc482784735"/>
      <w:bookmarkStart w:id="1306" w:name="_Toc355715739"/>
      <w:bookmarkStart w:id="1307" w:name="_Toc6101"/>
      <w:bookmarkStart w:id="1308" w:name="_Toc21279"/>
      <w:bookmarkStart w:id="1309" w:name="_Toc24706"/>
      <w:bookmarkStart w:id="1310" w:name="_Toc353"/>
      <w:bookmarkStart w:id="1311" w:name="_Toc3583"/>
      <w:bookmarkStart w:id="1312" w:name="_Toc22263"/>
      <w:bookmarkStart w:id="1313" w:name="_Toc107413924"/>
      <w:bookmarkStart w:id="1314" w:name="_Toc107414691"/>
      <w:bookmarkStart w:id="1315" w:name="_Toc6109"/>
      <w:bookmarkStart w:id="1316" w:name="_Toc14829"/>
      <w:bookmarkStart w:id="1317" w:name="_Toc21963"/>
      <w:bookmarkStart w:id="1318" w:name="_Toc492457115"/>
      <w:bookmarkStart w:id="1319" w:name="_Toc2218"/>
      <w:bookmarkStart w:id="1320" w:name="_Toc29976"/>
      <w:r>
        <w:rPr>
          <w:rFonts w:hint="default" w:ascii="Times New Roman" w:hAnsi="Times New Roman" w:cs="Times New Roman"/>
          <w:color w:val="auto"/>
          <w:highlight w:val="none"/>
        </w:rPr>
        <w:t>9.7总体结论</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608446B0">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cs="Times New Roman"/>
          <w:color w:val="auto"/>
          <w:kern w:val="0"/>
          <w:szCs w:val="24"/>
          <w:highlight w:val="none"/>
          <w:lang w:eastAsia="zh-CN"/>
        </w:rPr>
        <w:t>根据</w:t>
      </w:r>
      <w:r>
        <w:rPr>
          <w:rFonts w:hint="default" w:ascii="Times New Roman" w:hAnsi="Times New Roman" w:cs="Times New Roman"/>
          <w:color w:val="auto"/>
          <w:szCs w:val="24"/>
          <w:highlight w:val="none"/>
          <w:lang w:bidi="ar"/>
        </w:rPr>
        <w:t>《产业结构调整指导目录（20</w:t>
      </w:r>
      <w:r>
        <w:rPr>
          <w:rFonts w:hint="default" w:ascii="Times New Roman" w:hAnsi="Times New Roman" w:cs="Times New Roman"/>
          <w:color w:val="auto"/>
          <w:szCs w:val="24"/>
          <w:highlight w:val="none"/>
          <w:lang w:val="en-US" w:eastAsia="zh-CN" w:bidi="ar"/>
        </w:rPr>
        <w:t>24</w:t>
      </w:r>
      <w:r>
        <w:rPr>
          <w:rFonts w:hint="default" w:ascii="Times New Roman" w:hAnsi="Times New Roman" w:cs="Times New Roman"/>
          <w:color w:val="auto"/>
          <w:szCs w:val="24"/>
          <w:highlight w:val="none"/>
          <w:lang w:bidi="ar"/>
        </w:rPr>
        <w:t>年本）》，不属于产业政策鼓励类、限制类、淘汰类，视为允许类，项目建设符合国家产业政策要求。</w:t>
      </w:r>
      <w:r>
        <w:rPr>
          <w:rFonts w:hint="default" w:ascii="Times New Roman" w:hAnsi="Times New Roman" w:cs="Times New Roman"/>
          <w:color w:val="auto"/>
          <w:kern w:val="0"/>
          <w:szCs w:val="24"/>
          <w:highlight w:val="none"/>
        </w:rPr>
        <w:t>本项目选矿工艺属于目前国内较成熟应用较广的工艺技术，尾矿砂为第Ⅱ类一般固体废物，排入尾矿库，工艺路线符合清洁生产的要求，项目建设得到了当地公众的支持。本项目符合国家产业政策和环保政策要求，具有良好的经济效益和社会效益，可满足当地环境保护目标要求，在严格落实本报告提出的环保、节能降耗措施，特别是污染防治和风险防范措施后，从保护环境的角度出发，本项目的建设是可行的。</w:t>
      </w:r>
    </w:p>
    <w:p w14:paraId="6EA12544">
      <w:pPr>
        <w:pStyle w:val="3"/>
        <w:rPr>
          <w:rFonts w:hint="default" w:ascii="Times New Roman" w:hAnsi="Times New Roman" w:cs="Times New Roman"/>
          <w:color w:val="auto"/>
          <w:highlight w:val="none"/>
        </w:rPr>
      </w:pPr>
      <w:bookmarkStart w:id="1321" w:name="_Toc23271"/>
      <w:bookmarkStart w:id="1322" w:name="_Toc9825"/>
      <w:bookmarkStart w:id="1323" w:name="_Toc14092"/>
      <w:bookmarkStart w:id="1324" w:name="_Toc13052"/>
      <w:bookmarkStart w:id="1325" w:name="_Toc107414692"/>
      <w:bookmarkStart w:id="1326" w:name="_Toc482784736"/>
      <w:bookmarkStart w:id="1327" w:name="_Toc14571"/>
      <w:bookmarkStart w:id="1328" w:name="_Toc16527"/>
      <w:bookmarkStart w:id="1329" w:name="_Toc20840"/>
      <w:bookmarkStart w:id="1330" w:name="_Toc18295"/>
      <w:bookmarkStart w:id="1331" w:name="_Toc5124"/>
      <w:bookmarkStart w:id="1332" w:name="_Toc6306"/>
      <w:bookmarkStart w:id="1333" w:name="_Toc21537"/>
      <w:bookmarkStart w:id="1334" w:name="_Toc107413925"/>
      <w:bookmarkStart w:id="1335" w:name="_Toc1518"/>
      <w:bookmarkStart w:id="1336" w:name="_Toc13147"/>
      <w:bookmarkStart w:id="1337" w:name="_Toc492457116"/>
      <w:bookmarkStart w:id="1338" w:name="_Toc16762"/>
      <w:bookmarkStart w:id="1339" w:name="_Toc271"/>
      <w:bookmarkStart w:id="1340" w:name="_Toc518"/>
      <w:r>
        <w:rPr>
          <w:rFonts w:hint="default" w:ascii="Times New Roman" w:hAnsi="Times New Roman" w:cs="Times New Roman"/>
          <w:color w:val="auto"/>
          <w:highlight w:val="none"/>
        </w:rPr>
        <w:t>9.8建议</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08DF5C2F">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（1）企业应加强环保设施的日常管理、维护，建立健全环保设施的运行管理制度、定期检查制度、设备维护和检修制度，确保环保设施高效运行，尽量减少和避免事故排放情况发生。</w:t>
      </w:r>
    </w:p>
    <w:p w14:paraId="2C93DA64">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（2）工程在生产过程中应按国家规定实施严格管理，确保安全性，避免事故发生时对环境产生破坏性影响。</w:t>
      </w:r>
    </w:p>
    <w:p w14:paraId="09D77856">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（3）公司应当搞好日常环境监督管理，使环保治理设施长期正常运行，</w:t>
      </w:r>
      <w:r>
        <w:rPr>
          <w:rFonts w:hint="default" w:cs="Times New Roman"/>
          <w:color w:val="auto"/>
          <w:kern w:val="0"/>
          <w:highlight w:val="none"/>
          <w:lang w:eastAsia="zh-CN"/>
        </w:rPr>
        <w:t>防止</w:t>
      </w:r>
      <w:r>
        <w:rPr>
          <w:rFonts w:hint="default" w:ascii="Times New Roman" w:hAnsi="Times New Roman" w:cs="Times New Roman"/>
          <w:color w:val="auto"/>
          <w:kern w:val="0"/>
          <w:highlight w:val="none"/>
        </w:rPr>
        <w:t>各类污染物非正常排放，确保各项污染物达标排放。规范各排污口管理、按环保部门要求设置相应标准等。</w:t>
      </w:r>
    </w:p>
    <w:p w14:paraId="639E738E">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（4）注意风险防范措施，及时</w:t>
      </w:r>
      <w:r>
        <w:rPr>
          <w:rFonts w:hint="default" w:cs="Times New Roman"/>
          <w:color w:val="auto"/>
          <w:kern w:val="0"/>
          <w:highlight w:val="none"/>
          <w:lang w:val="en-US" w:eastAsia="zh-CN"/>
        </w:rPr>
        <w:t>编制突发环境事件</w:t>
      </w:r>
      <w:r>
        <w:rPr>
          <w:rFonts w:hint="default" w:ascii="Times New Roman" w:hAnsi="Times New Roman" w:cs="Times New Roman"/>
          <w:color w:val="auto"/>
          <w:kern w:val="0"/>
          <w:highlight w:val="none"/>
        </w:rPr>
        <w:t>应急预案，</w:t>
      </w:r>
      <w:r>
        <w:rPr>
          <w:rFonts w:hint="default" w:cs="Times New Roman"/>
          <w:color w:val="auto"/>
          <w:kern w:val="0"/>
          <w:highlight w:val="none"/>
          <w:lang w:val="en-US" w:eastAsia="zh-CN"/>
        </w:rPr>
        <w:t>加强</w:t>
      </w:r>
      <w:r>
        <w:rPr>
          <w:rFonts w:hint="default" w:ascii="Times New Roman" w:hAnsi="Times New Roman" w:cs="Times New Roman"/>
          <w:color w:val="auto"/>
          <w:kern w:val="0"/>
          <w:highlight w:val="none"/>
        </w:rPr>
        <w:t>相应的风险防范演练。</w:t>
      </w:r>
    </w:p>
    <w:p w14:paraId="16A0ACEB">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（5）生产区工作人员严格按防疫等部门落实生产过程中的防护措施，保护工作人员</w:t>
      </w:r>
      <w:r>
        <w:rPr>
          <w:rFonts w:hint="default" w:cs="Times New Roman"/>
          <w:color w:val="auto"/>
          <w:kern w:val="0"/>
          <w:highlight w:val="none"/>
          <w:lang w:eastAsia="zh-CN"/>
        </w:rPr>
        <w:t>的</w:t>
      </w:r>
      <w:r>
        <w:rPr>
          <w:rFonts w:hint="default" w:ascii="Times New Roman" w:hAnsi="Times New Roman" w:cs="Times New Roman"/>
          <w:color w:val="auto"/>
          <w:kern w:val="0"/>
          <w:highlight w:val="none"/>
        </w:rPr>
        <w:t>身体健康。</w:t>
      </w:r>
    </w:p>
    <w:p w14:paraId="454305E8">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（6）项目必须严格执行“三同时”规定，有关环保设施必须与主体工程同时设计，同时施工，同时使用。</w:t>
      </w:r>
    </w:p>
    <w:p w14:paraId="7752E04B">
      <w:pPr>
        <w:pStyle w:val="41"/>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（7）加强厂内外的绿化，增加景观效益。</w:t>
      </w:r>
    </w:p>
    <w:p w14:paraId="1AF7E23E">
      <w:pPr>
        <w:rPr>
          <w:color w:val="auto"/>
          <w:highlight w:val="none"/>
        </w:rPr>
      </w:pPr>
    </w:p>
    <w:p w14:paraId="2495F8D4">
      <w:pPr>
        <w:rPr>
          <w:color w:val="auto"/>
          <w:highlight w:val="none"/>
        </w:rPr>
      </w:pPr>
    </w:p>
    <w:p w14:paraId="7EA27C86">
      <w:pPr>
        <w:rPr>
          <w:color w:val="auto"/>
          <w:highlight w:val="none"/>
        </w:rPr>
      </w:pPr>
    </w:p>
    <w:p w14:paraId="7236E0EC">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decorative"/>
    <w:pitch w:val="default"/>
    <w:sig w:usb0="00000001" w:usb1="080E0000" w:usb2="0000000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微软雅黑 Light">
    <w:altName w:val="黑体"/>
    <w:panose1 w:val="020B0502040204020203"/>
    <w:charset w:val="86"/>
    <w:family w:val="auto"/>
    <w:pitch w:val="default"/>
    <w:sig w:usb0="00000000" w:usb1="00000000"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52738">
    <w:pPr>
      <w:pStyle w:val="20"/>
      <w:spacing w:line="360" w:lineRule="exact"/>
      <w:ind w:firstLine="0" w:firstLineChars="0"/>
      <w:jc w:val="distribute"/>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E18F71">
                          <w:pPr>
                            <w:pStyle w:val="20"/>
                            <w:spacing w:line="360" w:lineRule="exact"/>
                            <w:ind w:firstLine="0" w:firstLineChars="0"/>
                            <w:jc w:val="center"/>
                          </w:pPr>
                          <w:r>
                            <w:fldChar w:fldCharType="begin"/>
                          </w:r>
                          <w:r>
                            <w:instrText xml:space="preserve"> PAGE  \* MERGEFORMAT </w:instrText>
                          </w:r>
                          <w:r>
                            <w:fldChar w:fldCharType="separate"/>
                          </w:r>
                          <w:r>
                            <w:t>III</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cdW1MkBAACa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c4d8ctTvzy/dvlx6/Lz69k&#10;m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Bx1bUyQEAAJoDAAAOAAAAAAAAAAEAIAAAAB4BAABkcnMvZTJvRG9j&#10;LnhtbFBLBQYAAAAABgAGAFkBAABZBQAAAAA=&#10;">
              <v:fill on="f" focussize="0,0"/>
              <v:stroke on="f"/>
              <v:imagedata o:title=""/>
              <o:lock v:ext="edit" aspectratio="f"/>
              <v:textbox inset="0mm,0mm,0mm,0mm" style="mso-fit-shape-to-text:t;">
                <w:txbxContent>
                  <w:p w14:paraId="64E18F71">
                    <w:pPr>
                      <w:pStyle w:val="20"/>
                      <w:spacing w:line="360" w:lineRule="exact"/>
                      <w:ind w:firstLine="0" w:firstLineChars="0"/>
                      <w:jc w:val="center"/>
                    </w:pPr>
                    <w:r>
                      <w:fldChar w:fldCharType="begin"/>
                    </w:r>
                    <w:r>
                      <w:instrText xml:space="preserve"> PAGE  \* MERGEFORMAT </w:instrText>
                    </w:r>
                    <w:r>
                      <w:fldChar w:fldCharType="separate"/>
                    </w:r>
                    <w:r>
                      <w:t>III</w:t>
                    </w:r>
                    <w:r>
                      <w:fldChar w:fldCharType="end"/>
                    </w:r>
                  </w:p>
                </w:txbxContent>
              </v:textbox>
            </v:shape>
          </w:pict>
        </mc:Fallback>
      </mc:AlternateContent>
    </w:r>
    <w:r>
      <w:rPr>
        <w:b/>
        <w:bCs/>
        <w:sz w:val="21"/>
        <w:szCs w:val="21"/>
      </w:rPr>
      <mc:AlternateContent>
        <mc:Choice Requires="wps">
          <w:drawing>
            <wp:anchor distT="0" distB="0" distL="114300" distR="114300" simplePos="0" relativeHeight="251669504" behindDoc="0" locked="0" layoutInCell="1" allowOverlap="1">
              <wp:simplePos x="0" y="0"/>
              <wp:positionH relativeFrom="page">
                <wp:posOffset>1152525</wp:posOffset>
              </wp:positionH>
              <wp:positionV relativeFrom="page">
                <wp:posOffset>9890760</wp:posOffset>
              </wp:positionV>
              <wp:extent cx="5314950" cy="0"/>
              <wp:effectExtent l="0" t="4445" r="0" b="5080"/>
              <wp:wrapNone/>
              <wp:docPr id="65" name="直接连接符 6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75pt;margin-top:778.8pt;height:0pt;width:418.5pt;mso-position-horizontal-relative:page;mso-position-vertical-relative:page;z-index:251669504;mso-width-relative:margin;mso-height-relative:page;mso-width-percent:1000;" filled="f" stroked="t" coordsize="21600,21600" o:gfxdata="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65x/toAAAAOAQAADwAAAAAAAAABACAAAAAiAAAAZHJzL2Rvd25yZXYueG1sUEsBAhQAFAAAAAgA&#10;h07iQN7f0CDqAQAAwQMAAA4AAAAAAAAAAQAgAAAAKQEAAGRycy9lMm9Eb2MueG1sUEsFBgAAAAAG&#10;AAYAWQEAAIUFAAAAAA==&#10;">
              <v:fill on="f" focussize="0,0"/>
              <v:stroke color="#000000" miterlimit="8" joinstyle="miter"/>
              <v:imagedata o:title=""/>
              <o:lock v:ext="edit" aspectratio="f"/>
            </v:line>
          </w:pict>
        </mc:Fallback>
      </mc:AlternateContent>
    </w:r>
    <w:r>
      <w:rPr>
        <w:b/>
        <w:bCs/>
        <w:sz w:val="21"/>
        <w:szCs w:val="21"/>
      </w:rPr>
      <w:t>TEL：0991-3333881</w:t>
    </w:r>
    <w:r>
      <w:rPr>
        <w:rFonts w:hint="eastAsia"/>
        <w:b/>
        <w:bCs/>
        <w:sz w:val="21"/>
        <w:szCs w:val="21"/>
      </w:rPr>
      <w:t xml:space="preserve">                                  新疆恒升融裕环保科技有限公司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66E29">
    <w:pPr>
      <w:pStyle w:val="20"/>
      <w:ind w:firstLine="0" w:firstLineChars="0"/>
      <w:jc w:val="both"/>
      <w:rPr>
        <w:rFonts w:hint="default" w:eastAsia="宋体"/>
        <w:b/>
        <w:bCs/>
        <w:lang w:val="en-US" w:eastAsia="zh-CN"/>
      </w:rPr>
    </w:pPr>
    <w:r>
      <w:rPr>
        <w:b/>
        <w:bCs/>
      </w:rPr>
      <mc:AlternateContent>
        <mc:Choice Requires="wps">
          <w:drawing>
            <wp:anchor distT="0" distB="0" distL="114300" distR="114300" simplePos="0" relativeHeight="251680768" behindDoc="0" locked="0" layoutInCell="1" allowOverlap="1">
              <wp:simplePos x="0" y="0"/>
              <wp:positionH relativeFrom="margin">
                <wp:posOffset>4201160</wp:posOffset>
              </wp:positionH>
              <wp:positionV relativeFrom="paragraph">
                <wp:posOffset>-67945</wp:posOffset>
              </wp:positionV>
              <wp:extent cx="794385" cy="457200"/>
              <wp:effectExtent l="0" t="0" r="0" b="0"/>
              <wp:wrapNone/>
              <wp:docPr id="41" name="文本框 256"/>
              <wp:cNvGraphicFramePr/>
              <a:graphic xmlns:a="http://schemas.openxmlformats.org/drawingml/2006/main">
                <a:graphicData uri="http://schemas.microsoft.com/office/word/2010/wordprocessingShape">
                  <wps:wsp>
                    <wps:cNvSpPr txBox="1"/>
                    <wps:spPr>
                      <a:xfrm>
                        <a:off x="0" y="0"/>
                        <a:ext cx="794385" cy="457200"/>
                      </a:xfrm>
                      <a:prstGeom prst="rect">
                        <a:avLst/>
                      </a:prstGeom>
                      <a:noFill/>
                      <a:ln>
                        <a:noFill/>
                      </a:ln>
                    </wps:spPr>
                    <wps:txbx>
                      <w:txbxContent>
                        <w:p w14:paraId="4CEA7868">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a:spAutoFit/>
                    </wps:bodyPr>
                  </wps:wsp>
                </a:graphicData>
              </a:graphic>
            </wp:anchor>
          </w:drawing>
        </mc:Choice>
        <mc:Fallback>
          <w:pict>
            <v:shape id="文本框 256" o:spid="_x0000_s1026" o:spt="202" type="#_x0000_t202" style="position:absolute;left:0pt;margin-left:330.8pt;margin-top:-5.35pt;height:36pt;width:62.55pt;mso-position-horizontal-relative:margin;z-index:251680768;mso-width-relative:page;mso-height-relative:page;" filled="f" stroked="f" coordsize="21600,21600" o:gfxdata="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jMm/d1gAAAAoBAAAPAAAAAAAAAAEAIAAAACIAAABkcnMvZG93&#10;bnJldi54bWxQSwECFAAUAAAACACHTuJAPs4xAMkBAACOAwAADgAAAAAAAAABACAAAAAlAQAAZHJz&#10;L2Uyb0RvYy54bWxQSwUGAAAAAAYABgBZAQAAYAUAAAAA&#10;">
              <v:fill on="f" focussize="0,0"/>
              <v:stroke on="f"/>
              <v:imagedata o:title=""/>
              <o:lock v:ext="edit" aspectratio="f"/>
              <v:textbox inset="0mm,0mm,0mm,0mm" style="mso-fit-shape-to-text:t;">
                <w:txbxContent>
                  <w:p w14:paraId="4CEA7868">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b/>
        <w:bCs/>
        <w:sz w:val="24"/>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-13335</wp:posOffset>
              </wp:positionV>
              <wp:extent cx="8820150" cy="1270"/>
              <wp:effectExtent l="0" t="0" r="0" b="0"/>
              <wp:wrapNone/>
              <wp:docPr id="40" name="直接连接符 257"/>
              <wp:cNvGraphicFramePr/>
              <a:graphic xmlns:a="http://schemas.openxmlformats.org/drawingml/2006/main">
                <a:graphicData uri="http://schemas.microsoft.com/office/word/2010/wordprocessingShape">
                  <wps:wsp>
                    <wps:cNvCnPr/>
                    <wps:spPr>
                      <a:xfrm flipV="1">
                        <a:off x="0" y="0"/>
                        <a:ext cx="8820150" cy="127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接连接符 257" o:spid="_x0000_s1026" o:spt="20" style="position:absolute;left:0pt;flip:y;margin-left:-0.3pt;margin-top:-1.05pt;height:0.1pt;width:694.5pt;z-index:251679744;mso-width-relative:page;mso-height-relative:page;" filled="f" stroked="t" coordsize="21600,21600" o:gfxdata="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OiPqNYAAAAIAQAADwAAAAAAAAABACAAAAAiAAAAZHJz&#10;L2Rvd25yZXYueG1sUEsBAhQAFAAAAAgAh07iQApSQDAGAgAA/gMAAA4AAAAAAAAAAQAgAAAAJQEA&#10;AGRycy9lMm9Eb2MueG1sUEsFBgAAAAAGAAYAWQEAAJ0FAAAAAA==&#10;">
              <v:fill on="f" focussize="0,0"/>
              <v:stroke weight="0.5pt" color="#000000" joinstyle="miter"/>
              <v:imagedata o:title=""/>
              <o:lock v:ext="edit" aspectratio="f"/>
            </v:lin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16D38">
    <w:pPr>
      <w:ind w:firstLine="0" w:firstLineChars="0"/>
      <w:jc w:val="both"/>
      <w:rPr>
        <w:b/>
        <w:bCs/>
      </w:rPr>
    </w:pPr>
    <w:r>
      <w:rPr>
        <w:b/>
        <w:bCs/>
      </w:rPr>
      <mc:AlternateContent>
        <mc:Choice Requires="wps">
          <w:drawing>
            <wp:anchor distT="0" distB="0" distL="114300" distR="114300" simplePos="0" relativeHeight="251684864" behindDoc="0" locked="0" layoutInCell="1" allowOverlap="1">
              <wp:simplePos x="0" y="0"/>
              <wp:positionH relativeFrom="column">
                <wp:posOffset>-9525</wp:posOffset>
              </wp:positionH>
              <wp:positionV relativeFrom="paragraph">
                <wp:posOffset>50800</wp:posOffset>
              </wp:positionV>
              <wp:extent cx="5693410" cy="25400"/>
              <wp:effectExtent l="0" t="4445" r="2540" b="8255"/>
              <wp:wrapNone/>
              <wp:docPr id="59" name="直线 20"/>
              <wp:cNvGraphicFramePr/>
              <a:graphic xmlns:a="http://schemas.openxmlformats.org/drawingml/2006/main">
                <a:graphicData uri="http://schemas.microsoft.com/office/word/2010/wordprocessingShape">
                  <wps:wsp>
                    <wps:cNvCnPr/>
                    <wps:spPr>
                      <a:xfrm flipV="1">
                        <a:off x="0" y="0"/>
                        <a:ext cx="5693410" cy="2540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20" o:spid="_x0000_s1026" o:spt="20" style="position:absolute;left:0pt;flip:y;margin-left:-0.75pt;margin-top:4pt;height:2pt;width:448.3pt;z-index:251684864;mso-width-relative:page;mso-height-relative:page;" filled="f" stroked="t" coordsize="21600,21600" o:gfxdata="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cbs51QAAAAcBAAAPAAAAAAAAAAEAIAAAACIAAABkcnMvZG93bnJldi54bWxQ&#10;SwECFAAUAAAACACHTuJAKx8SPvoBAAD1AwAADgAAAAAAAAABACAAAAAkAQAAZHJzL2Uyb0RvYy54&#10;bWxQSwUGAAAAAAYABgBZAQAAkAUAAAAA&#10;">
              <v:fill on="f" focussize="0,0"/>
              <v:stroke weight="0.5pt" color="#000000" joinstyle="miter"/>
              <v:imagedata o:title=""/>
              <o:lock v:ext="edit" aspectratio="f"/>
            </v:line>
          </w:pict>
        </mc:Fallback>
      </mc:AlternateContent>
    </w:r>
    <w:r>
      <w:rPr>
        <w:rFonts w:cs="Times New Roman"/>
        <w:b/>
        <w:bCs/>
        <w:sz w:val="21"/>
      </w:rPr>
      <w:t>0991-</w:t>
    </w:r>
    <w:r>
      <w:rPr>
        <w:rFonts w:hint="default"/>
        <w:b/>
        <w:bCs/>
        <w:sz w:val="21"/>
        <w:lang w:val="en-US"/>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1905</wp:posOffset>
              </wp:positionV>
              <wp:extent cx="582295" cy="304800"/>
              <wp:effectExtent l="0" t="0" r="0" b="0"/>
              <wp:wrapNone/>
              <wp:docPr id="58" name="文本框 21"/>
              <wp:cNvGraphicFramePr/>
              <a:graphic xmlns:a="http://schemas.openxmlformats.org/drawingml/2006/main">
                <a:graphicData uri="http://schemas.microsoft.com/office/word/2010/wordprocessingShape">
                  <wps:wsp>
                    <wps:cNvSpPr txBox="1"/>
                    <wps:spPr>
                      <a:xfrm>
                        <a:off x="0" y="0"/>
                        <a:ext cx="582295" cy="304800"/>
                      </a:xfrm>
                      <a:prstGeom prst="rect">
                        <a:avLst/>
                      </a:prstGeom>
                      <a:noFill/>
                      <a:ln w="6350">
                        <a:noFill/>
                      </a:ln>
                    </wps:spPr>
                    <wps:txbx>
                      <w:txbxContent>
                        <w:p w14:paraId="7CDDEC99">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wps:txbx>
                    <wps:bodyPr lIns="0" tIns="0" rIns="0" bIns="0" upright="0">
                      <a:spAutoFit/>
                    </wps:bodyPr>
                  </wps:wsp>
                </a:graphicData>
              </a:graphic>
            </wp:anchor>
          </w:drawing>
        </mc:Choice>
        <mc:Fallback>
          <w:pict>
            <v:shape id="文本框 21" o:spid="_x0000_s1026" o:spt="202" type="#_x0000_t202" style="position:absolute;left:0pt;margin-top:0.15pt;height:24pt;width:45.85pt;mso-position-horizontal:center;mso-position-horizontal-relative:margin;z-index:251683840;mso-width-relative:page;mso-height-relative:page;" filled="f" stroked="f" coordsize="21600,21600" o:gfxdata="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&#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4u0bvTAAAAAwEAAA8AAAAAAAAAAQAgAAAAIgAAAGRy&#10;cy9kb3ducmV2LnhtbFBLAQIUABQAAAAIAIdO4kBD5g6g0QEAAJYDAAAOAAAAAAAAAAEAIAAAACIB&#10;AABkcnMvZTJvRG9jLnhtbFBLBQYAAAAABgAGAFkBAABlBQAAAAA=&#10;">
              <v:fill on="f" focussize="0,0"/>
              <v:stroke on="f" weight="0.5pt"/>
              <v:imagedata o:title=""/>
              <o:lock v:ext="edit" aspectratio="f"/>
              <v:textbox inset="0mm,0mm,0mm,0mm" style="mso-fit-shape-to-text:t;">
                <w:txbxContent>
                  <w:p w14:paraId="7CDDEC99">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v:textbox>
            </v:shape>
          </w:pict>
        </mc:Fallback>
      </mc:AlternateContent>
    </w:r>
    <w:r>
      <w:rPr>
        <w:rFonts w:hint="eastAsia"/>
        <w:b/>
        <w:bCs/>
        <w:sz w:val="21"/>
        <w:lang w:val="en-US" w:eastAsia="zh-CN"/>
      </w:rPr>
      <w:t>3333881</w:t>
    </w:r>
    <w:r>
      <w:rPr>
        <w:rFonts w:hint="eastAsia" w:cs="Times New Roman"/>
        <w:b/>
        <w:bCs/>
        <w:sz w:val="21"/>
        <w:lang w:val="en-US" w:eastAsia="zh-CN"/>
      </w:rPr>
      <w:t xml:space="preserve">                                            </w:t>
    </w:r>
    <w:r>
      <w:rPr>
        <w:rFonts w:hint="eastAsia" w:cs="Times New Roman"/>
        <w:b/>
        <w:bCs/>
        <w:sz w:val="21"/>
      </w:rPr>
      <w:t xml:space="preserve"> 新疆</w:t>
    </w:r>
    <w:r>
      <w:rPr>
        <w:rFonts w:hint="eastAsia" w:cs="Times New Roman"/>
        <w:b/>
        <w:bCs/>
        <w:sz w:val="21"/>
        <w:lang w:val="en-US" w:eastAsia="zh-CN"/>
      </w:rPr>
      <w:t>恒升融裕</w:t>
    </w:r>
    <w:r>
      <w:rPr>
        <w:rFonts w:hint="eastAsia" w:cs="Times New Roman"/>
        <w:b/>
        <w:bCs/>
        <w:sz w:val="21"/>
      </w:rPr>
      <w:t>环保科技有限公司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20F6D">
    <w:pPr>
      <w:pStyle w:val="20"/>
      <w:ind w:firstLine="0" w:firstLineChars="0"/>
      <w:jc w:val="both"/>
      <w:rPr>
        <w:rFonts w:hint="default" w:eastAsia="宋体"/>
        <w:b/>
        <w:bCs/>
        <w:lang w:val="en-US" w:eastAsia="zh-CN"/>
      </w:rPr>
    </w:pPr>
    <w:r>
      <w:rPr>
        <w:b/>
        <w:bCs/>
        <w:sz w:val="24"/>
      </w:rPr>
      <mc:AlternateContent>
        <mc:Choice Requires="wps">
          <w:drawing>
            <wp:anchor distT="0" distB="0" distL="114300" distR="114300" simplePos="0" relativeHeight="251685888" behindDoc="0" locked="0" layoutInCell="1" allowOverlap="1">
              <wp:simplePos x="0" y="0"/>
              <wp:positionH relativeFrom="column">
                <wp:posOffset>-24130</wp:posOffset>
              </wp:positionH>
              <wp:positionV relativeFrom="paragraph">
                <wp:posOffset>73660</wp:posOffset>
              </wp:positionV>
              <wp:extent cx="5744845" cy="8255"/>
              <wp:effectExtent l="0" t="0" r="0" b="0"/>
              <wp:wrapNone/>
              <wp:docPr id="60" name="直线 23"/>
              <wp:cNvGraphicFramePr/>
              <a:graphic xmlns:a="http://schemas.openxmlformats.org/drawingml/2006/main">
                <a:graphicData uri="http://schemas.microsoft.com/office/word/2010/wordprocessingShape">
                  <wps:wsp>
                    <wps:cNvCnPr/>
                    <wps:spPr>
                      <a:xfrm>
                        <a:off x="0" y="0"/>
                        <a:ext cx="5744845" cy="825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23" o:spid="_x0000_s1026" o:spt="20" style="position:absolute;left:0pt;margin-left:-1.9pt;margin-top:5.8pt;height:0.65pt;width:452.35pt;z-index:251685888;mso-width-relative:page;mso-height-relative:page;" filled="f" stroked="t" coordsize="21600,21600" o:gfxdata="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1tWJ9YAAAAIAQAADwAAAAAAAAABACAAAAAiAAAAZHJzL2Rvd25yZXYueG1sUEsBAhQAFAAA&#10;AAgAh07iQAOecLzxAQAA6gMAAA4AAAAAAAAAAQAgAAAAJQEAAGRycy9lMm9Eb2MueG1sUEsFBgAA&#10;AAAGAAYAWQEAAIgFAAAAAA==&#10;">
              <v:fill on="f" focussize="0,0"/>
              <v:stroke weight="0.5pt" color="#000000" joinstyle="miter"/>
              <v:imagedata o:title=""/>
              <o:lock v:ext="edit" aspectratio="f"/>
            </v:line>
          </w:pict>
        </mc:Fallback>
      </mc:AlternateContent>
    </w:r>
    <w:r>
      <w:rPr>
        <w:b/>
        <w:bCs/>
      </w:rPr>
      <mc:AlternateContent>
        <mc:Choice Requires="wps">
          <w:drawing>
            <wp:anchor distT="0" distB="0" distL="114300" distR="114300" simplePos="0" relativeHeight="251686912" behindDoc="0" locked="0" layoutInCell="1" allowOverlap="1">
              <wp:simplePos x="0" y="0"/>
              <wp:positionH relativeFrom="margin">
                <wp:posOffset>2574290</wp:posOffset>
              </wp:positionH>
              <wp:positionV relativeFrom="paragraph">
                <wp:posOffset>-67945</wp:posOffset>
              </wp:positionV>
              <wp:extent cx="2421255" cy="457200"/>
              <wp:effectExtent l="0" t="0" r="0" b="0"/>
              <wp:wrapNone/>
              <wp:docPr id="61" name="文本框 22"/>
              <wp:cNvGraphicFramePr/>
              <a:graphic xmlns:a="http://schemas.openxmlformats.org/drawingml/2006/main">
                <a:graphicData uri="http://schemas.microsoft.com/office/word/2010/wordprocessingShape">
                  <wps:wsp>
                    <wps:cNvSpPr txBox="1"/>
                    <wps:spPr>
                      <a:xfrm>
                        <a:off x="0" y="0"/>
                        <a:ext cx="2421255" cy="457200"/>
                      </a:xfrm>
                      <a:prstGeom prst="rect">
                        <a:avLst/>
                      </a:prstGeom>
                      <a:noFill/>
                      <a:ln>
                        <a:noFill/>
                      </a:ln>
                    </wps:spPr>
                    <wps:txbx>
                      <w:txbxContent>
                        <w:p w14:paraId="790DC8E0">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a:spAutoFit/>
                    </wps:bodyPr>
                  </wps:wsp>
                </a:graphicData>
              </a:graphic>
            </wp:anchor>
          </w:drawing>
        </mc:Choice>
        <mc:Fallback>
          <w:pict>
            <v:shape id="文本框 22" o:spid="_x0000_s1026" o:spt="202" type="#_x0000_t202" style="position:absolute;left:0pt;margin-left:202.7pt;margin-top:-5.35pt;height:36pt;width:190.65pt;mso-position-horizontal-relative:margin;z-index:251686912;mso-width-relative:page;mso-height-relative:page;" filled="f" stroked="f" coordsize="21600,21600" o:gfxdata="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Q6GGy1wAAAAoBAAAPAAAAAAAAAAEAIAAAACIAAABkcnMvZG93&#10;bnJldi54bWxQSwECFAAUAAAACACHTuJAt+rBTcgBAACOAwAADgAAAAAAAAABACAAAAAmAQAAZHJz&#10;L2Uyb0RvYy54bWxQSwUGAAAAAAYABgBZAQAAYAUAAAAA&#10;">
              <v:fill on="f" focussize="0,0"/>
              <v:stroke on="f"/>
              <v:imagedata o:title=""/>
              <o:lock v:ext="edit" aspectratio="f"/>
              <v:textbox inset="0mm,0mm,0mm,0mm" style="mso-fit-shape-to-text:t;">
                <w:txbxContent>
                  <w:p w14:paraId="790DC8E0">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A8164">
    <w:pPr>
      <w:ind w:firstLine="0" w:firstLineChars="0"/>
      <w:jc w:val="both"/>
      <w:rPr>
        <w:b/>
        <w:bCs/>
      </w:rPr>
    </w:pPr>
    <w:r>
      <w:rPr>
        <w:b/>
        <w:bCs/>
      </w:rPr>
      <mc:AlternateContent>
        <mc:Choice Requires="wps">
          <w:drawing>
            <wp:anchor distT="0" distB="0" distL="114300" distR="114300" simplePos="0" relativeHeight="251695104" behindDoc="0" locked="0" layoutInCell="1" allowOverlap="1">
              <wp:simplePos x="0" y="0"/>
              <wp:positionH relativeFrom="column">
                <wp:posOffset>-1270</wp:posOffset>
              </wp:positionH>
              <wp:positionV relativeFrom="paragraph">
                <wp:posOffset>12065</wp:posOffset>
              </wp:positionV>
              <wp:extent cx="5703570" cy="17145"/>
              <wp:effectExtent l="0" t="4445" r="11430" b="6985"/>
              <wp:wrapNone/>
              <wp:docPr id="70" name="直线 30"/>
              <wp:cNvGraphicFramePr/>
              <a:graphic xmlns:a="http://schemas.openxmlformats.org/drawingml/2006/main">
                <a:graphicData uri="http://schemas.microsoft.com/office/word/2010/wordprocessingShape">
                  <wps:wsp>
                    <wps:cNvCnPr/>
                    <wps:spPr>
                      <a:xfrm flipV="1">
                        <a:off x="0" y="0"/>
                        <a:ext cx="5703570" cy="1714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30" o:spid="_x0000_s1026" o:spt="20" style="position:absolute;left:0pt;flip:y;margin-left:-0.1pt;margin-top:0.95pt;height:1.35pt;width:449.1pt;z-index:251695104;mso-width-relative:page;mso-height-relative:page;" filled="f" stroked="t" coordsize="21600,21600" o:gfxdata="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UharUAAAABQEAAA8AAAAAAAAAAQAgAAAAIgAAAGRycy9kb3ducmV2LnhtbFBLAQIU&#10;ABQAAAAIAIdO4kC+mykF9wEAAPUDAAAOAAAAAAAAAAEAIAAAACMBAABkcnMvZTJvRG9jLnhtbFBL&#10;BQYAAAAABgAGAFkBAACMBQAAAAA=&#10;">
              <v:fill on="f" focussize="0,0"/>
              <v:stroke weight="0.5pt" color="#000000" joinstyle="miter"/>
              <v:imagedata o:title=""/>
              <o:lock v:ext="edit" aspectratio="f"/>
            </v:line>
          </w:pict>
        </mc:Fallback>
      </mc:AlternateContent>
    </w:r>
    <w:r>
      <w:rPr>
        <w:rFonts w:cs="Times New Roman"/>
        <w:b/>
        <w:bCs/>
        <w:sz w:val="21"/>
      </w:rPr>
      <w:t>0991-</w:t>
    </w:r>
    <w:r>
      <w:rPr>
        <w:rFonts w:hint="default"/>
        <w:b/>
        <w:bCs/>
        <w:sz w:val="21"/>
        <w:lang w:val="en-US"/>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1905</wp:posOffset>
              </wp:positionV>
              <wp:extent cx="582295" cy="304800"/>
              <wp:effectExtent l="0" t="0" r="0" b="0"/>
              <wp:wrapNone/>
              <wp:docPr id="69" name="文本框 31"/>
              <wp:cNvGraphicFramePr/>
              <a:graphic xmlns:a="http://schemas.openxmlformats.org/drawingml/2006/main">
                <a:graphicData uri="http://schemas.microsoft.com/office/word/2010/wordprocessingShape">
                  <wps:wsp>
                    <wps:cNvSpPr txBox="1"/>
                    <wps:spPr>
                      <a:xfrm>
                        <a:off x="0" y="0"/>
                        <a:ext cx="582295" cy="304800"/>
                      </a:xfrm>
                      <a:prstGeom prst="rect">
                        <a:avLst/>
                      </a:prstGeom>
                      <a:noFill/>
                      <a:ln w="6350">
                        <a:noFill/>
                      </a:ln>
                    </wps:spPr>
                    <wps:txbx>
                      <w:txbxContent>
                        <w:p w14:paraId="4A061AD4">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wps:txbx>
                    <wps:bodyPr lIns="0" tIns="0" rIns="0" bIns="0" upright="0">
                      <a:spAutoFit/>
                    </wps:bodyPr>
                  </wps:wsp>
                </a:graphicData>
              </a:graphic>
            </wp:anchor>
          </w:drawing>
        </mc:Choice>
        <mc:Fallback>
          <w:pict>
            <v:shape id="文本框 31" o:spid="_x0000_s1026" o:spt="202" type="#_x0000_t202" style="position:absolute;left:0pt;margin-top:0.15pt;height:24pt;width:45.85pt;mso-position-horizontal:center;mso-position-horizontal-relative:margin;z-index:251694080;mso-width-relative:page;mso-height-relative:page;" filled="f" stroked="f" coordsize="21600,21600" o:gfxdata="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uLtG70wAAAAMBAAAPAAAAAAAAAAEAIAAAACIAAABkcnMv&#10;ZG93bnJldi54bWxQSwECFAAUAAAACACHTuJAnRq8c88BAACWAwAADgAAAAAAAAABACAAAAAiAQAA&#10;ZHJzL2Uyb0RvYy54bWxQSwUGAAAAAAYABgBZAQAAYwUAAAAA&#10;">
              <v:fill on="f" focussize="0,0"/>
              <v:stroke on="f" weight="0.5pt"/>
              <v:imagedata o:title=""/>
              <o:lock v:ext="edit" aspectratio="f"/>
              <v:textbox inset="0mm,0mm,0mm,0mm" style="mso-fit-shape-to-text:t;">
                <w:txbxContent>
                  <w:p w14:paraId="4A061AD4">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v:textbox>
            </v:shape>
          </w:pict>
        </mc:Fallback>
      </mc:AlternateContent>
    </w:r>
    <w:r>
      <w:rPr>
        <w:rFonts w:hint="eastAsia"/>
        <w:b/>
        <w:bCs/>
        <w:sz w:val="21"/>
        <w:lang w:val="en-US" w:eastAsia="zh-CN"/>
      </w:rPr>
      <w:t>3333881</w:t>
    </w:r>
    <w:r>
      <w:rPr>
        <w:rFonts w:hint="eastAsia" w:cs="Times New Roman"/>
        <w:b/>
        <w:bCs/>
        <w:sz w:val="21"/>
        <w:lang w:val="en-US" w:eastAsia="zh-CN"/>
      </w:rPr>
      <w:t xml:space="preserve">                                            </w:t>
    </w:r>
    <w:r>
      <w:rPr>
        <w:rFonts w:hint="eastAsia" w:cs="Times New Roman"/>
        <w:b/>
        <w:bCs/>
        <w:sz w:val="21"/>
      </w:rPr>
      <w:t xml:space="preserve"> 新疆</w:t>
    </w:r>
    <w:r>
      <w:rPr>
        <w:rFonts w:hint="eastAsia" w:cs="Times New Roman"/>
        <w:b/>
        <w:bCs/>
        <w:sz w:val="21"/>
        <w:lang w:val="en-US" w:eastAsia="zh-CN"/>
      </w:rPr>
      <w:t>恒升融裕</w:t>
    </w:r>
    <w:r>
      <w:rPr>
        <w:rFonts w:hint="eastAsia" w:cs="Times New Roman"/>
        <w:b/>
        <w:bCs/>
        <w:sz w:val="21"/>
      </w:rPr>
      <w:t>环保科技有限公司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38E2">
    <w:pPr>
      <w:ind w:firstLine="0" w:firstLineChars="0"/>
      <w:jc w:val="both"/>
      <w:rPr>
        <w:b/>
        <w:bCs/>
      </w:rPr>
    </w:pPr>
    <w:r>
      <w:rPr>
        <w:b/>
        <w:bCs/>
      </w:rPr>
      <mc:AlternateContent>
        <mc:Choice Requires="wps">
          <w:drawing>
            <wp:anchor distT="0" distB="0" distL="114300" distR="114300" simplePos="0" relativeHeight="251726848" behindDoc="0" locked="0" layoutInCell="1" allowOverlap="1">
              <wp:simplePos x="0" y="0"/>
              <wp:positionH relativeFrom="column">
                <wp:posOffset>-1270</wp:posOffset>
              </wp:positionH>
              <wp:positionV relativeFrom="paragraph">
                <wp:posOffset>12065</wp:posOffset>
              </wp:positionV>
              <wp:extent cx="8808085" cy="17145"/>
              <wp:effectExtent l="0" t="4445" r="12065" b="6985"/>
              <wp:wrapNone/>
              <wp:docPr id="95" name="直线 55"/>
              <wp:cNvGraphicFramePr/>
              <a:graphic xmlns:a="http://schemas.openxmlformats.org/drawingml/2006/main">
                <a:graphicData uri="http://schemas.microsoft.com/office/word/2010/wordprocessingShape">
                  <wps:wsp>
                    <wps:cNvCnPr/>
                    <wps:spPr>
                      <a:xfrm flipV="1">
                        <a:off x="0" y="0"/>
                        <a:ext cx="8808085" cy="1714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55" o:spid="_x0000_s1026" o:spt="20" style="position:absolute;left:0pt;flip:y;margin-left:-0.1pt;margin-top:0.95pt;height:1.35pt;width:693.55pt;z-index:251726848;mso-width-relative:page;mso-height-relative:page;" filled="f" stroked="t" coordsize="21600,21600" o:gfxdata="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tnYZPUAAAABgEAAA8AAAAAAAAAAQAgAAAAIgAAAGRycy9kb3ducmV2LnhtbFBL&#10;AQIUABQAAAAIAIdO4kAFkDZo+gEAAPUDAAAOAAAAAAAAAAEAIAAAACMBAABkcnMvZTJvRG9jLnht&#10;bFBLBQYAAAAABgAGAFkBAACPBQAAAAA=&#10;">
              <v:fill on="f" focussize="0,0"/>
              <v:stroke weight="0.5pt" color="#000000" joinstyle="miter"/>
              <v:imagedata o:title=""/>
              <o:lock v:ext="edit" aspectratio="f"/>
            </v:line>
          </w:pict>
        </mc:Fallback>
      </mc:AlternateContent>
    </w:r>
    <w:r>
      <w:rPr>
        <w:rFonts w:cs="Times New Roman"/>
        <w:b/>
        <w:bCs/>
        <w:sz w:val="21"/>
      </w:rPr>
      <w:t>0991-</w:t>
    </w:r>
    <w:r>
      <w:rPr>
        <w:rFonts w:hint="default"/>
        <w:b/>
        <w:bCs/>
        <w:sz w:val="21"/>
        <w:lang w:val="en-US"/>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1905</wp:posOffset>
              </wp:positionV>
              <wp:extent cx="582295" cy="304800"/>
              <wp:effectExtent l="0" t="0" r="0" b="0"/>
              <wp:wrapNone/>
              <wp:docPr id="94" name="文本框 56"/>
              <wp:cNvGraphicFramePr/>
              <a:graphic xmlns:a="http://schemas.openxmlformats.org/drawingml/2006/main">
                <a:graphicData uri="http://schemas.microsoft.com/office/word/2010/wordprocessingShape">
                  <wps:wsp>
                    <wps:cNvSpPr txBox="1"/>
                    <wps:spPr>
                      <a:xfrm>
                        <a:off x="0" y="0"/>
                        <a:ext cx="582295" cy="304800"/>
                      </a:xfrm>
                      <a:prstGeom prst="rect">
                        <a:avLst/>
                      </a:prstGeom>
                      <a:noFill/>
                      <a:ln w="6350">
                        <a:noFill/>
                      </a:ln>
                    </wps:spPr>
                    <wps:txbx>
                      <w:txbxContent>
                        <w:p w14:paraId="14E08894">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wps:txbx>
                    <wps:bodyPr lIns="0" tIns="0" rIns="0" bIns="0" upright="0">
                      <a:spAutoFit/>
                    </wps:bodyPr>
                  </wps:wsp>
                </a:graphicData>
              </a:graphic>
            </wp:anchor>
          </w:drawing>
        </mc:Choice>
        <mc:Fallback>
          <w:pict>
            <v:shape id="文本框 56" o:spid="_x0000_s1026" o:spt="202" type="#_x0000_t202" style="position:absolute;left:0pt;margin-top:0.15pt;height:24pt;width:45.85pt;mso-position-horizontal:center;mso-position-horizontal-relative:margin;z-index:251725824;mso-width-relative:page;mso-height-relative:page;" filled="f" stroked="f" coordsize="21600,21600" o:gfxdata="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4u0bvTAAAAAwEAAA8AAAAAAAAAAQAgAAAAIgAAAGRy&#10;cy9kb3ducmV2LnhtbFBLAQIUABQAAAAIAIdO4kBUWaLU0QEAAJYDAAAOAAAAAAAAAAEAIAAAACIB&#10;AABkcnMvZTJvRG9jLnhtbFBLBQYAAAAABgAGAFkBAABlBQAAAAA=&#10;">
              <v:fill on="f" focussize="0,0"/>
              <v:stroke on="f" weight="0.5pt"/>
              <v:imagedata o:title=""/>
              <o:lock v:ext="edit" aspectratio="f"/>
              <v:textbox inset="0mm,0mm,0mm,0mm" style="mso-fit-shape-to-text:t;">
                <w:txbxContent>
                  <w:p w14:paraId="14E08894">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v:textbox>
            </v:shape>
          </w:pict>
        </mc:Fallback>
      </mc:AlternateContent>
    </w:r>
    <w:r>
      <w:rPr>
        <w:rFonts w:hint="eastAsia"/>
        <w:b/>
        <w:bCs/>
        <w:sz w:val="21"/>
        <w:lang w:val="en-US" w:eastAsia="zh-CN"/>
      </w:rPr>
      <w:t>3333881</w:t>
    </w:r>
    <w:r>
      <w:rPr>
        <w:rFonts w:hint="eastAsia" w:cs="Times New Roman"/>
        <w:b/>
        <w:bCs/>
        <w:sz w:val="21"/>
        <w:lang w:val="en-US" w:eastAsia="zh-CN"/>
      </w:rPr>
      <w:t xml:space="preserve">                                                                                           </w:t>
    </w:r>
    <w:r>
      <w:rPr>
        <w:rFonts w:hint="eastAsia" w:cs="Times New Roman"/>
        <w:b/>
        <w:bCs/>
        <w:sz w:val="21"/>
      </w:rPr>
      <w:t xml:space="preserve"> 新疆</w:t>
    </w:r>
    <w:r>
      <w:rPr>
        <w:rFonts w:hint="eastAsia" w:cs="Times New Roman"/>
        <w:b/>
        <w:bCs/>
        <w:sz w:val="21"/>
        <w:lang w:val="en-US" w:eastAsia="zh-CN"/>
      </w:rPr>
      <w:t>恒升融裕</w:t>
    </w:r>
    <w:r>
      <w:rPr>
        <w:rFonts w:hint="eastAsia" w:cs="Times New Roman"/>
        <w:b/>
        <w:bCs/>
        <w:sz w:val="21"/>
      </w:rPr>
      <w:t>环保科技有限公司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EEB0">
    <w:pPr>
      <w:pStyle w:val="20"/>
      <w:ind w:firstLine="0" w:firstLineChars="0"/>
      <w:jc w:val="both"/>
      <w:rPr>
        <w:rFonts w:hint="default" w:eastAsia="宋体"/>
        <w:b/>
        <w:bCs/>
        <w:lang w:val="en-US" w:eastAsia="zh-CN"/>
      </w:rPr>
    </w:pPr>
    <w:r>
      <w:rPr>
        <w:b/>
        <w:bCs/>
      </w:rPr>
      <mc:AlternateContent>
        <mc:Choice Requires="wps">
          <w:drawing>
            <wp:anchor distT="0" distB="0" distL="114300" distR="114300" simplePos="0" relativeHeight="251728896" behindDoc="0" locked="0" layoutInCell="1" allowOverlap="1">
              <wp:simplePos x="0" y="0"/>
              <wp:positionH relativeFrom="margin">
                <wp:posOffset>4050030</wp:posOffset>
              </wp:positionH>
              <wp:positionV relativeFrom="paragraph">
                <wp:posOffset>-29845</wp:posOffset>
              </wp:positionV>
              <wp:extent cx="640715" cy="438150"/>
              <wp:effectExtent l="0" t="0" r="0" b="0"/>
              <wp:wrapNone/>
              <wp:docPr id="97" name="文本框 58"/>
              <wp:cNvGraphicFramePr/>
              <a:graphic xmlns:a="http://schemas.openxmlformats.org/drawingml/2006/main">
                <a:graphicData uri="http://schemas.microsoft.com/office/word/2010/wordprocessingShape">
                  <wps:wsp>
                    <wps:cNvSpPr txBox="1"/>
                    <wps:spPr>
                      <a:xfrm>
                        <a:off x="0" y="0"/>
                        <a:ext cx="640715" cy="438150"/>
                      </a:xfrm>
                      <a:prstGeom prst="rect">
                        <a:avLst/>
                      </a:prstGeom>
                      <a:noFill/>
                      <a:ln>
                        <a:noFill/>
                      </a:ln>
                    </wps:spPr>
                    <wps:txbx>
                      <w:txbxContent>
                        <w:p w14:paraId="3A7821FC">
                          <w:pPr>
                            <w:pStyle w:val="20"/>
                            <w:spacing w:before="120" w:after="120"/>
                            <w:ind w:firstLine="360"/>
                            <w:jc w:val="both"/>
                            <w:rPr>
                              <w:rFonts w:hint="default" w:eastAsia="宋体"/>
                              <w:sz w:val="21"/>
                              <w:lang w:val="en-US" w:eastAsia="zh-CN"/>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wps:wsp>
                </a:graphicData>
              </a:graphic>
            </wp:anchor>
          </w:drawing>
        </mc:Choice>
        <mc:Fallback>
          <w:pict>
            <v:shape id="文本框 58" o:spid="_x0000_s1026" o:spt="202" type="#_x0000_t202" style="position:absolute;left:0pt;margin-left:318.9pt;margin-top:-2.35pt;height:34.5pt;width:50.45pt;mso-position-horizontal-relative:margin;z-index:251728896;mso-width-relative:page;mso-height-relative:page;" filled="f" stroked="f" coordsize="21600,21600" o:gfxdata="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T6QY2AAAAAkBAAAPAAAAAAAAAAEAIAAAACIAAABkcnMvZG93bnJldi54bWxQ&#10;SwECFAAUAAAACACHTuJAlobGOr4BAABzAwAADgAAAAAAAAABACAAAAAnAQAAZHJzL2Uyb0RvYy54&#10;bWxQSwUGAAAAAAYABgBZAQAAVwUAAAAA&#10;">
              <v:fill on="f" focussize="0,0"/>
              <v:stroke on="f"/>
              <v:imagedata o:title=""/>
              <o:lock v:ext="edit" aspectratio="f"/>
              <v:textbox inset="0mm,0mm,0mm,0mm">
                <w:txbxContent>
                  <w:p w14:paraId="3A7821FC">
                    <w:pPr>
                      <w:pStyle w:val="20"/>
                      <w:spacing w:before="120" w:after="120"/>
                      <w:ind w:firstLine="360"/>
                      <w:jc w:val="both"/>
                      <w:rPr>
                        <w:rFonts w:hint="default" w:eastAsia="宋体"/>
                        <w:sz w:val="21"/>
                        <w:lang w:val="en-US" w:eastAsia="zh-CN"/>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b/>
        <w:bCs/>
        <w:sz w:val="24"/>
      </w:rPr>
      <mc:AlternateContent>
        <mc:Choice Requires="wps">
          <w:drawing>
            <wp:anchor distT="0" distB="0" distL="114300" distR="114300" simplePos="0" relativeHeight="251727872" behindDoc="0" locked="0" layoutInCell="1" allowOverlap="1">
              <wp:simplePos x="0" y="0"/>
              <wp:positionH relativeFrom="column">
                <wp:posOffset>-14605</wp:posOffset>
              </wp:positionH>
              <wp:positionV relativeFrom="paragraph">
                <wp:posOffset>44450</wp:posOffset>
              </wp:positionV>
              <wp:extent cx="8811260" cy="10160"/>
              <wp:effectExtent l="0" t="4445" r="8890" b="13970"/>
              <wp:wrapNone/>
              <wp:docPr id="96" name="直线 57"/>
              <wp:cNvGraphicFramePr/>
              <a:graphic xmlns:a="http://schemas.openxmlformats.org/drawingml/2006/main">
                <a:graphicData uri="http://schemas.microsoft.com/office/word/2010/wordprocessingShape">
                  <wps:wsp>
                    <wps:cNvCnPr/>
                    <wps:spPr>
                      <a:xfrm flipV="1">
                        <a:off x="0" y="0"/>
                        <a:ext cx="8811260" cy="1016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57" o:spid="_x0000_s1026" o:spt="20" style="position:absolute;left:0pt;flip:y;margin-left:-1.15pt;margin-top:3.5pt;height:0.8pt;width:693.8pt;z-index:251727872;mso-width-relative:page;mso-height-relative:page;" filled="f" stroked="t" coordsize="21600,21600" o:gfxdata="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w0vPtYAAAAHAQAADwAAAAAAAAABACAAAAAiAAAAZHJzL2Rvd25yZXYueG1sUEsB&#10;AhQAFAAAAAgAh07iQLfS+fD3AQAA9QMAAA4AAAAAAAAAAQAgAAAAJQEAAGRycy9lMm9Eb2MueG1s&#10;UEsFBgAAAAAGAAYAWQEAAI4FAAAAAA==&#10;">
              <v:fill on="f" focussize="0,0"/>
              <v:stroke weight="0.5pt" color="#000000" joinstyle="miter"/>
              <v:imagedata o:title=""/>
              <o:lock v:ext="edit" aspectratio="f"/>
            </v:lin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8A4F">
    <w:pPr>
      <w:ind w:firstLine="0" w:firstLineChars="0"/>
      <w:jc w:val="both"/>
      <w:rPr>
        <w:b/>
        <w:bCs/>
      </w:rPr>
    </w:pPr>
    <w:r>
      <w:rPr>
        <w:b/>
        <w:bCs/>
      </w:rPr>
      <mc:AlternateContent>
        <mc:Choice Requires="wps">
          <w:drawing>
            <wp:anchor distT="0" distB="0" distL="114300" distR="114300" simplePos="0" relativeHeight="251730944" behindDoc="0" locked="0" layoutInCell="1" allowOverlap="1">
              <wp:simplePos x="0" y="0"/>
              <wp:positionH relativeFrom="column">
                <wp:posOffset>-1270</wp:posOffset>
              </wp:positionH>
              <wp:positionV relativeFrom="paragraph">
                <wp:posOffset>12065</wp:posOffset>
              </wp:positionV>
              <wp:extent cx="5703570" cy="17145"/>
              <wp:effectExtent l="0" t="4445" r="11430" b="6985"/>
              <wp:wrapNone/>
              <wp:docPr id="99" name="直线 83"/>
              <wp:cNvGraphicFramePr/>
              <a:graphic xmlns:a="http://schemas.openxmlformats.org/drawingml/2006/main">
                <a:graphicData uri="http://schemas.microsoft.com/office/word/2010/wordprocessingShape">
                  <wps:wsp>
                    <wps:cNvCnPr/>
                    <wps:spPr>
                      <a:xfrm flipV="1">
                        <a:off x="0" y="0"/>
                        <a:ext cx="5703570" cy="1714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83" o:spid="_x0000_s1026" o:spt="20" style="position:absolute;left:0pt;flip:y;margin-left:-0.1pt;margin-top:0.95pt;height:1.35pt;width:449.1pt;z-index:251730944;mso-width-relative:page;mso-height-relative:page;" filled="f" stroked="t" coordsize="21600,21600" o:gfxdata="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1SFqtQAAAAFAQAADwAAAAAAAAABACAAAAAiAAAAZHJzL2Rvd25yZXYueG1sUEsB&#10;AhQAFAAAAAgAh07iQJ+b0KH5AQAA9QMAAA4AAAAAAAAAAQAgAAAAIwEAAGRycy9lMm9Eb2MueG1s&#10;UEsFBgAAAAAGAAYAWQEAAI4FAAAAAA==&#10;">
              <v:fill on="f" focussize="0,0"/>
              <v:stroke weight="0.5pt" color="#000000" joinstyle="miter"/>
              <v:imagedata o:title=""/>
              <o:lock v:ext="edit" aspectratio="f"/>
            </v:line>
          </w:pict>
        </mc:Fallback>
      </mc:AlternateContent>
    </w:r>
    <w:r>
      <w:rPr>
        <w:rFonts w:cs="Times New Roman"/>
        <w:b/>
        <w:bCs/>
        <w:sz w:val="21"/>
      </w:rPr>
      <w:t>0991-</w:t>
    </w:r>
    <w:r>
      <w:rPr>
        <w:rFonts w:hint="default"/>
        <w:b/>
        <w:bCs/>
        <w:sz w:val="21"/>
        <w:lang w:val="en-US"/>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1905</wp:posOffset>
              </wp:positionV>
              <wp:extent cx="582295" cy="304800"/>
              <wp:effectExtent l="0" t="0" r="0" b="0"/>
              <wp:wrapNone/>
              <wp:docPr id="98" name="文本框 84"/>
              <wp:cNvGraphicFramePr/>
              <a:graphic xmlns:a="http://schemas.openxmlformats.org/drawingml/2006/main">
                <a:graphicData uri="http://schemas.microsoft.com/office/word/2010/wordprocessingShape">
                  <wps:wsp>
                    <wps:cNvSpPr txBox="1"/>
                    <wps:spPr>
                      <a:xfrm>
                        <a:off x="0" y="0"/>
                        <a:ext cx="582295" cy="304800"/>
                      </a:xfrm>
                      <a:prstGeom prst="rect">
                        <a:avLst/>
                      </a:prstGeom>
                      <a:noFill/>
                      <a:ln w="6350">
                        <a:noFill/>
                      </a:ln>
                    </wps:spPr>
                    <wps:txbx>
                      <w:txbxContent>
                        <w:p w14:paraId="16C2DF15">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wps:txbx>
                    <wps:bodyPr lIns="0" tIns="0" rIns="0" bIns="0" upright="0">
                      <a:spAutoFit/>
                    </wps:bodyPr>
                  </wps:wsp>
                </a:graphicData>
              </a:graphic>
            </wp:anchor>
          </w:drawing>
        </mc:Choice>
        <mc:Fallback>
          <w:pict>
            <v:shape id="文本框 84" o:spid="_x0000_s1026" o:spt="202" type="#_x0000_t202" style="position:absolute;left:0pt;margin-top:0.15pt;height:24pt;width:45.85pt;mso-position-horizontal:center;mso-position-horizontal-relative:margin;z-index:251729920;mso-width-relative:page;mso-height-relative:page;" filled="f" stroked="f" coordsize="21600,21600" o:gfxdata="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4u0bvTAAAAAwEAAA8AAAAAAAAAAQAgAAAAIgAAAGRy&#10;cy9kb3ducmV2LnhtbFBLAQIUABQAAAAIAIdO4kCTCkkz0QEAAJYDAAAOAAAAAAAAAAEAIAAAACIB&#10;AABkcnMvZTJvRG9jLnhtbFBLBQYAAAAABgAGAFkBAABlBQAAAAA=&#10;">
              <v:fill on="f" focussize="0,0"/>
              <v:stroke on="f" weight="0.5pt"/>
              <v:imagedata o:title=""/>
              <o:lock v:ext="edit" aspectratio="f"/>
              <v:textbox inset="0mm,0mm,0mm,0mm" style="mso-fit-shape-to-text:t;">
                <w:txbxContent>
                  <w:p w14:paraId="16C2DF15">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v:textbox>
            </v:shape>
          </w:pict>
        </mc:Fallback>
      </mc:AlternateContent>
    </w:r>
    <w:r>
      <w:rPr>
        <w:rFonts w:hint="eastAsia"/>
        <w:b/>
        <w:bCs/>
        <w:sz w:val="21"/>
        <w:lang w:val="en-US" w:eastAsia="zh-CN"/>
      </w:rPr>
      <w:t>3333881</w:t>
    </w:r>
    <w:r>
      <w:rPr>
        <w:rFonts w:hint="eastAsia" w:cs="Times New Roman"/>
        <w:b/>
        <w:bCs/>
        <w:sz w:val="21"/>
        <w:lang w:val="en-US" w:eastAsia="zh-CN"/>
      </w:rPr>
      <w:t xml:space="preserve">                                            </w:t>
    </w:r>
    <w:r>
      <w:rPr>
        <w:rFonts w:hint="eastAsia" w:cs="Times New Roman"/>
        <w:b/>
        <w:bCs/>
        <w:sz w:val="21"/>
      </w:rPr>
      <w:t xml:space="preserve"> 新疆</w:t>
    </w:r>
    <w:r>
      <w:rPr>
        <w:rFonts w:hint="eastAsia" w:cs="Times New Roman"/>
        <w:b/>
        <w:bCs/>
        <w:sz w:val="21"/>
        <w:lang w:val="en-US" w:eastAsia="zh-CN"/>
      </w:rPr>
      <w:t>恒升融裕</w:t>
    </w:r>
    <w:r>
      <w:rPr>
        <w:rFonts w:hint="eastAsia" w:cs="Times New Roman"/>
        <w:b/>
        <w:bCs/>
        <w:sz w:val="21"/>
      </w:rPr>
      <w:t>环保科技有限公司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24304">
    <w:pPr>
      <w:pStyle w:val="20"/>
      <w:ind w:firstLine="0" w:firstLineChars="0"/>
      <w:jc w:val="both"/>
      <w:rPr>
        <w:rFonts w:hint="default" w:eastAsia="宋体"/>
        <w:b/>
        <w:bCs/>
        <w:lang w:val="en-US" w:eastAsia="zh-CN"/>
      </w:rPr>
    </w:pPr>
    <w:r>
      <w:rPr>
        <w:b/>
        <w:bCs/>
        <w:sz w:val="24"/>
      </w:rPr>
      <mc:AlternateContent>
        <mc:Choice Requires="wps">
          <w:drawing>
            <wp:anchor distT="0" distB="0" distL="114300" distR="114300" simplePos="0" relativeHeight="251731968" behindDoc="0" locked="0" layoutInCell="1" allowOverlap="1">
              <wp:simplePos x="0" y="0"/>
              <wp:positionH relativeFrom="column">
                <wp:posOffset>-24130</wp:posOffset>
              </wp:positionH>
              <wp:positionV relativeFrom="paragraph">
                <wp:posOffset>73660</wp:posOffset>
              </wp:positionV>
              <wp:extent cx="5744845" cy="8255"/>
              <wp:effectExtent l="0" t="0" r="0" b="0"/>
              <wp:wrapNone/>
              <wp:docPr id="100" name="直线 85"/>
              <wp:cNvGraphicFramePr/>
              <a:graphic xmlns:a="http://schemas.openxmlformats.org/drawingml/2006/main">
                <a:graphicData uri="http://schemas.microsoft.com/office/word/2010/wordprocessingShape">
                  <wps:wsp>
                    <wps:cNvCnPr/>
                    <wps:spPr>
                      <a:xfrm>
                        <a:off x="0" y="0"/>
                        <a:ext cx="5744845" cy="825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85" o:spid="_x0000_s1026" o:spt="20" style="position:absolute;left:0pt;margin-left:-1.9pt;margin-top:5.8pt;height:0.65pt;width:452.35pt;z-index:251731968;mso-width-relative:page;mso-height-relative:page;" filled="f" stroked="t" coordsize="21600,21600" o:gfxdata="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W1Yn1gAAAAgBAAAPAAAAAAAAAAEAIAAAACIAAABkcnMvZG93bnJldi54bWxQSwECFAAU&#10;AAAACACHTuJAhxgHTPMBAADrAwAADgAAAAAAAAABACAAAAAlAQAAZHJzL2Uyb0RvYy54bWxQSwUG&#10;AAAAAAYABgBZAQAAigUAAAAA&#10;">
              <v:fill on="f" focussize="0,0"/>
              <v:stroke weight="0.5pt" color="#000000" joinstyle="miter"/>
              <v:imagedata o:title=""/>
              <o:lock v:ext="edit" aspectratio="f"/>
            </v:line>
          </w:pict>
        </mc:Fallback>
      </mc:AlternateContent>
    </w:r>
    <w:r>
      <w:rPr>
        <w:b/>
        <w:bCs/>
      </w:rPr>
      <mc:AlternateContent>
        <mc:Choice Requires="wps">
          <w:drawing>
            <wp:anchor distT="0" distB="0" distL="114300" distR="114300" simplePos="0" relativeHeight="251732992" behindDoc="0" locked="0" layoutInCell="1" allowOverlap="1">
              <wp:simplePos x="0" y="0"/>
              <wp:positionH relativeFrom="margin">
                <wp:posOffset>2574290</wp:posOffset>
              </wp:positionH>
              <wp:positionV relativeFrom="paragraph">
                <wp:posOffset>-67945</wp:posOffset>
              </wp:positionV>
              <wp:extent cx="2421255" cy="457200"/>
              <wp:effectExtent l="0" t="0" r="0" b="0"/>
              <wp:wrapNone/>
              <wp:docPr id="101" name="文本框 86"/>
              <wp:cNvGraphicFramePr/>
              <a:graphic xmlns:a="http://schemas.openxmlformats.org/drawingml/2006/main">
                <a:graphicData uri="http://schemas.microsoft.com/office/word/2010/wordprocessingShape">
                  <wps:wsp>
                    <wps:cNvSpPr txBox="1"/>
                    <wps:spPr>
                      <a:xfrm>
                        <a:off x="0" y="0"/>
                        <a:ext cx="2421255" cy="457200"/>
                      </a:xfrm>
                      <a:prstGeom prst="rect">
                        <a:avLst/>
                      </a:prstGeom>
                      <a:noFill/>
                      <a:ln>
                        <a:noFill/>
                      </a:ln>
                    </wps:spPr>
                    <wps:txbx>
                      <w:txbxContent>
                        <w:p w14:paraId="65CFBC96">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a:spAutoFit/>
                    </wps:bodyPr>
                  </wps:wsp>
                </a:graphicData>
              </a:graphic>
            </wp:anchor>
          </w:drawing>
        </mc:Choice>
        <mc:Fallback>
          <w:pict>
            <v:shape id="文本框 86" o:spid="_x0000_s1026" o:spt="202" type="#_x0000_t202" style="position:absolute;left:0pt;margin-left:202.7pt;margin-top:-5.35pt;height:36pt;width:190.65pt;mso-position-horizontal-relative:margin;z-index:251732992;mso-width-relative:page;mso-height-relative:page;" filled="f" stroked="f" coordsize="21600,21600" o:gfxdata="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DoYbLXAAAACgEAAA8AAAAAAAAAAQAgAAAAIgAAAGRycy9kb3du&#10;cmV2LnhtbFBLAQIUABQAAAAIAIdO4kCfGozTxwEAAI8DAAAOAAAAAAAAAAEAIAAAACYBAABkcnMv&#10;ZTJvRG9jLnhtbFBLBQYAAAAABgAGAFkBAABfBQAAAAA=&#10;">
              <v:fill on="f" focussize="0,0"/>
              <v:stroke on="f"/>
              <v:imagedata o:title=""/>
              <o:lock v:ext="edit" aspectratio="f"/>
              <v:textbox inset="0mm,0mm,0mm,0mm" style="mso-fit-shape-to-text:t;">
                <w:txbxContent>
                  <w:p w14:paraId="65CFBC96">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2F1E9">
    <w:pPr>
      <w:ind w:firstLine="0" w:firstLineChars="0"/>
      <w:jc w:val="both"/>
      <w:rPr>
        <w:b/>
        <w:bCs/>
      </w:rPr>
    </w:pPr>
    <w:r>
      <w:rPr>
        <w:rFonts w:hint="default"/>
        <w:b/>
        <w:bCs/>
        <w:sz w:val="21"/>
        <w:lang w:val="en-US"/>
      </w:rPr>
      <mc:AlternateContent>
        <mc:Choice Requires="wps">
          <w:drawing>
            <wp:anchor distT="0" distB="0" distL="114300" distR="114300" simplePos="0" relativeHeight="251692032" behindDoc="0" locked="0" layoutInCell="1" allowOverlap="1">
              <wp:simplePos x="0" y="0"/>
              <wp:positionH relativeFrom="margin">
                <wp:posOffset>2088515</wp:posOffset>
              </wp:positionH>
              <wp:positionV relativeFrom="paragraph">
                <wp:posOffset>11430</wp:posOffset>
              </wp:positionV>
              <wp:extent cx="582295" cy="304800"/>
              <wp:effectExtent l="0" t="0" r="0" b="0"/>
              <wp:wrapNone/>
              <wp:docPr id="68" name="文本框 29"/>
              <wp:cNvGraphicFramePr/>
              <a:graphic xmlns:a="http://schemas.openxmlformats.org/drawingml/2006/main">
                <a:graphicData uri="http://schemas.microsoft.com/office/word/2010/wordprocessingShape">
                  <wps:wsp>
                    <wps:cNvSpPr txBox="1"/>
                    <wps:spPr>
                      <a:xfrm>
                        <a:off x="0" y="0"/>
                        <a:ext cx="582295" cy="304800"/>
                      </a:xfrm>
                      <a:prstGeom prst="rect">
                        <a:avLst/>
                      </a:prstGeom>
                      <a:noFill/>
                      <a:ln w="6350">
                        <a:noFill/>
                      </a:ln>
                    </wps:spPr>
                    <wps:txbx>
                      <w:txbxContent>
                        <w:p w14:paraId="3D529EC8">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wps:txbx>
                    <wps:bodyPr lIns="0" tIns="0" rIns="0" bIns="0" upright="0">
                      <a:spAutoFit/>
                    </wps:bodyPr>
                  </wps:wsp>
                </a:graphicData>
              </a:graphic>
            </wp:anchor>
          </w:drawing>
        </mc:Choice>
        <mc:Fallback>
          <w:pict>
            <v:shape id="文本框 29" o:spid="_x0000_s1026" o:spt="202" type="#_x0000_t202" style="position:absolute;left:0pt;margin-left:164.45pt;margin-top:0.9pt;height:24pt;width:45.85pt;mso-position-horizontal-relative:margin;z-index:251692032;mso-width-relative:page;mso-height-relative:page;" filled="f" stroked="f" coordsize="21600,21600" o:gfxdata="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xkprtYAAAAIAQAADwAAAAAAAAABACAAAAAiAAAA&#10;ZHJzL2Rvd25yZXYueG1sUEsBAhQAFAAAAAgAh07iQK3IJ0fQAQAAlgMAAA4AAAAAAAAAAQAgAAAA&#10;JQEAAGRycy9lMm9Eb2MueG1sUEsFBgAAAAAGAAYAWQEAAGcFAAAAAA==&#10;">
              <v:fill on="f" focussize="0,0"/>
              <v:stroke on="f" weight="0.5pt"/>
              <v:imagedata o:title=""/>
              <o:lock v:ext="edit" aspectratio="f"/>
              <v:textbox inset="0mm,0mm,0mm,0mm" style="mso-fit-shape-to-text:t;">
                <w:txbxContent>
                  <w:p w14:paraId="3D529EC8">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v:textbox>
            </v:shape>
          </w:pict>
        </mc:Fallback>
      </mc:AlternateContent>
    </w:r>
    <w:r>
      <w:rPr>
        <w:b/>
        <w:bCs/>
      </w:rPr>
      <mc:AlternateContent>
        <mc:Choice Requires="wps">
          <w:drawing>
            <wp:anchor distT="0" distB="0" distL="114300" distR="114300" simplePos="0" relativeHeight="251693056" behindDoc="0" locked="0" layoutInCell="1" allowOverlap="1">
              <wp:simplePos x="0" y="0"/>
              <wp:positionH relativeFrom="column">
                <wp:posOffset>-19685</wp:posOffset>
              </wp:positionH>
              <wp:positionV relativeFrom="paragraph">
                <wp:posOffset>29210</wp:posOffset>
              </wp:positionV>
              <wp:extent cx="5284470" cy="1905"/>
              <wp:effectExtent l="0" t="0" r="0" b="0"/>
              <wp:wrapNone/>
              <wp:docPr id="259" name="直接连接符 259"/>
              <wp:cNvGraphicFramePr/>
              <a:graphic xmlns:a="http://schemas.openxmlformats.org/drawingml/2006/main">
                <a:graphicData uri="http://schemas.microsoft.com/office/word/2010/wordprocessingShape">
                  <wps:wsp>
                    <wps:cNvCnPr/>
                    <wps:spPr>
                      <a:xfrm>
                        <a:off x="0" y="0"/>
                        <a:ext cx="5242560" cy="19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5pt;margin-top:2.3pt;height:0.15pt;width:416.1pt;z-index:251693056;mso-width-relative:page;mso-height-relative:page;" filled="f" stroked="t" coordsize="21600,21600" o:gfxdata="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oH1&#10;a9QAAAAGAQAADwAAAAAAAAABACAAAAAiAAAAZHJzL2Rvd25yZXYueG1sUEsBAhQAFAAAAAgAh07i&#10;QLD6HKftAQAAxgMAAA4AAAAAAAAAAQAgAAAAIwEAAGRycy9lMm9Eb2MueG1sUEsFBgAAAAAGAAYA&#10;WQEAAIIFAAAAAA==&#10;">
              <v:fill on="f" focussize="0,0"/>
              <v:stroke weight="0.5pt" color="#000000" miterlimit="8" joinstyle="miter"/>
              <v:imagedata o:title=""/>
              <o:lock v:ext="edit" aspectratio="f"/>
            </v:line>
          </w:pict>
        </mc:Fallback>
      </mc:AlternateContent>
    </w:r>
    <w:r>
      <w:rPr>
        <w:rFonts w:cs="Times New Roman"/>
        <w:b/>
        <w:bCs/>
        <w:sz w:val="21"/>
      </w:rPr>
      <w:t>0991-</w:t>
    </w:r>
    <w:r>
      <w:rPr>
        <w:rFonts w:hint="eastAsia"/>
        <w:b/>
        <w:bCs/>
        <w:sz w:val="21"/>
        <w:lang w:val="en-US" w:eastAsia="zh-CN"/>
      </w:rPr>
      <w:t>3333881</w:t>
    </w:r>
    <w:r>
      <w:rPr>
        <w:rFonts w:hint="eastAsia" w:cs="Times New Roman"/>
        <w:b/>
        <w:bCs/>
        <w:sz w:val="21"/>
        <w:lang w:val="en-US" w:eastAsia="zh-CN"/>
      </w:rPr>
      <w:t xml:space="preserve">                                      </w:t>
    </w:r>
    <w:r>
      <w:rPr>
        <w:rFonts w:hint="eastAsia" w:cs="Times New Roman"/>
        <w:b/>
        <w:bCs/>
        <w:sz w:val="21"/>
      </w:rPr>
      <w:t xml:space="preserve"> 新疆</w:t>
    </w:r>
    <w:r>
      <w:rPr>
        <w:rFonts w:hint="eastAsia" w:cs="Times New Roman"/>
        <w:b/>
        <w:bCs/>
        <w:sz w:val="21"/>
        <w:lang w:val="en-US" w:eastAsia="zh-CN"/>
      </w:rPr>
      <w:t>恒升融裕</w:t>
    </w:r>
    <w:r>
      <w:rPr>
        <w:rFonts w:hint="eastAsia" w:cs="Times New Roman"/>
        <w:b/>
        <w:bCs/>
        <w:sz w:val="21"/>
      </w:rPr>
      <w:t>环保科技有限公司</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BEB2D">
    <w:pPr>
      <w:pStyle w:val="20"/>
      <w:ind w:firstLine="0" w:firstLineChars="0"/>
      <w:jc w:val="both"/>
      <w:rPr>
        <w:rFonts w:hint="default" w:eastAsia="宋体"/>
        <w:b/>
        <w:bCs/>
        <w:lang w:val="en-US" w:eastAsia="zh-CN"/>
      </w:rPr>
    </w:pPr>
    <w:r>
      <w:rPr>
        <w:b/>
        <w:bCs/>
      </w:rPr>
      <mc:AlternateContent>
        <mc:Choice Requires="wps">
          <w:drawing>
            <wp:anchor distT="0" distB="0" distL="114300" distR="114300" simplePos="0" relativeHeight="251688960" behindDoc="0" locked="0" layoutInCell="1" allowOverlap="1">
              <wp:simplePos x="0" y="0"/>
              <wp:positionH relativeFrom="margin">
                <wp:posOffset>2251710</wp:posOffset>
              </wp:positionH>
              <wp:positionV relativeFrom="paragraph">
                <wp:posOffset>-68580</wp:posOffset>
              </wp:positionV>
              <wp:extent cx="857885" cy="457835"/>
              <wp:effectExtent l="0" t="0" r="0" b="0"/>
              <wp:wrapNone/>
              <wp:docPr id="63" name="文本框 24"/>
              <wp:cNvGraphicFramePr/>
              <a:graphic xmlns:a="http://schemas.openxmlformats.org/drawingml/2006/main">
                <a:graphicData uri="http://schemas.microsoft.com/office/word/2010/wordprocessingShape">
                  <wps:wsp>
                    <wps:cNvSpPr txBox="1"/>
                    <wps:spPr>
                      <a:xfrm>
                        <a:off x="0" y="0"/>
                        <a:ext cx="857885" cy="457835"/>
                      </a:xfrm>
                      <a:prstGeom prst="rect">
                        <a:avLst/>
                      </a:prstGeom>
                      <a:noFill/>
                      <a:ln>
                        <a:noFill/>
                      </a:ln>
                    </wps:spPr>
                    <wps:txbx>
                      <w:txbxContent>
                        <w:p w14:paraId="65AA4B60">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wps:wsp>
                </a:graphicData>
              </a:graphic>
            </wp:anchor>
          </w:drawing>
        </mc:Choice>
        <mc:Fallback>
          <w:pict>
            <v:shape id="文本框 24" o:spid="_x0000_s1026" o:spt="202" type="#_x0000_t202" style="position:absolute;left:0pt;margin-left:177.3pt;margin-top:-5.4pt;height:36.05pt;width:67.55pt;mso-position-horizontal-relative:margin;z-index:251688960;mso-width-relative:page;mso-height-relative:page;" filled="f" stroked="f" coordsize="21600,21600" o:gfxdata="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8UVHH2gAAAAoBAAAPAAAAAAAAAAEAIAAAACIAAABkcnMvZG93bnJldi54bWxQ&#10;SwECFAAUAAAACACHTuJAS2emLLwBAABzAwAADgAAAAAAAAABACAAAAApAQAAZHJzL2Uyb0RvYy54&#10;bWxQSwUGAAAAAAYABgBZAQAAVwUAAAAA&#10;">
              <v:fill on="f" focussize="0,0"/>
              <v:stroke on="f"/>
              <v:imagedata o:title=""/>
              <o:lock v:ext="edit" aspectratio="f"/>
              <v:textbox inset="0mm,0mm,0mm,0mm">
                <w:txbxContent>
                  <w:p w14:paraId="65AA4B60">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b/>
        <w:bCs/>
        <w:sz w:val="24"/>
      </w:rPr>
      <mc:AlternateContent>
        <mc:Choice Requires="wps">
          <w:drawing>
            <wp:anchor distT="0" distB="0" distL="114300" distR="114300" simplePos="0" relativeHeight="251687936" behindDoc="0" locked="0" layoutInCell="1" allowOverlap="1">
              <wp:simplePos x="0" y="0"/>
              <wp:positionH relativeFrom="column">
                <wp:posOffset>5715</wp:posOffset>
              </wp:positionH>
              <wp:positionV relativeFrom="paragraph">
                <wp:posOffset>45085</wp:posOffset>
              </wp:positionV>
              <wp:extent cx="5257165" cy="8255"/>
              <wp:effectExtent l="0" t="0" r="0" b="0"/>
              <wp:wrapNone/>
              <wp:docPr id="62" name="直线 25"/>
              <wp:cNvGraphicFramePr/>
              <a:graphic xmlns:a="http://schemas.openxmlformats.org/drawingml/2006/main">
                <a:graphicData uri="http://schemas.microsoft.com/office/word/2010/wordprocessingShape">
                  <wps:wsp>
                    <wps:cNvCnPr/>
                    <wps:spPr>
                      <a:xfrm>
                        <a:off x="0" y="0"/>
                        <a:ext cx="5257165" cy="825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25" o:spid="_x0000_s1026" o:spt="20" style="position:absolute;left:0pt;margin-left:0.45pt;margin-top:3.55pt;height:0.65pt;width:413.95pt;z-index:251687936;mso-width-relative:page;mso-height-relative:page;" filled="f" stroked="t" coordsize="21600,21600" o:gfxdata="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dXfX9IAAAAEAQAADwAAAAAAAAABACAAAAAiAAAAZHJzL2Rvd25yZXYueG1sUEsBAhQAFAAAAAgA&#10;h07iQFLBpnnyAQAA6gMAAA4AAAAAAAAAAQAgAAAAIQEAAGRycy9lMm9Eb2MueG1sUEsFBgAAAAAG&#10;AAYAWQEAAIUFAAAAAA==&#10;">
              <v:fill on="f" focussize="0,0"/>
              <v:stroke weight="0.5pt" color="#000000" joinstyle="miter"/>
              <v:imagedata o:title=""/>
              <o:lock v:ext="edit" aspectratio="f"/>
            </v:lin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FC5AE">
    <w:pPr>
      <w:pStyle w:val="20"/>
      <w:spacing w:line="360" w:lineRule="exact"/>
      <w:ind w:firstLine="0" w:firstLineChars="0"/>
      <w:jc w:val="distribute"/>
    </w:pPr>
    <w:r>
      <w:rPr>
        <w:sz w:val="21"/>
      </w:rPr>
      <mc:AlternateContent>
        <mc:Choice Requires="wps">
          <w:drawing>
            <wp:anchor distT="0" distB="0" distL="114300" distR="114300" simplePos="0" relativeHeight="251677696" behindDoc="0" locked="0" layoutInCell="1" allowOverlap="1">
              <wp:simplePos x="0" y="0"/>
              <wp:positionH relativeFrom="margin">
                <wp:posOffset>2687955</wp:posOffset>
              </wp:positionH>
              <wp:positionV relativeFrom="paragraph">
                <wp:posOffset>0</wp:posOffset>
              </wp:positionV>
              <wp:extent cx="1828800" cy="1828800"/>
              <wp:effectExtent l="0" t="0" r="0" b="0"/>
              <wp:wrapNone/>
              <wp:docPr id="3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7A8F00">
                          <w:pPr>
                            <w:pStyle w:val="20"/>
                            <w:spacing w:line="360" w:lineRule="exact"/>
                            <w:ind w:firstLine="0" w:firstLineChars="0"/>
                          </w:pPr>
                          <w:r>
                            <w:fldChar w:fldCharType="begin"/>
                          </w:r>
                          <w:r>
                            <w:instrText xml:space="preserve"> PAGE  \* MERGEFORMAT </w:instrText>
                          </w:r>
                          <w:r>
                            <w:fldChar w:fldCharType="separate"/>
                          </w:r>
                          <w:r>
                            <w:t>IV</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left:211.65pt;margin-top:0pt;height:144pt;width:144pt;mso-position-horizontal-relative:margin;mso-wrap-style:none;z-index:251677696;mso-width-relative:page;mso-height-relative:page;" filled="f" stroked="f" coordsize="21600,21600" o:gfxdata="UEsDBAoAAAAAAIdO4kAAAAAAAAAAAAAAAAAEAAAAZHJzL1BLAwQUAAAACACHTuJAWRXFX9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VxV/UAAAACAEAAA8AAAAAAAAAAQAgAAAAIgAAAGRycy9kb3du&#10;cmV2LnhtbFBLAQIUABQAAAAIAIdO4kCybhTOygEAAJoDAAAOAAAAAAAAAAEAIAAAACMBAABkcnMv&#10;ZTJvRG9jLnhtbFBLBQYAAAAABgAGAFkBAABfBQAAAAA=&#10;">
              <v:fill on="f" focussize="0,0"/>
              <v:stroke on="f"/>
              <v:imagedata o:title=""/>
              <o:lock v:ext="edit" aspectratio="f"/>
              <v:textbox inset="0mm,0mm,0mm,0mm" style="mso-fit-shape-to-text:t;">
                <w:txbxContent>
                  <w:p w14:paraId="157A8F00">
                    <w:pPr>
                      <w:pStyle w:val="20"/>
                      <w:spacing w:line="360" w:lineRule="exact"/>
                      <w:ind w:firstLine="0" w:firstLineChars="0"/>
                    </w:pPr>
                    <w:r>
                      <w:fldChar w:fldCharType="begin"/>
                    </w:r>
                    <w:r>
                      <w:instrText xml:space="preserve"> PAGE  \* MERGEFORMAT </w:instrText>
                    </w:r>
                    <w:r>
                      <w:fldChar w:fldCharType="separate"/>
                    </w:r>
                    <w:r>
                      <w:t>IV</w:t>
                    </w:r>
                    <w:r>
                      <w:fldChar w:fldCharType="end"/>
                    </w:r>
                  </w:p>
                </w:txbxContent>
              </v:textbox>
            </v:shape>
          </w:pict>
        </mc:Fallback>
      </mc:AlternateContent>
    </w:r>
    <w:r>
      <w:rPr>
        <w:b/>
        <w:bCs/>
        <w:sz w:val="21"/>
        <w:szCs w:val="21"/>
      </w:rPr>
      <mc:AlternateContent>
        <mc:Choice Requires="wps">
          <w:drawing>
            <wp:anchor distT="0" distB="0" distL="114300" distR="114300" simplePos="0" relativeHeight="251670528" behindDoc="0" locked="0" layoutInCell="1" allowOverlap="1">
              <wp:simplePos x="0" y="0"/>
              <wp:positionH relativeFrom="page">
                <wp:posOffset>1146810</wp:posOffset>
              </wp:positionH>
              <wp:positionV relativeFrom="page">
                <wp:posOffset>9890760</wp:posOffset>
              </wp:positionV>
              <wp:extent cx="5314950" cy="0"/>
              <wp:effectExtent l="0" t="4445" r="0" b="5080"/>
              <wp:wrapNone/>
              <wp:docPr id="35" name="直接连接符 3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3pt;margin-top:778.8pt;height:0pt;width:418.5pt;mso-position-horizontal-relative:page;mso-position-vertical-relative:page;z-index:251670528;mso-width-relative:margin;mso-height-relative:page;mso-width-percent:1000;" filled="f" stroked="t" coordsize="21600,21600" o:gfxdata="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HIUY2QAAAA4BAAAPAAAAAAAAAAEAIAAAACIAAABkcnMvZG93bnJldi54bWxQSwECFAAUAAAACACH&#10;TuJA00n0Q+oBAADBAwAADgAAAAAAAAABACAAAAAoAQAAZHJzL2Uyb0RvYy54bWxQSwUGAAAAAAYA&#10;BgBZAQAAhAUAAAAA&#10;">
              <v:fill on="f" focussize="0,0"/>
              <v:stroke color="#000000" miterlimit="8" joinstyle="miter"/>
              <v:imagedata o:title=""/>
              <o:lock v:ext="edit" aspectratio="f"/>
            </v:line>
          </w:pict>
        </mc:Fallback>
      </mc:AlternateContent>
    </w:r>
    <w:r>
      <w:rPr>
        <w:rFonts w:hint="eastAsia"/>
        <w:b/>
        <w:bCs/>
        <w:sz w:val="21"/>
        <w:szCs w:val="21"/>
      </w:rPr>
      <w:t xml:space="preserve">新疆恒升融裕环保科技有限公司                             </w:t>
    </w:r>
    <w:r>
      <w:rPr>
        <w:b/>
        <w:bCs/>
        <w:sz w:val="21"/>
        <w:szCs w:val="21"/>
      </w:rPr>
      <w:t>TEL：0991-3333881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4953">
    <w:pPr>
      <w:ind w:firstLine="0" w:firstLineChars="0"/>
      <w:jc w:val="both"/>
      <w:rPr>
        <w:b/>
        <w:bCs/>
      </w:rPr>
    </w:pPr>
    <w:r>
      <w:rPr>
        <w:sz w:val="24"/>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6985</wp:posOffset>
              </wp:positionV>
              <wp:extent cx="8884285" cy="635"/>
              <wp:effectExtent l="0" t="0" r="0" b="0"/>
              <wp:wrapNone/>
              <wp:docPr id="82" name="直线 43"/>
              <wp:cNvGraphicFramePr/>
              <a:graphic xmlns:a="http://schemas.openxmlformats.org/drawingml/2006/main">
                <a:graphicData uri="http://schemas.microsoft.com/office/word/2010/wordprocessingShape">
                  <wps:wsp>
                    <wps:cNvCnPr/>
                    <wps:spPr>
                      <a:xfrm>
                        <a:off x="0" y="0"/>
                        <a:ext cx="88842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margin-left:0pt;margin-top:0.55pt;height:0.05pt;width:699.55pt;z-index:251713536;mso-width-relative:page;mso-height-relative:page;" filled="f" stroked="t" coordsize="21600,21600" o:gfxdata="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tMAV0wAA&#10;AAUBAAAPAAAAAAAAAAEAIAAAACIAAABkcnMvZG93bnJldi54bWxQSwECFAAUAAAACACHTuJAfaVb&#10;PeoBAADfAwAADgAAAAAAAAABACAAAAAiAQAAZHJzL2Uyb0RvYy54bWxQSwUGAAAAAAYABgBZAQAA&#10;fg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271145</wp:posOffset>
              </wp:positionH>
              <wp:positionV relativeFrom="paragraph">
                <wp:posOffset>2574925</wp:posOffset>
              </wp:positionV>
              <wp:extent cx="5217160" cy="42545"/>
              <wp:effectExtent l="0" t="4445" r="2540" b="10160"/>
              <wp:wrapNone/>
              <wp:docPr id="79" name="直线 40"/>
              <wp:cNvGraphicFramePr/>
              <a:graphic xmlns:a="http://schemas.openxmlformats.org/drawingml/2006/main">
                <a:graphicData uri="http://schemas.microsoft.com/office/word/2010/wordprocessingShape">
                  <wps:wsp>
                    <wps:cNvCnPr/>
                    <wps:spPr>
                      <a:xfrm flipV="1">
                        <a:off x="0" y="0"/>
                        <a:ext cx="5217160" cy="425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flip:y;margin-left:21.35pt;margin-top:202.75pt;height:3.35pt;width:410.8pt;z-index:251710464;mso-width-relative:page;mso-height-relative:page;" filled="f" stroked="t" coordsize="21600,21600" o:gfxdata="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6ilwrYAAAACgEAAA8AAAAAAAAAAQAgAAAAIgAAAGRycy9kb3ducmV2LnhtbFBLAQIU&#10;ABQAAAAIAIdO4kAzZ9858wEAAOsDAAAOAAAAAAAAAAEAIAAAACcBAABkcnMvZTJvRG9jLnhtbFBL&#10;BQYAAAAABgAGAFkBAACM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239395</wp:posOffset>
              </wp:positionH>
              <wp:positionV relativeFrom="paragraph">
                <wp:posOffset>3146425</wp:posOffset>
              </wp:positionV>
              <wp:extent cx="5280660" cy="20955"/>
              <wp:effectExtent l="0" t="4445" r="15240" b="12700"/>
              <wp:wrapNone/>
              <wp:docPr id="78" name="直线 39"/>
              <wp:cNvGraphicFramePr/>
              <a:graphic xmlns:a="http://schemas.openxmlformats.org/drawingml/2006/main">
                <a:graphicData uri="http://schemas.microsoft.com/office/word/2010/wordprocessingShape">
                  <wps:wsp>
                    <wps:cNvCnPr/>
                    <wps:spPr>
                      <a:xfrm>
                        <a:off x="0" y="0"/>
                        <a:ext cx="5280660" cy="209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 o:spid="_x0000_s1026" o:spt="20" style="position:absolute;left:0pt;margin-left:18.85pt;margin-top:247.75pt;height:1.65pt;width:415.8pt;z-index:251709440;mso-width-relative:page;mso-height-relative:page;" filled="f" stroked="t" coordsize="21600,21600" o:gfxdata="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1CBNE2QAAAAoBAAAPAAAAAAAAAAEAIAAAACIAAABkcnMvZG93bnJldi54bWxQSwECFAAUAAAA&#10;CACHTuJAo1SG1u0BAADhAwAADgAAAAAAAAABACAAAAAoAQAAZHJzL2Uyb0RvYy54bWxQSwUGAAAA&#10;AAYABgBZAQAAhw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217805</wp:posOffset>
              </wp:positionH>
              <wp:positionV relativeFrom="paragraph">
                <wp:posOffset>3157220</wp:posOffset>
              </wp:positionV>
              <wp:extent cx="5292090" cy="10160"/>
              <wp:effectExtent l="0" t="4445" r="3810" b="13970"/>
              <wp:wrapNone/>
              <wp:docPr id="77" name="直线 38"/>
              <wp:cNvGraphicFramePr/>
              <a:graphic xmlns:a="http://schemas.openxmlformats.org/drawingml/2006/main">
                <a:graphicData uri="http://schemas.microsoft.com/office/word/2010/wordprocessingShape">
                  <wps:wsp>
                    <wps:cNvCnPr/>
                    <wps:spPr>
                      <a:xfrm>
                        <a:off x="0" y="0"/>
                        <a:ext cx="5292090" cy="10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8" o:spid="_x0000_s1026" o:spt="20" style="position:absolute;left:0pt;margin-left:17.15pt;margin-top:248.6pt;height:0.8pt;width:416.7pt;z-index:251708416;mso-width-relative:page;mso-height-relative:page;" filled="f" stroked="t" coordsize="21600,21600" o:gfxdata="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gj3FtgAAAAKAQAADwAAAAAAAAABACAAAAAiAAAAZHJzL2Rvd25yZXYueG1sUEsBAhQAFAAA&#10;AAgAh07iQKJfNE7vAQAA4QMAAA4AAAAAAAAAAQAgAAAAJwEAAGRycy9lMm9Eb2MueG1sUEsFBgAA&#10;AAAGAAYAWQEAAIgFAAAAAA==&#10;">
              <v:fill on="f" focussize="0,0"/>
              <v:stroke color="#000000" joinstyle="round"/>
              <v:imagedata o:title=""/>
              <o:lock v:ext="edit" aspectratio="f"/>
            </v:line>
          </w:pict>
        </mc:Fallback>
      </mc:AlternateContent>
    </w:r>
    <w:r>
      <w:rPr>
        <w:b/>
        <w:bCs/>
      </w:rPr>
      <mc:AlternateContent>
        <mc:Choice Requires="wps">
          <w:drawing>
            <wp:anchor distT="0" distB="0" distL="114300" distR="114300" simplePos="0" relativeHeight="251691008" behindDoc="0" locked="0" layoutInCell="1" allowOverlap="1">
              <wp:simplePos x="0" y="0"/>
              <wp:positionH relativeFrom="column">
                <wp:posOffset>2557145</wp:posOffset>
              </wp:positionH>
              <wp:positionV relativeFrom="paragraph">
                <wp:posOffset>3115310</wp:posOffset>
              </wp:positionV>
              <wp:extent cx="6527165" cy="19050"/>
              <wp:effectExtent l="0" t="4445" r="6985" b="5080"/>
              <wp:wrapNone/>
              <wp:docPr id="67" name="直线 26"/>
              <wp:cNvGraphicFramePr/>
              <a:graphic xmlns:a="http://schemas.openxmlformats.org/drawingml/2006/main">
                <a:graphicData uri="http://schemas.microsoft.com/office/word/2010/wordprocessingShape">
                  <wps:wsp>
                    <wps:cNvCnPr/>
                    <wps:spPr>
                      <a:xfrm flipV="1">
                        <a:off x="0" y="0"/>
                        <a:ext cx="6527165" cy="1905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26" o:spid="_x0000_s1026" o:spt="20" style="position:absolute;left:0pt;flip:y;margin-left:201.35pt;margin-top:245.3pt;height:1.5pt;width:513.95pt;z-index:251691008;mso-width-relative:page;mso-height-relative:page;" filled="f" stroked="t" coordsize="21600,21600" o:gfxdata="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9T0K2AAAAAwBAAAPAAAAAAAAAAEAIAAAACIAAABkcnMvZG93bnJldi54&#10;bWxQSwECFAAUAAAACACHTuJAdTsze/oBAAD1AwAADgAAAAAAAAABACAAAAAnAQAAZHJzL2Uyb0Rv&#10;Yy54bWxQSwUGAAAAAAYABgBZAQAAkwUAAAAA&#10;">
              <v:fill on="f" focussize="0,0"/>
              <v:stroke weight="0.5pt" color="#000000" joinstyle="miter"/>
              <v:imagedata o:title=""/>
              <o:lock v:ext="edit" aspectratio="f"/>
            </v:line>
          </w:pict>
        </mc:Fallback>
      </mc:AlternateContent>
    </w:r>
    <w:r>
      <w:rPr>
        <w:rFonts w:cs="Times New Roman"/>
        <w:b/>
        <w:bCs/>
        <w:sz w:val="21"/>
      </w:rPr>
      <w:t>0991-</w:t>
    </w:r>
    <w:r>
      <w:rPr>
        <w:rFonts w:hint="default"/>
        <w:b/>
        <w:bCs/>
        <w:sz w:val="21"/>
        <w:lang w:val="en-US"/>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1905</wp:posOffset>
              </wp:positionV>
              <wp:extent cx="582295" cy="304800"/>
              <wp:effectExtent l="0" t="0" r="0" b="0"/>
              <wp:wrapNone/>
              <wp:docPr id="66" name="文本框 27"/>
              <wp:cNvGraphicFramePr/>
              <a:graphic xmlns:a="http://schemas.openxmlformats.org/drawingml/2006/main">
                <a:graphicData uri="http://schemas.microsoft.com/office/word/2010/wordprocessingShape">
                  <wps:wsp>
                    <wps:cNvSpPr txBox="1"/>
                    <wps:spPr>
                      <a:xfrm>
                        <a:off x="0" y="0"/>
                        <a:ext cx="582295" cy="304800"/>
                      </a:xfrm>
                      <a:prstGeom prst="rect">
                        <a:avLst/>
                      </a:prstGeom>
                      <a:noFill/>
                      <a:ln w="6350">
                        <a:noFill/>
                      </a:ln>
                    </wps:spPr>
                    <wps:txbx>
                      <w:txbxContent>
                        <w:p w14:paraId="3485B44A">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wps:txbx>
                    <wps:bodyPr lIns="0" tIns="0" rIns="0" bIns="0" upright="0">
                      <a:spAutoFit/>
                    </wps:bodyPr>
                  </wps:wsp>
                </a:graphicData>
              </a:graphic>
            </wp:anchor>
          </w:drawing>
        </mc:Choice>
        <mc:Fallback>
          <w:pict>
            <v:shape id="文本框 27" o:spid="_x0000_s1026" o:spt="202" type="#_x0000_t202" style="position:absolute;left:0pt;margin-top:0.15pt;height:24pt;width:45.85pt;mso-position-horizontal:center;mso-position-horizontal-relative:margin;z-index:251689984;mso-width-relative:page;mso-height-relative:page;" filled="f" stroked="f" coordsize="21600,21600" o:gfxdata="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i7Ru9MAAAADAQAADwAAAAAAAAABACAAAAAiAAAAZHJz&#10;L2Rvd25yZXYueG1sUEsBAhQAFAAAAAgAh07iQNKpcQ7QAQAAlgMAAA4AAAAAAAAAAQAgAAAAIgEA&#10;AGRycy9lMm9Eb2MueG1sUEsFBgAAAAAGAAYAWQEAAGQFAAAAAA==&#10;">
              <v:fill on="f" focussize="0,0"/>
              <v:stroke on="f" weight="0.5pt"/>
              <v:imagedata o:title=""/>
              <o:lock v:ext="edit" aspectratio="f"/>
              <v:textbox inset="0mm,0mm,0mm,0mm" style="mso-fit-shape-to-text:t;">
                <w:txbxContent>
                  <w:p w14:paraId="3485B44A">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v:textbox>
            </v:shape>
          </w:pict>
        </mc:Fallback>
      </mc:AlternateContent>
    </w:r>
    <w:r>
      <w:rPr>
        <w:rFonts w:hint="eastAsia"/>
        <w:b/>
        <w:bCs/>
        <w:sz w:val="21"/>
        <w:lang w:val="en-US" w:eastAsia="zh-CN"/>
      </w:rPr>
      <w:t>3333881</w: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12512"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81" name="直线 42"/>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42" o:spid="_x0000_s1026" o:spt="20" style="position:absolute;left:0pt;margin-left:19.4pt;margin-top:247.3pt;height:0.7pt;width:416.1pt;z-index:251712512;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POi31wAAAAoBAAAPAAAAAAAAAAEAIAAAACIAAABkcnMvZG93bnJldi54bWxQSwECFAAU&#10;AAAACACHTuJAEJ6fJ/IBAADqAwAADgAAAAAAAAABACAAAAAmAQAAZHJzL2Uyb0RvYy54bWxQSwUG&#10;AAAAAAYABgBZAQAAigU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11488"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80" name="直线 41"/>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41" o:spid="_x0000_s1026" o:spt="20" style="position:absolute;left:0pt;margin-left:19.4pt;margin-top:247.3pt;height:0.7pt;width:416.1pt;z-index:251711488;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g86LfXAAAACgEAAA8AAAAAAAAAAQAgAAAAIgAAAGRycy9kb3ducmV2LnhtbFBLAQIUABQA&#10;AAAIAIdO4kB96c0H8QEAAOoDAAAOAAAAAAAAAAEAIAAAACYBAABkcnMvZTJvRG9jLnhtbFBLBQYA&#10;AAAABgAGAFkBAACJBQ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07392"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76" name="直线 37"/>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37" o:spid="_x0000_s1026" o:spt="20" style="position:absolute;left:0pt;margin-left:19.4pt;margin-top:247.3pt;height:0.7pt;width:416.1pt;z-index:251707392;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POi31wAAAAoBAAAPAAAAAAAAAAEAIAAAACIAAABkcnMvZG93bnJldi54bWxQSwECFAAU&#10;AAAACACHTuJAh18QB/IBAADqAwAADgAAAAAAAAABACAAAAAmAQAAZHJzL2Uyb0RvYy54bWxQSwUG&#10;AAAAAAYABgBZAQAAigU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06368"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75" name="直线 36"/>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36" o:spid="_x0000_s1026" o:spt="20" style="position:absolute;left:0pt;margin-left:19.4pt;margin-top:247.3pt;height:0.7pt;width:416.1pt;z-index:251706368;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POi31wAAAAoBAAAPAAAAAAAAAAEAIAAAACIAAABkcnMvZG93bnJldi54bWxQSwECFAAU&#10;AAAACACHTuJA2REYFvIBAADqAwAADgAAAAAAAAABACAAAAAmAQAAZHJzL2Uyb0RvYy54bWxQSwUG&#10;AAAAAAYABgBZAQAAigU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rFonts w:hint="eastAsia" w:cs="Times New Roman"/>
        <w:b/>
        <w:bCs/>
        <w:sz w:val="21"/>
      </w:rPr>
      <w:t xml:space="preserve"> 新疆</w:t>
    </w:r>
    <w:r>
      <w:rPr>
        <w:rFonts w:hint="eastAsia" w:cs="Times New Roman"/>
        <w:b/>
        <w:bCs/>
        <w:sz w:val="21"/>
        <w:lang w:val="en-US" w:eastAsia="zh-CN"/>
      </w:rPr>
      <w:t>恒升融裕</w:t>
    </w:r>
    <w:r>
      <w:rPr>
        <w:rFonts w:hint="eastAsia" w:cs="Times New Roman"/>
        <w:b/>
        <w:bCs/>
        <w:sz w:val="21"/>
      </w:rPr>
      <w:t>环保科技有限公司</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9AF7D">
    <w:pPr>
      <w:pStyle w:val="20"/>
      <w:ind w:firstLine="0" w:firstLineChars="0"/>
      <w:jc w:val="both"/>
      <w:rPr>
        <w:rFonts w:hint="default" w:eastAsia="宋体"/>
        <w:b/>
        <w:bCs/>
        <w:lang w:val="en-US" w:eastAsia="zh-CN"/>
      </w:rPr>
    </w:pPr>
    <w:r>
      <w:rPr>
        <w:b/>
        <w:bCs/>
      </w:rPr>
      <mc:AlternateContent>
        <mc:Choice Requires="wps">
          <w:drawing>
            <wp:anchor distT="0" distB="0" distL="114300" distR="114300" simplePos="0" relativeHeight="251697152" behindDoc="0" locked="0" layoutInCell="1" allowOverlap="1">
              <wp:simplePos x="0" y="0"/>
              <wp:positionH relativeFrom="margin">
                <wp:posOffset>4233545</wp:posOffset>
              </wp:positionH>
              <wp:positionV relativeFrom="paragraph">
                <wp:posOffset>-53975</wp:posOffset>
              </wp:positionV>
              <wp:extent cx="762000" cy="443230"/>
              <wp:effectExtent l="0" t="0" r="0" b="0"/>
              <wp:wrapNone/>
              <wp:docPr id="72" name="文本框 32"/>
              <wp:cNvGraphicFramePr/>
              <a:graphic xmlns:a="http://schemas.openxmlformats.org/drawingml/2006/main">
                <a:graphicData uri="http://schemas.microsoft.com/office/word/2010/wordprocessingShape">
                  <wps:wsp>
                    <wps:cNvSpPr txBox="1"/>
                    <wps:spPr>
                      <a:xfrm>
                        <a:off x="0" y="0"/>
                        <a:ext cx="762000" cy="443230"/>
                      </a:xfrm>
                      <a:prstGeom prst="rect">
                        <a:avLst/>
                      </a:prstGeom>
                      <a:noFill/>
                      <a:ln>
                        <a:noFill/>
                      </a:ln>
                    </wps:spPr>
                    <wps:txbx>
                      <w:txbxContent>
                        <w:p w14:paraId="76213F37">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wps:wsp>
                </a:graphicData>
              </a:graphic>
            </wp:anchor>
          </w:drawing>
        </mc:Choice>
        <mc:Fallback>
          <w:pict>
            <v:shape id="文本框 32" o:spid="_x0000_s1026" o:spt="202" type="#_x0000_t202" style="position:absolute;left:0pt;margin-left:333.35pt;margin-top:-4.25pt;height:34.9pt;width:60pt;mso-position-horizontal-relative:margin;z-index:251697152;mso-width-relative:page;mso-height-relative:page;" filled="f" stroked="f" coordsize="21600,21600" o:gfxdata="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A0bNfXAAAACQEAAA8AAAAAAAAAAQAgAAAAIgAAAGRycy9kb3ducmV2LnhtbFBLAQIU&#10;ABQAAAAIAIdO4kASDVGduwEAAHMDAAAOAAAAAAAAAAEAIAAAACYBAABkcnMvZTJvRG9jLnhtbFBL&#10;BQYAAAAABgAGAFkBAABTBQAAAAA=&#10;">
              <v:fill on="f" focussize="0,0"/>
              <v:stroke on="f"/>
              <v:imagedata o:title=""/>
              <o:lock v:ext="edit" aspectratio="f"/>
              <v:textbox inset="0mm,0mm,0mm,0mm">
                <w:txbxContent>
                  <w:p w14:paraId="76213F37">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b/>
        <w:bCs/>
        <w:sz w:val="24"/>
      </w:rPr>
      <mc:AlternateContent>
        <mc:Choice Requires="wps">
          <w:drawing>
            <wp:anchor distT="0" distB="0" distL="114300" distR="114300" simplePos="0" relativeHeight="251696128" behindDoc="0" locked="0" layoutInCell="1" allowOverlap="1">
              <wp:simplePos x="0" y="0"/>
              <wp:positionH relativeFrom="column">
                <wp:posOffset>-3810</wp:posOffset>
              </wp:positionH>
              <wp:positionV relativeFrom="paragraph">
                <wp:posOffset>-13335</wp:posOffset>
              </wp:positionV>
              <wp:extent cx="8820150" cy="1270"/>
              <wp:effectExtent l="0" t="0" r="0" b="0"/>
              <wp:wrapNone/>
              <wp:docPr id="71" name="直线 33"/>
              <wp:cNvGraphicFramePr/>
              <a:graphic xmlns:a="http://schemas.openxmlformats.org/drawingml/2006/main">
                <a:graphicData uri="http://schemas.microsoft.com/office/word/2010/wordprocessingShape">
                  <wps:wsp>
                    <wps:cNvCnPr/>
                    <wps:spPr>
                      <a:xfrm flipV="1">
                        <a:off x="0" y="0"/>
                        <a:ext cx="8820150" cy="127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33" o:spid="_x0000_s1026" o:spt="20" style="position:absolute;left:0pt;flip:y;margin-left:-0.3pt;margin-top:-1.05pt;height:0.1pt;width:694.5pt;z-index:251696128;mso-width-relative:page;mso-height-relative:page;" filled="f" stroked="t" coordsize="21600,21600" o:gfxdata="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OiPqNYAAAAIAQAADwAAAAAAAAABACAAAAAiAAAAZHJzL2Rvd25yZXYueG1sUEsB&#10;AhQAFAAAAAgAh07iQE0mVuL3AQAA9AMAAA4AAAAAAAAAAQAgAAAAJQEAAGRycy9lMm9Eb2MueG1s&#10;UEsFBgAAAAAGAAYAWQEAAI4FAAAAAA==&#10;">
              <v:fill on="f" focussize="0,0"/>
              <v:stroke weight="0.5pt" color="#000000" joinstyle="miter"/>
              <v:imagedata o:title=""/>
              <o:lock v:ext="edit" aspectratio="f"/>
            </v:lin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0CC2F">
    <w:pPr>
      <w:ind w:firstLine="0" w:firstLineChars="0"/>
      <w:jc w:val="both"/>
      <w:rPr>
        <w:b/>
        <w:bCs/>
      </w:rPr>
    </w:pPr>
    <w:r>
      <w:rPr>
        <w:sz w:val="24"/>
      </w:rPr>
      <mc:AlternateContent>
        <mc:Choice Requires="wps">
          <w:drawing>
            <wp:anchor distT="0" distB="0" distL="114300" distR="114300" simplePos="0" relativeHeight="251723776" behindDoc="0" locked="0" layoutInCell="1" allowOverlap="1">
              <wp:simplePos x="0" y="0"/>
              <wp:positionH relativeFrom="column">
                <wp:posOffset>-17145</wp:posOffset>
              </wp:positionH>
              <wp:positionV relativeFrom="paragraph">
                <wp:posOffset>28575</wp:posOffset>
              </wp:positionV>
              <wp:extent cx="5290820" cy="9525"/>
              <wp:effectExtent l="0" t="0" r="0" b="0"/>
              <wp:wrapNone/>
              <wp:docPr id="92" name="直线 44"/>
              <wp:cNvGraphicFramePr/>
              <a:graphic xmlns:a="http://schemas.openxmlformats.org/drawingml/2006/main">
                <a:graphicData uri="http://schemas.microsoft.com/office/word/2010/wordprocessingShape">
                  <wps:wsp>
                    <wps:cNvCnPr/>
                    <wps:spPr>
                      <a:xfrm>
                        <a:off x="0" y="0"/>
                        <a:ext cx="5290820"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1.35pt;margin-top:2.25pt;height:0.75pt;width:416.6pt;z-index:251723776;mso-width-relative:page;mso-height-relative:page;" filled="f" stroked="t" coordsize="21600,21600" o:gfxdata="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43j6N1QAA&#10;AAYBAAAPAAAAAAAAAAEAIAAAACIAAABkcnMvZG93bnJldi54bWxQSwECFAAUAAAACACHTuJAjb0/&#10;X+gBAADgAwAADgAAAAAAAAABACAAAAAkAQAAZHJzL2Uyb0RvYy54bWxQSwUGAAAAAAYABgBZAQAA&#10;fg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271145</wp:posOffset>
              </wp:positionH>
              <wp:positionV relativeFrom="paragraph">
                <wp:posOffset>2574925</wp:posOffset>
              </wp:positionV>
              <wp:extent cx="5217160" cy="42545"/>
              <wp:effectExtent l="0" t="4445" r="2540" b="10160"/>
              <wp:wrapNone/>
              <wp:docPr id="89" name="直线 45"/>
              <wp:cNvGraphicFramePr/>
              <a:graphic xmlns:a="http://schemas.openxmlformats.org/drawingml/2006/main">
                <a:graphicData uri="http://schemas.microsoft.com/office/word/2010/wordprocessingShape">
                  <wps:wsp>
                    <wps:cNvCnPr/>
                    <wps:spPr>
                      <a:xfrm flipV="1">
                        <a:off x="0" y="0"/>
                        <a:ext cx="5217160" cy="425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flip:y;margin-left:21.35pt;margin-top:202.75pt;height:3.35pt;width:410.8pt;z-index:251720704;mso-width-relative:page;mso-height-relative:page;" filled="f" stroked="t" coordsize="21600,21600" o:gfxdata="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6ilwrYAAAACgEAAA8AAAAAAAAAAQAgAAAAIgAAAGRycy9kb3ducmV2LnhtbFBL&#10;AQIUABQAAAAIAIdO4kC/ewPy9gEAAOsDAAAOAAAAAAAAAAEAIAAAACcBAABkcnMvZTJvRG9jLnht&#10;bFBLBQYAAAAABgAGAFkBAACP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239395</wp:posOffset>
              </wp:positionH>
              <wp:positionV relativeFrom="paragraph">
                <wp:posOffset>3146425</wp:posOffset>
              </wp:positionV>
              <wp:extent cx="5280660" cy="20955"/>
              <wp:effectExtent l="0" t="4445" r="15240" b="12700"/>
              <wp:wrapNone/>
              <wp:docPr id="88" name="直线 46"/>
              <wp:cNvGraphicFramePr/>
              <a:graphic xmlns:a="http://schemas.openxmlformats.org/drawingml/2006/main">
                <a:graphicData uri="http://schemas.microsoft.com/office/word/2010/wordprocessingShape">
                  <wps:wsp>
                    <wps:cNvCnPr/>
                    <wps:spPr>
                      <a:xfrm>
                        <a:off x="0" y="0"/>
                        <a:ext cx="5280660" cy="209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18.85pt;margin-top:247.75pt;height:1.65pt;width:415.8pt;z-index:251719680;mso-width-relative:page;mso-height-relative:page;" filled="f" stroked="t" coordsize="21600,21600" o:gfxdata="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UIE0TZAAAACgEAAA8AAAAAAAAAAQAgAAAAIgAAAGRycy9kb3ducmV2LnhtbFBLAQIUABQAAAAI&#10;AIdO4kCnoVJA7AEAAOEDAAAOAAAAAAAAAAEAIAAAACgBAABkcnMvZTJvRG9jLnhtbFBLBQYAAAAA&#10;BgAGAFkBAACG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217805</wp:posOffset>
              </wp:positionH>
              <wp:positionV relativeFrom="paragraph">
                <wp:posOffset>3157220</wp:posOffset>
              </wp:positionV>
              <wp:extent cx="5292090" cy="10160"/>
              <wp:effectExtent l="0" t="4445" r="3810" b="13970"/>
              <wp:wrapNone/>
              <wp:docPr id="87" name="直线 47"/>
              <wp:cNvGraphicFramePr/>
              <a:graphic xmlns:a="http://schemas.openxmlformats.org/drawingml/2006/main">
                <a:graphicData uri="http://schemas.microsoft.com/office/word/2010/wordprocessingShape">
                  <wps:wsp>
                    <wps:cNvCnPr/>
                    <wps:spPr>
                      <a:xfrm>
                        <a:off x="0" y="0"/>
                        <a:ext cx="5292090" cy="10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17.15pt;margin-top:248.6pt;height:0.8pt;width:416.7pt;z-index:251718656;mso-width-relative:page;mso-height-relative:page;" filled="f" stroked="t" coordsize="21600,21600" o:gfxdata="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gj3FtgAAAAKAQAADwAAAAAAAAABACAAAAAiAAAAZHJzL2Rvd25yZXYueG1sUEsBAhQAFAAA&#10;AAgAh07iQKaq4NjvAQAA4QMAAA4AAAAAAAAAAQAgAAAAJwEAAGRycy9lMm9Eb2MueG1sUEsFBgAA&#10;AAAGAAYAWQEAAIgFAAAAAA==&#10;">
              <v:fill on="f" focussize="0,0"/>
              <v:stroke color="#000000" joinstyle="round"/>
              <v:imagedata o:title=""/>
              <o:lock v:ext="edit" aspectratio="f"/>
            </v:line>
          </w:pict>
        </mc:Fallback>
      </mc:AlternateContent>
    </w:r>
    <w:r>
      <w:rPr>
        <w:b/>
        <w:bCs/>
      </w:rPr>
      <mc:AlternateContent>
        <mc:Choice Requires="wps">
          <w:drawing>
            <wp:anchor distT="0" distB="0" distL="114300" distR="114300" simplePos="0" relativeHeight="251715584" behindDoc="0" locked="0" layoutInCell="1" allowOverlap="1">
              <wp:simplePos x="0" y="0"/>
              <wp:positionH relativeFrom="column">
                <wp:posOffset>2557145</wp:posOffset>
              </wp:positionH>
              <wp:positionV relativeFrom="paragraph">
                <wp:posOffset>3115310</wp:posOffset>
              </wp:positionV>
              <wp:extent cx="6527165" cy="19050"/>
              <wp:effectExtent l="0" t="4445" r="6985" b="5080"/>
              <wp:wrapNone/>
              <wp:docPr id="84" name="直线 48"/>
              <wp:cNvGraphicFramePr/>
              <a:graphic xmlns:a="http://schemas.openxmlformats.org/drawingml/2006/main">
                <a:graphicData uri="http://schemas.microsoft.com/office/word/2010/wordprocessingShape">
                  <wps:wsp>
                    <wps:cNvCnPr/>
                    <wps:spPr>
                      <a:xfrm flipV="1">
                        <a:off x="0" y="0"/>
                        <a:ext cx="6527165" cy="1905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48" o:spid="_x0000_s1026" o:spt="20" style="position:absolute;left:0pt;flip:y;margin-left:201.35pt;margin-top:245.3pt;height:1.5pt;width:513.95pt;z-index:251715584;mso-width-relative:page;mso-height-relative:page;" filled="f" stroked="t" coordsize="21600,21600" o:gfxdata="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9T0K2AAAAAwBAAAPAAAAAAAAAAEAIAAAACIAAABkcnMvZG93bnJldi54&#10;bWxQSwECFAAUAAAACACHTuJAkCSzzfoBAAD1AwAADgAAAAAAAAABACAAAAAnAQAAZHJzL2Uyb0Rv&#10;Yy54bWxQSwUGAAAAAAYABgBZAQAAkwUAAAAA&#10;">
              <v:fill on="f" focussize="0,0"/>
              <v:stroke weight="0.5pt" color="#000000" joinstyle="miter"/>
              <v:imagedata o:title=""/>
              <o:lock v:ext="edit" aspectratio="f"/>
            </v:line>
          </w:pict>
        </mc:Fallback>
      </mc:AlternateContent>
    </w:r>
    <w:r>
      <w:rPr>
        <w:rFonts w:cs="Times New Roman"/>
        <w:b/>
        <w:bCs/>
        <w:sz w:val="21"/>
      </w:rPr>
      <w:t>0991-</w:t>
    </w:r>
    <w:r>
      <w:rPr>
        <w:rFonts w:hint="default"/>
        <w:b/>
        <w:bCs/>
        <w:sz w:val="21"/>
        <w:lang w:val="en-US"/>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1905</wp:posOffset>
              </wp:positionV>
              <wp:extent cx="582295" cy="304800"/>
              <wp:effectExtent l="0" t="0" r="0" b="0"/>
              <wp:wrapNone/>
              <wp:docPr id="83" name="文本框 49"/>
              <wp:cNvGraphicFramePr/>
              <a:graphic xmlns:a="http://schemas.openxmlformats.org/drawingml/2006/main">
                <a:graphicData uri="http://schemas.microsoft.com/office/word/2010/wordprocessingShape">
                  <wps:wsp>
                    <wps:cNvSpPr txBox="1"/>
                    <wps:spPr>
                      <a:xfrm>
                        <a:off x="0" y="0"/>
                        <a:ext cx="582295" cy="304800"/>
                      </a:xfrm>
                      <a:prstGeom prst="rect">
                        <a:avLst/>
                      </a:prstGeom>
                      <a:noFill/>
                      <a:ln w="6350">
                        <a:noFill/>
                      </a:ln>
                    </wps:spPr>
                    <wps:txbx>
                      <w:txbxContent>
                        <w:p w14:paraId="1C93500F">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wps:txbx>
                    <wps:bodyPr lIns="0" tIns="0" rIns="0" bIns="0" upright="0">
                      <a:spAutoFit/>
                    </wps:bodyPr>
                  </wps:wsp>
                </a:graphicData>
              </a:graphic>
            </wp:anchor>
          </w:drawing>
        </mc:Choice>
        <mc:Fallback>
          <w:pict>
            <v:shape id="文本框 49" o:spid="_x0000_s1026" o:spt="202" type="#_x0000_t202" style="position:absolute;left:0pt;margin-top:0.15pt;height:24pt;width:45.85pt;mso-position-horizontal:center;mso-position-horizontal-relative:margin;z-index:251714560;mso-width-relative:page;mso-height-relative:page;" filled="f" stroked="f" coordsize="21600,21600" o:gfxdata="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4u0bvTAAAAAwEAAA8AAAAAAAAAAQAgAAAAIgAAAGRy&#10;cy9kb3ducmV2LnhtbFBLAQIUABQAAAAIAIdO4kCay7HD0QEAAJYDAAAOAAAAAAAAAAEAIAAAACIB&#10;AABkcnMvZTJvRG9jLnhtbFBLBQYAAAAABgAGAFkBAABlBQAAAAA=&#10;">
              <v:fill on="f" focussize="0,0"/>
              <v:stroke on="f" weight="0.5pt"/>
              <v:imagedata o:title=""/>
              <o:lock v:ext="edit" aspectratio="f"/>
              <v:textbox inset="0mm,0mm,0mm,0mm" style="mso-fit-shape-to-text:t;">
                <w:txbxContent>
                  <w:p w14:paraId="1C93500F">
                    <w:pPr>
                      <w:pStyle w:val="20"/>
                      <w:ind w:firstLine="360"/>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43</w:t>
                    </w:r>
                    <w:r>
                      <w:rPr>
                        <w:rFonts w:hint="eastAsia"/>
                        <w:sz w:val="21"/>
                      </w:rPr>
                      <w:fldChar w:fldCharType="end"/>
                    </w:r>
                  </w:p>
                </w:txbxContent>
              </v:textbox>
            </v:shape>
          </w:pict>
        </mc:Fallback>
      </mc:AlternateContent>
    </w:r>
    <w:r>
      <w:rPr>
        <w:rFonts w:hint="eastAsia"/>
        <w:b/>
        <w:bCs/>
        <w:sz w:val="21"/>
        <w:lang w:val="en-US" w:eastAsia="zh-CN"/>
      </w:rPr>
      <w:t>3333881</w: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22752"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91" name="直线 50"/>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50" o:spid="_x0000_s1026" o:spt="20" style="position:absolute;left:0pt;margin-left:19.4pt;margin-top:247.3pt;height:0.7pt;width:416.1pt;z-index:251722752;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POi31wAAAAoBAAAPAAAAAAAAAAEAIAAAACIAAABkcnMvZG93bnJldi54bWxQSwECFAAU&#10;AAAACACHTuJAc2iQQPIBAADqAwAADgAAAAAAAAABACAAAAAmAQAAZHJzL2Uyb0RvYy54bWxQSwUG&#10;AAAAAAYABgBZAQAAigU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21728"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90" name="直线 51"/>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51" o:spid="_x0000_s1026" o:spt="20" style="position:absolute;left:0pt;margin-left:19.4pt;margin-top:247.3pt;height:0.7pt;width:416.1pt;z-index:251721728;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POi31wAAAAoBAAAPAAAAAAAAAAEAIAAAACIAAABkcnMvZG93bnJldi54bWxQSwECFAAUAAAA&#10;CACHTuJAyveFte8BAADqAwAADgAAAAAAAAABACAAAAAmAQAAZHJzL2Uyb0RvYy54bWxQSwUGAAAA&#10;AAYABgBZAQAAhwU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17632"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86" name="直线 52"/>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52" o:spid="_x0000_s1026" o:spt="20" style="position:absolute;left:0pt;margin-left:19.4pt;margin-top:247.3pt;height:0.7pt;width:416.1pt;z-index:251717632;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POi31wAAAAoBAAAPAAAAAAAAAAEAIAAAACIAAABkcnMvZG93bnJldi54bWxQSwECFAAU&#10;AAAACACHTuJAGapz4vIBAADqAwAADgAAAAAAAAABACAAAAAmAQAAZHJzL2Uyb0RvYy54bWxQSwUG&#10;AAAAAAYABgBZAQAAigU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b/>
        <w:bCs/>
        <w:sz w:val="24"/>
      </w:rPr>
      <mc:AlternateContent>
        <mc:Choice Requires="wps">
          <w:drawing>
            <wp:anchor distT="0" distB="0" distL="114300" distR="114300" simplePos="0" relativeHeight="251716608" behindDoc="0" locked="0" layoutInCell="1" allowOverlap="1">
              <wp:simplePos x="0" y="0"/>
              <wp:positionH relativeFrom="column">
                <wp:posOffset>246380</wp:posOffset>
              </wp:positionH>
              <wp:positionV relativeFrom="paragraph">
                <wp:posOffset>3140710</wp:posOffset>
              </wp:positionV>
              <wp:extent cx="5284470" cy="8890"/>
              <wp:effectExtent l="0" t="0" r="0" b="0"/>
              <wp:wrapNone/>
              <wp:docPr id="85" name="直线 53"/>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53" o:spid="_x0000_s1026" o:spt="20" style="position:absolute;left:0pt;margin-left:19.4pt;margin-top:247.3pt;height:0.7pt;width:416.1pt;z-index:251716608;mso-width-relative:page;mso-height-relative:page;" filled="f" stroked="t" coordsize="21600,21600" o:gfxdata="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Dzot9cAAAAKAQAADwAAAAAAAAABACAAAAAiAAAAZHJzL2Rvd25yZXYueG1sUEsBAhQA&#10;FAAAAAgAh07iQEfke/PzAQAA6gMAAA4AAAAAAAAAAQAgAAAAJgEAAGRycy9lMm9Eb2MueG1sUEsF&#10;BgAAAAAGAAYAWQEAAIsFAAAAAA==&#10;">
              <v:fill on="f" focussize="0,0"/>
              <v:stroke weight="0.5pt" color="#000000" joinstyle="miter"/>
              <v:imagedata o:title=""/>
              <o:lock v:ext="edit" aspectratio="f"/>
            </v:line>
          </w:pict>
        </mc:Fallback>
      </mc:AlternateContent>
    </w:r>
    <w:r>
      <w:rPr>
        <w:rFonts w:hint="eastAsia" w:cs="Times New Roman"/>
        <w:b/>
        <w:bCs/>
        <w:sz w:val="21"/>
        <w:lang w:val="en-US" w:eastAsia="zh-CN"/>
      </w:rPr>
      <w:t xml:space="preserve">                   </w:t>
    </w:r>
    <w:r>
      <w:rPr>
        <w:rFonts w:hint="eastAsia" w:cs="Times New Roman"/>
        <w:b/>
        <w:bCs/>
        <w:sz w:val="21"/>
      </w:rPr>
      <w:t xml:space="preserve"> 新疆</w:t>
    </w:r>
    <w:r>
      <w:rPr>
        <w:rFonts w:hint="eastAsia" w:cs="Times New Roman"/>
        <w:b/>
        <w:bCs/>
        <w:sz w:val="21"/>
        <w:lang w:val="en-US" w:eastAsia="zh-CN"/>
      </w:rPr>
      <w:t>恒升融裕</w:t>
    </w:r>
    <w:r>
      <w:rPr>
        <w:rFonts w:hint="eastAsia" w:cs="Times New Roman"/>
        <w:b/>
        <w:bCs/>
        <w:sz w:val="21"/>
      </w:rPr>
      <w:t>环保科技有限公司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5FD96">
    <w:pPr>
      <w:pStyle w:val="20"/>
      <w:ind w:firstLine="0" w:firstLineChars="0"/>
      <w:jc w:val="both"/>
      <w:rPr>
        <w:rFonts w:hint="default" w:eastAsia="宋体"/>
        <w:b/>
        <w:bCs/>
        <w:lang w:val="en-US" w:eastAsia="zh-CN"/>
      </w:rPr>
    </w:pPr>
    <w:r>
      <w:rPr>
        <w:b/>
        <w:bCs/>
        <w:sz w:val="24"/>
      </w:rPr>
      <mc:AlternateContent>
        <mc:Choice Requires="wps">
          <w:drawing>
            <wp:anchor distT="0" distB="0" distL="114300" distR="114300" simplePos="0" relativeHeight="251698176" behindDoc="0" locked="0" layoutInCell="1" allowOverlap="1">
              <wp:simplePos x="0" y="0"/>
              <wp:positionH relativeFrom="column">
                <wp:posOffset>17780</wp:posOffset>
              </wp:positionH>
              <wp:positionV relativeFrom="paragraph">
                <wp:posOffset>8890</wp:posOffset>
              </wp:positionV>
              <wp:extent cx="5284470" cy="8890"/>
              <wp:effectExtent l="0" t="0" r="0" b="0"/>
              <wp:wrapNone/>
              <wp:docPr id="73" name="直线 35"/>
              <wp:cNvGraphicFramePr/>
              <a:graphic xmlns:a="http://schemas.openxmlformats.org/drawingml/2006/main">
                <a:graphicData uri="http://schemas.microsoft.com/office/word/2010/wordprocessingShape">
                  <wps:wsp>
                    <wps:cNvCnPr/>
                    <wps:spPr>
                      <a:xfrm>
                        <a:off x="0" y="0"/>
                        <a:ext cx="5284470" cy="889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35" o:spid="_x0000_s1026" o:spt="20" style="position:absolute;left:0pt;margin-left:1.4pt;margin-top:0.7pt;height:0.7pt;width:416.1pt;z-index:251698176;mso-width-relative:page;mso-height-relative:page;" filled="f" stroked="t" coordsize="21600,21600" o:gfxdata="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OpWKLTAAAABQEAAA8AAAAAAAAAAQAgAAAAIgAAAGRycy9kb3ducmV2LnhtbFBLAQIUABQAAAAI&#10;AIdO4kAPeate8gEAAOoDAAAOAAAAAAAAAAEAIAAAACIBAABkcnMvZTJvRG9jLnhtbFBLBQYAAAAA&#10;BgAGAFkBAACGBQAAAAA=&#10;">
              <v:fill on="f" focussize="0,0"/>
              <v:stroke weight="0.5pt" color="#000000" joinstyle="miter"/>
              <v:imagedata o:title=""/>
              <o:lock v:ext="edit" aspectratio="f"/>
            </v:line>
          </w:pict>
        </mc:Fallback>
      </mc:AlternateContent>
    </w:r>
    <w:r>
      <w:rPr>
        <w:b/>
        <w:bCs/>
      </w:rPr>
      <mc:AlternateContent>
        <mc:Choice Requires="wps">
          <w:drawing>
            <wp:anchor distT="0" distB="0" distL="114300" distR="114300" simplePos="0" relativeHeight="251699200" behindDoc="0" locked="0" layoutInCell="1" allowOverlap="1">
              <wp:simplePos x="0" y="0"/>
              <wp:positionH relativeFrom="margin">
                <wp:posOffset>2249170</wp:posOffset>
              </wp:positionH>
              <wp:positionV relativeFrom="paragraph">
                <wp:posOffset>-95250</wp:posOffset>
              </wp:positionV>
              <wp:extent cx="2746375" cy="484505"/>
              <wp:effectExtent l="0" t="0" r="0" b="0"/>
              <wp:wrapNone/>
              <wp:docPr id="74" name="文本框 34"/>
              <wp:cNvGraphicFramePr/>
              <a:graphic xmlns:a="http://schemas.openxmlformats.org/drawingml/2006/main">
                <a:graphicData uri="http://schemas.microsoft.com/office/word/2010/wordprocessingShape">
                  <wps:wsp>
                    <wps:cNvSpPr txBox="1"/>
                    <wps:spPr>
                      <a:xfrm>
                        <a:off x="0" y="0"/>
                        <a:ext cx="2746375" cy="484505"/>
                      </a:xfrm>
                      <a:prstGeom prst="rect">
                        <a:avLst/>
                      </a:prstGeom>
                      <a:noFill/>
                      <a:ln>
                        <a:noFill/>
                      </a:ln>
                    </wps:spPr>
                    <wps:txbx>
                      <w:txbxContent>
                        <w:p w14:paraId="19FB2CFF">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wps:wsp>
                </a:graphicData>
              </a:graphic>
            </wp:anchor>
          </w:drawing>
        </mc:Choice>
        <mc:Fallback>
          <w:pict>
            <v:shape id="文本框 34" o:spid="_x0000_s1026" o:spt="202" type="#_x0000_t202" style="position:absolute;left:0pt;margin-left:177.1pt;margin-top:-7.5pt;height:38.15pt;width:216.25pt;mso-position-horizontal-relative:margin;z-index:251699200;mso-width-relative:page;mso-height-relative:page;" filled="f" stroked="f" coordsize="21600,21600" o:gfxdata="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I0nvfaAAAACgEAAA8AAAAAAAAAAQAgAAAAIgAAAGRycy9kb3ducmV2Lnht&#10;bFBLAQIUABQAAAAIAIdO4kDIJGeGvgEAAHQDAAAOAAAAAAAAAAEAIAAAACkBAABkcnMvZTJvRG9j&#10;LnhtbFBLBQYAAAAABgAGAFkBAABZBQAAAAA=&#10;">
              <v:fill on="f" focussize="0,0"/>
              <v:stroke on="f"/>
              <v:imagedata o:title=""/>
              <o:lock v:ext="edit" aspectratio="f"/>
              <v:textbox inset="0mm,0mm,0mm,0mm">
                <w:txbxContent>
                  <w:p w14:paraId="19FB2CFF">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4B995">
    <w:pPr>
      <w:pStyle w:val="20"/>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BAD17">
    <w:pPr>
      <w:pStyle w:val="20"/>
      <w:spacing w:line="360" w:lineRule="exact"/>
      <w:ind w:firstLine="0" w:firstLineChars="0"/>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85750" cy="228600"/>
              <wp:effectExtent l="0" t="0" r="0" b="0"/>
              <wp:wrapNone/>
              <wp:docPr id="34" name="文本框 5"/>
              <wp:cNvGraphicFramePr/>
              <a:graphic xmlns:a="http://schemas.openxmlformats.org/drawingml/2006/main">
                <a:graphicData uri="http://schemas.microsoft.com/office/word/2010/wordprocessingShape">
                  <wps:wsp>
                    <wps:cNvSpPr txBox="1"/>
                    <wps:spPr>
                      <a:xfrm>
                        <a:off x="0" y="0"/>
                        <a:ext cx="285750" cy="228600"/>
                      </a:xfrm>
                      <a:prstGeom prst="rect">
                        <a:avLst/>
                      </a:prstGeom>
                      <a:noFill/>
                      <a:ln w="6350">
                        <a:noFill/>
                      </a:ln>
                    </wps:spPr>
                    <wps:txbx>
                      <w:txbxContent>
                        <w:p w14:paraId="5E7B212E">
                          <w:pPr>
                            <w:pStyle w:val="20"/>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wps:txbx>
                    <wps:bodyPr lIns="0" tIns="0" rIns="0" bIns="0" upright="1">
                      <a:spAutoFit/>
                    </wps:bodyPr>
                  </wps:wsp>
                </a:graphicData>
              </a:graphic>
            </wp:anchor>
          </w:drawing>
        </mc:Choice>
        <mc:Fallback>
          <w:pict>
            <v:shape id="文本框 5" o:spid="_x0000_s1026" o:spt="202" type="#_x0000_t202" style="position:absolute;left:0pt;margin-top:0pt;height:18pt;width:22.5pt;mso-position-horizontal:center;mso-position-horizontal-relative:margin;z-index:251673600;mso-width-relative:page;mso-height-relative:page;" filled="f" stroked="f" coordsize="21600,21600" o:gfxdata="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SX/K3TAAAAAwEAAA8AAAAAAAAAAQAgAAAAIgAAAGRycy9k&#10;b3ducmV2LnhtbFBLAQIUABQAAAAIAIdO4kD5G3pbzgEAAJUDAAAOAAAAAAAAAAEAIAAAACIBAABk&#10;cnMvZTJvRG9jLnhtbFBLBQYAAAAABgAGAFkBAABiBQAAAAA=&#10;">
              <v:fill on="f" focussize="0,0"/>
              <v:stroke on="f" weight="0.5pt"/>
              <v:imagedata o:title=""/>
              <o:lock v:ext="edit" aspectratio="f"/>
              <v:textbox inset="0mm,0mm,0mm,0mm" style="mso-fit-shape-to-text:t;">
                <w:txbxContent>
                  <w:p w14:paraId="5E7B212E">
                    <w:pPr>
                      <w:pStyle w:val="20"/>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v:textbox>
            </v:shape>
          </w:pict>
        </mc:Fallback>
      </mc:AlternateContent>
    </w:r>
    <w:r>
      <w:rPr>
        <w:b/>
        <w:bCs/>
        <w:sz w:val="21"/>
        <w:szCs w:val="21"/>
      </w:rPr>
      <mc:AlternateContent>
        <mc:Choice Requires="wps">
          <w:drawing>
            <wp:anchor distT="0" distB="0" distL="114300" distR="114300" simplePos="0" relativeHeight="251672576"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33" name="直接连接符 6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65" o:spid="_x0000_s1026" o:spt="20" style="position:absolute;left:0pt;margin-left:90.75pt;margin-top:776.25pt;height:0pt;width:414pt;mso-position-horizontal-relative:page;mso-position-vertical-relative:page;z-index:251672576;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PnTo2QAAAA4BAAAPAAAAAAAAAAEAIAAAACIAAABkcnMvZG93bnJldi54bWxQSwECFAAUAAAACACH&#10;TuJAAwiuE+oBAADBAwAADgAAAAAAAAABACAAAAAoAQAAZHJzL2Uyb0RvYy54bWxQSwUGAAAAAAYA&#10;BgBZAQAAhAUAAAAA&#10;">
              <v:fill on="f" focussize="0,0"/>
              <v:stroke color="#000000" miterlimit="8" joinstyle="miter"/>
              <v:imagedata o:title=""/>
              <o:lock v:ext="edit" aspectratio="f"/>
            </v:line>
          </w:pict>
        </mc:Fallback>
      </mc:AlternateContent>
    </w:r>
    <w:r>
      <w:rPr>
        <w:b/>
        <w:bCs/>
        <w:sz w:val="21"/>
        <w:szCs w:val="21"/>
      </w:rPr>
      <w:t>TEL：0991-3333881</w:t>
    </w:r>
    <w:r>
      <w:rPr>
        <w:rFonts w:hint="eastAsia"/>
        <w:b/>
        <w:bCs/>
        <w:sz w:val="21"/>
        <w:szCs w:val="21"/>
      </w:rPr>
      <w:t xml:space="preserve">                                  新疆恒升融裕环保科技有限公司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4F68B">
    <w:pPr>
      <w:pStyle w:val="20"/>
      <w:spacing w:line="360" w:lineRule="exact"/>
      <w:ind w:firstLine="0" w:firstLineChars="0"/>
      <w:jc w:val="distribute"/>
    </w:pPr>
    <w:r>
      <w:rPr>
        <w:b/>
        <w:bCs/>
        <w:sz w:val="21"/>
        <w:szCs w:val="21"/>
      </w:rPr>
      <mc:AlternateContent>
        <mc:Choice Requires="wps">
          <w:drawing>
            <wp:anchor distT="0" distB="0" distL="114300" distR="114300" simplePos="0" relativeHeight="251674624"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36" name="直接连接符 3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35" o:spid="_x0000_s1026" o:spt="20" style="position:absolute;left:0pt;margin-left:90pt;margin-top:777pt;height:0pt;width:414pt;mso-position-horizontal-relative:page;mso-position-vertical-relative:page;z-index:251674624;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0&#10;6/vYAAAADgEAAA8AAAAAAAAAAQAgAAAAIgAAAGRycy9kb3ducmV2LnhtbFBLAQIUABQAAAAIAIdO&#10;4kB3y93j6gEAAMEDAAAOAAAAAAAAAAEAIAAAACcBAABkcnMvZTJvRG9jLnhtbFBLBQYAAAAABgAG&#10;AFkBAACD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417830" cy="228600"/>
              <wp:effectExtent l="0" t="0" r="0" b="0"/>
              <wp:wrapNone/>
              <wp:docPr id="37" name="文本框 8"/>
              <wp:cNvGraphicFramePr/>
              <a:graphic xmlns:a="http://schemas.openxmlformats.org/drawingml/2006/main">
                <a:graphicData uri="http://schemas.microsoft.com/office/word/2010/wordprocessingShape">
                  <wps:wsp>
                    <wps:cNvSpPr txBox="1"/>
                    <wps:spPr>
                      <a:xfrm>
                        <a:off x="0" y="0"/>
                        <a:ext cx="417830" cy="228600"/>
                      </a:xfrm>
                      <a:prstGeom prst="rect">
                        <a:avLst/>
                      </a:prstGeom>
                      <a:noFill/>
                      <a:ln w="6350">
                        <a:noFill/>
                      </a:ln>
                    </wps:spPr>
                    <wps:txbx>
                      <w:txbxContent>
                        <w:p w14:paraId="0AE484B8">
                          <w:pPr>
                            <w:pStyle w:val="20"/>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wps:txbx>
                    <wps:bodyPr lIns="0" tIns="0" rIns="0" bIns="0" upright="1">
                      <a:spAutoFit/>
                    </wps:bodyPr>
                  </wps:wsp>
                </a:graphicData>
              </a:graphic>
            </wp:anchor>
          </w:drawing>
        </mc:Choice>
        <mc:Fallback>
          <w:pict>
            <v:shape id="文本框 8" o:spid="_x0000_s1026" o:spt="202" type="#_x0000_t202" style="position:absolute;left:0pt;margin-top:0pt;height:18pt;width:32.9pt;mso-position-horizontal:center;mso-position-horizontal-relative:margin;z-index:251675648;mso-width-relative:page;mso-height-relative:page;" filled="f" stroked="f" coordsize="21600,21600" o:gfxdata="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bzcanSAAAAAwEAAA8AAAAAAAAAAQAgAAAAIgAAAGRycy9k&#10;b3ducmV2LnhtbFBLAQIUABQAAAAIAIdO4kDv6iOPzwEAAJUDAAAOAAAAAAAAAAEAIAAAACEBAABk&#10;cnMvZTJvRG9jLnhtbFBLBQYAAAAABgAGAFkBAABiBQAAAAA=&#10;">
              <v:fill on="f" focussize="0,0"/>
              <v:stroke on="f" weight="0.5pt"/>
              <v:imagedata o:title=""/>
              <o:lock v:ext="edit" aspectratio="f"/>
              <v:textbox inset="0mm,0mm,0mm,0mm" style="mso-fit-shape-to-text:t;">
                <w:txbxContent>
                  <w:p w14:paraId="0AE484B8">
                    <w:pPr>
                      <w:pStyle w:val="20"/>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v:textbox>
            </v:shape>
          </w:pict>
        </mc:Fallback>
      </mc:AlternateContent>
    </w:r>
    <w:r>
      <w:rPr>
        <w:rFonts w:hint="eastAsia"/>
        <w:b/>
        <w:bCs/>
        <w:sz w:val="21"/>
        <w:szCs w:val="21"/>
      </w:rPr>
      <w:t xml:space="preserve">新疆恒升融裕环保科技有限公司                             </w:t>
    </w:r>
    <w:r>
      <w:rPr>
        <w:b/>
        <w:bCs/>
        <w:sz w:val="21"/>
        <w:szCs w:val="21"/>
      </w:rPr>
      <w:t>TEL：0991-3333881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E0631">
    <w:pPr>
      <w:pStyle w:val="20"/>
      <w:pBdr>
        <w:top w:val="single" w:color="auto" w:sz="4" w:space="1"/>
        <w:left w:val="none" w:color="auto" w:sz="0" w:space="4"/>
        <w:bottom w:val="none" w:color="auto" w:sz="0" w:space="1"/>
        <w:right w:val="none" w:color="auto" w:sz="0" w:space="4"/>
      </w:pBdr>
      <w:spacing w:line="400" w:lineRule="exact"/>
      <w:ind w:firstLine="0" w:firstLineChars="0"/>
      <w:jc w:val="distribute"/>
      <w:rPr>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365760" cy="254000"/>
              <wp:effectExtent l="0" t="0" r="0" b="0"/>
              <wp:wrapNone/>
              <wp:docPr id="32" name="文本框 9"/>
              <wp:cNvGraphicFramePr/>
              <a:graphic xmlns:a="http://schemas.openxmlformats.org/drawingml/2006/main">
                <a:graphicData uri="http://schemas.microsoft.com/office/word/2010/wordprocessingShape">
                  <wps:wsp>
                    <wps:cNvSpPr txBox="1"/>
                    <wps:spPr>
                      <a:xfrm>
                        <a:off x="0" y="0"/>
                        <a:ext cx="365760" cy="254000"/>
                      </a:xfrm>
                      <a:prstGeom prst="rect">
                        <a:avLst/>
                      </a:prstGeom>
                      <a:noFill/>
                      <a:ln w="6350">
                        <a:noFill/>
                      </a:ln>
                    </wps:spPr>
                    <wps:txbx>
                      <w:txbxContent>
                        <w:p w14:paraId="4F9CE2C9">
                          <w:pPr>
                            <w:pStyle w:val="20"/>
                            <w:spacing w:line="40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185</w:t>
                          </w:r>
                          <w:r>
                            <w:rPr>
                              <w:rFonts w:hint="eastAsia"/>
                              <w:sz w:val="21"/>
                              <w:szCs w:val="21"/>
                            </w:rPr>
                            <w:fldChar w:fldCharType="end"/>
                          </w:r>
                        </w:p>
                      </w:txbxContent>
                    </wps:txbx>
                    <wps:bodyPr lIns="0" tIns="0" rIns="0" bIns="0" upright="1">
                      <a:spAutoFit/>
                    </wps:bodyPr>
                  </wps:wsp>
                </a:graphicData>
              </a:graphic>
            </wp:anchor>
          </w:drawing>
        </mc:Choice>
        <mc:Fallback>
          <w:pict>
            <v:shape id="文本框 9" o:spid="_x0000_s1026" o:spt="202" type="#_x0000_t202" style="position:absolute;left:0pt;margin-top:0pt;height:20pt;width:28.8pt;mso-position-horizontal:center;mso-position-horizontal-relative:margin;z-index:251671552;mso-width-relative:page;mso-height-relative:page;" filled="f" stroked="f" coordsize="21600,21600" o:gfxdata="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8g2c0wAAAAMBAAAPAAAAAAAAAAEAIAAAACIAAABkcnMv&#10;ZG93bnJldi54bWxQSwECFAAUAAAACACHTuJAbLMuL88BAACVAwAADgAAAAAAAAABACAAAAAiAQAA&#10;ZHJzL2Uyb0RvYy54bWxQSwUGAAAAAAYABgBZAQAAYwUAAAAA&#10;">
              <v:fill on="f" focussize="0,0"/>
              <v:stroke on="f" weight="0.5pt"/>
              <v:imagedata o:title=""/>
              <o:lock v:ext="edit" aspectratio="f"/>
              <v:textbox inset="0mm,0mm,0mm,0mm" style="mso-fit-shape-to-text:t;">
                <w:txbxContent>
                  <w:p w14:paraId="4F9CE2C9">
                    <w:pPr>
                      <w:pStyle w:val="20"/>
                      <w:spacing w:line="40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185</w:t>
                    </w:r>
                    <w:r>
                      <w:rPr>
                        <w:rFonts w:hint="eastAsia"/>
                        <w:sz w:val="21"/>
                        <w:szCs w:val="21"/>
                      </w:rPr>
                      <w:fldChar w:fldCharType="end"/>
                    </w:r>
                  </w:p>
                </w:txbxContent>
              </v:textbox>
            </v:shape>
          </w:pict>
        </mc:Fallback>
      </mc:AlternateContent>
    </w:r>
    <w:r>
      <w:rPr>
        <w:b/>
        <w:bCs/>
        <w:sz w:val="21"/>
        <w:szCs w:val="21"/>
      </w:rPr>
      <w:t xml:space="preserve">TEL：0991-3333881                        </w:t>
    </w:r>
    <w:r>
      <w:rPr>
        <w:rFonts w:hint="eastAsia"/>
        <w:b/>
        <w:bCs/>
        <w:sz w:val="21"/>
        <w:szCs w:val="21"/>
      </w:rPr>
      <w:t xml:space="preserve">          </w:t>
    </w:r>
    <w:r>
      <w:rPr>
        <w:b/>
        <w:bCs/>
        <w:sz w:val="21"/>
        <w:szCs w:val="21"/>
      </w:rPr>
      <w:t>新疆恒升融裕环保科技有限公司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3DE8F">
    <w:pPr>
      <w:pStyle w:val="20"/>
      <w:pBdr>
        <w:top w:val="single" w:color="auto" w:sz="4" w:space="1"/>
        <w:left w:val="none" w:color="auto" w:sz="0" w:space="4"/>
        <w:bottom w:val="none" w:color="auto" w:sz="0" w:space="1"/>
        <w:right w:val="none" w:color="auto" w:sz="0" w:space="4"/>
      </w:pBdr>
      <w:spacing w:line="400" w:lineRule="exact"/>
      <w:ind w:firstLine="0" w:firstLineChars="0"/>
      <w:jc w:val="distribute"/>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-12700</wp:posOffset>
              </wp:positionV>
              <wp:extent cx="297815" cy="304800"/>
              <wp:effectExtent l="0" t="0" r="0" b="0"/>
              <wp:wrapNone/>
              <wp:docPr id="31" name="文本框 10"/>
              <wp:cNvGraphicFramePr/>
              <a:graphic xmlns:a="http://schemas.openxmlformats.org/drawingml/2006/main">
                <a:graphicData uri="http://schemas.microsoft.com/office/word/2010/wordprocessingShape">
                  <wps:wsp>
                    <wps:cNvSpPr txBox="1"/>
                    <wps:spPr>
                      <a:xfrm>
                        <a:off x="0" y="0"/>
                        <a:ext cx="297815" cy="304800"/>
                      </a:xfrm>
                      <a:prstGeom prst="rect">
                        <a:avLst/>
                      </a:prstGeom>
                      <a:noFill/>
                      <a:ln>
                        <a:noFill/>
                      </a:ln>
                    </wps:spPr>
                    <wps:txbx>
                      <w:txbxContent>
                        <w:p w14:paraId="71DA685F">
                          <w:pPr>
                            <w:snapToGrid w:val="0"/>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184</w:t>
                          </w:r>
                          <w:r>
                            <w:rPr>
                              <w:rFonts w:hint="eastAsia"/>
                              <w:sz w:val="21"/>
                              <w:szCs w:val="21"/>
                            </w:rPr>
                            <w:fldChar w:fldCharType="end"/>
                          </w:r>
                        </w:p>
                      </w:txbxContent>
                    </wps:txbx>
                    <wps:bodyPr lIns="0" tIns="0" rIns="0" bIns="0" upright="1">
                      <a:spAutoFit/>
                    </wps:bodyPr>
                  </wps:wsp>
                </a:graphicData>
              </a:graphic>
            </wp:anchor>
          </w:drawing>
        </mc:Choice>
        <mc:Fallback>
          <w:pict>
            <v:shape id="文本框 10" o:spid="_x0000_s1026" o:spt="202" type="#_x0000_t202" style="position:absolute;left:0pt;margin-top:-1pt;height:24pt;width:23.45pt;mso-position-horizontal:center;mso-position-horizontal-relative:margin;z-index:251668480;mso-width-relative:page;mso-height-relative:page;" filled="f" stroked="f" coordsize="21600,21600" o:gfxdata="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1ImRNIAAAAFAQAADwAAAAAAAAABACAAAAAiAAAAZHJzL2Rvd25yZXYu&#10;eG1sUEsBAhQAFAAAAAgAh07iQOivL4/IAQAAjQMAAA4AAAAAAAAAAQAgAAAAIQEAAGRycy9lMm9E&#10;b2MueG1sUEsFBgAAAAAGAAYAWQEAAFsFAAAAAA==&#10;">
              <v:fill on="f" focussize="0,0"/>
              <v:stroke on="f"/>
              <v:imagedata o:title=""/>
              <o:lock v:ext="edit" aspectratio="f"/>
              <v:textbox inset="0mm,0mm,0mm,0mm" style="mso-fit-shape-to-text:t;">
                <w:txbxContent>
                  <w:p w14:paraId="71DA685F">
                    <w:pPr>
                      <w:snapToGrid w:val="0"/>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184</w:t>
                    </w:r>
                    <w:r>
                      <w:rPr>
                        <w:rFonts w:hint="eastAsia"/>
                        <w:sz w:val="21"/>
                        <w:szCs w:val="21"/>
                      </w:rPr>
                      <w:fldChar w:fldCharType="end"/>
                    </w:r>
                  </w:p>
                </w:txbxContent>
              </v:textbox>
            </v:shape>
          </w:pict>
        </mc:Fallback>
      </mc:AlternateContent>
    </w:r>
    <w:r>
      <w:rPr>
        <w:b/>
        <w:bC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57260E7">
                          <w:pPr>
                            <w:ind w:firstLine="480"/>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TOsHOAQAAqQMAAA4AAAAAAAAAAQAgAAAAHgEAAGRycy9l&#10;Mm9Eb2MueG1sUEsFBgAAAAAGAAYAWQEAAF4FAAAAAA==&#10;">
              <v:fill on="f" focussize="0,0"/>
              <v:stroke on="f"/>
              <v:imagedata o:title=""/>
              <o:lock v:ext="edit" aspectratio="f"/>
              <v:textbox inset="0mm,0mm,0mm,0mm" style="mso-fit-shape-to-text:t;">
                <w:txbxContent>
                  <w:p w14:paraId="557260E7">
                    <w:pPr>
                      <w:ind w:firstLine="480"/>
                    </w:pPr>
                  </w:p>
                </w:txbxContent>
              </v:textbox>
            </v:shape>
          </w:pict>
        </mc:Fallback>
      </mc:AlternateContent>
    </w:r>
    <w:r>
      <w:rPr>
        <w:rFonts w:hint="eastAsia"/>
        <w:b/>
        <w:bCs/>
        <w:sz w:val="21"/>
        <w:szCs w:val="21"/>
      </w:rPr>
      <w:t xml:space="preserve">新疆恒升融裕环保科技有限公司                                  </w:t>
    </w:r>
    <w:r>
      <w:rPr>
        <w:b/>
        <w:bCs/>
        <w:sz w:val="21"/>
        <w:szCs w:val="21"/>
      </w:rPr>
      <w:t>TEL：0991-3333881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E7231">
    <w:pPr>
      <w:pStyle w:val="20"/>
      <w:ind w:firstLine="0" w:firstLineChars="0"/>
      <w:jc w:val="center"/>
      <w:rPr>
        <w:rFonts w:hint="default" w:eastAsia="宋体"/>
        <w:b/>
        <w:bCs/>
        <w:lang w:val="en-US" w:eastAsia="zh-CN"/>
      </w:rPr>
    </w:pPr>
    <w:r>
      <w:rPr>
        <w:b/>
        <w:bCs/>
        <w:sz w:val="24"/>
      </w:rPr>
      <mc:AlternateContent>
        <mc:Choice Requires="wps">
          <w:drawing>
            <wp:anchor distT="0" distB="0" distL="114300" distR="114300" simplePos="0" relativeHeight="251681792" behindDoc="0" locked="0" layoutInCell="1" allowOverlap="1">
              <wp:simplePos x="0" y="0"/>
              <wp:positionH relativeFrom="column">
                <wp:posOffset>14605</wp:posOffset>
              </wp:positionH>
              <wp:positionV relativeFrom="paragraph">
                <wp:posOffset>-4445</wp:posOffset>
              </wp:positionV>
              <wp:extent cx="5697855" cy="1905"/>
              <wp:effectExtent l="0" t="0" r="0" b="0"/>
              <wp:wrapNone/>
              <wp:docPr id="56" name="直线 15"/>
              <wp:cNvGraphicFramePr/>
              <a:graphic xmlns:a="http://schemas.openxmlformats.org/drawingml/2006/main">
                <a:graphicData uri="http://schemas.microsoft.com/office/word/2010/wordprocessingShape">
                  <wps:wsp>
                    <wps:cNvCnPr/>
                    <wps:spPr>
                      <a:xfrm flipV="1">
                        <a:off x="0" y="0"/>
                        <a:ext cx="5697855" cy="190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线 15" o:spid="_x0000_s1026" o:spt="20" style="position:absolute;left:0pt;flip:y;margin-left:1.15pt;margin-top:-0.35pt;height:0.15pt;width:448.65pt;z-index:251681792;mso-width-relative:page;mso-height-relative:page;" filled="f" stroked="t" coordsize="21600,21600" o:gfxdata="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Bxxo1AAAAAUBAAAPAAAAAAAAAAEAIAAAACIAAABkcnMvZG93bnJldi54bWxQ&#10;SwECFAAUAAAACACHTuJAn9tfzfsBAAD0AwAADgAAAAAAAAABACAAAAAjAQAAZHJzL2Uyb0RvYy54&#10;bWxQSwUGAAAAAAYABgBZAQAAkAUAAAAA&#10;">
              <v:fill on="f" focussize="0,0"/>
              <v:stroke weight="0.5pt" color="#000000" joinstyle="miter"/>
              <v:imagedata o:title=""/>
              <o:lock v:ext="edit" aspectratio="f"/>
            </v:line>
          </w:pict>
        </mc:Fallback>
      </mc:AlternateContent>
    </w:r>
    <w:r>
      <w:rPr>
        <w:b/>
        <w:bCs/>
      </w:rPr>
      <mc:AlternateContent>
        <mc:Choice Requires="wps">
          <w:drawing>
            <wp:anchor distT="0" distB="0" distL="114300" distR="114300" simplePos="0" relativeHeight="251682816" behindDoc="0" locked="0" layoutInCell="1" allowOverlap="1">
              <wp:simplePos x="0" y="0"/>
              <wp:positionH relativeFrom="margin">
                <wp:posOffset>2674620</wp:posOffset>
              </wp:positionH>
              <wp:positionV relativeFrom="paragraph">
                <wp:posOffset>-44450</wp:posOffset>
              </wp:positionV>
              <wp:extent cx="756920" cy="419100"/>
              <wp:effectExtent l="0" t="0" r="0" b="0"/>
              <wp:wrapNone/>
              <wp:docPr id="57" name="文本框 14"/>
              <wp:cNvGraphicFramePr/>
              <a:graphic xmlns:a="http://schemas.openxmlformats.org/drawingml/2006/main">
                <a:graphicData uri="http://schemas.microsoft.com/office/word/2010/wordprocessingShape">
                  <wps:wsp>
                    <wps:cNvSpPr txBox="1"/>
                    <wps:spPr>
                      <a:xfrm>
                        <a:off x="0" y="0"/>
                        <a:ext cx="756920" cy="419100"/>
                      </a:xfrm>
                      <a:prstGeom prst="rect">
                        <a:avLst/>
                      </a:prstGeom>
                      <a:noFill/>
                      <a:ln>
                        <a:noFill/>
                      </a:ln>
                    </wps:spPr>
                    <wps:txbx>
                      <w:txbxContent>
                        <w:p w14:paraId="45F8C248">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wps:txbx>
                    <wps:bodyPr lIns="0" tIns="0" rIns="0" bIns="0" upright="0"/>
                  </wps:wsp>
                </a:graphicData>
              </a:graphic>
            </wp:anchor>
          </w:drawing>
        </mc:Choice>
        <mc:Fallback>
          <w:pict>
            <v:shape id="文本框 14" o:spid="_x0000_s1026" o:spt="202" type="#_x0000_t202" style="position:absolute;left:0pt;margin-left:210.6pt;margin-top:-3.5pt;height:33pt;width:59.6pt;mso-position-horizontal-relative:margin;z-index:251682816;mso-width-relative:page;mso-height-relative:page;" filled="f" stroked="f" coordsize="21600,21600" o:gfxdata="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6ePUjYAAAACQEAAA8AAAAAAAAAAQAgAAAAIgAAAGRycy9kb3ducmV2LnhtbFBL&#10;AQIUABQAAAAIAIdO4kBh6E4jvQEAAHMDAAAOAAAAAAAAAAEAIAAAACcBAABkcnMvZTJvRG9jLnht&#10;bFBLBQYAAAAABgAGAFkBAABWBQAAAAA=&#10;">
              <v:fill on="f" focussize="0,0"/>
              <v:stroke on="f"/>
              <v:imagedata o:title=""/>
              <o:lock v:ext="edit" aspectratio="f"/>
              <v:textbox inset="0mm,0mm,0mm,0mm">
                <w:txbxContent>
                  <w:p w14:paraId="45F8C248">
                    <w:pPr>
                      <w:pStyle w:val="20"/>
                      <w:spacing w:before="120" w:after="120"/>
                      <w:ind w:firstLine="360"/>
                      <w:jc w:val="both"/>
                      <w:rPr>
                        <w:rFonts w:hint="eastAsia"/>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42</w:t>
                    </w:r>
                    <w:r>
                      <w:rPr>
                        <w:rFonts w:hint="eastAsia"/>
                        <w:sz w:val="21"/>
                      </w:rPr>
                      <w:fldChar w:fldCharType="end"/>
                    </w:r>
                  </w:p>
                </w:txbxContent>
              </v:textbox>
            </v:shape>
          </w:pict>
        </mc:Fallback>
      </mc:AlternateContent>
    </w:r>
    <w:r>
      <w:rPr>
        <w:rFonts w:hint="eastAsia" w:cs="Times New Roman"/>
        <w:b/>
        <w:bCs/>
        <w:sz w:val="21"/>
      </w:rPr>
      <w:t>新疆</w:t>
    </w:r>
    <w:r>
      <w:rPr>
        <w:rFonts w:hint="eastAsia" w:cs="Times New Roman"/>
        <w:b/>
        <w:bCs/>
        <w:sz w:val="21"/>
        <w:lang w:val="en-US" w:eastAsia="zh-CN"/>
      </w:rPr>
      <w:t>恒升融裕</w:t>
    </w:r>
    <w:r>
      <w:rPr>
        <w:rFonts w:hint="eastAsia" w:cs="Times New Roman"/>
        <w:b/>
        <w:bCs/>
        <w:sz w:val="21"/>
      </w:rPr>
      <w:t>环保科技有限公司</w:t>
    </w:r>
    <w:r>
      <w:rPr>
        <w:rFonts w:hint="eastAsia" w:cs="Times New Roman"/>
        <w:b/>
        <w:bCs/>
        <w:sz w:val="21"/>
        <w:lang w:val="en-US" w:eastAsia="zh-CN"/>
      </w:rPr>
      <w:t xml:space="preserve">                                         </w:t>
    </w:r>
    <w:r>
      <w:rPr>
        <w:rFonts w:hint="eastAsia" w:cs="Times New Roman"/>
        <w:b/>
        <w:bCs/>
        <w:sz w:val="21"/>
      </w:rPr>
      <w:t xml:space="preserve">    </w:t>
    </w:r>
    <w:r>
      <w:rPr>
        <w:rFonts w:cs="Times New Roman"/>
        <w:b/>
        <w:bCs/>
        <w:sz w:val="21"/>
      </w:rPr>
      <w:t>0991</w:t>
    </w:r>
    <w:r>
      <w:rPr>
        <w:rFonts w:hint="eastAsia" w:cs="Times New Roman"/>
        <w:b/>
        <w:bCs/>
        <w:sz w:val="21"/>
        <w:lang w:val="en-US" w:eastAsia="zh-CN"/>
      </w:rPr>
      <w:t>-3333881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83B5">
    <w:pPr>
      <w:pStyle w:val="20"/>
      <w:pBdr>
        <w:top w:val="single" w:color="auto" w:sz="4" w:space="1"/>
        <w:left w:val="none" w:color="auto" w:sz="0" w:space="4"/>
        <w:bottom w:val="none" w:color="auto" w:sz="0" w:space="1"/>
        <w:right w:val="none" w:color="auto" w:sz="0" w:space="4"/>
      </w:pBdr>
      <w:spacing w:line="400" w:lineRule="exact"/>
      <w:ind w:firstLine="0" w:firstLineChars="0"/>
      <w:jc w:val="distribute"/>
      <w:rPr>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365760" cy="254000"/>
              <wp:effectExtent l="0" t="0" r="0" b="0"/>
              <wp:wrapNone/>
              <wp:docPr id="93" name="文本框 54"/>
              <wp:cNvGraphicFramePr/>
              <a:graphic xmlns:a="http://schemas.openxmlformats.org/drawingml/2006/main">
                <a:graphicData uri="http://schemas.microsoft.com/office/word/2010/wordprocessingShape">
                  <wps:wsp>
                    <wps:cNvSpPr txBox="1"/>
                    <wps:spPr>
                      <a:xfrm>
                        <a:off x="0" y="0"/>
                        <a:ext cx="365760" cy="254000"/>
                      </a:xfrm>
                      <a:prstGeom prst="rect">
                        <a:avLst/>
                      </a:prstGeom>
                      <a:noFill/>
                      <a:ln w="6350">
                        <a:noFill/>
                      </a:ln>
                    </wps:spPr>
                    <wps:txbx>
                      <w:txbxContent>
                        <w:p w14:paraId="60F0CDF5">
                          <w:pPr>
                            <w:pStyle w:val="20"/>
                            <w:spacing w:line="40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185</w:t>
                          </w:r>
                          <w:r>
                            <w:rPr>
                              <w:rFonts w:hint="eastAsia"/>
                              <w:sz w:val="21"/>
                              <w:szCs w:val="21"/>
                            </w:rPr>
                            <w:fldChar w:fldCharType="end"/>
                          </w:r>
                        </w:p>
                      </w:txbxContent>
                    </wps:txbx>
                    <wps:bodyPr lIns="0" tIns="0" rIns="0" bIns="0" upright="1">
                      <a:spAutoFit/>
                    </wps:bodyPr>
                  </wps:wsp>
                </a:graphicData>
              </a:graphic>
            </wp:anchor>
          </w:drawing>
        </mc:Choice>
        <mc:Fallback>
          <w:pict>
            <v:shape id="文本框 54" o:spid="_x0000_s1026" o:spt="202" type="#_x0000_t202" style="position:absolute;left:0pt;margin-top:0pt;height:20pt;width:28.8pt;mso-position-horizontal:center;mso-position-horizontal-relative:margin;z-index:251724800;mso-width-relative:page;mso-height-relative:page;" filled="f" stroked="f" coordsize="21600,21600" o:gfxdata="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PINnNMAAAADAQAADwAAAAAAAAABACAAAAAiAAAAZHJz&#10;L2Rvd25yZXYueG1sUEsBAhQAFAAAAAgAh07iQCj3oM3QAQAAlgMAAA4AAAAAAAAAAQAgAAAAIgEA&#10;AGRycy9lMm9Eb2MueG1sUEsFBgAAAAAGAAYAWQEAAGQFAAAAAA==&#10;">
              <v:fill on="f" focussize="0,0"/>
              <v:stroke on="f" weight="0.5pt"/>
              <v:imagedata o:title=""/>
              <o:lock v:ext="edit" aspectratio="f"/>
              <v:textbox inset="0mm,0mm,0mm,0mm" style="mso-fit-shape-to-text:t;">
                <w:txbxContent>
                  <w:p w14:paraId="60F0CDF5">
                    <w:pPr>
                      <w:pStyle w:val="20"/>
                      <w:spacing w:line="40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185</w:t>
                    </w:r>
                    <w:r>
                      <w:rPr>
                        <w:rFonts w:hint="eastAsia"/>
                        <w:sz w:val="21"/>
                        <w:szCs w:val="21"/>
                      </w:rPr>
                      <w:fldChar w:fldCharType="end"/>
                    </w:r>
                  </w:p>
                </w:txbxContent>
              </v:textbox>
            </v:shape>
          </w:pict>
        </mc:Fallback>
      </mc:AlternateContent>
    </w:r>
    <w:r>
      <w:rPr>
        <w:b/>
        <w:bCs/>
        <w:sz w:val="21"/>
        <w:szCs w:val="21"/>
      </w:rPr>
      <w:t xml:space="preserve">TEL：0991-3333881                        </w:t>
    </w:r>
    <w:r>
      <w:rPr>
        <w:rFonts w:hint="eastAsia"/>
        <w:b/>
        <w:bCs/>
        <w:sz w:val="21"/>
        <w:szCs w:val="21"/>
      </w:rPr>
      <w:t xml:space="preserve">          </w:t>
    </w:r>
    <w:r>
      <w:rPr>
        <w:b/>
        <w:bCs/>
        <w:sz w:val="21"/>
        <w:szCs w:val="21"/>
      </w:rPr>
      <w:t>新疆恒升融裕环保科技有限公司</w:t>
    </w:r>
  </w:p>
  <w:p w14:paraId="3CBDDE3B">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23862">
    <w:pPr>
      <w:pStyle w:val="21"/>
      <w:pBdr>
        <w:bottom w:val="thinThickMediumGap" w:color="auto" w:sz="18" w:space="1"/>
      </w:pBdr>
      <w:ind w:firstLine="0" w:firstLineChars="0"/>
      <w:rPr>
        <w:sz w:val="21"/>
        <w:szCs w:val="21"/>
      </w:rPr>
    </w:pPr>
    <w:r>
      <w:rPr>
        <w:rFonts w:hint="eastAsia"/>
        <w:sz w:val="21"/>
        <w:szCs w:val="21"/>
      </w:rPr>
      <w:t>新疆富蕴县阿克塔斯矿区金矿选矿及尾矿库项目环境影响报告书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40849">
    <w:pPr>
      <w:pStyle w:val="21"/>
      <w:pBdr>
        <w:bottom w:val="thinThickMediumGap" w:color="auto" w:sz="18" w:space="1"/>
      </w:pBdr>
      <w:ind w:firstLine="0" w:firstLineChars="0"/>
    </w:pPr>
    <w:r>
      <w:rPr>
        <w:rFonts w:hint="eastAsia"/>
        <w:sz w:val="21"/>
        <w:szCs w:val="21"/>
      </w:rPr>
      <w:t>新疆富蕴县阿克塔斯矿区金矿选矿及尾矿库项目环境影响报告书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DCBFC">
    <w:pPr>
      <w:pStyle w:val="21"/>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4B236">
    <w:pPr>
      <w:pStyle w:val="21"/>
      <w:pBdr>
        <w:bottom w:val="thinThickSmallGap" w:color="auto" w:sz="12" w:space="1"/>
      </w:pBdr>
      <w:ind w:firstLine="0" w:firstLineChars="0"/>
      <w:rPr>
        <w:b/>
        <w:sz w:val="21"/>
        <w:szCs w:val="21"/>
      </w:rPr>
    </w:pPr>
    <w:r>
      <w:rPr>
        <w:rFonts w:hint="eastAsia"/>
        <w:sz w:val="21"/>
        <w:szCs w:val="21"/>
      </w:rPr>
      <w:t>新疆富蕴县阿克塔斯矿区金矿选矿及尾矿库项目环境影响报告书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8CD80">
    <w:pPr>
      <w:pStyle w:val="21"/>
      <w:pBdr>
        <w:bottom w:val="thinThickSmallGap" w:color="auto" w:sz="12" w:space="1"/>
      </w:pBdr>
      <w:ind w:firstLine="0" w:firstLineChars="0"/>
    </w:pPr>
    <w:r>
      <w:rPr>
        <w:rFonts w:hint="eastAsia"/>
        <w:sz w:val="21"/>
        <w:szCs w:val="21"/>
      </w:rPr>
      <w:t>新疆富蕴县阿克塔斯矿区金矿选矿及尾矿库项目环境影响报告书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A37E"/>
    <w:multiLevelType w:val="singleLevel"/>
    <w:tmpl w:val="9239A37E"/>
    <w:lvl w:ilvl="0" w:tentative="0">
      <w:start w:val="2"/>
      <w:numFmt w:val="decimal"/>
      <w:suff w:val="nothing"/>
      <w:lvlText w:val="%1）"/>
      <w:lvlJc w:val="left"/>
    </w:lvl>
  </w:abstractNum>
  <w:abstractNum w:abstractNumId="1">
    <w:nsid w:val="9A4A6084"/>
    <w:multiLevelType w:val="singleLevel"/>
    <w:tmpl w:val="9A4A6084"/>
    <w:lvl w:ilvl="0" w:tentative="0">
      <w:start w:val="1"/>
      <w:numFmt w:val="decimal"/>
      <w:suff w:val="nothing"/>
      <w:lvlText w:val="%1）"/>
      <w:lvlJc w:val="left"/>
    </w:lvl>
  </w:abstractNum>
  <w:abstractNum w:abstractNumId="2">
    <w:nsid w:val="B295BDDF"/>
    <w:multiLevelType w:val="singleLevel"/>
    <w:tmpl w:val="B295BDDF"/>
    <w:lvl w:ilvl="0" w:tentative="0">
      <w:start w:val="1"/>
      <w:numFmt w:val="decimal"/>
      <w:suff w:val="nothing"/>
      <w:lvlText w:val="%1）"/>
      <w:lvlJc w:val="left"/>
    </w:lvl>
  </w:abstractNum>
  <w:abstractNum w:abstractNumId="3">
    <w:nsid w:val="CF6B7743"/>
    <w:multiLevelType w:val="singleLevel"/>
    <w:tmpl w:val="CF6B7743"/>
    <w:lvl w:ilvl="0" w:tentative="0">
      <w:start w:val="1"/>
      <w:numFmt w:val="lowerLetter"/>
      <w:suff w:val="nothing"/>
      <w:lvlText w:val="%1、"/>
      <w:lvlJc w:val="left"/>
    </w:lvl>
  </w:abstractNum>
  <w:abstractNum w:abstractNumId="4">
    <w:nsid w:val="D164445F"/>
    <w:multiLevelType w:val="singleLevel"/>
    <w:tmpl w:val="D164445F"/>
    <w:lvl w:ilvl="0" w:tentative="0">
      <w:start w:val="1"/>
      <w:numFmt w:val="decimal"/>
      <w:suff w:val="nothing"/>
      <w:lvlText w:val="%1）"/>
      <w:lvlJc w:val="left"/>
    </w:lvl>
  </w:abstractNum>
  <w:abstractNum w:abstractNumId="5">
    <w:nsid w:val="DA6D931D"/>
    <w:multiLevelType w:val="singleLevel"/>
    <w:tmpl w:val="DA6D931D"/>
    <w:lvl w:ilvl="0" w:tentative="0">
      <w:start w:val="1"/>
      <w:numFmt w:val="decimal"/>
      <w:lvlText w:val="%1."/>
      <w:lvlJc w:val="left"/>
      <w:pPr>
        <w:tabs>
          <w:tab w:val="left" w:pos="312"/>
        </w:tabs>
      </w:pPr>
    </w:lvl>
  </w:abstractNum>
  <w:abstractNum w:abstractNumId="6">
    <w:nsid w:val="13B9B85F"/>
    <w:multiLevelType w:val="singleLevel"/>
    <w:tmpl w:val="13B9B85F"/>
    <w:lvl w:ilvl="0" w:tentative="0">
      <w:start w:val="1"/>
      <w:numFmt w:val="decimal"/>
      <w:pStyle w:val="17"/>
      <w:lvlText w:val="%1."/>
      <w:lvlJc w:val="left"/>
      <w:pPr>
        <w:tabs>
          <w:tab w:val="left" w:pos="2040"/>
        </w:tabs>
        <w:ind w:left="2040" w:hanging="360"/>
      </w:pPr>
    </w:lvl>
  </w:abstractNum>
  <w:abstractNum w:abstractNumId="7">
    <w:nsid w:val="23C3AA7A"/>
    <w:multiLevelType w:val="singleLevel"/>
    <w:tmpl w:val="23C3AA7A"/>
    <w:lvl w:ilvl="0" w:tentative="0">
      <w:start w:val="2"/>
      <w:numFmt w:val="decimal"/>
      <w:suff w:val="nothing"/>
      <w:lvlText w:val="（%1）"/>
      <w:lvlJc w:val="left"/>
    </w:lvl>
  </w:abstractNum>
  <w:abstractNum w:abstractNumId="8">
    <w:nsid w:val="5FF2DAD4"/>
    <w:multiLevelType w:val="singleLevel"/>
    <w:tmpl w:val="5FF2DAD4"/>
    <w:lvl w:ilvl="0" w:tentative="0">
      <w:start w:val="2"/>
      <w:numFmt w:val="decimal"/>
      <w:suff w:val="nothing"/>
      <w:lvlText w:val="（%1）"/>
      <w:lvlJc w:val="left"/>
    </w:lvl>
  </w:abstractNum>
  <w:abstractNum w:abstractNumId="9">
    <w:nsid w:val="791BFB65"/>
    <w:multiLevelType w:val="singleLevel"/>
    <w:tmpl w:val="791BFB65"/>
    <w:lvl w:ilvl="0" w:tentative="0">
      <w:start w:val="1"/>
      <w:numFmt w:val="decimal"/>
      <w:lvlText w:val="%1."/>
      <w:lvlJc w:val="left"/>
      <w:pPr>
        <w:tabs>
          <w:tab w:val="left" w:pos="312"/>
        </w:tabs>
      </w:pPr>
    </w:lvl>
  </w:abstractNum>
  <w:num w:numId="1">
    <w:abstractNumId w:val="6"/>
  </w:num>
  <w:num w:numId="2">
    <w:abstractNumId w:val="8"/>
  </w:num>
  <w:num w:numId="3">
    <w:abstractNumId w:val="9"/>
  </w:num>
  <w:num w:numId="4">
    <w:abstractNumId w:val="5"/>
  </w:num>
  <w:num w:numId="5">
    <w:abstractNumId w:val="0"/>
  </w:num>
  <w:num w:numId="6">
    <w:abstractNumId w:val="2"/>
  </w:num>
  <w:num w:numId="7">
    <w:abstractNumId w:val="7"/>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27"/>
    <w:rsid w:val="00000928"/>
    <w:rsid w:val="00001378"/>
    <w:rsid w:val="00002B7F"/>
    <w:rsid w:val="00003F25"/>
    <w:rsid w:val="000055C3"/>
    <w:rsid w:val="00005994"/>
    <w:rsid w:val="00006067"/>
    <w:rsid w:val="00006D10"/>
    <w:rsid w:val="000071C6"/>
    <w:rsid w:val="00010DD6"/>
    <w:rsid w:val="00012D8A"/>
    <w:rsid w:val="00013060"/>
    <w:rsid w:val="0001665B"/>
    <w:rsid w:val="000208CB"/>
    <w:rsid w:val="00020BA2"/>
    <w:rsid w:val="00024266"/>
    <w:rsid w:val="00024820"/>
    <w:rsid w:val="0002692C"/>
    <w:rsid w:val="00027826"/>
    <w:rsid w:val="00030280"/>
    <w:rsid w:val="0003119F"/>
    <w:rsid w:val="00031FBE"/>
    <w:rsid w:val="000323BE"/>
    <w:rsid w:val="00034656"/>
    <w:rsid w:val="00035D9B"/>
    <w:rsid w:val="0003631D"/>
    <w:rsid w:val="00036F88"/>
    <w:rsid w:val="00037162"/>
    <w:rsid w:val="0004072C"/>
    <w:rsid w:val="00041427"/>
    <w:rsid w:val="00041549"/>
    <w:rsid w:val="00043D5D"/>
    <w:rsid w:val="000444B7"/>
    <w:rsid w:val="00046AD3"/>
    <w:rsid w:val="000510CF"/>
    <w:rsid w:val="00052470"/>
    <w:rsid w:val="000535E1"/>
    <w:rsid w:val="00053BE9"/>
    <w:rsid w:val="0005416D"/>
    <w:rsid w:val="000551D8"/>
    <w:rsid w:val="0005589E"/>
    <w:rsid w:val="000562C6"/>
    <w:rsid w:val="000562EC"/>
    <w:rsid w:val="00063AAB"/>
    <w:rsid w:val="00065A59"/>
    <w:rsid w:val="000667D5"/>
    <w:rsid w:val="0006768F"/>
    <w:rsid w:val="000676DA"/>
    <w:rsid w:val="000744D0"/>
    <w:rsid w:val="00080831"/>
    <w:rsid w:val="00081E38"/>
    <w:rsid w:val="00082865"/>
    <w:rsid w:val="00085E34"/>
    <w:rsid w:val="000863C9"/>
    <w:rsid w:val="00086597"/>
    <w:rsid w:val="0009257E"/>
    <w:rsid w:val="00095B1F"/>
    <w:rsid w:val="000960DB"/>
    <w:rsid w:val="0009626A"/>
    <w:rsid w:val="00096C83"/>
    <w:rsid w:val="000A0881"/>
    <w:rsid w:val="000A1609"/>
    <w:rsid w:val="000A32A6"/>
    <w:rsid w:val="000A37FD"/>
    <w:rsid w:val="000A4FF4"/>
    <w:rsid w:val="000A5484"/>
    <w:rsid w:val="000A57E4"/>
    <w:rsid w:val="000A5819"/>
    <w:rsid w:val="000A74DB"/>
    <w:rsid w:val="000A7875"/>
    <w:rsid w:val="000A7EC3"/>
    <w:rsid w:val="000B37DE"/>
    <w:rsid w:val="000B39B7"/>
    <w:rsid w:val="000B41C7"/>
    <w:rsid w:val="000B5443"/>
    <w:rsid w:val="000B5AB4"/>
    <w:rsid w:val="000B5D97"/>
    <w:rsid w:val="000B72FC"/>
    <w:rsid w:val="000C042F"/>
    <w:rsid w:val="000C0501"/>
    <w:rsid w:val="000C1636"/>
    <w:rsid w:val="000C1CD6"/>
    <w:rsid w:val="000C4849"/>
    <w:rsid w:val="000C5448"/>
    <w:rsid w:val="000C59C6"/>
    <w:rsid w:val="000C6429"/>
    <w:rsid w:val="000C6692"/>
    <w:rsid w:val="000D16CC"/>
    <w:rsid w:val="000D27C1"/>
    <w:rsid w:val="000D4539"/>
    <w:rsid w:val="000D5D95"/>
    <w:rsid w:val="000D63AD"/>
    <w:rsid w:val="000D6A2D"/>
    <w:rsid w:val="000D7704"/>
    <w:rsid w:val="000D7CB4"/>
    <w:rsid w:val="000E3595"/>
    <w:rsid w:val="000E4D4D"/>
    <w:rsid w:val="000E6A35"/>
    <w:rsid w:val="000E791F"/>
    <w:rsid w:val="000F64CC"/>
    <w:rsid w:val="000F76B7"/>
    <w:rsid w:val="00100570"/>
    <w:rsid w:val="00100967"/>
    <w:rsid w:val="0010306B"/>
    <w:rsid w:val="001049F4"/>
    <w:rsid w:val="00105FDF"/>
    <w:rsid w:val="00107680"/>
    <w:rsid w:val="001076CD"/>
    <w:rsid w:val="00111053"/>
    <w:rsid w:val="00111BBF"/>
    <w:rsid w:val="00115EAA"/>
    <w:rsid w:val="0011752B"/>
    <w:rsid w:val="00121592"/>
    <w:rsid w:val="00123A23"/>
    <w:rsid w:val="00125EB7"/>
    <w:rsid w:val="00131F96"/>
    <w:rsid w:val="00134722"/>
    <w:rsid w:val="001353E6"/>
    <w:rsid w:val="00136F87"/>
    <w:rsid w:val="001370B5"/>
    <w:rsid w:val="00140394"/>
    <w:rsid w:val="001409AB"/>
    <w:rsid w:val="00142E93"/>
    <w:rsid w:val="0014625D"/>
    <w:rsid w:val="00146C6B"/>
    <w:rsid w:val="001516D0"/>
    <w:rsid w:val="00151EE6"/>
    <w:rsid w:val="001525CB"/>
    <w:rsid w:val="001539D6"/>
    <w:rsid w:val="00153AF5"/>
    <w:rsid w:val="001542FB"/>
    <w:rsid w:val="00154999"/>
    <w:rsid w:val="00155208"/>
    <w:rsid w:val="0016079A"/>
    <w:rsid w:val="00161633"/>
    <w:rsid w:val="00161B1C"/>
    <w:rsid w:val="00162572"/>
    <w:rsid w:val="00162EC4"/>
    <w:rsid w:val="001639D2"/>
    <w:rsid w:val="00165300"/>
    <w:rsid w:val="00170C8B"/>
    <w:rsid w:val="00171284"/>
    <w:rsid w:val="00171AA4"/>
    <w:rsid w:val="0017240E"/>
    <w:rsid w:val="0017259D"/>
    <w:rsid w:val="00172A27"/>
    <w:rsid w:val="001760CE"/>
    <w:rsid w:val="00180C84"/>
    <w:rsid w:val="00180EF2"/>
    <w:rsid w:val="00180FD6"/>
    <w:rsid w:val="00182055"/>
    <w:rsid w:val="00182AB3"/>
    <w:rsid w:val="00183C41"/>
    <w:rsid w:val="00186108"/>
    <w:rsid w:val="001861F3"/>
    <w:rsid w:val="00187838"/>
    <w:rsid w:val="00187AE1"/>
    <w:rsid w:val="00187CBB"/>
    <w:rsid w:val="00191344"/>
    <w:rsid w:val="0019140C"/>
    <w:rsid w:val="00193998"/>
    <w:rsid w:val="00194CD0"/>
    <w:rsid w:val="00195590"/>
    <w:rsid w:val="001961CC"/>
    <w:rsid w:val="001A31FE"/>
    <w:rsid w:val="001A4F97"/>
    <w:rsid w:val="001B316E"/>
    <w:rsid w:val="001B36E2"/>
    <w:rsid w:val="001B6B47"/>
    <w:rsid w:val="001B6BD5"/>
    <w:rsid w:val="001B70E2"/>
    <w:rsid w:val="001B7ABB"/>
    <w:rsid w:val="001C03E1"/>
    <w:rsid w:val="001C1439"/>
    <w:rsid w:val="001C350B"/>
    <w:rsid w:val="001C4261"/>
    <w:rsid w:val="001C5E7A"/>
    <w:rsid w:val="001C6CAD"/>
    <w:rsid w:val="001C6D79"/>
    <w:rsid w:val="001C79F0"/>
    <w:rsid w:val="001D0E71"/>
    <w:rsid w:val="001D0E8F"/>
    <w:rsid w:val="001D0F43"/>
    <w:rsid w:val="001D23B1"/>
    <w:rsid w:val="001D2523"/>
    <w:rsid w:val="001D310D"/>
    <w:rsid w:val="001D61AF"/>
    <w:rsid w:val="001D63BF"/>
    <w:rsid w:val="001E053D"/>
    <w:rsid w:val="001E0918"/>
    <w:rsid w:val="001E2C49"/>
    <w:rsid w:val="001E6F69"/>
    <w:rsid w:val="001F129A"/>
    <w:rsid w:val="001F1F04"/>
    <w:rsid w:val="001F2B80"/>
    <w:rsid w:val="001F2C0B"/>
    <w:rsid w:val="001F4C94"/>
    <w:rsid w:val="001F62B7"/>
    <w:rsid w:val="001F68FD"/>
    <w:rsid w:val="001F6BCA"/>
    <w:rsid w:val="001F70AB"/>
    <w:rsid w:val="00200CCC"/>
    <w:rsid w:val="00202F5B"/>
    <w:rsid w:val="002047DD"/>
    <w:rsid w:val="00205595"/>
    <w:rsid w:val="0020609D"/>
    <w:rsid w:val="00206C23"/>
    <w:rsid w:val="0021055F"/>
    <w:rsid w:val="00211339"/>
    <w:rsid w:val="00211EC8"/>
    <w:rsid w:val="00213291"/>
    <w:rsid w:val="00213AF5"/>
    <w:rsid w:val="00217327"/>
    <w:rsid w:val="00220F60"/>
    <w:rsid w:val="00221A04"/>
    <w:rsid w:val="00222E8E"/>
    <w:rsid w:val="0022393B"/>
    <w:rsid w:val="00227270"/>
    <w:rsid w:val="00227EE5"/>
    <w:rsid w:val="00230957"/>
    <w:rsid w:val="00230CA7"/>
    <w:rsid w:val="00230EE9"/>
    <w:rsid w:val="00231C02"/>
    <w:rsid w:val="00233495"/>
    <w:rsid w:val="002343D5"/>
    <w:rsid w:val="00245013"/>
    <w:rsid w:val="002460E2"/>
    <w:rsid w:val="00247EF9"/>
    <w:rsid w:val="00247F27"/>
    <w:rsid w:val="00250288"/>
    <w:rsid w:val="0025233D"/>
    <w:rsid w:val="00252453"/>
    <w:rsid w:val="0025340F"/>
    <w:rsid w:val="00253CF6"/>
    <w:rsid w:val="002541A4"/>
    <w:rsid w:val="00254A27"/>
    <w:rsid w:val="0025516B"/>
    <w:rsid w:val="00255389"/>
    <w:rsid w:val="002576E8"/>
    <w:rsid w:val="002601EF"/>
    <w:rsid w:val="00260C75"/>
    <w:rsid w:val="00261512"/>
    <w:rsid w:val="002618E9"/>
    <w:rsid w:val="0026301E"/>
    <w:rsid w:val="00264DF5"/>
    <w:rsid w:val="002655B2"/>
    <w:rsid w:val="00270F18"/>
    <w:rsid w:val="0027221F"/>
    <w:rsid w:val="00272325"/>
    <w:rsid w:val="0027342C"/>
    <w:rsid w:val="00274E36"/>
    <w:rsid w:val="0027784F"/>
    <w:rsid w:val="00281B7F"/>
    <w:rsid w:val="002835D6"/>
    <w:rsid w:val="0028492E"/>
    <w:rsid w:val="00284CB0"/>
    <w:rsid w:val="00287121"/>
    <w:rsid w:val="002874E5"/>
    <w:rsid w:val="00287D0C"/>
    <w:rsid w:val="00290293"/>
    <w:rsid w:val="00290605"/>
    <w:rsid w:val="00291773"/>
    <w:rsid w:val="00291C0D"/>
    <w:rsid w:val="00292151"/>
    <w:rsid w:val="002933F2"/>
    <w:rsid w:val="00295643"/>
    <w:rsid w:val="00296499"/>
    <w:rsid w:val="002A0AA3"/>
    <w:rsid w:val="002A3AD7"/>
    <w:rsid w:val="002A5A26"/>
    <w:rsid w:val="002A5C34"/>
    <w:rsid w:val="002B21F5"/>
    <w:rsid w:val="002B2383"/>
    <w:rsid w:val="002B4191"/>
    <w:rsid w:val="002B4C53"/>
    <w:rsid w:val="002B54ED"/>
    <w:rsid w:val="002B60B8"/>
    <w:rsid w:val="002B644F"/>
    <w:rsid w:val="002B6A48"/>
    <w:rsid w:val="002C16EF"/>
    <w:rsid w:val="002C28F9"/>
    <w:rsid w:val="002C2E48"/>
    <w:rsid w:val="002C44AC"/>
    <w:rsid w:val="002C6AB9"/>
    <w:rsid w:val="002C6E9A"/>
    <w:rsid w:val="002D25C1"/>
    <w:rsid w:val="002D3DCC"/>
    <w:rsid w:val="002D500E"/>
    <w:rsid w:val="002D526D"/>
    <w:rsid w:val="002D5FB3"/>
    <w:rsid w:val="002D6BC3"/>
    <w:rsid w:val="002D7D6E"/>
    <w:rsid w:val="002E2618"/>
    <w:rsid w:val="002E366F"/>
    <w:rsid w:val="002E37C4"/>
    <w:rsid w:val="002E500A"/>
    <w:rsid w:val="002E5ECF"/>
    <w:rsid w:val="002F0059"/>
    <w:rsid w:val="002F0337"/>
    <w:rsid w:val="002F0A7D"/>
    <w:rsid w:val="002F0FD0"/>
    <w:rsid w:val="002F17CD"/>
    <w:rsid w:val="002F3C24"/>
    <w:rsid w:val="002F3E4E"/>
    <w:rsid w:val="002F69DA"/>
    <w:rsid w:val="002F74BF"/>
    <w:rsid w:val="002F7641"/>
    <w:rsid w:val="00300979"/>
    <w:rsid w:val="00303ABB"/>
    <w:rsid w:val="00303F6B"/>
    <w:rsid w:val="0030400C"/>
    <w:rsid w:val="00304069"/>
    <w:rsid w:val="00311938"/>
    <w:rsid w:val="003123A1"/>
    <w:rsid w:val="00315463"/>
    <w:rsid w:val="003174AC"/>
    <w:rsid w:val="003206B5"/>
    <w:rsid w:val="00320C4E"/>
    <w:rsid w:val="0032106F"/>
    <w:rsid w:val="003254B8"/>
    <w:rsid w:val="00326E03"/>
    <w:rsid w:val="00327710"/>
    <w:rsid w:val="00327790"/>
    <w:rsid w:val="0033293F"/>
    <w:rsid w:val="0033451D"/>
    <w:rsid w:val="00334E0F"/>
    <w:rsid w:val="00334EAC"/>
    <w:rsid w:val="00335AB9"/>
    <w:rsid w:val="00340DB5"/>
    <w:rsid w:val="0034161C"/>
    <w:rsid w:val="00342CC9"/>
    <w:rsid w:val="00342E63"/>
    <w:rsid w:val="003446F9"/>
    <w:rsid w:val="0034617F"/>
    <w:rsid w:val="0034691E"/>
    <w:rsid w:val="00347899"/>
    <w:rsid w:val="00352F68"/>
    <w:rsid w:val="003537C5"/>
    <w:rsid w:val="00362C83"/>
    <w:rsid w:val="00362E56"/>
    <w:rsid w:val="00365376"/>
    <w:rsid w:val="003659B3"/>
    <w:rsid w:val="00365D81"/>
    <w:rsid w:val="00366231"/>
    <w:rsid w:val="00372901"/>
    <w:rsid w:val="003735BF"/>
    <w:rsid w:val="00373EAB"/>
    <w:rsid w:val="00375C7D"/>
    <w:rsid w:val="00377621"/>
    <w:rsid w:val="00380DF9"/>
    <w:rsid w:val="00381221"/>
    <w:rsid w:val="00385943"/>
    <w:rsid w:val="003860FC"/>
    <w:rsid w:val="00386868"/>
    <w:rsid w:val="0038770F"/>
    <w:rsid w:val="00387F25"/>
    <w:rsid w:val="00390ABB"/>
    <w:rsid w:val="00392F66"/>
    <w:rsid w:val="00396FA1"/>
    <w:rsid w:val="003A002D"/>
    <w:rsid w:val="003A2380"/>
    <w:rsid w:val="003A28E0"/>
    <w:rsid w:val="003A3402"/>
    <w:rsid w:val="003A352F"/>
    <w:rsid w:val="003A3C62"/>
    <w:rsid w:val="003A443C"/>
    <w:rsid w:val="003A5C42"/>
    <w:rsid w:val="003A69A7"/>
    <w:rsid w:val="003B0385"/>
    <w:rsid w:val="003B2202"/>
    <w:rsid w:val="003B3FD4"/>
    <w:rsid w:val="003B6A01"/>
    <w:rsid w:val="003B7AFB"/>
    <w:rsid w:val="003C100F"/>
    <w:rsid w:val="003C1E8C"/>
    <w:rsid w:val="003C3AAD"/>
    <w:rsid w:val="003C555F"/>
    <w:rsid w:val="003C55E3"/>
    <w:rsid w:val="003C791A"/>
    <w:rsid w:val="003D1B44"/>
    <w:rsid w:val="003D33A0"/>
    <w:rsid w:val="003D47BA"/>
    <w:rsid w:val="003D54DD"/>
    <w:rsid w:val="003D7B84"/>
    <w:rsid w:val="003E202E"/>
    <w:rsid w:val="003E2BD8"/>
    <w:rsid w:val="003E30F4"/>
    <w:rsid w:val="003E437F"/>
    <w:rsid w:val="003E7DB4"/>
    <w:rsid w:val="003F1B4B"/>
    <w:rsid w:val="003F1C9C"/>
    <w:rsid w:val="003F289E"/>
    <w:rsid w:val="003F2DBD"/>
    <w:rsid w:val="003F61B1"/>
    <w:rsid w:val="003F7B40"/>
    <w:rsid w:val="00400AEF"/>
    <w:rsid w:val="004018EE"/>
    <w:rsid w:val="004042B6"/>
    <w:rsid w:val="00405FD7"/>
    <w:rsid w:val="004062CF"/>
    <w:rsid w:val="00411676"/>
    <w:rsid w:val="00412E68"/>
    <w:rsid w:val="00414B76"/>
    <w:rsid w:val="004151EB"/>
    <w:rsid w:val="004164B7"/>
    <w:rsid w:val="004210E8"/>
    <w:rsid w:val="00421636"/>
    <w:rsid w:val="00423DF1"/>
    <w:rsid w:val="00424FB7"/>
    <w:rsid w:val="0043095E"/>
    <w:rsid w:val="004325ED"/>
    <w:rsid w:val="004326F4"/>
    <w:rsid w:val="00437E45"/>
    <w:rsid w:val="00441B18"/>
    <w:rsid w:val="004423B9"/>
    <w:rsid w:val="00446A4F"/>
    <w:rsid w:val="00446BDE"/>
    <w:rsid w:val="00446CD5"/>
    <w:rsid w:val="00451019"/>
    <w:rsid w:val="004520B4"/>
    <w:rsid w:val="0045550D"/>
    <w:rsid w:val="00455D9E"/>
    <w:rsid w:val="0046014F"/>
    <w:rsid w:val="00460673"/>
    <w:rsid w:val="00461505"/>
    <w:rsid w:val="00461F08"/>
    <w:rsid w:val="004636C0"/>
    <w:rsid w:val="004640AF"/>
    <w:rsid w:val="00466380"/>
    <w:rsid w:val="004669DE"/>
    <w:rsid w:val="004705C5"/>
    <w:rsid w:val="00471B02"/>
    <w:rsid w:val="00472751"/>
    <w:rsid w:val="00472A12"/>
    <w:rsid w:val="00477BE0"/>
    <w:rsid w:val="00477E37"/>
    <w:rsid w:val="00480BB8"/>
    <w:rsid w:val="00481DA3"/>
    <w:rsid w:val="00484D27"/>
    <w:rsid w:val="0048782C"/>
    <w:rsid w:val="0049021E"/>
    <w:rsid w:val="004907E0"/>
    <w:rsid w:val="00491208"/>
    <w:rsid w:val="004918C0"/>
    <w:rsid w:val="004937DD"/>
    <w:rsid w:val="004942AE"/>
    <w:rsid w:val="004946A6"/>
    <w:rsid w:val="00494AB6"/>
    <w:rsid w:val="004954E0"/>
    <w:rsid w:val="004958F5"/>
    <w:rsid w:val="004959CB"/>
    <w:rsid w:val="004961AD"/>
    <w:rsid w:val="00496502"/>
    <w:rsid w:val="004A136F"/>
    <w:rsid w:val="004A1FDE"/>
    <w:rsid w:val="004A3D1B"/>
    <w:rsid w:val="004A4006"/>
    <w:rsid w:val="004A704F"/>
    <w:rsid w:val="004A72A3"/>
    <w:rsid w:val="004A73F4"/>
    <w:rsid w:val="004A7891"/>
    <w:rsid w:val="004A79C4"/>
    <w:rsid w:val="004A7F58"/>
    <w:rsid w:val="004A7FC5"/>
    <w:rsid w:val="004B09B1"/>
    <w:rsid w:val="004B1769"/>
    <w:rsid w:val="004B5886"/>
    <w:rsid w:val="004B5BEF"/>
    <w:rsid w:val="004B5F5D"/>
    <w:rsid w:val="004B6904"/>
    <w:rsid w:val="004B6DDB"/>
    <w:rsid w:val="004C00EA"/>
    <w:rsid w:val="004C04B7"/>
    <w:rsid w:val="004C22F6"/>
    <w:rsid w:val="004C3614"/>
    <w:rsid w:val="004C3C35"/>
    <w:rsid w:val="004C421F"/>
    <w:rsid w:val="004C439C"/>
    <w:rsid w:val="004C43A4"/>
    <w:rsid w:val="004C5301"/>
    <w:rsid w:val="004C54C7"/>
    <w:rsid w:val="004C6654"/>
    <w:rsid w:val="004C7286"/>
    <w:rsid w:val="004C780E"/>
    <w:rsid w:val="004C7A4E"/>
    <w:rsid w:val="004D1321"/>
    <w:rsid w:val="004D1DE4"/>
    <w:rsid w:val="004D27F6"/>
    <w:rsid w:val="004D291C"/>
    <w:rsid w:val="004D6621"/>
    <w:rsid w:val="004D6BA0"/>
    <w:rsid w:val="004E18D4"/>
    <w:rsid w:val="004E2B1E"/>
    <w:rsid w:val="004E2E75"/>
    <w:rsid w:val="004E40B7"/>
    <w:rsid w:val="004E4E04"/>
    <w:rsid w:val="004E53FE"/>
    <w:rsid w:val="004E7FB3"/>
    <w:rsid w:val="004F01FE"/>
    <w:rsid w:val="004F0E90"/>
    <w:rsid w:val="004F2B32"/>
    <w:rsid w:val="004F5A79"/>
    <w:rsid w:val="004F5C2F"/>
    <w:rsid w:val="004F7882"/>
    <w:rsid w:val="004F7C84"/>
    <w:rsid w:val="0050132E"/>
    <w:rsid w:val="005023D5"/>
    <w:rsid w:val="005043B0"/>
    <w:rsid w:val="005066AF"/>
    <w:rsid w:val="005071B2"/>
    <w:rsid w:val="005072D8"/>
    <w:rsid w:val="005107C8"/>
    <w:rsid w:val="00511CDA"/>
    <w:rsid w:val="00512795"/>
    <w:rsid w:val="005141A7"/>
    <w:rsid w:val="0051739D"/>
    <w:rsid w:val="00522314"/>
    <w:rsid w:val="005237F0"/>
    <w:rsid w:val="005243CD"/>
    <w:rsid w:val="0052464F"/>
    <w:rsid w:val="0053175C"/>
    <w:rsid w:val="00531D06"/>
    <w:rsid w:val="00532AAA"/>
    <w:rsid w:val="0053308D"/>
    <w:rsid w:val="005378B8"/>
    <w:rsid w:val="00540164"/>
    <w:rsid w:val="00542014"/>
    <w:rsid w:val="0054346B"/>
    <w:rsid w:val="005435DB"/>
    <w:rsid w:val="00544369"/>
    <w:rsid w:val="00544613"/>
    <w:rsid w:val="00546769"/>
    <w:rsid w:val="00547DA4"/>
    <w:rsid w:val="00550FBD"/>
    <w:rsid w:val="0055437C"/>
    <w:rsid w:val="0055572C"/>
    <w:rsid w:val="00556FC6"/>
    <w:rsid w:val="005573C6"/>
    <w:rsid w:val="00557A71"/>
    <w:rsid w:val="00557AD3"/>
    <w:rsid w:val="005601B1"/>
    <w:rsid w:val="00561EBC"/>
    <w:rsid w:val="00563E97"/>
    <w:rsid w:val="00565CCF"/>
    <w:rsid w:val="005661EC"/>
    <w:rsid w:val="005663E4"/>
    <w:rsid w:val="00573A49"/>
    <w:rsid w:val="00574E16"/>
    <w:rsid w:val="005755BC"/>
    <w:rsid w:val="00575F0A"/>
    <w:rsid w:val="0057668A"/>
    <w:rsid w:val="005771A4"/>
    <w:rsid w:val="005779E2"/>
    <w:rsid w:val="0058122B"/>
    <w:rsid w:val="005818B5"/>
    <w:rsid w:val="005834B9"/>
    <w:rsid w:val="00583949"/>
    <w:rsid w:val="00584708"/>
    <w:rsid w:val="00585330"/>
    <w:rsid w:val="0058564F"/>
    <w:rsid w:val="00585ABC"/>
    <w:rsid w:val="00585DD3"/>
    <w:rsid w:val="00586FD8"/>
    <w:rsid w:val="00587497"/>
    <w:rsid w:val="00591520"/>
    <w:rsid w:val="005921EF"/>
    <w:rsid w:val="00592336"/>
    <w:rsid w:val="00593CBE"/>
    <w:rsid w:val="00593E59"/>
    <w:rsid w:val="00594E66"/>
    <w:rsid w:val="005A3C6C"/>
    <w:rsid w:val="005A3E08"/>
    <w:rsid w:val="005A42A9"/>
    <w:rsid w:val="005A74A0"/>
    <w:rsid w:val="005A7BC9"/>
    <w:rsid w:val="005B270F"/>
    <w:rsid w:val="005B2C58"/>
    <w:rsid w:val="005B2E93"/>
    <w:rsid w:val="005B5AE6"/>
    <w:rsid w:val="005B6A38"/>
    <w:rsid w:val="005B7029"/>
    <w:rsid w:val="005C0D05"/>
    <w:rsid w:val="005C11FD"/>
    <w:rsid w:val="005C1216"/>
    <w:rsid w:val="005C19E8"/>
    <w:rsid w:val="005C2666"/>
    <w:rsid w:val="005C3A34"/>
    <w:rsid w:val="005C674E"/>
    <w:rsid w:val="005C6A03"/>
    <w:rsid w:val="005C7D35"/>
    <w:rsid w:val="005D024B"/>
    <w:rsid w:val="005D0642"/>
    <w:rsid w:val="005D2303"/>
    <w:rsid w:val="005D28BB"/>
    <w:rsid w:val="005D2AD2"/>
    <w:rsid w:val="005D3064"/>
    <w:rsid w:val="005D58AC"/>
    <w:rsid w:val="005D795C"/>
    <w:rsid w:val="005E2236"/>
    <w:rsid w:val="005E264D"/>
    <w:rsid w:val="005E2D2F"/>
    <w:rsid w:val="005E51C7"/>
    <w:rsid w:val="005E5CC6"/>
    <w:rsid w:val="005E63A2"/>
    <w:rsid w:val="005E774D"/>
    <w:rsid w:val="005F01C2"/>
    <w:rsid w:val="005F04FD"/>
    <w:rsid w:val="005F06C7"/>
    <w:rsid w:val="005F1EE8"/>
    <w:rsid w:val="005F2F90"/>
    <w:rsid w:val="005F39C8"/>
    <w:rsid w:val="005F4586"/>
    <w:rsid w:val="005F5799"/>
    <w:rsid w:val="005F7192"/>
    <w:rsid w:val="0060186C"/>
    <w:rsid w:val="00602BAA"/>
    <w:rsid w:val="0060647F"/>
    <w:rsid w:val="00606B5E"/>
    <w:rsid w:val="00606E41"/>
    <w:rsid w:val="00611BE0"/>
    <w:rsid w:val="00612D48"/>
    <w:rsid w:val="00613A4D"/>
    <w:rsid w:val="00615565"/>
    <w:rsid w:val="00616336"/>
    <w:rsid w:val="00617D7F"/>
    <w:rsid w:val="0062117E"/>
    <w:rsid w:val="00622701"/>
    <w:rsid w:val="006246A4"/>
    <w:rsid w:val="00624E68"/>
    <w:rsid w:val="00626509"/>
    <w:rsid w:val="006308C2"/>
    <w:rsid w:val="0063148C"/>
    <w:rsid w:val="00631828"/>
    <w:rsid w:val="00634042"/>
    <w:rsid w:val="00634D3F"/>
    <w:rsid w:val="0063553D"/>
    <w:rsid w:val="0064043D"/>
    <w:rsid w:val="006406A0"/>
    <w:rsid w:val="00641E0D"/>
    <w:rsid w:val="00642B4E"/>
    <w:rsid w:val="0064444A"/>
    <w:rsid w:val="006453A2"/>
    <w:rsid w:val="006460B8"/>
    <w:rsid w:val="0064719F"/>
    <w:rsid w:val="00651A0E"/>
    <w:rsid w:val="00655706"/>
    <w:rsid w:val="0065697C"/>
    <w:rsid w:val="00661204"/>
    <w:rsid w:val="006613FA"/>
    <w:rsid w:val="00662073"/>
    <w:rsid w:val="0066398A"/>
    <w:rsid w:val="006666FC"/>
    <w:rsid w:val="00667F84"/>
    <w:rsid w:val="00671F20"/>
    <w:rsid w:val="0068600C"/>
    <w:rsid w:val="00694B6D"/>
    <w:rsid w:val="00695C90"/>
    <w:rsid w:val="006A2186"/>
    <w:rsid w:val="006A650F"/>
    <w:rsid w:val="006A7765"/>
    <w:rsid w:val="006A784F"/>
    <w:rsid w:val="006A7F29"/>
    <w:rsid w:val="006B06D1"/>
    <w:rsid w:val="006B3B42"/>
    <w:rsid w:val="006B42DE"/>
    <w:rsid w:val="006B6C9D"/>
    <w:rsid w:val="006B76AA"/>
    <w:rsid w:val="006B7B53"/>
    <w:rsid w:val="006B7F60"/>
    <w:rsid w:val="006C5EC5"/>
    <w:rsid w:val="006C61EB"/>
    <w:rsid w:val="006C76E2"/>
    <w:rsid w:val="006C78C2"/>
    <w:rsid w:val="006C7CA5"/>
    <w:rsid w:val="006D6AD6"/>
    <w:rsid w:val="006D6B97"/>
    <w:rsid w:val="006D6CA0"/>
    <w:rsid w:val="006D7087"/>
    <w:rsid w:val="006E134E"/>
    <w:rsid w:val="006E381D"/>
    <w:rsid w:val="006E3917"/>
    <w:rsid w:val="006E4026"/>
    <w:rsid w:val="006E6AB8"/>
    <w:rsid w:val="006F07A0"/>
    <w:rsid w:val="006F2143"/>
    <w:rsid w:val="006F24E5"/>
    <w:rsid w:val="006F3FD2"/>
    <w:rsid w:val="006F4022"/>
    <w:rsid w:val="006F5358"/>
    <w:rsid w:val="006F551B"/>
    <w:rsid w:val="006F7965"/>
    <w:rsid w:val="00700677"/>
    <w:rsid w:val="00700925"/>
    <w:rsid w:val="00700CF7"/>
    <w:rsid w:val="00701A17"/>
    <w:rsid w:val="00702286"/>
    <w:rsid w:val="007046D6"/>
    <w:rsid w:val="00705373"/>
    <w:rsid w:val="00705952"/>
    <w:rsid w:val="00707A03"/>
    <w:rsid w:val="0071028E"/>
    <w:rsid w:val="007112CB"/>
    <w:rsid w:val="00711F69"/>
    <w:rsid w:val="007156A1"/>
    <w:rsid w:val="0071764B"/>
    <w:rsid w:val="00723D45"/>
    <w:rsid w:val="00724C7B"/>
    <w:rsid w:val="0072556A"/>
    <w:rsid w:val="0072710D"/>
    <w:rsid w:val="0072792C"/>
    <w:rsid w:val="0073190B"/>
    <w:rsid w:val="00732E28"/>
    <w:rsid w:val="00735EE9"/>
    <w:rsid w:val="00736B7B"/>
    <w:rsid w:val="00737499"/>
    <w:rsid w:val="00737792"/>
    <w:rsid w:val="00743438"/>
    <w:rsid w:val="00743682"/>
    <w:rsid w:val="0074397F"/>
    <w:rsid w:val="00744C3A"/>
    <w:rsid w:val="00745375"/>
    <w:rsid w:val="00745E38"/>
    <w:rsid w:val="00747006"/>
    <w:rsid w:val="00747B58"/>
    <w:rsid w:val="007501A9"/>
    <w:rsid w:val="00752146"/>
    <w:rsid w:val="007524BD"/>
    <w:rsid w:val="0075286B"/>
    <w:rsid w:val="007560F6"/>
    <w:rsid w:val="007573E4"/>
    <w:rsid w:val="007608DC"/>
    <w:rsid w:val="00761D77"/>
    <w:rsid w:val="007628CD"/>
    <w:rsid w:val="0076326E"/>
    <w:rsid w:val="00764A2B"/>
    <w:rsid w:val="00765617"/>
    <w:rsid w:val="0076681A"/>
    <w:rsid w:val="00766D68"/>
    <w:rsid w:val="007719D4"/>
    <w:rsid w:val="00771D15"/>
    <w:rsid w:val="007770F9"/>
    <w:rsid w:val="007865EF"/>
    <w:rsid w:val="007874A9"/>
    <w:rsid w:val="0078783A"/>
    <w:rsid w:val="00790448"/>
    <w:rsid w:val="007917FF"/>
    <w:rsid w:val="0079457A"/>
    <w:rsid w:val="00794F22"/>
    <w:rsid w:val="0079759B"/>
    <w:rsid w:val="007A04DA"/>
    <w:rsid w:val="007A12BA"/>
    <w:rsid w:val="007A178E"/>
    <w:rsid w:val="007A2276"/>
    <w:rsid w:val="007A3CA8"/>
    <w:rsid w:val="007A3CB6"/>
    <w:rsid w:val="007A4154"/>
    <w:rsid w:val="007A4908"/>
    <w:rsid w:val="007A503B"/>
    <w:rsid w:val="007A5512"/>
    <w:rsid w:val="007B1219"/>
    <w:rsid w:val="007B3A9C"/>
    <w:rsid w:val="007B6381"/>
    <w:rsid w:val="007C0AB4"/>
    <w:rsid w:val="007C1A46"/>
    <w:rsid w:val="007C1E5C"/>
    <w:rsid w:val="007C1F62"/>
    <w:rsid w:val="007C2555"/>
    <w:rsid w:val="007C49DA"/>
    <w:rsid w:val="007C56CF"/>
    <w:rsid w:val="007D4D42"/>
    <w:rsid w:val="007D7097"/>
    <w:rsid w:val="007D743F"/>
    <w:rsid w:val="007E39AD"/>
    <w:rsid w:val="007E4CD0"/>
    <w:rsid w:val="007E588F"/>
    <w:rsid w:val="007E6781"/>
    <w:rsid w:val="007E68CB"/>
    <w:rsid w:val="007F192E"/>
    <w:rsid w:val="007F1FC0"/>
    <w:rsid w:val="007F2B95"/>
    <w:rsid w:val="007F627E"/>
    <w:rsid w:val="007F6B8C"/>
    <w:rsid w:val="007F729D"/>
    <w:rsid w:val="00802033"/>
    <w:rsid w:val="008049CE"/>
    <w:rsid w:val="00804C59"/>
    <w:rsid w:val="0080667B"/>
    <w:rsid w:val="00806EC0"/>
    <w:rsid w:val="00807CF3"/>
    <w:rsid w:val="00810D1E"/>
    <w:rsid w:val="00811386"/>
    <w:rsid w:val="00813939"/>
    <w:rsid w:val="00816257"/>
    <w:rsid w:val="00820815"/>
    <w:rsid w:val="008223AB"/>
    <w:rsid w:val="00822A38"/>
    <w:rsid w:val="0082322C"/>
    <w:rsid w:val="00823674"/>
    <w:rsid w:val="008242C7"/>
    <w:rsid w:val="0082485B"/>
    <w:rsid w:val="008257FD"/>
    <w:rsid w:val="00825882"/>
    <w:rsid w:val="00825C4F"/>
    <w:rsid w:val="008265D7"/>
    <w:rsid w:val="00827D46"/>
    <w:rsid w:val="0083133A"/>
    <w:rsid w:val="0083359A"/>
    <w:rsid w:val="00836D7F"/>
    <w:rsid w:val="00837097"/>
    <w:rsid w:val="008377B4"/>
    <w:rsid w:val="008403F9"/>
    <w:rsid w:val="008420C6"/>
    <w:rsid w:val="00843784"/>
    <w:rsid w:val="00843A53"/>
    <w:rsid w:val="00846380"/>
    <w:rsid w:val="008504AA"/>
    <w:rsid w:val="00850BD9"/>
    <w:rsid w:val="008538E7"/>
    <w:rsid w:val="00857518"/>
    <w:rsid w:val="0086103E"/>
    <w:rsid w:val="00862FCC"/>
    <w:rsid w:val="00862FE9"/>
    <w:rsid w:val="00863BC1"/>
    <w:rsid w:val="0086487B"/>
    <w:rsid w:val="00865CD3"/>
    <w:rsid w:val="00865F45"/>
    <w:rsid w:val="00867019"/>
    <w:rsid w:val="00874603"/>
    <w:rsid w:val="00874E1A"/>
    <w:rsid w:val="00875468"/>
    <w:rsid w:val="00876CBD"/>
    <w:rsid w:val="008773BF"/>
    <w:rsid w:val="00881FE6"/>
    <w:rsid w:val="00882605"/>
    <w:rsid w:val="0088395F"/>
    <w:rsid w:val="0088532B"/>
    <w:rsid w:val="00891AA0"/>
    <w:rsid w:val="00893659"/>
    <w:rsid w:val="00895250"/>
    <w:rsid w:val="008A3CF6"/>
    <w:rsid w:val="008A46EB"/>
    <w:rsid w:val="008B0296"/>
    <w:rsid w:val="008B44D9"/>
    <w:rsid w:val="008B4F8A"/>
    <w:rsid w:val="008C34F9"/>
    <w:rsid w:val="008C3899"/>
    <w:rsid w:val="008C5025"/>
    <w:rsid w:val="008C6323"/>
    <w:rsid w:val="008C789B"/>
    <w:rsid w:val="008D1C3D"/>
    <w:rsid w:val="008D46A8"/>
    <w:rsid w:val="008D52E3"/>
    <w:rsid w:val="008D56BF"/>
    <w:rsid w:val="008D6067"/>
    <w:rsid w:val="008D7BDC"/>
    <w:rsid w:val="008E392B"/>
    <w:rsid w:val="008E7B39"/>
    <w:rsid w:val="008F0B7B"/>
    <w:rsid w:val="008F127C"/>
    <w:rsid w:val="008F1B78"/>
    <w:rsid w:val="008F4A02"/>
    <w:rsid w:val="008F4A18"/>
    <w:rsid w:val="008F5A20"/>
    <w:rsid w:val="008F6FED"/>
    <w:rsid w:val="008F703A"/>
    <w:rsid w:val="008F7841"/>
    <w:rsid w:val="00902661"/>
    <w:rsid w:val="009061CB"/>
    <w:rsid w:val="0090705D"/>
    <w:rsid w:val="00907A34"/>
    <w:rsid w:val="0091094B"/>
    <w:rsid w:val="00910F75"/>
    <w:rsid w:val="00911943"/>
    <w:rsid w:val="00915F20"/>
    <w:rsid w:val="0091761C"/>
    <w:rsid w:val="00917D41"/>
    <w:rsid w:val="00921737"/>
    <w:rsid w:val="00930109"/>
    <w:rsid w:val="00930DF9"/>
    <w:rsid w:val="00931B0C"/>
    <w:rsid w:val="009322E1"/>
    <w:rsid w:val="00932F11"/>
    <w:rsid w:val="00933204"/>
    <w:rsid w:val="00933641"/>
    <w:rsid w:val="00940877"/>
    <w:rsid w:val="009443CA"/>
    <w:rsid w:val="009503A1"/>
    <w:rsid w:val="009508EA"/>
    <w:rsid w:val="00950F0C"/>
    <w:rsid w:val="009519B5"/>
    <w:rsid w:val="0095236F"/>
    <w:rsid w:val="009563EC"/>
    <w:rsid w:val="00956C23"/>
    <w:rsid w:val="00957938"/>
    <w:rsid w:val="00961C87"/>
    <w:rsid w:val="0096248C"/>
    <w:rsid w:val="00965BB2"/>
    <w:rsid w:val="00972127"/>
    <w:rsid w:val="009734E6"/>
    <w:rsid w:val="00974A24"/>
    <w:rsid w:val="00975206"/>
    <w:rsid w:val="009766D1"/>
    <w:rsid w:val="00976768"/>
    <w:rsid w:val="00977045"/>
    <w:rsid w:val="009776D8"/>
    <w:rsid w:val="00977FB3"/>
    <w:rsid w:val="00980F0E"/>
    <w:rsid w:val="00982BEF"/>
    <w:rsid w:val="00982EE3"/>
    <w:rsid w:val="00984686"/>
    <w:rsid w:val="00985443"/>
    <w:rsid w:val="00987666"/>
    <w:rsid w:val="00987888"/>
    <w:rsid w:val="0099152A"/>
    <w:rsid w:val="00991AAA"/>
    <w:rsid w:val="00992675"/>
    <w:rsid w:val="0099360F"/>
    <w:rsid w:val="009953FA"/>
    <w:rsid w:val="00995572"/>
    <w:rsid w:val="009962A1"/>
    <w:rsid w:val="00996BF2"/>
    <w:rsid w:val="009974F3"/>
    <w:rsid w:val="00997709"/>
    <w:rsid w:val="009A0CC4"/>
    <w:rsid w:val="009A1511"/>
    <w:rsid w:val="009A2309"/>
    <w:rsid w:val="009A3A4C"/>
    <w:rsid w:val="009A53D7"/>
    <w:rsid w:val="009A66FB"/>
    <w:rsid w:val="009A7379"/>
    <w:rsid w:val="009A7848"/>
    <w:rsid w:val="009B0927"/>
    <w:rsid w:val="009B0A08"/>
    <w:rsid w:val="009B13D9"/>
    <w:rsid w:val="009B2243"/>
    <w:rsid w:val="009B44C4"/>
    <w:rsid w:val="009B5697"/>
    <w:rsid w:val="009B7BB0"/>
    <w:rsid w:val="009B7BC9"/>
    <w:rsid w:val="009B7FFD"/>
    <w:rsid w:val="009C04AA"/>
    <w:rsid w:val="009C226A"/>
    <w:rsid w:val="009C2654"/>
    <w:rsid w:val="009C6954"/>
    <w:rsid w:val="009C7FA2"/>
    <w:rsid w:val="009D056B"/>
    <w:rsid w:val="009D0BD5"/>
    <w:rsid w:val="009D1890"/>
    <w:rsid w:val="009D47D9"/>
    <w:rsid w:val="009D4AD8"/>
    <w:rsid w:val="009E28D3"/>
    <w:rsid w:val="009E316D"/>
    <w:rsid w:val="009E4F88"/>
    <w:rsid w:val="009E532D"/>
    <w:rsid w:val="009E57A9"/>
    <w:rsid w:val="009F28D5"/>
    <w:rsid w:val="009F4E9D"/>
    <w:rsid w:val="009F6C26"/>
    <w:rsid w:val="009F7205"/>
    <w:rsid w:val="00A00542"/>
    <w:rsid w:val="00A05713"/>
    <w:rsid w:val="00A06847"/>
    <w:rsid w:val="00A075F1"/>
    <w:rsid w:val="00A120C6"/>
    <w:rsid w:val="00A14F54"/>
    <w:rsid w:val="00A1724E"/>
    <w:rsid w:val="00A213DF"/>
    <w:rsid w:val="00A2241A"/>
    <w:rsid w:val="00A22BB0"/>
    <w:rsid w:val="00A24161"/>
    <w:rsid w:val="00A25F3B"/>
    <w:rsid w:val="00A26E6E"/>
    <w:rsid w:val="00A27C07"/>
    <w:rsid w:val="00A34244"/>
    <w:rsid w:val="00A352CE"/>
    <w:rsid w:val="00A4031A"/>
    <w:rsid w:val="00A40E24"/>
    <w:rsid w:val="00A40E7D"/>
    <w:rsid w:val="00A4500E"/>
    <w:rsid w:val="00A45B75"/>
    <w:rsid w:val="00A47236"/>
    <w:rsid w:val="00A50E03"/>
    <w:rsid w:val="00A518B1"/>
    <w:rsid w:val="00A51BF5"/>
    <w:rsid w:val="00A51C72"/>
    <w:rsid w:val="00A53D4E"/>
    <w:rsid w:val="00A53D9A"/>
    <w:rsid w:val="00A54A6C"/>
    <w:rsid w:val="00A55D21"/>
    <w:rsid w:val="00A60A84"/>
    <w:rsid w:val="00A61F13"/>
    <w:rsid w:val="00A6303A"/>
    <w:rsid w:val="00A63F98"/>
    <w:rsid w:val="00A65D9E"/>
    <w:rsid w:val="00A6661C"/>
    <w:rsid w:val="00A705B1"/>
    <w:rsid w:val="00A70FAE"/>
    <w:rsid w:val="00A71E53"/>
    <w:rsid w:val="00A72556"/>
    <w:rsid w:val="00A7312A"/>
    <w:rsid w:val="00A74345"/>
    <w:rsid w:val="00A751F8"/>
    <w:rsid w:val="00A83FDB"/>
    <w:rsid w:val="00A840D1"/>
    <w:rsid w:val="00A84618"/>
    <w:rsid w:val="00A856C3"/>
    <w:rsid w:val="00A85DC3"/>
    <w:rsid w:val="00A86445"/>
    <w:rsid w:val="00A91232"/>
    <w:rsid w:val="00A94AC6"/>
    <w:rsid w:val="00A94CBA"/>
    <w:rsid w:val="00A953E4"/>
    <w:rsid w:val="00A958D7"/>
    <w:rsid w:val="00A964BA"/>
    <w:rsid w:val="00A9741D"/>
    <w:rsid w:val="00AA251A"/>
    <w:rsid w:val="00AA2DB1"/>
    <w:rsid w:val="00AA5337"/>
    <w:rsid w:val="00AB03D4"/>
    <w:rsid w:val="00AB0650"/>
    <w:rsid w:val="00AB0D31"/>
    <w:rsid w:val="00AB1067"/>
    <w:rsid w:val="00AB1E12"/>
    <w:rsid w:val="00AB1F7F"/>
    <w:rsid w:val="00AB34B6"/>
    <w:rsid w:val="00AB4976"/>
    <w:rsid w:val="00AB4B83"/>
    <w:rsid w:val="00AB7ACB"/>
    <w:rsid w:val="00AC1BFD"/>
    <w:rsid w:val="00AC4041"/>
    <w:rsid w:val="00AC46F1"/>
    <w:rsid w:val="00AC4894"/>
    <w:rsid w:val="00AC761B"/>
    <w:rsid w:val="00AC79AD"/>
    <w:rsid w:val="00AD1647"/>
    <w:rsid w:val="00AD23BC"/>
    <w:rsid w:val="00AD376F"/>
    <w:rsid w:val="00AD4E35"/>
    <w:rsid w:val="00AE34CB"/>
    <w:rsid w:val="00AE4B51"/>
    <w:rsid w:val="00AE54D3"/>
    <w:rsid w:val="00AF007C"/>
    <w:rsid w:val="00AF0482"/>
    <w:rsid w:val="00AF13E9"/>
    <w:rsid w:val="00AF3B0B"/>
    <w:rsid w:val="00AF5389"/>
    <w:rsid w:val="00AF6427"/>
    <w:rsid w:val="00B01E11"/>
    <w:rsid w:val="00B0234B"/>
    <w:rsid w:val="00B02EEA"/>
    <w:rsid w:val="00B03260"/>
    <w:rsid w:val="00B05D8C"/>
    <w:rsid w:val="00B065CC"/>
    <w:rsid w:val="00B067E2"/>
    <w:rsid w:val="00B076C0"/>
    <w:rsid w:val="00B10C1B"/>
    <w:rsid w:val="00B13542"/>
    <w:rsid w:val="00B15BC9"/>
    <w:rsid w:val="00B165A1"/>
    <w:rsid w:val="00B20DBD"/>
    <w:rsid w:val="00B217D1"/>
    <w:rsid w:val="00B24267"/>
    <w:rsid w:val="00B246E8"/>
    <w:rsid w:val="00B27EF8"/>
    <w:rsid w:val="00B36E60"/>
    <w:rsid w:val="00B40EEE"/>
    <w:rsid w:val="00B410F8"/>
    <w:rsid w:val="00B41128"/>
    <w:rsid w:val="00B413FB"/>
    <w:rsid w:val="00B41601"/>
    <w:rsid w:val="00B4356C"/>
    <w:rsid w:val="00B438C4"/>
    <w:rsid w:val="00B458BC"/>
    <w:rsid w:val="00B4675B"/>
    <w:rsid w:val="00B469CA"/>
    <w:rsid w:val="00B50CD4"/>
    <w:rsid w:val="00B50E3F"/>
    <w:rsid w:val="00B518C1"/>
    <w:rsid w:val="00B51997"/>
    <w:rsid w:val="00B5302F"/>
    <w:rsid w:val="00B535ED"/>
    <w:rsid w:val="00B53F0E"/>
    <w:rsid w:val="00B545C9"/>
    <w:rsid w:val="00B56777"/>
    <w:rsid w:val="00B57387"/>
    <w:rsid w:val="00B61935"/>
    <w:rsid w:val="00B64EC1"/>
    <w:rsid w:val="00B70EBE"/>
    <w:rsid w:val="00B71B0B"/>
    <w:rsid w:val="00B72F32"/>
    <w:rsid w:val="00B745A6"/>
    <w:rsid w:val="00B76514"/>
    <w:rsid w:val="00B76D76"/>
    <w:rsid w:val="00B80182"/>
    <w:rsid w:val="00B80D3F"/>
    <w:rsid w:val="00B80ED5"/>
    <w:rsid w:val="00B83FCD"/>
    <w:rsid w:val="00B8421C"/>
    <w:rsid w:val="00B852EB"/>
    <w:rsid w:val="00B8544B"/>
    <w:rsid w:val="00B8546C"/>
    <w:rsid w:val="00B85521"/>
    <w:rsid w:val="00B900A8"/>
    <w:rsid w:val="00B90ACF"/>
    <w:rsid w:val="00B92E8B"/>
    <w:rsid w:val="00B92FAB"/>
    <w:rsid w:val="00B95070"/>
    <w:rsid w:val="00B951B6"/>
    <w:rsid w:val="00BA0997"/>
    <w:rsid w:val="00BA0AEC"/>
    <w:rsid w:val="00BA0D47"/>
    <w:rsid w:val="00BA0F8A"/>
    <w:rsid w:val="00BA1971"/>
    <w:rsid w:val="00BA1A39"/>
    <w:rsid w:val="00BA4FFB"/>
    <w:rsid w:val="00BA7A22"/>
    <w:rsid w:val="00BB05ED"/>
    <w:rsid w:val="00BB0894"/>
    <w:rsid w:val="00BB09EB"/>
    <w:rsid w:val="00BB1494"/>
    <w:rsid w:val="00BB1D7B"/>
    <w:rsid w:val="00BB243B"/>
    <w:rsid w:val="00BB359D"/>
    <w:rsid w:val="00BB4E51"/>
    <w:rsid w:val="00BB4EB1"/>
    <w:rsid w:val="00BB5C46"/>
    <w:rsid w:val="00BC03E6"/>
    <w:rsid w:val="00BC059E"/>
    <w:rsid w:val="00BC1FB0"/>
    <w:rsid w:val="00BC21FF"/>
    <w:rsid w:val="00BC226F"/>
    <w:rsid w:val="00BC24E3"/>
    <w:rsid w:val="00BC3E1D"/>
    <w:rsid w:val="00BC3F0F"/>
    <w:rsid w:val="00BC556A"/>
    <w:rsid w:val="00BC6427"/>
    <w:rsid w:val="00BC6CF9"/>
    <w:rsid w:val="00BC731F"/>
    <w:rsid w:val="00BD2DDC"/>
    <w:rsid w:val="00BD2EE6"/>
    <w:rsid w:val="00BD55A8"/>
    <w:rsid w:val="00BD6D4D"/>
    <w:rsid w:val="00BE30C0"/>
    <w:rsid w:val="00BE38A3"/>
    <w:rsid w:val="00BE6413"/>
    <w:rsid w:val="00BF1A84"/>
    <w:rsid w:val="00BF3660"/>
    <w:rsid w:val="00C0005F"/>
    <w:rsid w:val="00C029FA"/>
    <w:rsid w:val="00C02B57"/>
    <w:rsid w:val="00C02CC0"/>
    <w:rsid w:val="00C0489F"/>
    <w:rsid w:val="00C07289"/>
    <w:rsid w:val="00C07964"/>
    <w:rsid w:val="00C07D55"/>
    <w:rsid w:val="00C10EF8"/>
    <w:rsid w:val="00C11178"/>
    <w:rsid w:val="00C120E4"/>
    <w:rsid w:val="00C122F6"/>
    <w:rsid w:val="00C12F34"/>
    <w:rsid w:val="00C157E0"/>
    <w:rsid w:val="00C206B7"/>
    <w:rsid w:val="00C22067"/>
    <w:rsid w:val="00C220CA"/>
    <w:rsid w:val="00C22BB6"/>
    <w:rsid w:val="00C25BC3"/>
    <w:rsid w:val="00C308DA"/>
    <w:rsid w:val="00C30ACE"/>
    <w:rsid w:val="00C30FA0"/>
    <w:rsid w:val="00C3125E"/>
    <w:rsid w:val="00C32FB8"/>
    <w:rsid w:val="00C3444F"/>
    <w:rsid w:val="00C348F4"/>
    <w:rsid w:val="00C35570"/>
    <w:rsid w:val="00C36459"/>
    <w:rsid w:val="00C36731"/>
    <w:rsid w:val="00C4078A"/>
    <w:rsid w:val="00C40807"/>
    <w:rsid w:val="00C410B3"/>
    <w:rsid w:val="00C4158D"/>
    <w:rsid w:val="00C43A10"/>
    <w:rsid w:val="00C443C3"/>
    <w:rsid w:val="00C47037"/>
    <w:rsid w:val="00C50095"/>
    <w:rsid w:val="00C5124F"/>
    <w:rsid w:val="00C52FD3"/>
    <w:rsid w:val="00C55006"/>
    <w:rsid w:val="00C55D58"/>
    <w:rsid w:val="00C57E59"/>
    <w:rsid w:val="00C616E7"/>
    <w:rsid w:val="00C61F0B"/>
    <w:rsid w:val="00C62A85"/>
    <w:rsid w:val="00C64AB1"/>
    <w:rsid w:val="00C65AC4"/>
    <w:rsid w:val="00C66F19"/>
    <w:rsid w:val="00C67F37"/>
    <w:rsid w:val="00C71ADA"/>
    <w:rsid w:val="00C72527"/>
    <w:rsid w:val="00C74F5F"/>
    <w:rsid w:val="00C77235"/>
    <w:rsid w:val="00C82381"/>
    <w:rsid w:val="00C839C8"/>
    <w:rsid w:val="00C8432D"/>
    <w:rsid w:val="00C85AFF"/>
    <w:rsid w:val="00C87A70"/>
    <w:rsid w:val="00C913C1"/>
    <w:rsid w:val="00CA07F6"/>
    <w:rsid w:val="00CA1315"/>
    <w:rsid w:val="00CA3CA8"/>
    <w:rsid w:val="00CA4E46"/>
    <w:rsid w:val="00CA4F8D"/>
    <w:rsid w:val="00CA5062"/>
    <w:rsid w:val="00CA521E"/>
    <w:rsid w:val="00CA540C"/>
    <w:rsid w:val="00CA6CDB"/>
    <w:rsid w:val="00CA7B6F"/>
    <w:rsid w:val="00CB0F1E"/>
    <w:rsid w:val="00CB1E91"/>
    <w:rsid w:val="00CB1F61"/>
    <w:rsid w:val="00CB2AA8"/>
    <w:rsid w:val="00CB4050"/>
    <w:rsid w:val="00CB422D"/>
    <w:rsid w:val="00CB7ED7"/>
    <w:rsid w:val="00CC00F0"/>
    <w:rsid w:val="00CC020F"/>
    <w:rsid w:val="00CC03FC"/>
    <w:rsid w:val="00CC1A78"/>
    <w:rsid w:val="00CC2B79"/>
    <w:rsid w:val="00CC3421"/>
    <w:rsid w:val="00CC4266"/>
    <w:rsid w:val="00CC558C"/>
    <w:rsid w:val="00CC5D30"/>
    <w:rsid w:val="00CC71C4"/>
    <w:rsid w:val="00CD4807"/>
    <w:rsid w:val="00CD4E5A"/>
    <w:rsid w:val="00CD67FF"/>
    <w:rsid w:val="00CD69E9"/>
    <w:rsid w:val="00CD7814"/>
    <w:rsid w:val="00CE0309"/>
    <w:rsid w:val="00CE06B9"/>
    <w:rsid w:val="00CE07CE"/>
    <w:rsid w:val="00CE16E0"/>
    <w:rsid w:val="00CE2E3A"/>
    <w:rsid w:val="00CE50DF"/>
    <w:rsid w:val="00CE641A"/>
    <w:rsid w:val="00CE648C"/>
    <w:rsid w:val="00CE69C8"/>
    <w:rsid w:val="00CF120A"/>
    <w:rsid w:val="00CF18BE"/>
    <w:rsid w:val="00CF54B6"/>
    <w:rsid w:val="00CF69C6"/>
    <w:rsid w:val="00D03BB3"/>
    <w:rsid w:val="00D10526"/>
    <w:rsid w:val="00D12718"/>
    <w:rsid w:val="00D13E9B"/>
    <w:rsid w:val="00D14641"/>
    <w:rsid w:val="00D15E88"/>
    <w:rsid w:val="00D1618B"/>
    <w:rsid w:val="00D20858"/>
    <w:rsid w:val="00D209F3"/>
    <w:rsid w:val="00D27777"/>
    <w:rsid w:val="00D31133"/>
    <w:rsid w:val="00D323F9"/>
    <w:rsid w:val="00D358A3"/>
    <w:rsid w:val="00D37924"/>
    <w:rsid w:val="00D4041C"/>
    <w:rsid w:val="00D41B40"/>
    <w:rsid w:val="00D41FEC"/>
    <w:rsid w:val="00D441EC"/>
    <w:rsid w:val="00D44B7E"/>
    <w:rsid w:val="00D44F35"/>
    <w:rsid w:val="00D4534E"/>
    <w:rsid w:val="00D4730D"/>
    <w:rsid w:val="00D47ED2"/>
    <w:rsid w:val="00D508EC"/>
    <w:rsid w:val="00D514BC"/>
    <w:rsid w:val="00D524B0"/>
    <w:rsid w:val="00D54E10"/>
    <w:rsid w:val="00D55984"/>
    <w:rsid w:val="00D56E53"/>
    <w:rsid w:val="00D611BB"/>
    <w:rsid w:val="00D61AF6"/>
    <w:rsid w:val="00D6444A"/>
    <w:rsid w:val="00D64608"/>
    <w:rsid w:val="00D65397"/>
    <w:rsid w:val="00D653A2"/>
    <w:rsid w:val="00D71450"/>
    <w:rsid w:val="00D7689F"/>
    <w:rsid w:val="00D7773F"/>
    <w:rsid w:val="00D77F1D"/>
    <w:rsid w:val="00D77F1F"/>
    <w:rsid w:val="00D83620"/>
    <w:rsid w:val="00D85FD8"/>
    <w:rsid w:val="00D8620F"/>
    <w:rsid w:val="00D86218"/>
    <w:rsid w:val="00D900AA"/>
    <w:rsid w:val="00D91645"/>
    <w:rsid w:val="00D91CEA"/>
    <w:rsid w:val="00D9260D"/>
    <w:rsid w:val="00D95427"/>
    <w:rsid w:val="00DA1402"/>
    <w:rsid w:val="00DA3267"/>
    <w:rsid w:val="00DB23D7"/>
    <w:rsid w:val="00DB3A5E"/>
    <w:rsid w:val="00DB3B85"/>
    <w:rsid w:val="00DB47AC"/>
    <w:rsid w:val="00DB4C8C"/>
    <w:rsid w:val="00DB54CC"/>
    <w:rsid w:val="00DB6256"/>
    <w:rsid w:val="00DB6C67"/>
    <w:rsid w:val="00DB6CB6"/>
    <w:rsid w:val="00DC1A2C"/>
    <w:rsid w:val="00DC2885"/>
    <w:rsid w:val="00DC3E39"/>
    <w:rsid w:val="00DC570A"/>
    <w:rsid w:val="00DC6265"/>
    <w:rsid w:val="00DD12AE"/>
    <w:rsid w:val="00DD1EDA"/>
    <w:rsid w:val="00DD3627"/>
    <w:rsid w:val="00DD4169"/>
    <w:rsid w:val="00DD723C"/>
    <w:rsid w:val="00DD7691"/>
    <w:rsid w:val="00DE2126"/>
    <w:rsid w:val="00DE29D4"/>
    <w:rsid w:val="00DE3E90"/>
    <w:rsid w:val="00DE4256"/>
    <w:rsid w:val="00DE6A78"/>
    <w:rsid w:val="00DE6C8D"/>
    <w:rsid w:val="00DF1397"/>
    <w:rsid w:val="00DF431E"/>
    <w:rsid w:val="00DF4639"/>
    <w:rsid w:val="00DF5DE4"/>
    <w:rsid w:val="00DF7EA4"/>
    <w:rsid w:val="00E05F28"/>
    <w:rsid w:val="00E07C2B"/>
    <w:rsid w:val="00E103B3"/>
    <w:rsid w:val="00E10691"/>
    <w:rsid w:val="00E10FA8"/>
    <w:rsid w:val="00E1330A"/>
    <w:rsid w:val="00E13984"/>
    <w:rsid w:val="00E16BA7"/>
    <w:rsid w:val="00E1702C"/>
    <w:rsid w:val="00E17374"/>
    <w:rsid w:val="00E203AE"/>
    <w:rsid w:val="00E20B45"/>
    <w:rsid w:val="00E21AB1"/>
    <w:rsid w:val="00E22755"/>
    <w:rsid w:val="00E228B9"/>
    <w:rsid w:val="00E235F5"/>
    <w:rsid w:val="00E24F57"/>
    <w:rsid w:val="00E2695B"/>
    <w:rsid w:val="00E26F68"/>
    <w:rsid w:val="00E30AA1"/>
    <w:rsid w:val="00E31BB6"/>
    <w:rsid w:val="00E32263"/>
    <w:rsid w:val="00E3320C"/>
    <w:rsid w:val="00E379CD"/>
    <w:rsid w:val="00E41DAF"/>
    <w:rsid w:val="00E4610D"/>
    <w:rsid w:val="00E5110D"/>
    <w:rsid w:val="00E517CD"/>
    <w:rsid w:val="00E531EE"/>
    <w:rsid w:val="00E53414"/>
    <w:rsid w:val="00E53972"/>
    <w:rsid w:val="00E57425"/>
    <w:rsid w:val="00E57C30"/>
    <w:rsid w:val="00E6069D"/>
    <w:rsid w:val="00E6104E"/>
    <w:rsid w:val="00E64BCA"/>
    <w:rsid w:val="00E6552A"/>
    <w:rsid w:val="00E657BD"/>
    <w:rsid w:val="00E65BE1"/>
    <w:rsid w:val="00E65F70"/>
    <w:rsid w:val="00E6682E"/>
    <w:rsid w:val="00E67A9D"/>
    <w:rsid w:val="00E703DC"/>
    <w:rsid w:val="00E7063B"/>
    <w:rsid w:val="00E707D7"/>
    <w:rsid w:val="00E711D0"/>
    <w:rsid w:val="00E71774"/>
    <w:rsid w:val="00E721C0"/>
    <w:rsid w:val="00E73FB0"/>
    <w:rsid w:val="00E74A7A"/>
    <w:rsid w:val="00E750ED"/>
    <w:rsid w:val="00E75A9F"/>
    <w:rsid w:val="00E77C8D"/>
    <w:rsid w:val="00E82923"/>
    <w:rsid w:val="00E83A9B"/>
    <w:rsid w:val="00E84422"/>
    <w:rsid w:val="00E84A98"/>
    <w:rsid w:val="00E84DF5"/>
    <w:rsid w:val="00E85473"/>
    <w:rsid w:val="00E861F5"/>
    <w:rsid w:val="00E90A4B"/>
    <w:rsid w:val="00E91CC4"/>
    <w:rsid w:val="00E95128"/>
    <w:rsid w:val="00E9601D"/>
    <w:rsid w:val="00E9786A"/>
    <w:rsid w:val="00EA03B3"/>
    <w:rsid w:val="00EA20C9"/>
    <w:rsid w:val="00EA3843"/>
    <w:rsid w:val="00EA403D"/>
    <w:rsid w:val="00EA50EE"/>
    <w:rsid w:val="00EA676A"/>
    <w:rsid w:val="00EA699A"/>
    <w:rsid w:val="00EA6EAE"/>
    <w:rsid w:val="00EA7947"/>
    <w:rsid w:val="00EB1D0E"/>
    <w:rsid w:val="00EB1FCA"/>
    <w:rsid w:val="00EB49FE"/>
    <w:rsid w:val="00EB4DBF"/>
    <w:rsid w:val="00EB5A56"/>
    <w:rsid w:val="00EB68F0"/>
    <w:rsid w:val="00EB6F33"/>
    <w:rsid w:val="00EC00A5"/>
    <w:rsid w:val="00EC2DE1"/>
    <w:rsid w:val="00EC3FD4"/>
    <w:rsid w:val="00EC678A"/>
    <w:rsid w:val="00EC6A2C"/>
    <w:rsid w:val="00ED362A"/>
    <w:rsid w:val="00ED393F"/>
    <w:rsid w:val="00ED5A67"/>
    <w:rsid w:val="00ED6306"/>
    <w:rsid w:val="00ED6647"/>
    <w:rsid w:val="00ED7944"/>
    <w:rsid w:val="00ED7DCD"/>
    <w:rsid w:val="00EE4454"/>
    <w:rsid w:val="00EE7EE6"/>
    <w:rsid w:val="00EF31DB"/>
    <w:rsid w:val="00EF4BFB"/>
    <w:rsid w:val="00EF65B3"/>
    <w:rsid w:val="00EF6C8D"/>
    <w:rsid w:val="00F00A3D"/>
    <w:rsid w:val="00F018E7"/>
    <w:rsid w:val="00F0219D"/>
    <w:rsid w:val="00F04D90"/>
    <w:rsid w:val="00F10E3E"/>
    <w:rsid w:val="00F113D0"/>
    <w:rsid w:val="00F116F1"/>
    <w:rsid w:val="00F14324"/>
    <w:rsid w:val="00F1435B"/>
    <w:rsid w:val="00F14487"/>
    <w:rsid w:val="00F14FAD"/>
    <w:rsid w:val="00F164D3"/>
    <w:rsid w:val="00F17C37"/>
    <w:rsid w:val="00F27575"/>
    <w:rsid w:val="00F27A92"/>
    <w:rsid w:val="00F330C8"/>
    <w:rsid w:val="00F3311C"/>
    <w:rsid w:val="00F33D8A"/>
    <w:rsid w:val="00F34491"/>
    <w:rsid w:val="00F3531F"/>
    <w:rsid w:val="00F353B3"/>
    <w:rsid w:val="00F35989"/>
    <w:rsid w:val="00F35A93"/>
    <w:rsid w:val="00F36402"/>
    <w:rsid w:val="00F4022A"/>
    <w:rsid w:val="00F40452"/>
    <w:rsid w:val="00F42537"/>
    <w:rsid w:val="00F43E23"/>
    <w:rsid w:val="00F43EA4"/>
    <w:rsid w:val="00F447D3"/>
    <w:rsid w:val="00F50689"/>
    <w:rsid w:val="00F51884"/>
    <w:rsid w:val="00F51D7D"/>
    <w:rsid w:val="00F52939"/>
    <w:rsid w:val="00F53D82"/>
    <w:rsid w:val="00F53E4E"/>
    <w:rsid w:val="00F5408A"/>
    <w:rsid w:val="00F55607"/>
    <w:rsid w:val="00F5616B"/>
    <w:rsid w:val="00F6098C"/>
    <w:rsid w:val="00F60A09"/>
    <w:rsid w:val="00F616B9"/>
    <w:rsid w:val="00F64376"/>
    <w:rsid w:val="00F64E36"/>
    <w:rsid w:val="00F66D90"/>
    <w:rsid w:val="00F67797"/>
    <w:rsid w:val="00F729AB"/>
    <w:rsid w:val="00F72EDC"/>
    <w:rsid w:val="00F73EAB"/>
    <w:rsid w:val="00F7787C"/>
    <w:rsid w:val="00F77EC1"/>
    <w:rsid w:val="00F82326"/>
    <w:rsid w:val="00F8404A"/>
    <w:rsid w:val="00F86FC3"/>
    <w:rsid w:val="00F87AD7"/>
    <w:rsid w:val="00F87EFF"/>
    <w:rsid w:val="00F92A30"/>
    <w:rsid w:val="00F9459B"/>
    <w:rsid w:val="00FA49AE"/>
    <w:rsid w:val="00FA4A74"/>
    <w:rsid w:val="00FA51EA"/>
    <w:rsid w:val="00FA5D8E"/>
    <w:rsid w:val="00FA7A8D"/>
    <w:rsid w:val="00FB12C2"/>
    <w:rsid w:val="00FB2183"/>
    <w:rsid w:val="00FB3D6A"/>
    <w:rsid w:val="00FB55ED"/>
    <w:rsid w:val="00FB64BB"/>
    <w:rsid w:val="00FC029C"/>
    <w:rsid w:val="00FC05E8"/>
    <w:rsid w:val="00FC1CE5"/>
    <w:rsid w:val="00FC46C9"/>
    <w:rsid w:val="00FC6F5C"/>
    <w:rsid w:val="00FD1280"/>
    <w:rsid w:val="00FD2880"/>
    <w:rsid w:val="00FD7507"/>
    <w:rsid w:val="00FE1432"/>
    <w:rsid w:val="00FE1AEF"/>
    <w:rsid w:val="00FE437C"/>
    <w:rsid w:val="00FE460F"/>
    <w:rsid w:val="00FE4B17"/>
    <w:rsid w:val="00FE5184"/>
    <w:rsid w:val="00FE55D0"/>
    <w:rsid w:val="00FE65A7"/>
    <w:rsid w:val="00FE69E9"/>
    <w:rsid w:val="00FE6D64"/>
    <w:rsid w:val="00FF1369"/>
    <w:rsid w:val="00FF23F6"/>
    <w:rsid w:val="00FF2FDA"/>
    <w:rsid w:val="00FF3ABF"/>
    <w:rsid w:val="00FF5B05"/>
    <w:rsid w:val="010613AE"/>
    <w:rsid w:val="011244ED"/>
    <w:rsid w:val="012F4995"/>
    <w:rsid w:val="013D4278"/>
    <w:rsid w:val="01415C7E"/>
    <w:rsid w:val="0145522D"/>
    <w:rsid w:val="019542B3"/>
    <w:rsid w:val="01967485"/>
    <w:rsid w:val="01CB320B"/>
    <w:rsid w:val="01DB4184"/>
    <w:rsid w:val="01EE694F"/>
    <w:rsid w:val="022A1A1B"/>
    <w:rsid w:val="024535A0"/>
    <w:rsid w:val="02972D8F"/>
    <w:rsid w:val="02A062D0"/>
    <w:rsid w:val="02E91BE7"/>
    <w:rsid w:val="03040222"/>
    <w:rsid w:val="032D6096"/>
    <w:rsid w:val="03573CAE"/>
    <w:rsid w:val="03716088"/>
    <w:rsid w:val="03A878E7"/>
    <w:rsid w:val="03AF2633"/>
    <w:rsid w:val="03F1527C"/>
    <w:rsid w:val="03F2766E"/>
    <w:rsid w:val="04247A6D"/>
    <w:rsid w:val="042C52AA"/>
    <w:rsid w:val="04300A32"/>
    <w:rsid w:val="04443ADB"/>
    <w:rsid w:val="045F72F9"/>
    <w:rsid w:val="04734094"/>
    <w:rsid w:val="04785EAF"/>
    <w:rsid w:val="04FA6A8C"/>
    <w:rsid w:val="050A52AF"/>
    <w:rsid w:val="051A3912"/>
    <w:rsid w:val="0530344A"/>
    <w:rsid w:val="05303BBE"/>
    <w:rsid w:val="056920C6"/>
    <w:rsid w:val="05C92DEC"/>
    <w:rsid w:val="06071754"/>
    <w:rsid w:val="063A3C2B"/>
    <w:rsid w:val="06973271"/>
    <w:rsid w:val="06AB59C5"/>
    <w:rsid w:val="06BE1AFB"/>
    <w:rsid w:val="06C34C6B"/>
    <w:rsid w:val="06DF6A8B"/>
    <w:rsid w:val="072075C5"/>
    <w:rsid w:val="07376890"/>
    <w:rsid w:val="076279D6"/>
    <w:rsid w:val="07647A4F"/>
    <w:rsid w:val="07A92215"/>
    <w:rsid w:val="07BB5456"/>
    <w:rsid w:val="07EE6AE4"/>
    <w:rsid w:val="07F4792D"/>
    <w:rsid w:val="07F7358F"/>
    <w:rsid w:val="081E3021"/>
    <w:rsid w:val="083B34FB"/>
    <w:rsid w:val="0845037E"/>
    <w:rsid w:val="08724BD6"/>
    <w:rsid w:val="088911A3"/>
    <w:rsid w:val="08894B1B"/>
    <w:rsid w:val="08C60F15"/>
    <w:rsid w:val="08D1158A"/>
    <w:rsid w:val="090E7492"/>
    <w:rsid w:val="09232323"/>
    <w:rsid w:val="09254FEF"/>
    <w:rsid w:val="09453417"/>
    <w:rsid w:val="094817DD"/>
    <w:rsid w:val="09E47F61"/>
    <w:rsid w:val="0A033FB3"/>
    <w:rsid w:val="0A1828E4"/>
    <w:rsid w:val="0A2061C3"/>
    <w:rsid w:val="0A3609CC"/>
    <w:rsid w:val="0A4A7648"/>
    <w:rsid w:val="0A6364CB"/>
    <w:rsid w:val="0A832E34"/>
    <w:rsid w:val="0AAD4FEB"/>
    <w:rsid w:val="0AE55920"/>
    <w:rsid w:val="0AFA763E"/>
    <w:rsid w:val="0B1879CE"/>
    <w:rsid w:val="0B414B94"/>
    <w:rsid w:val="0BA12222"/>
    <w:rsid w:val="0BA624F3"/>
    <w:rsid w:val="0BC20ECB"/>
    <w:rsid w:val="0BCC7BCD"/>
    <w:rsid w:val="0BCF72A4"/>
    <w:rsid w:val="0C191A5C"/>
    <w:rsid w:val="0C332E98"/>
    <w:rsid w:val="0C510045"/>
    <w:rsid w:val="0C714D1C"/>
    <w:rsid w:val="0C837D85"/>
    <w:rsid w:val="0CB422C4"/>
    <w:rsid w:val="0CB657C6"/>
    <w:rsid w:val="0CBE2872"/>
    <w:rsid w:val="0CCB5588"/>
    <w:rsid w:val="0CD209FB"/>
    <w:rsid w:val="0CE254B4"/>
    <w:rsid w:val="0D6B00AF"/>
    <w:rsid w:val="0D8B1536"/>
    <w:rsid w:val="0DA22594"/>
    <w:rsid w:val="0DA675E9"/>
    <w:rsid w:val="0DB6085D"/>
    <w:rsid w:val="0DD36B79"/>
    <w:rsid w:val="0DF742E8"/>
    <w:rsid w:val="0E056E2D"/>
    <w:rsid w:val="0E076A11"/>
    <w:rsid w:val="0E1409F6"/>
    <w:rsid w:val="0E2C3669"/>
    <w:rsid w:val="0E3545CB"/>
    <w:rsid w:val="0E5D4CD0"/>
    <w:rsid w:val="0E760A47"/>
    <w:rsid w:val="0E920845"/>
    <w:rsid w:val="0ECD67E4"/>
    <w:rsid w:val="0EED6FFA"/>
    <w:rsid w:val="0F0D70B7"/>
    <w:rsid w:val="0F280FD5"/>
    <w:rsid w:val="0F296C0A"/>
    <w:rsid w:val="0F9E47AC"/>
    <w:rsid w:val="0FB84EE9"/>
    <w:rsid w:val="0FEC3128"/>
    <w:rsid w:val="101324FA"/>
    <w:rsid w:val="10352EA6"/>
    <w:rsid w:val="103932FC"/>
    <w:rsid w:val="105F7F23"/>
    <w:rsid w:val="10710D64"/>
    <w:rsid w:val="107B7BA2"/>
    <w:rsid w:val="11105D06"/>
    <w:rsid w:val="11307875"/>
    <w:rsid w:val="11B2449C"/>
    <w:rsid w:val="11F5422C"/>
    <w:rsid w:val="12465492"/>
    <w:rsid w:val="12677DC7"/>
    <w:rsid w:val="12AF4946"/>
    <w:rsid w:val="12B81741"/>
    <w:rsid w:val="12BE212B"/>
    <w:rsid w:val="12D907DF"/>
    <w:rsid w:val="12DC4A9B"/>
    <w:rsid w:val="130478F5"/>
    <w:rsid w:val="131D65BB"/>
    <w:rsid w:val="13547380"/>
    <w:rsid w:val="137B1060"/>
    <w:rsid w:val="137E4FA7"/>
    <w:rsid w:val="13D11D1F"/>
    <w:rsid w:val="13D60AF6"/>
    <w:rsid w:val="13E413AA"/>
    <w:rsid w:val="13FA068E"/>
    <w:rsid w:val="14084BF4"/>
    <w:rsid w:val="14461956"/>
    <w:rsid w:val="1457788F"/>
    <w:rsid w:val="14650F9F"/>
    <w:rsid w:val="14954356"/>
    <w:rsid w:val="14B416E9"/>
    <w:rsid w:val="14EB1DDB"/>
    <w:rsid w:val="15106FA0"/>
    <w:rsid w:val="15203A86"/>
    <w:rsid w:val="153D744C"/>
    <w:rsid w:val="15494238"/>
    <w:rsid w:val="156D449B"/>
    <w:rsid w:val="15726F55"/>
    <w:rsid w:val="15843439"/>
    <w:rsid w:val="15BA08BE"/>
    <w:rsid w:val="15BB4760"/>
    <w:rsid w:val="15CA68AC"/>
    <w:rsid w:val="15CD1EA4"/>
    <w:rsid w:val="16033966"/>
    <w:rsid w:val="1639282B"/>
    <w:rsid w:val="16485F9E"/>
    <w:rsid w:val="165006EB"/>
    <w:rsid w:val="166A3466"/>
    <w:rsid w:val="166C7164"/>
    <w:rsid w:val="16F447A8"/>
    <w:rsid w:val="170E6F97"/>
    <w:rsid w:val="171036E6"/>
    <w:rsid w:val="171D1030"/>
    <w:rsid w:val="172919F9"/>
    <w:rsid w:val="173479F1"/>
    <w:rsid w:val="17676D6C"/>
    <w:rsid w:val="176E2F0B"/>
    <w:rsid w:val="17D72F89"/>
    <w:rsid w:val="1814258C"/>
    <w:rsid w:val="182F467F"/>
    <w:rsid w:val="184355AB"/>
    <w:rsid w:val="18CF1CD4"/>
    <w:rsid w:val="18E93725"/>
    <w:rsid w:val="19174566"/>
    <w:rsid w:val="19291CDF"/>
    <w:rsid w:val="1947745F"/>
    <w:rsid w:val="1954525B"/>
    <w:rsid w:val="19791FCB"/>
    <w:rsid w:val="198307A0"/>
    <w:rsid w:val="199E7D0E"/>
    <w:rsid w:val="19B432D0"/>
    <w:rsid w:val="19B44779"/>
    <w:rsid w:val="19BC25B3"/>
    <w:rsid w:val="19C9728A"/>
    <w:rsid w:val="19FF35B1"/>
    <w:rsid w:val="1A103C1D"/>
    <w:rsid w:val="1A145625"/>
    <w:rsid w:val="1A29576F"/>
    <w:rsid w:val="1A3D4254"/>
    <w:rsid w:val="1A594860"/>
    <w:rsid w:val="1A66545E"/>
    <w:rsid w:val="1A8B03C9"/>
    <w:rsid w:val="1A9A6A0C"/>
    <w:rsid w:val="1AAE2D84"/>
    <w:rsid w:val="1AB87B91"/>
    <w:rsid w:val="1AC34587"/>
    <w:rsid w:val="1ACE450C"/>
    <w:rsid w:val="1ACF15B4"/>
    <w:rsid w:val="1ACF6DD7"/>
    <w:rsid w:val="1B166B7F"/>
    <w:rsid w:val="1B187D89"/>
    <w:rsid w:val="1B1A1FCC"/>
    <w:rsid w:val="1B613804"/>
    <w:rsid w:val="1B6829F1"/>
    <w:rsid w:val="1B8B2AC5"/>
    <w:rsid w:val="1BC971F5"/>
    <w:rsid w:val="1BCF41AF"/>
    <w:rsid w:val="1BFF4DA4"/>
    <w:rsid w:val="1C0E38AC"/>
    <w:rsid w:val="1C1A23CD"/>
    <w:rsid w:val="1C2256C2"/>
    <w:rsid w:val="1C235374"/>
    <w:rsid w:val="1C602F14"/>
    <w:rsid w:val="1CED58D0"/>
    <w:rsid w:val="1D0151C4"/>
    <w:rsid w:val="1D263DFF"/>
    <w:rsid w:val="1D422339"/>
    <w:rsid w:val="1DCF5533"/>
    <w:rsid w:val="1DD93C21"/>
    <w:rsid w:val="1E0C2D7D"/>
    <w:rsid w:val="1E152FB7"/>
    <w:rsid w:val="1E393FF4"/>
    <w:rsid w:val="1E8C5474"/>
    <w:rsid w:val="1E99332E"/>
    <w:rsid w:val="1EA435BE"/>
    <w:rsid w:val="1EBE2B60"/>
    <w:rsid w:val="1ECD76E6"/>
    <w:rsid w:val="1ECE53E2"/>
    <w:rsid w:val="1EDD27F2"/>
    <w:rsid w:val="1EDF17FD"/>
    <w:rsid w:val="1EE77648"/>
    <w:rsid w:val="1EEF42B2"/>
    <w:rsid w:val="1F085E63"/>
    <w:rsid w:val="1F0A4DEF"/>
    <w:rsid w:val="1F0F37FF"/>
    <w:rsid w:val="1F2D7F14"/>
    <w:rsid w:val="1F42113B"/>
    <w:rsid w:val="1F6D6D9D"/>
    <w:rsid w:val="1F751514"/>
    <w:rsid w:val="1FAA5685"/>
    <w:rsid w:val="1FC9072C"/>
    <w:rsid w:val="1FD1664B"/>
    <w:rsid w:val="20190240"/>
    <w:rsid w:val="201D12CF"/>
    <w:rsid w:val="202A6730"/>
    <w:rsid w:val="208A7239"/>
    <w:rsid w:val="20E31D70"/>
    <w:rsid w:val="20E70F5E"/>
    <w:rsid w:val="20EE50D7"/>
    <w:rsid w:val="211724F1"/>
    <w:rsid w:val="211D4691"/>
    <w:rsid w:val="212E0A02"/>
    <w:rsid w:val="213D638E"/>
    <w:rsid w:val="21606098"/>
    <w:rsid w:val="21783D0F"/>
    <w:rsid w:val="217D599D"/>
    <w:rsid w:val="21810EFB"/>
    <w:rsid w:val="21CA558A"/>
    <w:rsid w:val="22155D5E"/>
    <w:rsid w:val="221768AF"/>
    <w:rsid w:val="22250062"/>
    <w:rsid w:val="225063B2"/>
    <w:rsid w:val="2268710B"/>
    <w:rsid w:val="227E692E"/>
    <w:rsid w:val="22D970CA"/>
    <w:rsid w:val="23413D13"/>
    <w:rsid w:val="234F405E"/>
    <w:rsid w:val="23530D86"/>
    <w:rsid w:val="23A81EB5"/>
    <w:rsid w:val="23F0449E"/>
    <w:rsid w:val="2404503A"/>
    <w:rsid w:val="241D439D"/>
    <w:rsid w:val="24552F34"/>
    <w:rsid w:val="246E02FC"/>
    <w:rsid w:val="246F7D68"/>
    <w:rsid w:val="24863CE1"/>
    <w:rsid w:val="249F3EEC"/>
    <w:rsid w:val="24A21197"/>
    <w:rsid w:val="24A86D25"/>
    <w:rsid w:val="24CE7807"/>
    <w:rsid w:val="24EF14C1"/>
    <w:rsid w:val="24FB24FF"/>
    <w:rsid w:val="24FE2F6B"/>
    <w:rsid w:val="251D7E40"/>
    <w:rsid w:val="256D4BB8"/>
    <w:rsid w:val="25AF484F"/>
    <w:rsid w:val="25CA4BCE"/>
    <w:rsid w:val="25FB4D4F"/>
    <w:rsid w:val="26041576"/>
    <w:rsid w:val="265C00FB"/>
    <w:rsid w:val="26762ADF"/>
    <w:rsid w:val="269D4068"/>
    <w:rsid w:val="26A162B9"/>
    <w:rsid w:val="26B81C9C"/>
    <w:rsid w:val="26BD4C0A"/>
    <w:rsid w:val="26E342B8"/>
    <w:rsid w:val="27110EAB"/>
    <w:rsid w:val="273738CF"/>
    <w:rsid w:val="27401022"/>
    <w:rsid w:val="27670468"/>
    <w:rsid w:val="27866998"/>
    <w:rsid w:val="278F0C96"/>
    <w:rsid w:val="27F35A3F"/>
    <w:rsid w:val="284E6F27"/>
    <w:rsid w:val="28903723"/>
    <w:rsid w:val="28961E30"/>
    <w:rsid w:val="28BC3105"/>
    <w:rsid w:val="28C204A5"/>
    <w:rsid w:val="28E05563"/>
    <w:rsid w:val="28E8588A"/>
    <w:rsid w:val="28F15BD8"/>
    <w:rsid w:val="29746AF3"/>
    <w:rsid w:val="299B7267"/>
    <w:rsid w:val="299E316C"/>
    <w:rsid w:val="29AA5C94"/>
    <w:rsid w:val="29B008C0"/>
    <w:rsid w:val="29C130D3"/>
    <w:rsid w:val="29F3304F"/>
    <w:rsid w:val="29F45DED"/>
    <w:rsid w:val="29FC4BC7"/>
    <w:rsid w:val="2A09652C"/>
    <w:rsid w:val="2A231E00"/>
    <w:rsid w:val="2A2C28AB"/>
    <w:rsid w:val="2A2D7DF7"/>
    <w:rsid w:val="2A406EBE"/>
    <w:rsid w:val="2A6F465F"/>
    <w:rsid w:val="2A903579"/>
    <w:rsid w:val="2AB105A8"/>
    <w:rsid w:val="2AC4768B"/>
    <w:rsid w:val="2ACA0963"/>
    <w:rsid w:val="2ACD5ABD"/>
    <w:rsid w:val="2B1E1CFA"/>
    <w:rsid w:val="2B34487A"/>
    <w:rsid w:val="2B434264"/>
    <w:rsid w:val="2B6B4122"/>
    <w:rsid w:val="2B8B2260"/>
    <w:rsid w:val="2B954E3D"/>
    <w:rsid w:val="2BBC53B4"/>
    <w:rsid w:val="2BDD5D86"/>
    <w:rsid w:val="2C043A79"/>
    <w:rsid w:val="2C3F5034"/>
    <w:rsid w:val="2C532462"/>
    <w:rsid w:val="2C9019DF"/>
    <w:rsid w:val="2CAC2E79"/>
    <w:rsid w:val="2D0837DC"/>
    <w:rsid w:val="2D0E1146"/>
    <w:rsid w:val="2D2E1BD0"/>
    <w:rsid w:val="2D3020A3"/>
    <w:rsid w:val="2D804C1A"/>
    <w:rsid w:val="2D887DD9"/>
    <w:rsid w:val="2D8C2502"/>
    <w:rsid w:val="2DE83719"/>
    <w:rsid w:val="2E0974D4"/>
    <w:rsid w:val="2E0A2FC6"/>
    <w:rsid w:val="2E121A85"/>
    <w:rsid w:val="2E3B4D0C"/>
    <w:rsid w:val="2E3C7A20"/>
    <w:rsid w:val="2E552E83"/>
    <w:rsid w:val="2ED11B32"/>
    <w:rsid w:val="2EE27BD3"/>
    <w:rsid w:val="2EE74466"/>
    <w:rsid w:val="2EFC1797"/>
    <w:rsid w:val="2F0054EF"/>
    <w:rsid w:val="2F0A6D7A"/>
    <w:rsid w:val="2F205F90"/>
    <w:rsid w:val="2F3A0A67"/>
    <w:rsid w:val="2F622E49"/>
    <w:rsid w:val="2F6904A2"/>
    <w:rsid w:val="2FBC6590"/>
    <w:rsid w:val="2FFA73AC"/>
    <w:rsid w:val="302505EE"/>
    <w:rsid w:val="304834E3"/>
    <w:rsid w:val="304C6D66"/>
    <w:rsid w:val="30883269"/>
    <w:rsid w:val="309F1F4A"/>
    <w:rsid w:val="30A969F1"/>
    <w:rsid w:val="30C44106"/>
    <w:rsid w:val="30E25ECB"/>
    <w:rsid w:val="311C32D1"/>
    <w:rsid w:val="312566B9"/>
    <w:rsid w:val="312D1C4B"/>
    <w:rsid w:val="314A6F0A"/>
    <w:rsid w:val="3176777A"/>
    <w:rsid w:val="31B4543C"/>
    <w:rsid w:val="31C93112"/>
    <w:rsid w:val="31D73AB2"/>
    <w:rsid w:val="32194D4A"/>
    <w:rsid w:val="321F633F"/>
    <w:rsid w:val="32402A4C"/>
    <w:rsid w:val="32661263"/>
    <w:rsid w:val="32942519"/>
    <w:rsid w:val="32CF7B4E"/>
    <w:rsid w:val="32F92709"/>
    <w:rsid w:val="332F2645"/>
    <w:rsid w:val="3358156C"/>
    <w:rsid w:val="337B2B33"/>
    <w:rsid w:val="33F3230C"/>
    <w:rsid w:val="3434233A"/>
    <w:rsid w:val="3439166F"/>
    <w:rsid w:val="346516FC"/>
    <w:rsid w:val="347418D4"/>
    <w:rsid w:val="34A54BD2"/>
    <w:rsid w:val="34B26747"/>
    <w:rsid w:val="34D621F6"/>
    <w:rsid w:val="351C6EEB"/>
    <w:rsid w:val="353C386D"/>
    <w:rsid w:val="356552E2"/>
    <w:rsid w:val="35E25B61"/>
    <w:rsid w:val="360538C4"/>
    <w:rsid w:val="3628141C"/>
    <w:rsid w:val="36282385"/>
    <w:rsid w:val="36446247"/>
    <w:rsid w:val="36E301FD"/>
    <w:rsid w:val="37303D59"/>
    <w:rsid w:val="37305314"/>
    <w:rsid w:val="37433A28"/>
    <w:rsid w:val="375B3648"/>
    <w:rsid w:val="377409E6"/>
    <w:rsid w:val="385E05CD"/>
    <w:rsid w:val="38871C41"/>
    <w:rsid w:val="38963FD0"/>
    <w:rsid w:val="38AB6B1C"/>
    <w:rsid w:val="38B01BBE"/>
    <w:rsid w:val="38C7177E"/>
    <w:rsid w:val="38FD3E94"/>
    <w:rsid w:val="38FE17E0"/>
    <w:rsid w:val="39033AF8"/>
    <w:rsid w:val="39682ADB"/>
    <w:rsid w:val="39811775"/>
    <w:rsid w:val="398F7CA7"/>
    <w:rsid w:val="39BC2B51"/>
    <w:rsid w:val="39D15594"/>
    <w:rsid w:val="39E46138"/>
    <w:rsid w:val="39FF3B21"/>
    <w:rsid w:val="3A346732"/>
    <w:rsid w:val="3A4A662E"/>
    <w:rsid w:val="3A5860DF"/>
    <w:rsid w:val="3A6E0437"/>
    <w:rsid w:val="3ACB4A2F"/>
    <w:rsid w:val="3AD72CD2"/>
    <w:rsid w:val="3AE346F3"/>
    <w:rsid w:val="3AFD48DB"/>
    <w:rsid w:val="3C1C0620"/>
    <w:rsid w:val="3C1F3C13"/>
    <w:rsid w:val="3C27547D"/>
    <w:rsid w:val="3C37393C"/>
    <w:rsid w:val="3C452454"/>
    <w:rsid w:val="3C5E7A15"/>
    <w:rsid w:val="3C793F97"/>
    <w:rsid w:val="3C83601E"/>
    <w:rsid w:val="3CC2241F"/>
    <w:rsid w:val="3CC4117C"/>
    <w:rsid w:val="3CE874D6"/>
    <w:rsid w:val="3D332927"/>
    <w:rsid w:val="3D380EAC"/>
    <w:rsid w:val="3D785FFC"/>
    <w:rsid w:val="3D88524A"/>
    <w:rsid w:val="3D8F026C"/>
    <w:rsid w:val="3DB82366"/>
    <w:rsid w:val="3DBD76E6"/>
    <w:rsid w:val="3DDE5988"/>
    <w:rsid w:val="3E10417A"/>
    <w:rsid w:val="3E350C89"/>
    <w:rsid w:val="3E591B51"/>
    <w:rsid w:val="3E7148E7"/>
    <w:rsid w:val="3E8F5DA7"/>
    <w:rsid w:val="3E9C6794"/>
    <w:rsid w:val="3EA032D9"/>
    <w:rsid w:val="3F144ECD"/>
    <w:rsid w:val="3F1528AD"/>
    <w:rsid w:val="3F3B1B30"/>
    <w:rsid w:val="3F467356"/>
    <w:rsid w:val="3F517BC4"/>
    <w:rsid w:val="3FA774C0"/>
    <w:rsid w:val="3FBC368E"/>
    <w:rsid w:val="3FD725B4"/>
    <w:rsid w:val="3FDB633D"/>
    <w:rsid w:val="401F3BF9"/>
    <w:rsid w:val="40342101"/>
    <w:rsid w:val="404546A9"/>
    <w:rsid w:val="40655AA2"/>
    <w:rsid w:val="406F0FF6"/>
    <w:rsid w:val="407D76AD"/>
    <w:rsid w:val="40864C2D"/>
    <w:rsid w:val="408E48A6"/>
    <w:rsid w:val="40A860FA"/>
    <w:rsid w:val="40AB6967"/>
    <w:rsid w:val="40B7699E"/>
    <w:rsid w:val="41184819"/>
    <w:rsid w:val="412E4AB4"/>
    <w:rsid w:val="414C7BED"/>
    <w:rsid w:val="414D5B0F"/>
    <w:rsid w:val="41BE09EA"/>
    <w:rsid w:val="41EE5693"/>
    <w:rsid w:val="424256D3"/>
    <w:rsid w:val="426F381D"/>
    <w:rsid w:val="42823479"/>
    <w:rsid w:val="429D4C7E"/>
    <w:rsid w:val="42AA3441"/>
    <w:rsid w:val="42B21FB1"/>
    <w:rsid w:val="42B33FA8"/>
    <w:rsid w:val="42BA5045"/>
    <w:rsid w:val="42C55CA9"/>
    <w:rsid w:val="42D12262"/>
    <w:rsid w:val="42F51BC3"/>
    <w:rsid w:val="43174E79"/>
    <w:rsid w:val="433149E1"/>
    <w:rsid w:val="434F444B"/>
    <w:rsid w:val="43602C3F"/>
    <w:rsid w:val="436358BF"/>
    <w:rsid w:val="43697862"/>
    <w:rsid w:val="439E6DDD"/>
    <w:rsid w:val="43B41C41"/>
    <w:rsid w:val="43E67878"/>
    <w:rsid w:val="43F87E97"/>
    <w:rsid w:val="44080CDD"/>
    <w:rsid w:val="440C283D"/>
    <w:rsid w:val="4420242A"/>
    <w:rsid w:val="44307CFA"/>
    <w:rsid w:val="445207EF"/>
    <w:rsid w:val="447D214A"/>
    <w:rsid w:val="44B31913"/>
    <w:rsid w:val="44F77C59"/>
    <w:rsid w:val="450E00C3"/>
    <w:rsid w:val="4521611E"/>
    <w:rsid w:val="452C7121"/>
    <w:rsid w:val="452F74BF"/>
    <w:rsid w:val="453675B0"/>
    <w:rsid w:val="4568342A"/>
    <w:rsid w:val="457D35AE"/>
    <w:rsid w:val="45B17A13"/>
    <w:rsid w:val="45B23946"/>
    <w:rsid w:val="45B71398"/>
    <w:rsid w:val="45C747BB"/>
    <w:rsid w:val="45C94BFB"/>
    <w:rsid w:val="46072613"/>
    <w:rsid w:val="460E7806"/>
    <w:rsid w:val="46283031"/>
    <w:rsid w:val="46446F5C"/>
    <w:rsid w:val="46A905FA"/>
    <w:rsid w:val="46C2744B"/>
    <w:rsid w:val="46D070C6"/>
    <w:rsid w:val="46D83FB0"/>
    <w:rsid w:val="46F839A1"/>
    <w:rsid w:val="471F12E3"/>
    <w:rsid w:val="47232A97"/>
    <w:rsid w:val="47313114"/>
    <w:rsid w:val="473206A5"/>
    <w:rsid w:val="47484892"/>
    <w:rsid w:val="475A54A5"/>
    <w:rsid w:val="4792589C"/>
    <w:rsid w:val="479B68D0"/>
    <w:rsid w:val="47BE04CA"/>
    <w:rsid w:val="47D1326E"/>
    <w:rsid w:val="47EB17DC"/>
    <w:rsid w:val="4803505C"/>
    <w:rsid w:val="481B50CE"/>
    <w:rsid w:val="482E3D45"/>
    <w:rsid w:val="486B1321"/>
    <w:rsid w:val="488C15B5"/>
    <w:rsid w:val="48A61754"/>
    <w:rsid w:val="48A61E8F"/>
    <w:rsid w:val="48F91BA6"/>
    <w:rsid w:val="492D2752"/>
    <w:rsid w:val="4964076A"/>
    <w:rsid w:val="497D3C70"/>
    <w:rsid w:val="49A36178"/>
    <w:rsid w:val="49B61459"/>
    <w:rsid w:val="49C00237"/>
    <w:rsid w:val="49EA7DF3"/>
    <w:rsid w:val="4A3C2B7D"/>
    <w:rsid w:val="4A42548C"/>
    <w:rsid w:val="4A496BE3"/>
    <w:rsid w:val="4A541B9F"/>
    <w:rsid w:val="4A782C2D"/>
    <w:rsid w:val="4A841E2A"/>
    <w:rsid w:val="4A8E499E"/>
    <w:rsid w:val="4A950CC7"/>
    <w:rsid w:val="4ADB5E1D"/>
    <w:rsid w:val="4AED4B8A"/>
    <w:rsid w:val="4AF931A4"/>
    <w:rsid w:val="4B1B1929"/>
    <w:rsid w:val="4B503E53"/>
    <w:rsid w:val="4B7B1575"/>
    <w:rsid w:val="4B8C37AB"/>
    <w:rsid w:val="4BA150DC"/>
    <w:rsid w:val="4BA5188E"/>
    <w:rsid w:val="4BC74FBB"/>
    <w:rsid w:val="4BD92728"/>
    <w:rsid w:val="4BDC00D7"/>
    <w:rsid w:val="4BE8482E"/>
    <w:rsid w:val="4C163A3A"/>
    <w:rsid w:val="4C2C179E"/>
    <w:rsid w:val="4C3B2B46"/>
    <w:rsid w:val="4C5B4189"/>
    <w:rsid w:val="4C6A1C02"/>
    <w:rsid w:val="4C6B4B03"/>
    <w:rsid w:val="4C6C5B09"/>
    <w:rsid w:val="4C750CD5"/>
    <w:rsid w:val="4CA807D2"/>
    <w:rsid w:val="4CCF308D"/>
    <w:rsid w:val="4CD540B5"/>
    <w:rsid w:val="4D4201A6"/>
    <w:rsid w:val="4D5907D6"/>
    <w:rsid w:val="4D5A6C44"/>
    <w:rsid w:val="4D916A64"/>
    <w:rsid w:val="4DBD276F"/>
    <w:rsid w:val="4DD93A69"/>
    <w:rsid w:val="4E0D0208"/>
    <w:rsid w:val="4E31050D"/>
    <w:rsid w:val="4E65093A"/>
    <w:rsid w:val="4E8B7B62"/>
    <w:rsid w:val="4EA325F4"/>
    <w:rsid w:val="4EB304C8"/>
    <w:rsid w:val="4EFA3070"/>
    <w:rsid w:val="4F1366D0"/>
    <w:rsid w:val="4F2F3EEA"/>
    <w:rsid w:val="4F5E72C0"/>
    <w:rsid w:val="4F5F12D4"/>
    <w:rsid w:val="4F6777C7"/>
    <w:rsid w:val="4F7725FA"/>
    <w:rsid w:val="4FDE24B2"/>
    <w:rsid w:val="4FF2599B"/>
    <w:rsid w:val="502D7F02"/>
    <w:rsid w:val="508807F5"/>
    <w:rsid w:val="50B51B53"/>
    <w:rsid w:val="50CD30BE"/>
    <w:rsid w:val="51173EA0"/>
    <w:rsid w:val="512522EB"/>
    <w:rsid w:val="51630581"/>
    <w:rsid w:val="51856AE2"/>
    <w:rsid w:val="51873422"/>
    <w:rsid w:val="51A37114"/>
    <w:rsid w:val="51E25FB9"/>
    <w:rsid w:val="5212481A"/>
    <w:rsid w:val="52176ED6"/>
    <w:rsid w:val="521E0C81"/>
    <w:rsid w:val="5227673B"/>
    <w:rsid w:val="52350BA2"/>
    <w:rsid w:val="52355891"/>
    <w:rsid w:val="523F4399"/>
    <w:rsid w:val="5252448D"/>
    <w:rsid w:val="527E0CA7"/>
    <w:rsid w:val="52A37260"/>
    <w:rsid w:val="52B80EAD"/>
    <w:rsid w:val="52DB6AC6"/>
    <w:rsid w:val="52E070CC"/>
    <w:rsid w:val="52EB1B8E"/>
    <w:rsid w:val="532031D8"/>
    <w:rsid w:val="53524412"/>
    <w:rsid w:val="53740D95"/>
    <w:rsid w:val="53792604"/>
    <w:rsid w:val="5398003B"/>
    <w:rsid w:val="539C642B"/>
    <w:rsid w:val="53BE4C42"/>
    <w:rsid w:val="53D22EA8"/>
    <w:rsid w:val="53D86931"/>
    <w:rsid w:val="53DA76A0"/>
    <w:rsid w:val="546E4625"/>
    <w:rsid w:val="557139A2"/>
    <w:rsid w:val="557703FF"/>
    <w:rsid w:val="557830EE"/>
    <w:rsid w:val="5588278D"/>
    <w:rsid w:val="55882A88"/>
    <w:rsid w:val="55AF0E23"/>
    <w:rsid w:val="55CC3F34"/>
    <w:rsid w:val="56555037"/>
    <w:rsid w:val="565D12FC"/>
    <w:rsid w:val="565F395E"/>
    <w:rsid w:val="566361BC"/>
    <w:rsid w:val="56C17BEB"/>
    <w:rsid w:val="56D21E07"/>
    <w:rsid w:val="56FA7F22"/>
    <w:rsid w:val="56FD5086"/>
    <w:rsid w:val="570F5142"/>
    <w:rsid w:val="570F71B9"/>
    <w:rsid w:val="571E6A72"/>
    <w:rsid w:val="57213E2F"/>
    <w:rsid w:val="5782786B"/>
    <w:rsid w:val="578B2B80"/>
    <w:rsid w:val="57A879E2"/>
    <w:rsid w:val="57AD18A9"/>
    <w:rsid w:val="57BC1475"/>
    <w:rsid w:val="57EA210F"/>
    <w:rsid w:val="57EC33A8"/>
    <w:rsid w:val="57EE7D88"/>
    <w:rsid w:val="58357A5F"/>
    <w:rsid w:val="586F62DA"/>
    <w:rsid w:val="58913758"/>
    <w:rsid w:val="58BC79BE"/>
    <w:rsid w:val="58C05E65"/>
    <w:rsid w:val="58EA07CE"/>
    <w:rsid w:val="58EC0D07"/>
    <w:rsid w:val="58F93429"/>
    <w:rsid w:val="590C6EBA"/>
    <w:rsid w:val="59235B89"/>
    <w:rsid w:val="59236675"/>
    <w:rsid w:val="59336DA3"/>
    <w:rsid w:val="59381148"/>
    <w:rsid w:val="59421958"/>
    <w:rsid w:val="59935D49"/>
    <w:rsid w:val="59AB5F68"/>
    <w:rsid w:val="59BB73EA"/>
    <w:rsid w:val="59CD6ACD"/>
    <w:rsid w:val="59F238FC"/>
    <w:rsid w:val="5A312969"/>
    <w:rsid w:val="5A5B58DF"/>
    <w:rsid w:val="5A84778E"/>
    <w:rsid w:val="5A916AC3"/>
    <w:rsid w:val="5AA7243C"/>
    <w:rsid w:val="5AB342B7"/>
    <w:rsid w:val="5B0A408E"/>
    <w:rsid w:val="5B2F5733"/>
    <w:rsid w:val="5B743532"/>
    <w:rsid w:val="5B7C4F58"/>
    <w:rsid w:val="5B936F73"/>
    <w:rsid w:val="5BCA2A2F"/>
    <w:rsid w:val="5BD771F3"/>
    <w:rsid w:val="5C0B661C"/>
    <w:rsid w:val="5C682839"/>
    <w:rsid w:val="5C85677C"/>
    <w:rsid w:val="5C945891"/>
    <w:rsid w:val="5CB35624"/>
    <w:rsid w:val="5CFC28FC"/>
    <w:rsid w:val="5D193930"/>
    <w:rsid w:val="5D251AD2"/>
    <w:rsid w:val="5D286E31"/>
    <w:rsid w:val="5D367122"/>
    <w:rsid w:val="5D483823"/>
    <w:rsid w:val="5D55310C"/>
    <w:rsid w:val="5D5848E4"/>
    <w:rsid w:val="5D8F3DBF"/>
    <w:rsid w:val="5D9A4822"/>
    <w:rsid w:val="5E041685"/>
    <w:rsid w:val="5E191BCF"/>
    <w:rsid w:val="5E4E4C84"/>
    <w:rsid w:val="5E672C76"/>
    <w:rsid w:val="5E7B0BF7"/>
    <w:rsid w:val="5EAB4386"/>
    <w:rsid w:val="5EAB5E35"/>
    <w:rsid w:val="5F230DB3"/>
    <w:rsid w:val="5F665429"/>
    <w:rsid w:val="5F6E38AA"/>
    <w:rsid w:val="60025ECE"/>
    <w:rsid w:val="603248E7"/>
    <w:rsid w:val="60433C6C"/>
    <w:rsid w:val="60615ADD"/>
    <w:rsid w:val="609C7EC5"/>
    <w:rsid w:val="60F45B20"/>
    <w:rsid w:val="615A02FA"/>
    <w:rsid w:val="61690500"/>
    <w:rsid w:val="61870998"/>
    <w:rsid w:val="61967195"/>
    <w:rsid w:val="61AB6509"/>
    <w:rsid w:val="61C73498"/>
    <w:rsid w:val="61F30033"/>
    <w:rsid w:val="62143EFD"/>
    <w:rsid w:val="628023A8"/>
    <w:rsid w:val="62954A46"/>
    <w:rsid w:val="629A1FB5"/>
    <w:rsid w:val="629C01A7"/>
    <w:rsid w:val="62DD5E67"/>
    <w:rsid w:val="62E65151"/>
    <w:rsid w:val="630A4A9B"/>
    <w:rsid w:val="63585A5E"/>
    <w:rsid w:val="6395542B"/>
    <w:rsid w:val="639565F1"/>
    <w:rsid w:val="639C7BCD"/>
    <w:rsid w:val="63A03821"/>
    <w:rsid w:val="63AB14EE"/>
    <w:rsid w:val="63AE4811"/>
    <w:rsid w:val="63CA5E94"/>
    <w:rsid w:val="63D644F6"/>
    <w:rsid w:val="643978D3"/>
    <w:rsid w:val="64456ABF"/>
    <w:rsid w:val="6463206A"/>
    <w:rsid w:val="64791C61"/>
    <w:rsid w:val="649527E1"/>
    <w:rsid w:val="64C43F08"/>
    <w:rsid w:val="65037FF2"/>
    <w:rsid w:val="652752A6"/>
    <w:rsid w:val="658F7EB1"/>
    <w:rsid w:val="65B96CF0"/>
    <w:rsid w:val="65CB058E"/>
    <w:rsid w:val="661274E7"/>
    <w:rsid w:val="663250D0"/>
    <w:rsid w:val="663A3E2B"/>
    <w:rsid w:val="66546CCA"/>
    <w:rsid w:val="666451A4"/>
    <w:rsid w:val="66A16F3B"/>
    <w:rsid w:val="66B43DF1"/>
    <w:rsid w:val="66D66A3E"/>
    <w:rsid w:val="67112D62"/>
    <w:rsid w:val="67552925"/>
    <w:rsid w:val="67600113"/>
    <w:rsid w:val="67E762C2"/>
    <w:rsid w:val="67F31CBA"/>
    <w:rsid w:val="68076A17"/>
    <w:rsid w:val="685B1234"/>
    <w:rsid w:val="68615086"/>
    <w:rsid w:val="68C46A6D"/>
    <w:rsid w:val="68CE3691"/>
    <w:rsid w:val="68D73C6F"/>
    <w:rsid w:val="68E416B1"/>
    <w:rsid w:val="691532C3"/>
    <w:rsid w:val="69276DCB"/>
    <w:rsid w:val="694675AC"/>
    <w:rsid w:val="69577898"/>
    <w:rsid w:val="69CE6E20"/>
    <w:rsid w:val="69F307B7"/>
    <w:rsid w:val="6A032F59"/>
    <w:rsid w:val="6A1D4128"/>
    <w:rsid w:val="6A4A492B"/>
    <w:rsid w:val="6A4C63EB"/>
    <w:rsid w:val="6A510768"/>
    <w:rsid w:val="6A892A13"/>
    <w:rsid w:val="6A9752BF"/>
    <w:rsid w:val="6AA83B05"/>
    <w:rsid w:val="6AB63D06"/>
    <w:rsid w:val="6AE61F66"/>
    <w:rsid w:val="6AE8003A"/>
    <w:rsid w:val="6B041095"/>
    <w:rsid w:val="6B767770"/>
    <w:rsid w:val="6B99052D"/>
    <w:rsid w:val="6BCE5F90"/>
    <w:rsid w:val="6BE446D9"/>
    <w:rsid w:val="6BED0A9C"/>
    <w:rsid w:val="6BF92CF3"/>
    <w:rsid w:val="6C0E559F"/>
    <w:rsid w:val="6C626F65"/>
    <w:rsid w:val="6C7F4AB6"/>
    <w:rsid w:val="6CB30BFB"/>
    <w:rsid w:val="6CF57C50"/>
    <w:rsid w:val="6D0A2106"/>
    <w:rsid w:val="6D0C5572"/>
    <w:rsid w:val="6D622403"/>
    <w:rsid w:val="6D7F1394"/>
    <w:rsid w:val="6DB3474B"/>
    <w:rsid w:val="6DB63E53"/>
    <w:rsid w:val="6DED3702"/>
    <w:rsid w:val="6DF87621"/>
    <w:rsid w:val="6E007F7E"/>
    <w:rsid w:val="6E070B53"/>
    <w:rsid w:val="6E2F67E0"/>
    <w:rsid w:val="6E4B1F64"/>
    <w:rsid w:val="6E4C4D60"/>
    <w:rsid w:val="6E895ABC"/>
    <w:rsid w:val="6E8A631D"/>
    <w:rsid w:val="6E932DE0"/>
    <w:rsid w:val="6F1C043E"/>
    <w:rsid w:val="6F9C5A16"/>
    <w:rsid w:val="6FB439DE"/>
    <w:rsid w:val="6FD250A2"/>
    <w:rsid w:val="6FDB2297"/>
    <w:rsid w:val="6FE73A84"/>
    <w:rsid w:val="700356AB"/>
    <w:rsid w:val="70291C73"/>
    <w:rsid w:val="70CE3BAA"/>
    <w:rsid w:val="70DD7ECC"/>
    <w:rsid w:val="7106333C"/>
    <w:rsid w:val="71147736"/>
    <w:rsid w:val="7149027E"/>
    <w:rsid w:val="71706A0F"/>
    <w:rsid w:val="719E7794"/>
    <w:rsid w:val="71AA01A6"/>
    <w:rsid w:val="71C52D5B"/>
    <w:rsid w:val="72350E81"/>
    <w:rsid w:val="726C3AD3"/>
    <w:rsid w:val="727178BF"/>
    <w:rsid w:val="728A70A8"/>
    <w:rsid w:val="72BA60D2"/>
    <w:rsid w:val="72D04854"/>
    <w:rsid w:val="72D2288C"/>
    <w:rsid w:val="72D62DDC"/>
    <w:rsid w:val="72D83CD1"/>
    <w:rsid w:val="72DC0CAB"/>
    <w:rsid w:val="73460B43"/>
    <w:rsid w:val="734C10B5"/>
    <w:rsid w:val="7353747A"/>
    <w:rsid w:val="73660C3A"/>
    <w:rsid w:val="73A54D3D"/>
    <w:rsid w:val="73C21924"/>
    <w:rsid w:val="73D35FAE"/>
    <w:rsid w:val="73D53523"/>
    <w:rsid w:val="73D80DBC"/>
    <w:rsid w:val="73EC68EA"/>
    <w:rsid w:val="73FF07DC"/>
    <w:rsid w:val="744F7B0E"/>
    <w:rsid w:val="74546133"/>
    <w:rsid w:val="74811E67"/>
    <w:rsid w:val="74D87F6C"/>
    <w:rsid w:val="74FC36C1"/>
    <w:rsid w:val="75242FFC"/>
    <w:rsid w:val="75633DE1"/>
    <w:rsid w:val="75AE2816"/>
    <w:rsid w:val="75FA60DA"/>
    <w:rsid w:val="76037A0E"/>
    <w:rsid w:val="76380E9E"/>
    <w:rsid w:val="76902896"/>
    <w:rsid w:val="76FD1ADF"/>
    <w:rsid w:val="77157AA1"/>
    <w:rsid w:val="77403B6B"/>
    <w:rsid w:val="77443184"/>
    <w:rsid w:val="77905638"/>
    <w:rsid w:val="77A70DAE"/>
    <w:rsid w:val="77BF779D"/>
    <w:rsid w:val="77C05C50"/>
    <w:rsid w:val="77ED704C"/>
    <w:rsid w:val="77F70052"/>
    <w:rsid w:val="784469E6"/>
    <w:rsid w:val="78453C6F"/>
    <w:rsid w:val="7854292E"/>
    <w:rsid w:val="78BB0AD8"/>
    <w:rsid w:val="78BC4348"/>
    <w:rsid w:val="78C23FF4"/>
    <w:rsid w:val="78FC7AD8"/>
    <w:rsid w:val="79857138"/>
    <w:rsid w:val="799007CD"/>
    <w:rsid w:val="79A542C3"/>
    <w:rsid w:val="79B5786B"/>
    <w:rsid w:val="79C54939"/>
    <w:rsid w:val="79D84D05"/>
    <w:rsid w:val="79FB30F4"/>
    <w:rsid w:val="7A3048D6"/>
    <w:rsid w:val="7A346FCA"/>
    <w:rsid w:val="7A410F49"/>
    <w:rsid w:val="7A544AB9"/>
    <w:rsid w:val="7A5F28E5"/>
    <w:rsid w:val="7A5F2CC0"/>
    <w:rsid w:val="7A6606C8"/>
    <w:rsid w:val="7A774208"/>
    <w:rsid w:val="7A98456C"/>
    <w:rsid w:val="7AA247E1"/>
    <w:rsid w:val="7AA62981"/>
    <w:rsid w:val="7AAC0735"/>
    <w:rsid w:val="7B2F5236"/>
    <w:rsid w:val="7B52413E"/>
    <w:rsid w:val="7B58136F"/>
    <w:rsid w:val="7B7D1B70"/>
    <w:rsid w:val="7B8C7499"/>
    <w:rsid w:val="7BAE3A38"/>
    <w:rsid w:val="7BB265A2"/>
    <w:rsid w:val="7BF840C1"/>
    <w:rsid w:val="7C0E7E7C"/>
    <w:rsid w:val="7C696409"/>
    <w:rsid w:val="7C830F7C"/>
    <w:rsid w:val="7D207053"/>
    <w:rsid w:val="7D5A7A5A"/>
    <w:rsid w:val="7DA215B2"/>
    <w:rsid w:val="7DC946EF"/>
    <w:rsid w:val="7DDE6CAC"/>
    <w:rsid w:val="7DF902E7"/>
    <w:rsid w:val="7DFA74D0"/>
    <w:rsid w:val="7DFE31E7"/>
    <w:rsid w:val="7E204930"/>
    <w:rsid w:val="7E3E1098"/>
    <w:rsid w:val="7E467627"/>
    <w:rsid w:val="7E6A7E54"/>
    <w:rsid w:val="7E95008D"/>
    <w:rsid w:val="7EC50B73"/>
    <w:rsid w:val="7EC600D6"/>
    <w:rsid w:val="7ED3576D"/>
    <w:rsid w:val="7EDE76F8"/>
    <w:rsid w:val="7F1F036B"/>
    <w:rsid w:val="7F2C10A1"/>
    <w:rsid w:val="7F467A05"/>
    <w:rsid w:val="7F482A4C"/>
    <w:rsid w:val="7F681FFB"/>
    <w:rsid w:val="7F840255"/>
    <w:rsid w:val="7FAC6763"/>
    <w:rsid w:val="7FB17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line="560" w:lineRule="exact"/>
      <w:ind w:firstLine="0" w:firstLineChars="0"/>
      <w:outlineLvl w:val="0"/>
    </w:pPr>
    <w:rPr>
      <w:b/>
      <w:bCs/>
      <w:kern w:val="44"/>
      <w:sz w:val="36"/>
      <w:szCs w:val="36"/>
    </w:rPr>
  </w:style>
  <w:style w:type="paragraph" w:styleId="3">
    <w:name w:val="heading 2"/>
    <w:basedOn w:val="1"/>
    <w:next w:val="1"/>
    <w:qFormat/>
    <w:uiPriority w:val="0"/>
    <w:pPr>
      <w:keepNext/>
      <w:keepLines/>
      <w:spacing w:before="120" w:after="120" w:line="560" w:lineRule="exact"/>
      <w:ind w:firstLine="0" w:firstLineChars="0"/>
      <w:outlineLvl w:val="1"/>
    </w:pPr>
    <w:rPr>
      <w:b/>
      <w:bCs/>
      <w:sz w:val="32"/>
      <w:szCs w:val="32"/>
    </w:rPr>
  </w:style>
  <w:style w:type="paragraph" w:styleId="4">
    <w:name w:val="heading 3"/>
    <w:basedOn w:val="1"/>
    <w:next w:val="1"/>
    <w:unhideWhenUsed/>
    <w:qFormat/>
    <w:uiPriority w:val="0"/>
    <w:pPr>
      <w:keepNext/>
      <w:keepLines/>
      <w:spacing w:before="60" w:after="60"/>
      <w:ind w:firstLine="0" w:firstLineChars="0"/>
      <w:outlineLvl w:val="2"/>
    </w:pPr>
    <w:rPr>
      <w:b/>
      <w:bCs/>
      <w:sz w:val="30"/>
      <w:szCs w:val="32"/>
    </w:rPr>
  </w:style>
  <w:style w:type="paragraph" w:styleId="5">
    <w:name w:val="heading 4"/>
    <w:basedOn w:val="1"/>
    <w:next w:val="1"/>
    <w:unhideWhenUsed/>
    <w:qFormat/>
    <w:uiPriority w:val="0"/>
    <w:pPr>
      <w:keepNext/>
      <w:keepLines/>
      <w:ind w:firstLine="0" w:firstLineChars="0"/>
      <w:outlineLvl w:val="3"/>
    </w:pPr>
    <w:rPr>
      <w:b/>
    </w:rPr>
  </w:style>
  <w:style w:type="paragraph" w:styleId="6">
    <w:name w:val="heading 5"/>
    <w:basedOn w:val="1"/>
    <w:next w:val="1"/>
    <w:unhideWhenUsed/>
    <w:qFormat/>
    <w:uiPriority w:val="0"/>
    <w:pPr>
      <w:keepNext/>
      <w:keepLines/>
      <w:spacing w:line="372" w:lineRule="auto"/>
      <w:outlineLvl w:val="4"/>
    </w:pPr>
    <w:rPr>
      <w:b/>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5"/>
    <w:link w:val="118"/>
    <w:qFormat/>
    <w:uiPriority w:val="99"/>
    <w:pPr>
      <w:widowControl/>
      <w:ind w:firstLine="574"/>
      <w:jc w:val="left"/>
    </w:pPr>
    <w:rPr>
      <w:rFonts w:ascii="宋体" w:hAnsi="宋体" w:cs="宋体"/>
      <w:kern w:val="0"/>
      <w:sz w:val="28"/>
      <w:szCs w:val="20"/>
    </w:rPr>
  </w:style>
  <w:style w:type="paragraph" w:styleId="8">
    <w:name w:val="caption"/>
    <w:basedOn w:val="1"/>
    <w:next w:val="1"/>
    <w:qFormat/>
    <w:uiPriority w:val="0"/>
    <w:pPr>
      <w:spacing w:line="240" w:lineRule="auto"/>
      <w:ind w:firstLine="0" w:firstLineChars="0"/>
    </w:pPr>
    <w:rPr>
      <w:rFonts w:ascii="Arial" w:hAnsi="Arial" w:eastAsia="黑体" w:cs="Arial"/>
      <w:kern w:val="2"/>
      <w:sz w:val="20"/>
      <w:szCs w:val="20"/>
    </w:rPr>
  </w:style>
  <w:style w:type="paragraph" w:styleId="9">
    <w:name w:val="annotation text"/>
    <w:basedOn w:val="1"/>
    <w:link w:val="110"/>
    <w:qFormat/>
    <w:uiPriority w:val="0"/>
    <w:pPr>
      <w:jc w:val="left"/>
    </w:pPr>
  </w:style>
  <w:style w:type="paragraph" w:styleId="10">
    <w:name w:val="Salutation"/>
    <w:basedOn w:val="1"/>
    <w:next w:val="1"/>
    <w:qFormat/>
    <w:uiPriority w:val="0"/>
    <w:pPr>
      <w:adjustRightInd w:val="0"/>
      <w:snapToGrid w:val="0"/>
      <w:spacing w:line="360" w:lineRule="auto"/>
      <w:ind w:firstLine="200"/>
    </w:pPr>
    <w:rPr>
      <w:sz w:val="28"/>
    </w:rPr>
  </w:style>
  <w:style w:type="paragraph" w:styleId="11">
    <w:name w:val="Body Text"/>
    <w:basedOn w:val="1"/>
    <w:next w:val="12"/>
    <w:qFormat/>
    <w:uiPriority w:val="0"/>
    <w:pPr>
      <w:widowControl/>
      <w:spacing w:after="120"/>
      <w:jc w:val="left"/>
    </w:pPr>
    <w:rPr>
      <w:rFonts w:ascii="宋体" w:hAnsi="宋体" w:cs="宋体"/>
      <w:kern w:val="0"/>
    </w:rPr>
  </w:style>
  <w:style w:type="paragraph" w:styleId="12">
    <w:name w:val="Body Text 2"/>
    <w:basedOn w:val="1"/>
    <w:qFormat/>
    <w:uiPriority w:val="0"/>
    <w:pPr>
      <w:spacing w:line="480" w:lineRule="auto"/>
    </w:pPr>
    <w:rPr>
      <w:rFonts w:eastAsia="仿宋_GB2312"/>
    </w:rPr>
  </w:style>
  <w:style w:type="paragraph" w:styleId="13">
    <w:name w:val="Body Text Indent"/>
    <w:basedOn w:val="1"/>
    <w:next w:val="11"/>
    <w:link w:val="124"/>
    <w:qFormat/>
    <w:uiPriority w:val="0"/>
    <w:pPr>
      <w:spacing w:after="120"/>
      <w:ind w:left="420" w:leftChars="200"/>
    </w:pPr>
  </w:style>
  <w:style w:type="paragraph" w:styleId="14">
    <w:name w:val="Block Text"/>
    <w:basedOn w:val="1"/>
    <w:qFormat/>
    <w:uiPriority w:val="0"/>
    <w:pPr>
      <w:spacing w:line="500" w:lineRule="exact"/>
      <w:ind w:left="-105" w:leftChars="-50" w:right="-108"/>
      <w:jc w:val="center"/>
    </w:pPr>
    <w:rPr>
      <w:rFonts w:ascii="宋体" w:hAnsi="宋体" w:eastAsia="华文中宋"/>
      <w:spacing w:val="-6"/>
      <w:szCs w:val="32"/>
    </w:rPr>
  </w:style>
  <w:style w:type="paragraph" w:styleId="15">
    <w:name w:val="toc 3"/>
    <w:basedOn w:val="1"/>
    <w:next w:val="1"/>
    <w:qFormat/>
    <w:uiPriority w:val="0"/>
    <w:pPr>
      <w:ind w:left="840" w:leftChars="400"/>
    </w:pPr>
  </w:style>
  <w:style w:type="paragraph" w:styleId="16">
    <w:name w:val="Plain Text"/>
    <w:basedOn w:val="1"/>
    <w:next w:val="17"/>
    <w:semiHidden/>
    <w:qFormat/>
    <w:uiPriority w:val="0"/>
    <w:rPr>
      <w:rFonts w:ascii="宋体" w:hAnsi="Courier New" w:cs="Courier New"/>
      <w:szCs w:val="21"/>
    </w:rPr>
  </w:style>
  <w:style w:type="paragraph" w:styleId="17">
    <w:name w:val="List Number 5"/>
    <w:basedOn w:val="1"/>
    <w:qFormat/>
    <w:uiPriority w:val="0"/>
    <w:pPr>
      <w:numPr>
        <w:ilvl w:val="0"/>
        <w:numId w:val="1"/>
      </w:numPr>
    </w:pPr>
  </w:style>
  <w:style w:type="paragraph" w:styleId="18">
    <w:name w:val="index 3"/>
    <w:basedOn w:val="1"/>
    <w:next w:val="1"/>
    <w:qFormat/>
    <w:uiPriority w:val="0"/>
    <w:pPr>
      <w:spacing w:line="520" w:lineRule="exact"/>
      <w:ind w:left="630" w:hanging="210"/>
      <w:jc w:val="left"/>
    </w:pPr>
    <w:rPr>
      <w:rFonts w:cstheme="minorBidi"/>
      <w:sz w:val="20"/>
      <w:szCs w:val="20"/>
    </w:rPr>
  </w:style>
  <w:style w:type="paragraph" w:styleId="19">
    <w:name w:val="Balloon Text"/>
    <w:basedOn w:val="1"/>
    <w:link w:val="88"/>
    <w:qFormat/>
    <w:uiPriority w:val="0"/>
    <w:pPr>
      <w:spacing w:line="240" w:lineRule="auto"/>
    </w:pPr>
    <w:rPr>
      <w:sz w:val="18"/>
      <w:szCs w:val="18"/>
    </w:rPr>
  </w:style>
  <w:style w:type="paragraph" w:styleId="20">
    <w:name w:val="footer"/>
    <w:basedOn w:val="1"/>
    <w:link w:val="106"/>
    <w:qFormat/>
    <w:uiPriority w:val="0"/>
    <w:pPr>
      <w:tabs>
        <w:tab w:val="center" w:pos="4153"/>
        <w:tab w:val="right" w:pos="8306"/>
      </w:tabs>
      <w:adjustRightInd w:val="0"/>
      <w:snapToGrid w:val="0"/>
      <w:jc w:val="left"/>
    </w:pPr>
    <w:rPr>
      <w:szCs w:val="18"/>
    </w:rPr>
  </w:style>
  <w:style w:type="paragraph" w:styleId="21">
    <w:name w:val="header"/>
    <w:basedOn w:val="1"/>
    <w:link w:val="105"/>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qFormat/>
    <w:uiPriority w:val="39"/>
  </w:style>
  <w:style w:type="paragraph" w:styleId="23">
    <w:name w:val="List Continue 4"/>
    <w:basedOn w:val="1"/>
    <w:next w:val="1"/>
    <w:qFormat/>
    <w:uiPriority w:val="0"/>
    <w:pPr>
      <w:spacing w:after="120"/>
      <w:ind w:left="1680" w:firstLine="480"/>
    </w:pPr>
    <w:rPr>
      <w:rFonts w:ascii="宋体"/>
    </w:rPr>
  </w:style>
  <w:style w:type="paragraph" w:styleId="24">
    <w:name w:val="index heading"/>
    <w:basedOn w:val="1"/>
    <w:next w:val="25"/>
    <w:unhideWhenUsed/>
    <w:qFormat/>
    <w:uiPriority w:val="99"/>
    <w:rPr>
      <w:szCs w:val="20"/>
    </w:rPr>
  </w:style>
  <w:style w:type="paragraph" w:styleId="25">
    <w:name w:val="index 1"/>
    <w:basedOn w:val="1"/>
    <w:next w:val="1"/>
    <w:qFormat/>
    <w:uiPriority w:val="0"/>
    <w:pPr>
      <w:spacing w:line="400" w:lineRule="exact"/>
    </w:pPr>
    <w:rPr>
      <w:rFonts w:ascii="宋体" w:hAnsi="宋体"/>
      <w:color w:val="000000"/>
      <w:sz w:val="28"/>
      <w:szCs w:val="28"/>
    </w:rPr>
  </w:style>
  <w:style w:type="paragraph" w:styleId="26">
    <w:name w:val="List"/>
    <w:basedOn w:val="1"/>
    <w:next w:val="1"/>
    <w:qFormat/>
    <w:uiPriority w:val="0"/>
    <w:pPr>
      <w:widowControl/>
      <w:spacing w:after="120"/>
      <w:ind w:firstLine="567"/>
      <w:jc w:val="left"/>
      <w:outlineLvl w:val="2"/>
    </w:pPr>
    <w:rPr>
      <w:rFonts w:eastAsia="黑体"/>
      <w:b/>
      <w:color w:val="000000"/>
      <w:kern w:val="0"/>
      <w:sz w:val="28"/>
      <w:szCs w:val="20"/>
      <w:lang w:eastAsia="en-US" w:bidi="en-US"/>
    </w:rPr>
  </w:style>
  <w:style w:type="paragraph" w:styleId="27">
    <w:name w:val="toc 2"/>
    <w:basedOn w:val="1"/>
    <w:next w:val="1"/>
    <w:qFormat/>
    <w:uiPriority w:val="39"/>
    <w:pPr>
      <w:ind w:left="420" w:leftChars="200"/>
    </w:pPr>
  </w:style>
  <w:style w:type="paragraph" w:styleId="2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9">
    <w:name w:val="Normal (Web)"/>
    <w:basedOn w:val="1"/>
    <w:qFormat/>
    <w:uiPriority w:val="99"/>
    <w:pPr>
      <w:widowControl/>
      <w:spacing w:before="100" w:beforeAutospacing="1" w:after="100" w:afterAutospacing="1"/>
      <w:jc w:val="left"/>
    </w:pPr>
    <w:rPr>
      <w:rFonts w:ascii="宋体" w:hAnsi="宋体" w:cs="宋体"/>
      <w:color w:val="000000"/>
      <w:kern w:val="0"/>
    </w:rPr>
  </w:style>
  <w:style w:type="paragraph" w:styleId="30">
    <w:name w:val="annotation subject"/>
    <w:basedOn w:val="9"/>
    <w:next w:val="9"/>
    <w:link w:val="111"/>
    <w:qFormat/>
    <w:uiPriority w:val="0"/>
    <w:rPr>
      <w:b/>
      <w:bCs/>
    </w:rPr>
  </w:style>
  <w:style w:type="paragraph" w:styleId="31">
    <w:name w:val="Body Text First Indent"/>
    <w:basedOn w:val="11"/>
    <w:next w:val="32"/>
    <w:qFormat/>
    <w:uiPriority w:val="0"/>
    <w:pPr>
      <w:ind w:firstLine="420" w:firstLineChars="100"/>
    </w:pPr>
  </w:style>
  <w:style w:type="paragraph" w:styleId="32">
    <w:name w:val="Body Text First Indent 2"/>
    <w:basedOn w:val="13"/>
    <w:link w:val="123"/>
    <w:qFormat/>
    <w:uiPriority w:val="0"/>
    <w:pPr>
      <w:spacing w:after="120"/>
      <w:ind w:left="420" w:leftChars="200" w:firstLine="420"/>
    </w:pPr>
    <w:rPr>
      <w:sz w:val="21"/>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rPr>
  </w:style>
  <w:style w:type="character" w:styleId="37">
    <w:name w:val="FollowedHyperlink"/>
    <w:unhideWhenUsed/>
    <w:qFormat/>
    <w:uiPriority w:val="99"/>
    <w:rPr>
      <w:color w:val="954F72"/>
      <w:u w:val="single"/>
    </w:rPr>
  </w:style>
  <w:style w:type="character" w:styleId="38">
    <w:name w:val="Emphasis"/>
    <w:qFormat/>
    <w:uiPriority w:val="0"/>
    <w:rPr>
      <w:i/>
    </w:rPr>
  </w:style>
  <w:style w:type="character" w:styleId="39">
    <w:name w:val="Hyperlink"/>
    <w:basedOn w:val="35"/>
    <w:qFormat/>
    <w:uiPriority w:val="99"/>
    <w:rPr>
      <w:color w:val="0000FF"/>
      <w:u w:val="single"/>
    </w:rPr>
  </w:style>
  <w:style w:type="character" w:styleId="40">
    <w:name w:val="annotation reference"/>
    <w:basedOn w:val="35"/>
    <w:qFormat/>
    <w:uiPriority w:val="0"/>
    <w:rPr>
      <w:sz w:val="21"/>
      <w:szCs w:val="21"/>
    </w:rPr>
  </w:style>
  <w:style w:type="paragraph" w:customStyle="1" w:styleId="41">
    <w:name w:val="样式 首行缩进:  2 字符1"/>
    <w:basedOn w:val="1"/>
    <w:qFormat/>
    <w:uiPriority w:val="0"/>
    <w:pPr>
      <w:spacing w:line="360" w:lineRule="auto"/>
      <w:ind w:firstLine="200"/>
    </w:pPr>
    <w:rPr>
      <w:rFonts w:cs="宋体"/>
      <w:szCs w:val="20"/>
    </w:rPr>
  </w:style>
  <w:style w:type="paragraph" w:customStyle="1" w:styleId="42">
    <w:name w:val="正文格式"/>
    <w:basedOn w:val="31"/>
    <w:next w:val="43"/>
    <w:qFormat/>
    <w:uiPriority w:val="0"/>
    <w:pPr>
      <w:widowControl w:val="0"/>
      <w:ind w:firstLine="200" w:firstLineChars="200"/>
    </w:pPr>
    <w:rPr>
      <w:rFonts w:hAnsi="Times New Roman" w:cs="Times New Roman"/>
      <w:kern w:val="2"/>
    </w:rPr>
  </w:style>
  <w:style w:type="paragraph" w:customStyle="1" w:styleId="43">
    <w:name w:val="_Style 5"/>
    <w:basedOn w:val="1"/>
    <w:qFormat/>
    <w:uiPriority w:val="0"/>
    <w:pPr>
      <w:ind w:firstLine="420"/>
    </w:pPr>
    <w:rPr>
      <w:rFonts w:ascii="Calibri" w:hAnsi="Calibri"/>
      <w:szCs w:val="22"/>
    </w:rPr>
  </w:style>
  <w:style w:type="paragraph" w:customStyle="1" w:styleId="44">
    <w:name w:val="表、图名宋旭峰"/>
    <w:basedOn w:val="1"/>
    <w:qFormat/>
    <w:uiPriority w:val="99"/>
    <w:pPr>
      <w:snapToGrid w:val="0"/>
      <w:jc w:val="center"/>
    </w:pPr>
    <w:rPr>
      <w:rFonts w:ascii="黑体" w:hAnsi="黑体" w:eastAsia="黑体"/>
    </w:rPr>
  </w:style>
  <w:style w:type="paragraph" w:customStyle="1" w:styleId="45">
    <w:name w:val="Table Paragraph"/>
    <w:basedOn w:val="1"/>
    <w:qFormat/>
    <w:uiPriority w:val="1"/>
    <w:pPr>
      <w:spacing w:before="100" w:beforeAutospacing="1"/>
      <w:jc w:val="left"/>
    </w:pPr>
    <w:rPr>
      <w:kern w:val="0"/>
      <w:sz w:val="22"/>
      <w:szCs w:val="22"/>
    </w:rPr>
  </w:style>
  <w:style w:type="paragraph" w:customStyle="1" w:styleId="46">
    <w:name w:val="表格文字样式14"/>
    <w:basedOn w:val="1"/>
    <w:qFormat/>
    <w:uiPriority w:val="99"/>
    <w:pPr>
      <w:overflowPunct w:val="0"/>
      <w:adjustRightInd w:val="0"/>
      <w:snapToGrid w:val="0"/>
      <w:spacing w:line="360" w:lineRule="exact"/>
      <w:jc w:val="center"/>
    </w:pPr>
    <w:rPr>
      <w:bCs/>
      <w:snapToGrid w:val="0"/>
      <w:sz w:val="21"/>
      <w:szCs w:val="21"/>
    </w:rPr>
  </w:style>
  <w:style w:type="paragraph" w:customStyle="1" w:styleId="47">
    <w:name w:val="表头"/>
    <w:basedOn w:val="48"/>
    <w:next w:val="1"/>
    <w:link w:val="114"/>
    <w:qFormat/>
    <w:uiPriority w:val="0"/>
    <w:pPr>
      <w:spacing w:beforeLines="0" w:afterLines="0" w:line="480" w:lineRule="exact"/>
      <w:ind w:firstLine="0" w:firstLineChars="0"/>
      <w:jc w:val="center"/>
    </w:pPr>
    <w:rPr>
      <w:b/>
    </w:rPr>
  </w:style>
  <w:style w:type="paragraph" w:customStyle="1" w:styleId="48">
    <w:name w:val="正文1"/>
    <w:basedOn w:val="7"/>
    <w:next w:val="7"/>
    <w:qFormat/>
    <w:uiPriority w:val="0"/>
    <w:pPr>
      <w:spacing w:beforeLines="25" w:afterLines="25" w:line="360" w:lineRule="auto"/>
      <w:ind w:firstLine="480"/>
    </w:pPr>
    <w:rPr>
      <w:rFonts w:ascii="Times New Roman" w:hAnsi="Times New Roman" w:cs="Times New Roman"/>
      <w:kern w:val="2"/>
      <w:sz w:val="24"/>
      <w:szCs w:val="24"/>
    </w:rPr>
  </w:style>
  <w:style w:type="paragraph" w:customStyle="1" w:styleId="49">
    <w:name w:val="表格内容"/>
    <w:basedOn w:val="1"/>
    <w:qFormat/>
    <w:uiPriority w:val="0"/>
    <w:pPr>
      <w:autoSpaceDE w:val="0"/>
      <w:autoSpaceDN w:val="0"/>
      <w:adjustRightInd w:val="0"/>
      <w:snapToGrid w:val="0"/>
      <w:spacing w:line="360" w:lineRule="exact"/>
      <w:ind w:firstLine="0" w:firstLineChars="0"/>
      <w:jc w:val="center"/>
    </w:pPr>
    <w:rPr>
      <w:kern w:val="0"/>
    </w:rPr>
  </w:style>
  <w:style w:type="paragraph" w:customStyle="1" w:styleId="50">
    <w:name w:val="正文2002"/>
    <w:basedOn w:val="1"/>
    <w:qFormat/>
    <w:uiPriority w:val="0"/>
    <w:pPr>
      <w:spacing w:line="340" w:lineRule="exact"/>
      <w:ind w:firstLine="0" w:firstLineChars="0"/>
      <w:jc w:val="center"/>
    </w:pPr>
    <w:rPr>
      <w:sz w:val="21"/>
    </w:rPr>
  </w:style>
  <w:style w:type="paragraph" w:customStyle="1" w:styleId="51">
    <w:name w:val="表格"/>
    <w:basedOn w:val="26"/>
    <w:next w:val="1"/>
    <w:qFormat/>
    <w:uiPriority w:val="0"/>
    <w:pPr>
      <w:jc w:val="center"/>
    </w:pPr>
    <w:rPr>
      <w:rFonts w:ascii="宋体" w:hAnsi="宋体" w:cs="宋体"/>
      <w:sz w:val="24"/>
      <w:szCs w:val="21"/>
    </w:rPr>
  </w:style>
  <w:style w:type="paragraph" w:customStyle="1" w:styleId="52">
    <w:name w:val="表格内"/>
    <w:basedOn w:val="1"/>
    <w:qFormat/>
    <w:uiPriority w:val="0"/>
    <w:pPr>
      <w:adjustRightInd w:val="0"/>
      <w:snapToGrid w:val="0"/>
      <w:spacing w:line="360" w:lineRule="exact"/>
      <w:jc w:val="center"/>
    </w:pPr>
    <w:rPr>
      <w:snapToGrid w:val="0"/>
      <w:kern w:val="0"/>
      <w:szCs w:val="21"/>
    </w:rPr>
  </w:style>
  <w:style w:type="paragraph" w:customStyle="1" w:styleId="53">
    <w:name w:val="正文(首行缩进)"/>
    <w:basedOn w:val="1"/>
    <w:next w:val="1"/>
    <w:link w:val="122"/>
    <w:qFormat/>
    <w:uiPriority w:val="0"/>
    <w:pPr>
      <w:adjustRightInd w:val="0"/>
      <w:ind w:firstLine="540" w:firstLineChars="225"/>
      <w:textAlignment w:val="baseline"/>
    </w:pPr>
    <w:rPr>
      <w:color w:val="000000"/>
    </w:rPr>
  </w:style>
  <w:style w:type="paragraph" w:customStyle="1" w:styleId="54">
    <w:name w:val="A正文"/>
    <w:basedOn w:val="16"/>
    <w:qFormat/>
    <w:uiPriority w:val="0"/>
    <w:pPr>
      <w:snapToGrid w:val="0"/>
      <w:spacing w:line="360" w:lineRule="auto"/>
      <w:ind w:firstLine="200"/>
    </w:pPr>
    <w:rPr>
      <w:rFonts w:ascii="Times New Roman" w:hAnsi="Times New Roman" w:cs="宋体"/>
      <w:sz w:val="28"/>
      <w:szCs w:val="24"/>
    </w:rPr>
  </w:style>
  <w:style w:type="paragraph" w:customStyle="1" w:styleId="55">
    <w:name w:val="A表格"/>
    <w:basedOn w:val="54"/>
    <w:qFormat/>
    <w:uiPriority w:val="0"/>
    <w:pPr>
      <w:adjustRightInd w:val="0"/>
      <w:spacing w:line="240" w:lineRule="auto"/>
      <w:ind w:firstLine="0" w:firstLineChars="0"/>
    </w:pPr>
    <w:rPr>
      <w:sz w:val="21"/>
    </w:rPr>
  </w:style>
  <w:style w:type="paragraph" w:customStyle="1" w:styleId="56">
    <w:name w:val="表格正文"/>
    <w:basedOn w:val="1"/>
    <w:qFormat/>
    <w:uiPriority w:val="0"/>
    <w:pPr>
      <w:jc w:val="center"/>
    </w:pPr>
    <w:rPr>
      <w:szCs w:val="22"/>
    </w:rPr>
  </w:style>
  <w:style w:type="paragraph" w:customStyle="1" w:styleId="57">
    <w:name w:val="环评正文"/>
    <w:basedOn w:val="1"/>
    <w:qFormat/>
    <w:uiPriority w:val="0"/>
    <w:rPr>
      <w:rFonts w:ascii="宋体" w:hAnsi="宋体"/>
      <w:szCs w:val="22"/>
    </w:rPr>
  </w:style>
  <w:style w:type="paragraph" w:customStyle="1" w:styleId="58">
    <w:name w:val="Default"/>
    <w:basedOn w:val="59"/>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表格标题"/>
    <w:basedOn w:val="8"/>
    <w:next w:val="1"/>
    <w:autoRedefine/>
    <w:qFormat/>
    <w:uiPriority w:val="0"/>
    <w:pPr>
      <w:adjustRightInd/>
      <w:snapToGrid/>
      <w:spacing w:line="360" w:lineRule="auto"/>
      <w:ind w:firstLine="0" w:firstLineChars="0"/>
      <w:jc w:val="center"/>
    </w:pPr>
    <w:rPr>
      <w:rFonts w:eastAsia="宋体" w:cs="Arial"/>
      <w:b/>
      <w:sz w:val="21"/>
    </w:rPr>
  </w:style>
  <w:style w:type="paragraph" w:customStyle="1" w:styleId="60">
    <w:name w:val="_正文格式"/>
    <w:basedOn w:val="1"/>
    <w:qFormat/>
    <w:uiPriority w:val="0"/>
    <w:pPr>
      <w:spacing w:line="500" w:lineRule="exact"/>
      <w:ind w:firstLine="567"/>
      <w:jc w:val="left"/>
    </w:pPr>
  </w:style>
  <w:style w:type="paragraph" w:customStyle="1" w:styleId="61">
    <w:name w:val="样式 首行缩进:  2 字符 行距: 1.5 倍行距"/>
    <w:basedOn w:val="1"/>
    <w:qFormat/>
    <w:uiPriority w:val="0"/>
    <w:pPr>
      <w:spacing w:line="360" w:lineRule="auto"/>
    </w:pPr>
    <w:rPr>
      <w:rFonts w:cs="宋体"/>
    </w:rPr>
  </w:style>
  <w:style w:type="paragraph" w:customStyle="1" w:styleId="62">
    <w:name w:val="正文 楷体"/>
    <w:basedOn w:val="1"/>
    <w:qFormat/>
    <w:uiPriority w:val="0"/>
    <w:pPr>
      <w:spacing w:line="500" w:lineRule="exact"/>
      <w:ind w:firstLine="200"/>
    </w:pPr>
    <w:rPr>
      <w:rFonts w:ascii="楷体_GB2312" w:hAnsi="楷体_GB2312" w:eastAsia="楷体_GB2312" w:cs="宋体"/>
    </w:rPr>
  </w:style>
  <w:style w:type="paragraph" w:customStyle="1" w:styleId="63">
    <w:name w:val="正文-ls"/>
    <w:basedOn w:val="1"/>
    <w:qFormat/>
    <w:uiPriority w:val="0"/>
    <w:pPr>
      <w:spacing w:line="360" w:lineRule="auto"/>
      <w:ind w:firstLine="200"/>
    </w:pPr>
    <w:rPr>
      <w:rFonts w:hAnsi="宋体" w:cs="宋体"/>
      <w:szCs w:val="20"/>
    </w:rPr>
  </w:style>
  <w:style w:type="paragraph" w:customStyle="1" w:styleId="64">
    <w:name w:val="样式 首行缩进:  0.85 厘米"/>
    <w:basedOn w:val="1"/>
    <w:qFormat/>
    <w:uiPriority w:val="0"/>
    <w:pPr>
      <w:spacing w:line="500" w:lineRule="exact"/>
      <w:ind w:firstLine="200"/>
    </w:pPr>
    <w:rPr>
      <w:rFonts w:ascii="楷体_GB2312" w:hAnsi="楷体_GB2312" w:eastAsia="楷体_GB2312" w:cs="楷体_GB2312"/>
    </w:rPr>
  </w:style>
  <w:style w:type="paragraph" w:customStyle="1" w:styleId="65">
    <w:name w:val="样式 (西文) 楷体_GB2312 首行缩进:  0.85 厘米1"/>
    <w:basedOn w:val="1"/>
    <w:qFormat/>
    <w:uiPriority w:val="0"/>
    <w:pPr>
      <w:spacing w:line="500" w:lineRule="exact"/>
      <w:ind w:firstLine="200"/>
    </w:pPr>
    <w:rPr>
      <w:rFonts w:ascii="楷体_GB2312" w:hAnsi="楷体_GB2312" w:eastAsia="楷体_GB2312" w:cs="楷体_GB2312"/>
    </w:rPr>
  </w:style>
  <w:style w:type="paragraph" w:customStyle="1" w:styleId="66">
    <w:name w:val="样式 样式 样式 样式 报告正文 + 宋体 五号 黑色 + 五号 + (西文) Times New Roman (中文) 华文中..."/>
    <w:basedOn w:val="1"/>
    <w:qFormat/>
    <w:uiPriority w:val="0"/>
    <w:pPr>
      <w:adjustRightInd w:val="0"/>
      <w:snapToGrid w:val="0"/>
      <w:spacing w:line="520" w:lineRule="exact"/>
      <w:ind w:firstLine="200"/>
    </w:pPr>
    <w:rPr>
      <w:rFonts w:ascii="宋体" w:eastAsia="华文中宋" w:cs="宋体"/>
      <w:b/>
      <w:bCs/>
      <w:color w:val="000000"/>
    </w:rPr>
  </w:style>
  <w:style w:type="paragraph" w:customStyle="1" w:styleId="67">
    <w:name w:val="表内字体"/>
    <w:basedOn w:val="1"/>
    <w:qFormat/>
    <w:uiPriority w:val="0"/>
    <w:pPr>
      <w:jc w:val="center"/>
    </w:pPr>
    <w:rPr>
      <w:rFonts w:hAnsi="宋体"/>
      <w:szCs w:val="20"/>
    </w:rPr>
  </w:style>
  <w:style w:type="paragraph" w:customStyle="1" w:styleId="68">
    <w:name w:val="！正文"/>
    <w:basedOn w:val="1"/>
    <w:link w:val="103"/>
    <w:qFormat/>
    <w:uiPriority w:val="0"/>
    <w:pPr>
      <w:spacing w:line="500" w:lineRule="exact"/>
      <w:ind w:firstLine="200"/>
    </w:pPr>
    <w:rPr>
      <w:rFonts w:eastAsia="华文中宋"/>
    </w:rPr>
  </w:style>
  <w:style w:type="paragraph" w:customStyle="1" w:styleId="69">
    <w:name w:val="表格文字"/>
    <w:basedOn w:val="11"/>
    <w:next w:val="1"/>
    <w:qFormat/>
    <w:uiPriority w:val="0"/>
    <w:pPr>
      <w:widowControl w:val="0"/>
      <w:tabs>
        <w:tab w:val="left" w:pos="1119"/>
      </w:tabs>
      <w:spacing w:after="0"/>
      <w:ind w:left="-90" w:leftChars="-43"/>
    </w:pPr>
    <w:rPr>
      <w:snapToGrid w:val="0"/>
      <w:color w:val="000000"/>
      <w:sz w:val="18"/>
      <w:szCs w:val="18"/>
    </w:rPr>
  </w:style>
  <w:style w:type="paragraph" w:customStyle="1" w:styleId="70">
    <w:name w:val="正文（首行式样2）"/>
    <w:basedOn w:val="7"/>
    <w:qFormat/>
    <w:uiPriority w:val="0"/>
    <w:pPr>
      <w:snapToGrid w:val="0"/>
      <w:spacing w:line="360" w:lineRule="auto"/>
      <w:ind w:right="-13" w:rightChars="-6" w:firstLine="526" w:firstLineChars="219"/>
    </w:pPr>
    <w:rPr>
      <w:color w:val="000000"/>
      <w:sz w:val="24"/>
    </w:rPr>
  </w:style>
  <w:style w:type="paragraph" w:customStyle="1" w:styleId="71">
    <w:name w:val="样式 宋体 小四 居中 左侧:  0.74 厘米 行距: 固定值 20 磅"/>
    <w:basedOn w:val="1"/>
    <w:qFormat/>
    <w:uiPriority w:val="0"/>
    <w:pPr>
      <w:jc w:val="center"/>
    </w:pPr>
    <w:rPr>
      <w:rFonts w:ascii="黑体" w:hAnsi="宋体" w:eastAsia="黑体"/>
      <w:lang w:bidi="ar-QA"/>
    </w:rPr>
  </w:style>
  <w:style w:type="paragraph" w:customStyle="1" w:styleId="72">
    <w:name w:val="A3"/>
    <w:basedOn w:val="4"/>
    <w:qFormat/>
    <w:uiPriority w:val="0"/>
    <w:rPr>
      <w:sz w:val="28"/>
    </w:rPr>
  </w:style>
  <w:style w:type="paragraph" w:customStyle="1" w:styleId="73">
    <w:name w:val="A4"/>
    <w:basedOn w:val="4"/>
    <w:qFormat/>
    <w:uiPriority w:val="0"/>
    <w:pPr>
      <w:outlineLvl w:val="3"/>
    </w:pPr>
    <w:rPr>
      <w:sz w:val="28"/>
    </w:rPr>
  </w:style>
  <w:style w:type="paragraph" w:customStyle="1" w:styleId="74">
    <w:name w:val="A表头"/>
    <w:basedOn w:val="1"/>
    <w:qFormat/>
    <w:uiPriority w:val="0"/>
    <w:pPr>
      <w:adjustRightInd w:val="0"/>
      <w:snapToGrid w:val="0"/>
      <w:jc w:val="left"/>
    </w:pPr>
    <w:rPr>
      <w:b/>
      <w:szCs w:val="20"/>
    </w:rPr>
  </w:style>
  <w:style w:type="paragraph" w:customStyle="1" w:styleId="75">
    <w:name w:val="A-表头"/>
    <w:basedOn w:val="1"/>
    <w:qFormat/>
    <w:uiPriority w:val="0"/>
    <w:pPr>
      <w:adjustRightInd w:val="0"/>
      <w:snapToGrid w:val="0"/>
    </w:pPr>
    <w:rPr>
      <w:sz w:val="28"/>
      <w:szCs w:val="28"/>
    </w:rPr>
  </w:style>
  <w:style w:type="character" w:customStyle="1" w:styleId="76">
    <w:name w:val="fontstyle01"/>
    <w:qFormat/>
    <w:uiPriority w:val="0"/>
    <w:rPr>
      <w:rFonts w:hint="eastAsia" w:ascii="宋体" w:hAnsi="宋体" w:eastAsia="宋体"/>
      <w:color w:val="000000"/>
      <w:sz w:val="28"/>
      <w:szCs w:val="28"/>
    </w:rPr>
  </w:style>
  <w:style w:type="character" w:customStyle="1" w:styleId="77">
    <w:name w:val="fontstyle21"/>
    <w:qFormat/>
    <w:uiPriority w:val="0"/>
    <w:rPr>
      <w:rFonts w:hint="default" w:ascii="TimesNewRomanPSMT" w:hAnsi="TimesNewRomanPSMT"/>
      <w:color w:val="000000"/>
      <w:sz w:val="28"/>
      <w:szCs w:val="28"/>
    </w:rPr>
  </w:style>
  <w:style w:type="paragraph" w:customStyle="1" w:styleId="78">
    <w:name w:val="表头A"/>
    <w:basedOn w:val="47"/>
    <w:qFormat/>
    <w:uiPriority w:val="0"/>
    <w:rPr>
      <w:rFonts w:ascii="华文仿宋" w:hAnsi="华文仿宋" w:eastAsia="华文仿宋"/>
    </w:rPr>
  </w:style>
  <w:style w:type="paragraph" w:customStyle="1" w:styleId="79">
    <w:name w:val="表格1"/>
    <w:basedOn w:val="1"/>
    <w:qFormat/>
    <w:uiPriority w:val="0"/>
    <w:pPr>
      <w:adjustRightInd w:val="0"/>
      <w:spacing w:line="400" w:lineRule="atLeast"/>
      <w:jc w:val="center"/>
    </w:pPr>
    <w:rPr>
      <w:kern w:val="0"/>
    </w:rPr>
  </w:style>
  <w:style w:type="paragraph" w:customStyle="1" w:styleId="80">
    <w:name w:val="。。。。。。。。。正文格式"/>
    <w:basedOn w:val="1"/>
    <w:qFormat/>
    <w:uiPriority w:val="0"/>
    <w:pPr>
      <w:spacing w:line="360" w:lineRule="auto"/>
      <w:ind w:firstLine="480"/>
    </w:pPr>
    <w:rPr>
      <w:rFonts w:hAnsi="宋体"/>
      <w:kern w:val="0"/>
      <w:szCs w:val="20"/>
    </w:rPr>
  </w:style>
  <w:style w:type="character" w:customStyle="1" w:styleId="81">
    <w:name w:val="江正文格式 Char Char"/>
    <w:semiHidden/>
    <w:qFormat/>
    <w:uiPriority w:val="0"/>
    <w:rPr>
      <w:rFonts w:hint="default" w:ascii="Times New Roman" w:hAnsi="Times New Roman" w:eastAsia="宋体" w:cs="Times New Roman"/>
      <w:kern w:val="2"/>
      <w:sz w:val="24"/>
      <w:szCs w:val="24"/>
      <w:lang w:val="en-US" w:eastAsia="zh-CN" w:bidi="ar-SA"/>
    </w:rPr>
  </w:style>
  <w:style w:type="paragraph" w:customStyle="1" w:styleId="82">
    <w:name w:val="正文样式暗暗"/>
    <w:basedOn w:val="1"/>
    <w:qFormat/>
    <w:uiPriority w:val="0"/>
    <w:pPr>
      <w:widowControl/>
      <w:ind w:firstLine="420" w:firstLineChars="175"/>
    </w:pPr>
    <w:rPr>
      <w:rFonts w:ascii="宋体" w:hAnsi="宋体" w:cs="宋体"/>
      <w:szCs w:val="22"/>
    </w:rPr>
  </w:style>
  <w:style w:type="paragraph" w:customStyle="1" w:styleId="83">
    <w:name w:val="表中文字"/>
    <w:next w:val="1"/>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84">
    <w:name w:val="正文11"/>
    <w:basedOn w:val="7"/>
    <w:next w:val="7"/>
    <w:qFormat/>
    <w:uiPriority w:val="0"/>
    <w:pPr>
      <w:spacing w:beforeLines="25" w:afterLines="25" w:line="360" w:lineRule="auto"/>
      <w:ind w:firstLine="480"/>
    </w:pPr>
    <w:rPr>
      <w:sz w:val="24"/>
    </w:rPr>
  </w:style>
  <w:style w:type="character" w:customStyle="1" w:styleId="85">
    <w:name w:val="font21"/>
    <w:basedOn w:val="35"/>
    <w:qFormat/>
    <w:uiPriority w:val="0"/>
    <w:rPr>
      <w:rFonts w:hint="default" w:ascii="Times New Roman" w:hAnsi="Times New Roman" w:cs="Times New Roman"/>
      <w:color w:val="000000"/>
      <w:sz w:val="20"/>
      <w:szCs w:val="20"/>
      <w:u w:val="none"/>
    </w:rPr>
  </w:style>
  <w:style w:type="character" w:customStyle="1" w:styleId="86">
    <w:name w:val="font31"/>
    <w:qFormat/>
    <w:uiPriority w:val="0"/>
    <w:rPr>
      <w:rFonts w:hint="eastAsia" w:ascii="宋体" w:hAnsi="宋体" w:eastAsia="宋体"/>
      <w:color w:val="000000"/>
      <w:sz w:val="20"/>
      <w:szCs w:val="20"/>
      <w:u w:val="none"/>
    </w:rPr>
  </w:style>
  <w:style w:type="character" w:customStyle="1" w:styleId="87">
    <w:name w:val="font41"/>
    <w:qFormat/>
    <w:uiPriority w:val="0"/>
    <w:rPr>
      <w:rFonts w:hint="eastAsia" w:ascii="宋体" w:hAnsi="宋体" w:eastAsia="宋体"/>
      <w:color w:val="000000"/>
      <w:sz w:val="14"/>
      <w:szCs w:val="14"/>
      <w:u w:val="none"/>
    </w:rPr>
  </w:style>
  <w:style w:type="character" w:customStyle="1" w:styleId="88">
    <w:name w:val="批注框文本 字符"/>
    <w:basedOn w:val="35"/>
    <w:link w:val="19"/>
    <w:qFormat/>
    <w:uiPriority w:val="0"/>
    <w:rPr>
      <w:kern w:val="2"/>
      <w:sz w:val="18"/>
      <w:szCs w:val="18"/>
    </w:rPr>
  </w:style>
  <w:style w:type="paragraph" w:customStyle="1" w:styleId="89">
    <w:name w:val="图头"/>
    <w:basedOn w:val="47"/>
    <w:next w:val="84"/>
    <w:qFormat/>
    <w:uiPriority w:val="0"/>
    <w:rPr>
      <w:color w:val="FF00FF"/>
    </w:rPr>
  </w:style>
  <w:style w:type="paragraph" w:customStyle="1" w:styleId="90">
    <w:name w:val="无间隔1"/>
    <w:qFormat/>
    <w:uiPriority w:val="99"/>
    <w:pPr>
      <w:widowControl w:val="0"/>
      <w:spacing w:before="120" w:after="120"/>
      <w:jc w:val="center"/>
    </w:pPr>
    <w:rPr>
      <w:rFonts w:ascii="Calibri" w:hAnsi="Calibri" w:eastAsia="宋体" w:cs="Calibri"/>
      <w:kern w:val="2"/>
      <w:sz w:val="21"/>
      <w:szCs w:val="21"/>
      <w:lang w:val="en-US" w:eastAsia="zh-CN" w:bidi="ar-SA"/>
    </w:rPr>
  </w:style>
  <w:style w:type="paragraph" w:customStyle="1" w:styleId="91">
    <w:name w:val="正式本文"/>
    <w:basedOn w:val="2"/>
    <w:qFormat/>
    <w:uiPriority w:val="0"/>
    <w:pPr>
      <w:keepNext w:val="0"/>
      <w:keepLines w:val="0"/>
      <w:adjustRightInd w:val="0"/>
      <w:ind w:firstLine="480" w:firstLineChars="200"/>
      <w:jc w:val="left"/>
      <w:outlineLvl w:val="9"/>
    </w:pPr>
    <w:rPr>
      <w:rFonts w:ascii="宋体" w:hAnsi="宋体"/>
      <w:b w:val="0"/>
      <w:kern w:val="2"/>
      <w:sz w:val="24"/>
      <w:szCs w:val="24"/>
    </w:rPr>
  </w:style>
  <w:style w:type="paragraph" w:customStyle="1" w:styleId="92">
    <w:name w:val="无间隔2"/>
    <w:qFormat/>
    <w:uiPriority w:val="1"/>
    <w:pPr>
      <w:widowControl w:val="0"/>
      <w:spacing w:line="360" w:lineRule="auto"/>
      <w:ind w:firstLine="200" w:firstLineChars="200"/>
    </w:pPr>
    <w:rPr>
      <w:rFonts w:ascii="Times New Roman" w:hAnsi="Times New Roman" w:eastAsia="宋体" w:cs="Times New Roman"/>
      <w:spacing w:val="10"/>
      <w:kern w:val="2"/>
      <w:sz w:val="24"/>
      <w:szCs w:val="28"/>
      <w:lang w:val="en-US" w:eastAsia="zh-CN" w:bidi="ar-SA"/>
    </w:rPr>
  </w:style>
  <w:style w:type="paragraph" w:customStyle="1" w:styleId="93">
    <w:name w:val="首行缩进"/>
    <w:basedOn w:val="1"/>
    <w:qFormat/>
    <w:uiPriority w:val="0"/>
    <w:pPr>
      <w:spacing w:line="400" w:lineRule="exact"/>
      <w:jc w:val="center"/>
    </w:pPr>
    <w:rPr>
      <w:rFonts w:eastAsia="黑体"/>
    </w:rPr>
  </w:style>
  <w:style w:type="paragraph" w:customStyle="1" w:styleId="94">
    <w:name w:val="默认段落字体 Para Char"/>
    <w:basedOn w:val="1"/>
    <w:next w:val="1"/>
    <w:qFormat/>
    <w:uiPriority w:val="0"/>
    <w:pPr>
      <w:widowControl/>
      <w:spacing w:line="360" w:lineRule="auto"/>
      <w:ind w:firstLine="200"/>
      <w:jc w:val="left"/>
    </w:pPr>
    <w:rPr>
      <w:rFonts w:ascii="宋体" w:hAnsi="宋体" w:cs="宋体"/>
      <w:kern w:val="0"/>
    </w:rPr>
  </w:style>
  <w:style w:type="paragraph" w:customStyle="1" w:styleId="95">
    <w:name w:val="报告正文小四"/>
    <w:basedOn w:val="1"/>
    <w:qFormat/>
    <w:uiPriority w:val="0"/>
    <w:pPr>
      <w:adjustRightInd w:val="0"/>
      <w:snapToGrid w:val="0"/>
      <w:spacing w:before="120" w:line="420" w:lineRule="atLeast"/>
      <w:ind w:firstLine="510"/>
    </w:pPr>
    <w:rPr>
      <w:szCs w:val="20"/>
    </w:rPr>
  </w:style>
  <w:style w:type="paragraph" w:customStyle="1" w:styleId="96">
    <w:name w:val="BodyText1I2"/>
    <w:basedOn w:val="97"/>
    <w:semiHidden/>
    <w:qFormat/>
    <w:uiPriority w:val="0"/>
    <w:pPr>
      <w:spacing w:line="560" w:lineRule="exact"/>
      <w:ind w:left="0" w:leftChars="0" w:firstLine="420"/>
    </w:pPr>
    <w:rPr>
      <w:rFonts w:eastAsia="仿宋_GB2312"/>
      <w:sz w:val="32"/>
    </w:rPr>
  </w:style>
  <w:style w:type="paragraph" w:customStyle="1" w:styleId="97">
    <w:name w:val="BodyTextIndent"/>
    <w:basedOn w:val="1"/>
    <w:semiHidden/>
    <w:qFormat/>
    <w:uiPriority w:val="0"/>
    <w:pPr>
      <w:ind w:left="420" w:leftChars="200"/>
      <w:textAlignment w:val="baseline"/>
    </w:pPr>
  </w:style>
  <w:style w:type="paragraph" w:customStyle="1" w:styleId="98">
    <w:name w:val="4正文"/>
    <w:basedOn w:val="1"/>
    <w:qFormat/>
    <w:uiPriority w:val="0"/>
    <w:pPr>
      <w:snapToGrid w:val="0"/>
      <w:spacing w:beforeLines="50"/>
    </w:pPr>
  </w:style>
  <w:style w:type="table" w:customStyle="1" w:styleId="99">
    <w:name w:val="Table Normal"/>
    <w:semiHidden/>
    <w:qFormat/>
    <w:uiPriority w:val="2"/>
    <w:pPr>
      <w:widowControl w:val="0"/>
    </w:pPr>
    <w:rPr>
      <w:rFonts w:eastAsia="Times New Roman"/>
      <w:sz w:val="22"/>
      <w:szCs w:val="22"/>
      <w:lang w:eastAsia="en-US"/>
    </w:rPr>
    <w:tblPr>
      <w:tblCellMar>
        <w:top w:w="0" w:type="dxa"/>
        <w:left w:w="0" w:type="dxa"/>
        <w:bottom w:w="0" w:type="dxa"/>
        <w:right w:w="0" w:type="dxa"/>
      </w:tblCellMar>
    </w:tblPr>
  </w:style>
  <w:style w:type="character" w:customStyle="1" w:styleId="100">
    <w:name w:val="font61"/>
    <w:basedOn w:val="35"/>
    <w:qFormat/>
    <w:uiPriority w:val="0"/>
    <w:rPr>
      <w:rFonts w:ascii="宋体" w:hAnsi="宋体" w:eastAsia="宋体" w:cs="宋体"/>
      <w:color w:val="000000"/>
      <w:sz w:val="22"/>
      <w:szCs w:val="22"/>
      <w:u w:val="none"/>
    </w:rPr>
  </w:style>
  <w:style w:type="character" w:customStyle="1" w:styleId="101">
    <w:name w:val="font11"/>
    <w:basedOn w:val="35"/>
    <w:qFormat/>
    <w:uiPriority w:val="0"/>
    <w:rPr>
      <w:rFonts w:hint="eastAsia" w:ascii="宋体" w:hAnsi="宋体" w:eastAsia="宋体" w:cs="宋体"/>
      <w:color w:val="000000"/>
      <w:sz w:val="21"/>
      <w:szCs w:val="21"/>
      <w:u w:val="none"/>
    </w:rPr>
  </w:style>
  <w:style w:type="character" w:customStyle="1" w:styleId="102">
    <w:name w:val="font01"/>
    <w:basedOn w:val="35"/>
    <w:qFormat/>
    <w:uiPriority w:val="0"/>
    <w:rPr>
      <w:rFonts w:hint="default" w:ascii="Times New Roman" w:hAnsi="Times New Roman" w:cs="Times New Roman"/>
      <w:color w:val="000000"/>
      <w:sz w:val="21"/>
      <w:szCs w:val="21"/>
      <w:u w:val="none"/>
    </w:rPr>
  </w:style>
  <w:style w:type="character" w:customStyle="1" w:styleId="103">
    <w:name w:val="！正文 Char"/>
    <w:link w:val="68"/>
    <w:qFormat/>
    <w:uiPriority w:val="0"/>
    <w:rPr>
      <w:rFonts w:eastAsia="华文中宋"/>
      <w:kern w:val="2"/>
      <w:sz w:val="24"/>
      <w:szCs w:val="24"/>
    </w:rPr>
  </w:style>
  <w:style w:type="paragraph" w:customStyle="1" w:styleId="104">
    <w:name w:val="1正文段落"/>
    <w:basedOn w:val="1"/>
    <w:qFormat/>
    <w:uiPriority w:val="0"/>
    <w:pPr>
      <w:spacing w:line="360" w:lineRule="auto"/>
      <w:ind w:firstLine="480"/>
      <w:jc w:val="left"/>
    </w:pPr>
    <w:rPr>
      <w:snapToGrid w:val="0"/>
    </w:rPr>
  </w:style>
  <w:style w:type="character" w:customStyle="1" w:styleId="105">
    <w:name w:val="页眉 字符"/>
    <w:basedOn w:val="35"/>
    <w:link w:val="21"/>
    <w:qFormat/>
    <w:uiPriority w:val="0"/>
    <w:rPr>
      <w:kern w:val="2"/>
      <w:sz w:val="24"/>
      <w:szCs w:val="18"/>
    </w:rPr>
  </w:style>
  <w:style w:type="character" w:customStyle="1" w:styleId="106">
    <w:name w:val="页脚 字符"/>
    <w:basedOn w:val="35"/>
    <w:link w:val="20"/>
    <w:qFormat/>
    <w:uiPriority w:val="0"/>
    <w:rPr>
      <w:kern w:val="2"/>
      <w:sz w:val="24"/>
      <w:szCs w:val="18"/>
    </w:rPr>
  </w:style>
  <w:style w:type="paragraph" w:customStyle="1" w:styleId="107">
    <w:name w:val="列出段落1"/>
    <w:basedOn w:val="1"/>
    <w:qFormat/>
    <w:uiPriority w:val="99"/>
    <w:pPr>
      <w:ind w:firstLine="420"/>
    </w:pPr>
  </w:style>
  <w:style w:type="paragraph" w:customStyle="1" w:styleId="108">
    <w:name w:val="表内文字"/>
    <w:basedOn w:val="1"/>
    <w:qFormat/>
    <w:uiPriority w:val="0"/>
    <w:pPr>
      <w:adjustRightInd w:val="0"/>
      <w:snapToGrid w:val="0"/>
      <w:ind w:firstLine="0" w:firstLineChars="0"/>
      <w:jc w:val="center"/>
    </w:pPr>
    <w:rPr>
      <w:rFonts w:ascii="Calibri" w:hAnsi="Calibri"/>
      <w:sz w:val="21"/>
      <w:szCs w:val="21"/>
    </w:rPr>
  </w:style>
  <w:style w:type="paragraph" w:customStyle="1" w:styleId="109">
    <w:name w:val="Char Char Char Char Char Char Char Char Char Char Char Char Char Char Char Char Char Char Char Char Char Char Char Char"/>
    <w:basedOn w:val="1"/>
    <w:qFormat/>
    <w:uiPriority w:val="0"/>
    <w:pPr>
      <w:widowControl/>
      <w:spacing w:line="360" w:lineRule="auto"/>
      <w:ind w:firstLine="0" w:firstLineChars="0"/>
      <w:jc w:val="left"/>
    </w:pPr>
    <w:rPr>
      <w:sz w:val="21"/>
      <w:szCs w:val="21"/>
    </w:rPr>
  </w:style>
  <w:style w:type="character" w:customStyle="1" w:styleId="110">
    <w:name w:val="批注文字 字符"/>
    <w:basedOn w:val="35"/>
    <w:link w:val="9"/>
    <w:qFormat/>
    <w:uiPriority w:val="0"/>
    <w:rPr>
      <w:rFonts w:ascii="Times New Roman" w:hAnsi="Times New Roman"/>
      <w:kern w:val="2"/>
      <w:sz w:val="24"/>
      <w:szCs w:val="24"/>
    </w:rPr>
  </w:style>
  <w:style w:type="character" w:customStyle="1" w:styleId="111">
    <w:name w:val="批注主题 字符"/>
    <w:basedOn w:val="110"/>
    <w:link w:val="30"/>
    <w:qFormat/>
    <w:uiPriority w:val="0"/>
    <w:rPr>
      <w:rFonts w:ascii="Times New Roman" w:hAnsi="Times New Roman"/>
      <w:b/>
      <w:bCs/>
      <w:kern w:val="2"/>
      <w:sz w:val="24"/>
      <w:szCs w:val="24"/>
    </w:rPr>
  </w:style>
  <w:style w:type="paragraph" w:customStyle="1" w:styleId="112">
    <w:name w:val="表内"/>
    <w:qFormat/>
    <w:uiPriority w:val="0"/>
    <w:pPr>
      <w:adjustRightInd w:val="0"/>
      <w:snapToGrid w:val="0"/>
      <w:ind w:left="-105" w:leftChars="-50" w:right="-105" w:rightChars="-50"/>
      <w:jc w:val="center"/>
    </w:pPr>
    <w:rPr>
      <w:rFonts w:ascii="Times New Roman" w:hAnsi="Times New Roman" w:eastAsia="宋体" w:cs="Times New Roman"/>
      <w:kern w:val="2"/>
      <w:sz w:val="21"/>
      <w:lang w:val="en-US" w:eastAsia="zh-CN" w:bidi="ar-SA"/>
    </w:rPr>
  </w:style>
  <w:style w:type="paragraph" w:customStyle="1" w:styleId="113">
    <w:name w:val="列出段落2"/>
    <w:basedOn w:val="1"/>
    <w:qFormat/>
    <w:uiPriority w:val="99"/>
    <w:pPr>
      <w:ind w:firstLine="420"/>
    </w:pPr>
  </w:style>
  <w:style w:type="character" w:customStyle="1" w:styleId="114">
    <w:name w:val="表头 Char1"/>
    <w:link w:val="47"/>
    <w:qFormat/>
    <w:uiPriority w:val="0"/>
    <w:rPr>
      <w:rFonts w:ascii="Times New Roman" w:hAnsi="Times New Roman"/>
      <w:b/>
      <w:kern w:val="2"/>
      <w:sz w:val="24"/>
      <w:szCs w:val="24"/>
    </w:rPr>
  </w:style>
  <w:style w:type="paragraph" w:customStyle="1" w:styleId="115">
    <w:name w:val="农贸市场表格表头"/>
    <w:basedOn w:val="1"/>
    <w:qFormat/>
    <w:uiPriority w:val="0"/>
    <w:pPr>
      <w:jc w:val="center"/>
    </w:pPr>
    <w:rPr>
      <w:rFonts w:ascii="Calibri" w:hAnsi="宋体" w:cs="仿宋_GB2312"/>
      <w:b/>
      <w:sz w:val="21"/>
      <w:szCs w:val="21"/>
    </w:rPr>
  </w:style>
  <w:style w:type="character" w:customStyle="1" w:styleId="116">
    <w:name w:val="页脚 字符1"/>
    <w:basedOn w:val="35"/>
    <w:qFormat/>
    <w:uiPriority w:val="0"/>
    <w:rPr>
      <w:sz w:val="18"/>
      <w:szCs w:val="18"/>
    </w:rPr>
  </w:style>
  <w:style w:type="paragraph" w:customStyle="1" w:styleId="117">
    <w:name w:val="报告正文"/>
    <w:basedOn w:val="1"/>
    <w:qFormat/>
    <w:uiPriority w:val="0"/>
    <w:pPr>
      <w:widowControl/>
      <w:suppressAutoHyphens/>
      <w:topLinePunct/>
      <w:adjustRightInd w:val="0"/>
      <w:snapToGrid w:val="0"/>
    </w:pPr>
    <w:rPr>
      <w:rFonts w:ascii="Calibri" w:hAnsi="Calibri"/>
      <w:sz w:val="21"/>
      <w:szCs w:val="22"/>
    </w:rPr>
  </w:style>
  <w:style w:type="character" w:customStyle="1" w:styleId="118">
    <w:name w:val="正文缩进 字符"/>
    <w:link w:val="7"/>
    <w:qFormat/>
    <w:uiPriority w:val="99"/>
    <w:rPr>
      <w:rFonts w:ascii="宋体" w:hAnsi="宋体" w:cs="宋体"/>
      <w:sz w:val="28"/>
    </w:rPr>
  </w:style>
  <w:style w:type="paragraph" w:customStyle="1" w:styleId="119">
    <w:name w:val="列出段落3"/>
    <w:basedOn w:val="1"/>
    <w:qFormat/>
    <w:uiPriority w:val="99"/>
    <w:pPr>
      <w:ind w:firstLine="420"/>
    </w:pPr>
  </w:style>
  <w:style w:type="paragraph" w:customStyle="1" w:styleId="120">
    <w:name w:val="样式14"/>
    <w:basedOn w:val="1"/>
    <w:qFormat/>
    <w:uiPriority w:val="0"/>
    <w:pPr>
      <w:widowControl/>
      <w:spacing w:line="500" w:lineRule="exact"/>
      <w:ind w:firstLine="0" w:firstLineChars="0"/>
      <w:jc w:val="left"/>
      <w:outlineLvl w:val="3"/>
    </w:pPr>
    <w:rPr>
      <w:rFonts w:eastAsia="华文中宋"/>
      <w:b/>
      <w:snapToGrid w:val="0"/>
      <w:color w:val="000000"/>
      <w:kern w:val="0"/>
      <w:szCs w:val="20"/>
    </w:rPr>
  </w:style>
  <w:style w:type="paragraph" w:customStyle="1" w:styleId="121">
    <w:name w:val="表格文字邓"/>
    <w:basedOn w:val="1"/>
    <w:qFormat/>
    <w:uiPriority w:val="0"/>
    <w:pPr>
      <w:widowControl/>
      <w:snapToGrid w:val="0"/>
      <w:spacing w:line="240" w:lineRule="exact"/>
      <w:jc w:val="center"/>
    </w:pPr>
    <w:rPr>
      <w:rFonts w:ascii="宋体" w:hAnsi="宋体"/>
      <w:snapToGrid w:val="0"/>
      <w:color w:val="000000"/>
      <w:sz w:val="18"/>
      <w:szCs w:val="21"/>
    </w:rPr>
  </w:style>
  <w:style w:type="character" w:customStyle="1" w:styleId="122">
    <w:name w:val="正文(首行缩进) Char"/>
    <w:link w:val="53"/>
    <w:qFormat/>
    <w:uiPriority w:val="0"/>
    <w:rPr>
      <w:rFonts w:ascii="Times New Roman" w:hAnsi="Times New Roman"/>
      <w:color w:val="000000"/>
      <w:kern w:val="2"/>
      <w:sz w:val="24"/>
      <w:szCs w:val="24"/>
    </w:rPr>
  </w:style>
  <w:style w:type="character" w:customStyle="1" w:styleId="123">
    <w:name w:val="正文首行缩进 2 字符"/>
    <w:basedOn w:val="124"/>
    <w:link w:val="32"/>
    <w:qFormat/>
    <w:uiPriority w:val="0"/>
    <w:rPr>
      <w:kern w:val="2"/>
      <w:sz w:val="21"/>
      <w:szCs w:val="22"/>
    </w:rPr>
  </w:style>
  <w:style w:type="character" w:customStyle="1" w:styleId="124">
    <w:name w:val="正文文本缩进 字符"/>
    <w:basedOn w:val="35"/>
    <w:link w:val="13"/>
    <w:qFormat/>
    <w:uiPriority w:val="0"/>
    <w:rPr>
      <w:kern w:val="2"/>
      <w:sz w:val="21"/>
      <w:szCs w:val="22"/>
    </w:rPr>
  </w:style>
  <w:style w:type="paragraph" w:styleId="125">
    <w:name w:val="List Paragraph"/>
    <w:basedOn w:val="1"/>
    <w:qFormat/>
    <w:uiPriority w:val="99"/>
    <w:pPr>
      <w:ind w:firstLine="420"/>
    </w:pPr>
  </w:style>
  <w:style w:type="paragraph" w:customStyle="1" w:styleId="126">
    <w:name w:val="正文 首行缩进:  2 字符"/>
    <w:basedOn w:val="1"/>
    <w:qFormat/>
    <w:uiPriority w:val="0"/>
    <w:pPr>
      <w:adjustRightInd w:val="0"/>
      <w:snapToGrid w:val="0"/>
      <w:spacing w:line="500" w:lineRule="exact"/>
      <w:ind w:firstLine="480"/>
    </w:pPr>
    <w:rPr>
      <w:rFonts w:eastAsia="楷体_GB2312"/>
      <w:lang w:val="zh-CN"/>
    </w:rPr>
  </w:style>
  <w:style w:type="paragraph" w:customStyle="1" w:styleId="127">
    <w:name w:val="Table Text"/>
    <w:basedOn w:val="1"/>
    <w:semiHidden/>
    <w:qFormat/>
    <w:uiPriority w:val="0"/>
    <w:rPr>
      <w:rFonts w:ascii="宋体" w:hAnsi="宋体" w:eastAsia="宋体" w:cs="宋体"/>
      <w:sz w:val="14"/>
      <w:szCs w:val="14"/>
      <w:lang w:val="en-US" w:eastAsia="en-US" w:bidi="ar-SA"/>
    </w:rPr>
  </w:style>
  <w:style w:type="paragraph" w:customStyle="1" w:styleId="128">
    <w:name w:val="表名"/>
    <w:basedOn w:val="8"/>
    <w:qFormat/>
    <w:uiPriority w:val="0"/>
    <w:pPr>
      <w:jc w:val="center"/>
    </w:pPr>
    <w:rPr>
      <w:rFonts w:ascii="Times New Roman" w:hAnsi="Times New Roman" w:eastAsia="宋体"/>
      <w:b/>
      <w:sz w:val="24"/>
      <w:szCs w:val="24"/>
    </w:rPr>
  </w:style>
  <w:style w:type="paragraph" w:customStyle="1" w:styleId="129">
    <w:name w:val="图名"/>
    <w:basedOn w:val="32"/>
    <w:qFormat/>
    <w:uiPriority w:val="0"/>
    <w:pPr>
      <w:spacing w:line="240" w:lineRule="auto"/>
      <w:ind w:left="0" w:leftChars="0" w:firstLine="0" w:firstLineChars="0"/>
      <w:jc w:val="center"/>
    </w:pPr>
    <w:rPr>
      <w:b/>
    </w:rPr>
  </w:style>
  <w:style w:type="paragraph" w:customStyle="1" w:styleId="130">
    <w:name w:val="文本"/>
    <w:basedOn w:val="1"/>
    <w:qFormat/>
    <w:uiPriority w:val="0"/>
    <w:pPr>
      <w:adjustRightInd w:val="0"/>
      <w:snapToGrid w:val="0"/>
      <w:spacing w:line="360" w:lineRule="auto"/>
      <w:ind w:firstLine="480" w:firstLineChars="200"/>
      <w:jc w:val="left"/>
    </w:pPr>
    <w:rPr>
      <w:rFonts w:ascii="Times New Roman" w:hAnsi="Times New Roman" w:eastAsia="宋体" w:cs="Times New Roman"/>
      <w:sz w:val="24"/>
      <w:szCs w:val="24"/>
    </w:rPr>
  </w:style>
  <w:style w:type="paragraph" w:customStyle="1" w:styleId="131">
    <w:name w:val="BG"/>
    <w:basedOn w:val="1"/>
    <w:qFormat/>
    <w:uiPriority w:val="0"/>
    <w:pPr>
      <w:jc w:val="center"/>
    </w:pPr>
    <w:rPr>
      <w:szCs w:val="21"/>
    </w:rPr>
  </w:style>
  <w:style w:type="paragraph" w:customStyle="1" w:styleId="132">
    <w:name w:val="表格文字2"/>
    <w:basedOn w:val="1"/>
    <w:qFormat/>
    <w:uiPriority w:val="0"/>
    <w:pPr>
      <w:adjustRightInd/>
      <w:spacing w:line="240" w:lineRule="auto"/>
      <w:ind w:firstLine="0" w:firstLineChars="0"/>
      <w:jc w:val="center"/>
      <w:textAlignment w:val="baseline"/>
    </w:pPr>
    <w:rPr>
      <w:rFonts w:ascii="Times New Roman" w:hAnsi="Times New Roman" w:eastAsia="宋体"/>
      <w:sz w:val="21"/>
      <w:szCs w:val="21"/>
    </w:rPr>
  </w:style>
  <w:style w:type="paragraph" w:customStyle="1" w:styleId="133">
    <w:name w:val="表图标题"/>
    <w:basedOn w:val="1"/>
    <w:qFormat/>
    <w:uiPriority w:val="0"/>
    <w:pPr>
      <w:ind w:firstLine="0" w:firstLineChars="0"/>
      <w:jc w:val="center"/>
    </w:pPr>
    <w:rPr>
      <w:rFonts w:hint="eastAsia"/>
      <w:b/>
      <w:color w:val="auto"/>
    </w:rPr>
  </w:style>
  <w:style w:type="table" w:customStyle="1" w:styleId="134">
    <w:name w:val="网格型4"/>
    <w:basedOn w:val="33"/>
    <w:qFormat/>
    <w:uiPriority w:val="59"/>
    <w:pPr>
      <w:spacing w:line="340" w:lineRule="exact"/>
    </w:pPr>
    <w:rPr>
      <w:sz w:val="21"/>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left w:w="57" w:type="dxa"/>
        <w:right w:w="57" w:type="dxa"/>
      </w:tblCellMar>
    </w:tblPr>
  </w:style>
  <w:style w:type="paragraph" w:customStyle="1" w:styleId="135">
    <w:name w:val="书表内文字"/>
    <w:next w:val="136"/>
    <w:qFormat/>
    <w:uiPriority w:val="0"/>
    <w:pPr>
      <w:spacing w:line="360" w:lineRule="exact"/>
      <w:ind w:firstLine="0" w:firstLineChars="0"/>
      <w:jc w:val="center"/>
    </w:pPr>
    <w:rPr>
      <w:rFonts w:ascii="Times New Roman" w:hAnsi="Times New Roman" w:eastAsia="宋体" w:cstheme="minorBidi"/>
      <w:sz w:val="21"/>
    </w:rPr>
  </w:style>
  <w:style w:type="paragraph" w:customStyle="1" w:styleId="136">
    <w:name w:val="书正文"/>
    <w:qFormat/>
    <w:uiPriority w:val="0"/>
    <w:pPr>
      <w:spacing w:line="480" w:lineRule="exact"/>
      <w:ind w:firstLine="640" w:firstLineChars="200"/>
      <w:jc w:val="both"/>
    </w:pPr>
    <w:rPr>
      <w:rFonts w:ascii="Times New Roman" w:hAnsi="Times New Roman" w:eastAsiaTheme="minorEastAsia" w:cstheme="minorBidi"/>
      <w:sz w:val="24"/>
    </w:rPr>
  </w:style>
  <w:style w:type="paragraph" w:customStyle="1" w:styleId="137">
    <w:name w:val="图标题"/>
    <w:next w:val="136"/>
    <w:qFormat/>
    <w:uiPriority w:val="0"/>
    <w:pPr>
      <w:spacing w:line="480" w:lineRule="exact"/>
      <w:ind w:firstLine="0" w:firstLineChars="0"/>
      <w:jc w:val="center"/>
    </w:pPr>
    <w:rPr>
      <w:rFonts w:hint="default" w:ascii="Times New Roman" w:hAnsi="Times New Roman" w:eastAsia="宋体" w:cstheme="minorBidi"/>
      <w:b/>
      <w:sz w:val="24"/>
    </w:rPr>
  </w:style>
  <w:style w:type="character" w:customStyle="1" w:styleId="138">
    <w:name w:val="font51"/>
    <w:basedOn w:val="35"/>
    <w:qFormat/>
    <w:uiPriority w:val="0"/>
    <w:rPr>
      <w:rFonts w:hint="default" w:ascii="Times New Roman" w:hAnsi="Times New Roman" w:cs="Times New Roman"/>
      <w:color w:val="000000"/>
      <w:sz w:val="21"/>
      <w:szCs w:val="21"/>
      <w:u w:val="none"/>
      <w:vertAlign w:val="subscript"/>
    </w:rPr>
  </w:style>
  <w:style w:type="table" w:customStyle="1" w:styleId="139">
    <w:name w:val="样式1"/>
    <w:basedOn w:val="33"/>
    <w:qFormat/>
    <w:uiPriority w:val="99"/>
    <w:pPr>
      <w:jc w:val="center"/>
    </w:pPr>
    <w:rPr>
      <w:rFonts w:eastAsia="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140">
    <w:name w:val="样式 兴化美联正文样式 + 自动设置 Char"/>
    <w:link w:val="141"/>
    <w:qFormat/>
    <w:locked/>
    <w:uiPriority w:val="0"/>
    <w:rPr>
      <w:rFonts w:ascii="宋体"/>
      <w:spacing w:val="0"/>
      <w:sz w:val="24"/>
    </w:rPr>
  </w:style>
  <w:style w:type="paragraph" w:customStyle="1" w:styleId="141">
    <w:name w:val="样式 兴化美联正文样式 + 自动设置"/>
    <w:basedOn w:val="1"/>
    <w:link w:val="140"/>
    <w:qFormat/>
    <w:uiPriority w:val="0"/>
    <w:pPr>
      <w:widowControl/>
      <w:spacing w:line="360" w:lineRule="auto"/>
      <w:ind w:firstLine="480" w:firstLineChars="200"/>
      <w:jc w:val="left"/>
    </w:pPr>
    <w:rPr>
      <w:rFonts w:ascii="宋体"/>
      <w:spacing w:val="0"/>
      <w:sz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6.bin"/><Relationship Id="rId98" Type="http://schemas.openxmlformats.org/officeDocument/2006/relationships/oleObject" Target="embeddings/oleObject25.bin"/><Relationship Id="rId97" Type="http://schemas.openxmlformats.org/officeDocument/2006/relationships/oleObject" Target="embeddings/oleObject24.bin"/><Relationship Id="rId96" Type="http://schemas.openxmlformats.org/officeDocument/2006/relationships/oleObject" Target="embeddings/oleObject23.bin"/><Relationship Id="rId95" Type="http://schemas.openxmlformats.org/officeDocument/2006/relationships/oleObject" Target="embeddings/oleObject22.bin"/><Relationship Id="rId94" Type="http://schemas.openxmlformats.org/officeDocument/2006/relationships/oleObject" Target="embeddings/oleObject21.bin"/><Relationship Id="rId93" Type="http://schemas.openxmlformats.org/officeDocument/2006/relationships/oleObject" Target="embeddings/oleObject20.bin"/><Relationship Id="rId92" Type="http://schemas.openxmlformats.org/officeDocument/2006/relationships/image" Target="media/image34.wmf"/><Relationship Id="rId91" Type="http://schemas.openxmlformats.org/officeDocument/2006/relationships/oleObject" Target="embeddings/oleObject19.bin"/><Relationship Id="rId90" Type="http://schemas.openxmlformats.org/officeDocument/2006/relationships/image" Target="media/image33.wmf"/><Relationship Id="rId9" Type="http://schemas.openxmlformats.org/officeDocument/2006/relationships/footer" Target="footer2.xml"/><Relationship Id="rId89" Type="http://schemas.openxmlformats.org/officeDocument/2006/relationships/oleObject" Target="embeddings/oleObject18.bin"/><Relationship Id="rId88" Type="http://schemas.openxmlformats.org/officeDocument/2006/relationships/image" Target="media/image32.wmf"/><Relationship Id="rId87" Type="http://schemas.openxmlformats.org/officeDocument/2006/relationships/oleObject" Target="embeddings/oleObject17.bin"/><Relationship Id="rId86" Type="http://schemas.openxmlformats.org/officeDocument/2006/relationships/image" Target="media/image31.wmf"/><Relationship Id="rId85" Type="http://schemas.openxmlformats.org/officeDocument/2006/relationships/oleObject" Target="embeddings/oleObject16.bin"/><Relationship Id="rId84" Type="http://schemas.openxmlformats.org/officeDocument/2006/relationships/image" Target="media/image30.wmf"/><Relationship Id="rId83" Type="http://schemas.openxmlformats.org/officeDocument/2006/relationships/oleObject" Target="embeddings/oleObject15.bin"/><Relationship Id="rId82" Type="http://schemas.openxmlformats.org/officeDocument/2006/relationships/image" Target="media/image29.wmf"/><Relationship Id="rId81" Type="http://schemas.openxmlformats.org/officeDocument/2006/relationships/oleObject" Target="embeddings/oleObject14.bin"/><Relationship Id="rId80" Type="http://schemas.openxmlformats.org/officeDocument/2006/relationships/image" Target="media/image28.wmf"/><Relationship Id="rId8" Type="http://schemas.openxmlformats.org/officeDocument/2006/relationships/footer" Target="footer1.xml"/><Relationship Id="rId79" Type="http://schemas.openxmlformats.org/officeDocument/2006/relationships/oleObject" Target="embeddings/oleObject13.bin"/><Relationship Id="rId78" Type="http://schemas.openxmlformats.org/officeDocument/2006/relationships/image" Target="media/image27.png"/><Relationship Id="rId77" Type="http://schemas.openxmlformats.org/officeDocument/2006/relationships/image" Target="media/image26.wmf"/><Relationship Id="rId76" Type="http://schemas.openxmlformats.org/officeDocument/2006/relationships/oleObject" Target="embeddings/oleObject12.bin"/><Relationship Id="rId75" Type="http://schemas.openxmlformats.org/officeDocument/2006/relationships/image" Target="media/image25.wmf"/><Relationship Id="rId74" Type="http://schemas.openxmlformats.org/officeDocument/2006/relationships/oleObject" Target="embeddings/oleObject11.bin"/><Relationship Id="rId73" Type="http://schemas.openxmlformats.org/officeDocument/2006/relationships/image" Target="media/image24.wmf"/><Relationship Id="rId72" Type="http://schemas.openxmlformats.org/officeDocument/2006/relationships/oleObject" Target="embeddings/oleObject10.bin"/><Relationship Id="rId71" Type="http://schemas.openxmlformats.org/officeDocument/2006/relationships/image" Target="media/image23.wmf"/><Relationship Id="rId70" Type="http://schemas.openxmlformats.org/officeDocument/2006/relationships/oleObject" Target="embeddings/oleObject9.bin"/><Relationship Id="rId7" Type="http://schemas.openxmlformats.org/officeDocument/2006/relationships/header" Target="header3.xml"/><Relationship Id="rId69" Type="http://schemas.openxmlformats.org/officeDocument/2006/relationships/chart" Target="charts/chart6.xml"/><Relationship Id="rId68" Type="http://schemas.openxmlformats.org/officeDocument/2006/relationships/chart" Target="charts/chart5.xml"/><Relationship Id="rId67" Type="http://schemas.openxmlformats.org/officeDocument/2006/relationships/chart" Target="charts/chart4.xml"/><Relationship Id="rId66" Type="http://schemas.openxmlformats.org/officeDocument/2006/relationships/image" Target="media/image22.wmf"/><Relationship Id="rId65" Type="http://schemas.openxmlformats.org/officeDocument/2006/relationships/oleObject" Target="embeddings/oleObject8.bin"/><Relationship Id="rId64" Type="http://schemas.openxmlformats.org/officeDocument/2006/relationships/image" Target="media/image21.png"/><Relationship Id="rId63" Type="http://schemas.openxmlformats.org/officeDocument/2006/relationships/image" Target="media/image20.wmf"/><Relationship Id="rId62" Type="http://schemas.openxmlformats.org/officeDocument/2006/relationships/oleObject" Target="embeddings/oleObject7.bin"/><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header" Target="header2.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chart" Target="charts/chart3.xml"/><Relationship Id="rId53" Type="http://schemas.openxmlformats.org/officeDocument/2006/relationships/chart" Target="charts/chart2.xml"/><Relationship Id="rId52" Type="http://schemas.openxmlformats.org/officeDocument/2006/relationships/chart" Target="charts/chart1.xml"/><Relationship Id="rId51" Type="http://schemas.openxmlformats.org/officeDocument/2006/relationships/image" Target="media/image12.jpeg"/><Relationship Id="rId50" Type="http://schemas.openxmlformats.org/officeDocument/2006/relationships/image" Target="media/image11.jpeg"/><Relationship Id="rId5" Type="http://schemas.openxmlformats.org/officeDocument/2006/relationships/header" Target="header1.xml"/><Relationship Id="rId49" Type="http://schemas.openxmlformats.org/officeDocument/2006/relationships/image" Target="media/image10.jpeg"/><Relationship Id="rId48" Type="http://schemas.openxmlformats.org/officeDocument/2006/relationships/image" Target="media/image9.png"/><Relationship Id="rId47" Type="http://schemas.openxmlformats.org/officeDocument/2006/relationships/image" Target="media/image8.wmf"/><Relationship Id="rId46" Type="http://schemas.openxmlformats.org/officeDocument/2006/relationships/oleObject" Target="embeddings/oleObject6.bin"/><Relationship Id="rId45" Type="http://schemas.openxmlformats.org/officeDocument/2006/relationships/image" Target="media/image7.wmf"/><Relationship Id="rId44" Type="http://schemas.openxmlformats.org/officeDocument/2006/relationships/oleObject" Target="embeddings/oleObject5.bin"/><Relationship Id="rId43" Type="http://schemas.openxmlformats.org/officeDocument/2006/relationships/image" Target="media/image6.wmf"/><Relationship Id="rId42" Type="http://schemas.openxmlformats.org/officeDocument/2006/relationships/oleObject" Target="embeddings/oleObject4.bin"/><Relationship Id="rId41" Type="http://schemas.openxmlformats.org/officeDocument/2006/relationships/image" Target="media/image5.png"/><Relationship Id="rId40" Type="http://schemas.openxmlformats.org/officeDocument/2006/relationships/image" Target="media/image4.emf"/><Relationship Id="rId4" Type="http://schemas.openxmlformats.org/officeDocument/2006/relationships/endnotes" Target="endnotes.xml"/><Relationship Id="rId39" Type="http://schemas.openxmlformats.org/officeDocument/2006/relationships/oleObject" Target="embeddings/oleObject3.bin"/><Relationship Id="rId38" Type="http://schemas.openxmlformats.org/officeDocument/2006/relationships/image" Target="media/image3.emf"/><Relationship Id="rId37" Type="http://schemas.openxmlformats.org/officeDocument/2006/relationships/oleObject" Target="embeddings/oleObject2.bin"/><Relationship Id="rId36" Type="http://schemas.openxmlformats.org/officeDocument/2006/relationships/image" Target="media/image2.emf"/><Relationship Id="rId35" Type="http://schemas.openxmlformats.org/officeDocument/2006/relationships/oleObject" Target="embeddings/oleObject1.bin"/><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4" Type="http://schemas.openxmlformats.org/officeDocument/2006/relationships/fontTable" Target="fontTable.xml"/><Relationship Id="rId113" Type="http://schemas.openxmlformats.org/officeDocument/2006/relationships/customXml" Target="../customXml/item3.xml"/><Relationship Id="rId112" Type="http://schemas.openxmlformats.org/officeDocument/2006/relationships/customXml" Target="../customXml/item2.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footer" Target="footer4.xml"/><Relationship Id="rId109" Type="http://schemas.openxmlformats.org/officeDocument/2006/relationships/image" Target="media/image42.jpeg"/><Relationship Id="rId108" Type="http://schemas.openxmlformats.org/officeDocument/2006/relationships/image" Target="media/image41.jpeg"/><Relationship Id="rId107" Type="http://schemas.openxmlformats.org/officeDocument/2006/relationships/image" Target="media/image40.jpeg"/><Relationship Id="rId106" Type="http://schemas.openxmlformats.org/officeDocument/2006/relationships/image" Target="media/image39.jpeg"/><Relationship Id="rId105" Type="http://schemas.openxmlformats.org/officeDocument/2006/relationships/image" Target="media/image38.png"/><Relationship Id="rId104" Type="http://schemas.openxmlformats.org/officeDocument/2006/relationships/image" Target="media/image37.wmf"/><Relationship Id="rId103" Type="http://schemas.openxmlformats.org/officeDocument/2006/relationships/image" Target="media/image36.wmf"/><Relationship Id="rId102" Type="http://schemas.openxmlformats.org/officeDocument/2006/relationships/oleObject" Target="embeddings/oleObject28.bin"/><Relationship Id="rId101" Type="http://schemas.openxmlformats.org/officeDocument/2006/relationships/image" Target="media/image35.wmf"/><Relationship Id="rId100" Type="http://schemas.openxmlformats.org/officeDocument/2006/relationships/oleObject" Target="embeddings/oleObject27.bin"/><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1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11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1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wjxxxxxx\31&#12289;&#65288;&#23384;-&#26410;&#39046;&#65289;&#31456;&#33410;-&#20877;&#29983;&#38108;\4&#36164;&#26009;\1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wjxxxxxx\31&#12289;&#65288;&#23384;-&#26410;&#39046;&#65289;&#31456;&#33410;-&#20877;&#29983;&#38108;\4&#36164;&#26009;\11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wjxxxxxx\31&#12289;&#65288;&#23384;-&#26410;&#39046;&#65289;&#31456;&#33410;-&#20877;&#29983;&#38108;\4&#36164;&#26009;\1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 年平均温度的月变化图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autoTitleDeleted val="0"/>
    <c:plotArea>
      <c:layout>
        <c:manualLayout>
          <c:layoutTarget val="inner"/>
          <c:xMode val="edge"/>
          <c:yMode val="edge"/>
          <c:x val="0.101"/>
          <c:y val="0.20225"/>
          <c:w val="0.84375"/>
          <c:h val="0.63975"/>
        </c:manualLayout>
      </c:layout>
      <c:lineChart>
        <c:grouping val="standard"/>
        <c:varyColors val="0"/>
        <c:ser>
          <c:idx val="0"/>
          <c:order val="0"/>
          <c:tx>
            <c:strRef>
              <c:f>[111.XLS]数据!$A$3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[111.XLS]数据!$B$2:$M$2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[111.XLS]数据!$B$3:$M$3</c:f>
              <c:numCache>
                <c:formatCode>0.00_ </c:formatCode>
                <c:ptCount val="12"/>
                <c:pt idx="0">
                  <c:v>-13.3800001144409</c:v>
                </c:pt>
                <c:pt idx="1">
                  <c:v>-12.6099996566772</c:v>
                </c:pt>
                <c:pt idx="2">
                  <c:v>-1.55999994277954</c:v>
                </c:pt>
                <c:pt idx="3">
                  <c:v>10.3100004196167</c:v>
                </c:pt>
                <c:pt idx="4">
                  <c:v>20.1399993896484</c:v>
                </c:pt>
                <c:pt idx="5">
                  <c:v>23.0499992370605</c:v>
                </c:pt>
                <c:pt idx="6">
                  <c:v>22.7099990844727</c:v>
                </c:pt>
                <c:pt idx="7">
                  <c:v>21.0200004577637</c:v>
                </c:pt>
                <c:pt idx="8">
                  <c:v>16.9899997711182</c:v>
                </c:pt>
                <c:pt idx="9">
                  <c:v>6.6100001335144</c:v>
                </c:pt>
                <c:pt idx="10">
                  <c:v>-4.51999998092651</c:v>
                </c:pt>
                <c:pt idx="11">
                  <c:v>-18</c:v>
                </c:pt>
              </c:numCache>
            </c:numRef>
          </c:val>
          <c:smooth val="0"/>
        </c:ser>
        <c:dLbls>
          <c:showLegendKey val="0"/>
          <c:showVal val="0"/>
          <c:showCatName val="0"/>
          <c:showSerName val="0"/>
          <c:showPercent val="0"/>
          <c:showBubbleSize val="0"/>
        </c:dLbls>
        <c:marker val="1"/>
        <c:smooth val="0"/>
        <c:axId val="576660994"/>
        <c:axId val="248484874"/>
      </c:lineChart>
      <c:catAx>
        <c:axId val="576660994"/>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48484874"/>
        <c:crosses val="autoZero"/>
        <c:auto val="1"/>
        <c:lblAlgn val="ctr"/>
        <c:lblOffset val="100"/>
        <c:noMultiLvlLbl val="0"/>
      </c:catAx>
      <c:valAx>
        <c:axId val="248484874"/>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温度(℃)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411585607058126"/>
            </c:manualLayout>
          </c:layout>
          <c:overlay val="0"/>
        </c:title>
        <c:numFmt formatCode="0.00_ "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76660994"/>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extLst>
      <c:ext uri="{0b15fc19-7d7d-44ad-8c2d-2c3a37ce22c3}">
        <chartProps xmlns="https://web.wps.cn/et/2018/main" chartId="{d0cd14dd-739e-45f0-9df2-59f69538c5eb}"/>
      </c:ext>
    </c:extLst>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 年平均风速的月变化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autoTitleDeleted val="0"/>
    <c:plotArea>
      <c:layout>
        <c:manualLayout>
          <c:layoutTarget val="inner"/>
          <c:xMode val="edge"/>
          <c:yMode val="edge"/>
          <c:x val="0.122"/>
          <c:y val="0.20225"/>
          <c:w val="0.83075"/>
          <c:h val="0.63975"/>
        </c:manualLayout>
      </c:layout>
      <c:lineChart>
        <c:grouping val="standard"/>
        <c:varyColors val="0"/>
        <c:ser>
          <c:idx val="0"/>
          <c:order val="0"/>
          <c:tx>
            <c:strRef>
              <c:f>[111.XLS]数据!$A$7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[111.XLS]数据!$B$6:$M$6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[111.XLS]数据!$B$7:$M$7</c:f>
              <c:numCache>
                <c:formatCode>0.00_ </c:formatCode>
                <c:ptCount val="12"/>
                <c:pt idx="0">
                  <c:v>1.12000000476837</c:v>
                </c:pt>
                <c:pt idx="1">
                  <c:v>1.14999997615814</c:v>
                </c:pt>
                <c:pt idx="2">
                  <c:v>2.27999997138977</c:v>
                </c:pt>
                <c:pt idx="3">
                  <c:v>3.6800000667572</c:v>
                </c:pt>
                <c:pt idx="4">
                  <c:v>3.46000003814697</c:v>
                </c:pt>
                <c:pt idx="5">
                  <c:v>3.28999996185303</c:v>
                </c:pt>
                <c:pt idx="6">
                  <c:v>3.65000009536743</c:v>
                </c:pt>
                <c:pt idx="7">
                  <c:v>3.44000005722046</c:v>
                </c:pt>
                <c:pt idx="8">
                  <c:v>2.59999990463257</c:v>
                </c:pt>
                <c:pt idx="9">
                  <c:v>2.66000008583069</c:v>
                </c:pt>
                <c:pt idx="10">
                  <c:v>1.92999994754791</c:v>
                </c:pt>
                <c:pt idx="11">
                  <c:v>1.22000002861023</c:v>
                </c:pt>
              </c:numCache>
            </c:numRef>
          </c:val>
          <c:smooth val="0"/>
        </c:ser>
        <c:dLbls>
          <c:showLegendKey val="0"/>
          <c:showVal val="0"/>
          <c:showCatName val="0"/>
          <c:showSerName val="0"/>
          <c:showPercent val="0"/>
          <c:showBubbleSize val="0"/>
        </c:dLbls>
        <c:marker val="1"/>
        <c:smooth val="0"/>
        <c:axId val="794599708"/>
        <c:axId val="83949646"/>
      </c:lineChart>
      <c:catAx>
        <c:axId val="794599708"/>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83949646"/>
        <c:crosses val="autoZero"/>
        <c:auto val="1"/>
        <c:lblAlgn val="ctr"/>
        <c:lblOffset val="100"/>
        <c:noMultiLvlLbl val="0"/>
      </c:catAx>
      <c:valAx>
        <c:axId val="83949646"/>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374480107058126"/>
            </c:manualLayout>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794599708"/>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extLst>
      <c:ext uri="{0b15fc19-7d7d-44ad-8c2d-2c3a37ce22c3}">
        <chartProps xmlns="https://web.wps.cn/et/2018/main" chartId="{86ea3bba-7fac-4f92-87c8-97d3ae225c75}"/>
      </c:ext>
    </c:extLst>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季小时平均风速的日变化</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autoTitleDeleted val="0"/>
    <c:plotArea>
      <c:layout>
        <c:manualLayout>
          <c:layoutTarget val="inner"/>
          <c:xMode val="edge"/>
          <c:yMode val="edge"/>
          <c:x val="0.1205"/>
          <c:y val="0.142"/>
          <c:w val="0.7285"/>
          <c:h val="0.71275"/>
        </c:manualLayout>
      </c:layout>
      <c:lineChart>
        <c:grouping val="standard"/>
        <c:varyColors val="0"/>
        <c:ser>
          <c:idx val="0"/>
          <c:order val="0"/>
          <c:tx>
            <c:strRef>
              <c:f>[111.XLS]图形!$A$167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val>
            <c:numRef>
              <c:f>[111.XLS]图形!$B$167:$Y$167</c:f>
              <c:numCache>
                <c:formatCode>General</c:formatCode>
                <c:ptCount val="24"/>
                <c:pt idx="0">
                  <c:v>2.63000011444092</c:v>
                </c:pt>
                <c:pt idx="1">
                  <c:v>2.63000011444092</c:v>
                </c:pt>
                <c:pt idx="2">
                  <c:v>2.51999998092651</c:v>
                </c:pt>
                <c:pt idx="3">
                  <c:v>2.4300000667572</c:v>
                </c:pt>
                <c:pt idx="4">
                  <c:v>2.54999995231628</c:v>
                </c:pt>
                <c:pt idx="5">
                  <c:v>2.61999988555908</c:v>
                </c:pt>
                <c:pt idx="6">
                  <c:v>2.72000002861023</c:v>
                </c:pt>
                <c:pt idx="7">
                  <c:v>2.67000007629395</c:v>
                </c:pt>
                <c:pt idx="8">
                  <c:v>2.86999988555908</c:v>
                </c:pt>
                <c:pt idx="9">
                  <c:v>2.96000003814697</c:v>
                </c:pt>
                <c:pt idx="10">
                  <c:v>2.6800000667572</c:v>
                </c:pt>
                <c:pt idx="11">
                  <c:v>2.72000002861023</c:v>
                </c:pt>
                <c:pt idx="12">
                  <c:v>2.96000003814697</c:v>
                </c:pt>
                <c:pt idx="13">
                  <c:v>3.0699999332428</c:v>
                </c:pt>
                <c:pt idx="14">
                  <c:v>3.58999991416931</c:v>
                </c:pt>
                <c:pt idx="15">
                  <c:v>3.78999996185303</c:v>
                </c:pt>
                <c:pt idx="16">
                  <c:v>3.84999990463257</c:v>
                </c:pt>
                <c:pt idx="17">
                  <c:v>4.17999982833862</c:v>
                </c:pt>
                <c:pt idx="18">
                  <c:v>4.1100001335144</c:v>
                </c:pt>
                <c:pt idx="19">
                  <c:v>4.21000003814697</c:v>
                </c:pt>
                <c:pt idx="20">
                  <c:v>3.86999988555908</c:v>
                </c:pt>
                <c:pt idx="21">
                  <c:v>3.51999998092651</c:v>
                </c:pt>
                <c:pt idx="22">
                  <c:v>3.14000010490417</c:v>
                </c:pt>
                <c:pt idx="23">
                  <c:v>2.99000000953674</c:v>
                </c:pt>
              </c:numCache>
            </c:numRef>
          </c:val>
          <c:smooth val="0"/>
        </c:ser>
        <c:ser>
          <c:idx val="1"/>
          <c:order val="1"/>
          <c:tx>
            <c:strRef>
              <c:f>[111.XLS]图形!$A$168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6350" cap="flat" cmpd="sng" algn="ctr">
                <a:solidFill>
                  <a:srgbClr val="FF00FF"/>
                </a:solidFill>
                <a:prstDash val="solid"/>
                <a:round/>
              </a:ln>
            </c:spPr>
          </c:marker>
          <c:dLbls>
            <c:delete val="1"/>
          </c:dLbls>
          <c:val>
            <c:numRef>
              <c:f>[111.XLS]图形!$B$168:$Y$168</c:f>
              <c:numCache>
                <c:formatCode>General</c:formatCode>
                <c:ptCount val="24"/>
                <c:pt idx="0">
                  <c:v>2.22000002861023</c:v>
                </c:pt>
                <c:pt idx="1">
                  <c:v>1.92999994754791</c:v>
                </c:pt>
                <c:pt idx="2">
                  <c:v>1.77999997138977</c:v>
                </c:pt>
                <c:pt idx="3">
                  <c:v>1.5900000333786</c:v>
                </c:pt>
                <c:pt idx="4">
                  <c:v>1.62999999523163</c:v>
                </c:pt>
                <c:pt idx="5">
                  <c:v>1.64999997615814</c:v>
                </c:pt>
                <c:pt idx="6">
                  <c:v>1.53999996185303</c:v>
                </c:pt>
                <c:pt idx="7">
                  <c:v>1.32000005245209</c:v>
                </c:pt>
                <c:pt idx="8">
                  <c:v>1.71000003814697</c:v>
                </c:pt>
                <c:pt idx="9">
                  <c:v>2</c:v>
                </c:pt>
                <c:pt idx="10">
                  <c:v>2.35999989509583</c:v>
                </c:pt>
                <c:pt idx="11">
                  <c:v>2.97000002861023</c:v>
                </c:pt>
                <c:pt idx="12">
                  <c:v>3.8199999332428</c:v>
                </c:pt>
                <c:pt idx="13">
                  <c:v>4.82000017166138</c:v>
                </c:pt>
                <c:pt idx="14">
                  <c:v>5.36999988555908</c:v>
                </c:pt>
                <c:pt idx="15">
                  <c:v>5.8600001335144</c:v>
                </c:pt>
                <c:pt idx="16">
                  <c:v>5.8899998664856</c:v>
                </c:pt>
                <c:pt idx="17">
                  <c:v>5.96000003814697</c:v>
                </c:pt>
                <c:pt idx="18">
                  <c:v>6.34000015258789</c:v>
                </c:pt>
                <c:pt idx="19">
                  <c:v>6.30999994277954</c:v>
                </c:pt>
                <c:pt idx="20">
                  <c:v>5.48000001907349</c:v>
                </c:pt>
                <c:pt idx="21">
                  <c:v>4.15000009536743</c:v>
                </c:pt>
                <c:pt idx="22">
                  <c:v>3.48000001907349</c:v>
                </c:pt>
                <c:pt idx="23">
                  <c:v>2.95000004768372</c:v>
                </c:pt>
              </c:numCache>
            </c:numRef>
          </c:val>
          <c:smooth val="0"/>
        </c:ser>
        <c:ser>
          <c:idx val="2"/>
          <c:order val="2"/>
          <c:tx>
            <c:strRef>
              <c:f>[111.XLS]图形!$A$169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6350" cap="flat" cmpd="sng" algn="ctr">
                <a:solidFill>
                  <a:srgbClr val="FFFF00"/>
                </a:solidFill>
                <a:prstDash val="solid"/>
                <a:round/>
              </a:ln>
            </c:spPr>
          </c:marker>
          <c:dLbls>
            <c:delete val="1"/>
          </c:dLbls>
          <c:val>
            <c:numRef>
              <c:f>[111.XLS]图形!$B$169:$Y$169</c:f>
              <c:numCache>
                <c:formatCode>General</c:formatCode>
                <c:ptCount val="24"/>
                <c:pt idx="0">
                  <c:v>1.70000004768372</c:v>
                </c:pt>
                <c:pt idx="1">
                  <c:v>1.75999999046326</c:v>
                </c:pt>
                <c:pt idx="2">
                  <c:v>1.80999994277954</c:v>
                </c:pt>
                <c:pt idx="3">
                  <c:v>1.97000002861023</c:v>
                </c:pt>
                <c:pt idx="4">
                  <c:v>1.95000004768372</c:v>
                </c:pt>
                <c:pt idx="5">
                  <c:v>1.83000004291534</c:v>
                </c:pt>
                <c:pt idx="6">
                  <c:v>2.01999998092651</c:v>
                </c:pt>
                <c:pt idx="7">
                  <c:v>2.01999998092651</c:v>
                </c:pt>
                <c:pt idx="8">
                  <c:v>2.27999997138977</c:v>
                </c:pt>
                <c:pt idx="9">
                  <c:v>2.26999998092651</c:v>
                </c:pt>
                <c:pt idx="10">
                  <c:v>2.47000002861023</c:v>
                </c:pt>
                <c:pt idx="11">
                  <c:v>2.54999995231628</c:v>
                </c:pt>
                <c:pt idx="12">
                  <c:v>2.55999994277954</c:v>
                </c:pt>
                <c:pt idx="13">
                  <c:v>2.77999997138977</c:v>
                </c:pt>
                <c:pt idx="14">
                  <c:v>3.14000010490417</c:v>
                </c:pt>
                <c:pt idx="15">
                  <c:v>3.44000005722046</c:v>
                </c:pt>
                <c:pt idx="16">
                  <c:v>3.57999992370605</c:v>
                </c:pt>
                <c:pt idx="17">
                  <c:v>3.51999998092651</c:v>
                </c:pt>
                <c:pt idx="18">
                  <c:v>3.04999995231628</c:v>
                </c:pt>
                <c:pt idx="19">
                  <c:v>2.85999989509583</c:v>
                </c:pt>
                <c:pt idx="20">
                  <c:v>2.5</c:v>
                </c:pt>
                <c:pt idx="21">
                  <c:v>2.28999996185303</c:v>
                </c:pt>
                <c:pt idx="22">
                  <c:v>1.64999997615814</c:v>
                </c:pt>
                <c:pt idx="23">
                  <c:v>1.61000001430511</c:v>
                </c:pt>
              </c:numCache>
            </c:numRef>
          </c:val>
          <c:smooth val="0"/>
        </c:ser>
        <c:ser>
          <c:idx val="3"/>
          <c:order val="3"/>
          <c:tx>
            <c:strRef>
              <c:f>[111.XLS]图形!$A$170</c:f>
              <c:strCache>
                <c:ptCount val="1"/>
                <c:pt idx="0">
                  <c:v>冬季                </c:v>
                </c:pt>
              </c:strCache>
            </c:strRef>
          </c:tx>
          <c:spPr>
            <a:ln w="12700" cap="rnd" cmpd="sng" algn="ctr">
              <a:solidFill>
                <a:srgbClr val="00FFFF"/>
              </a:solidFill>
              <a:prstDash val="solid"/>
              <a:round/>
            </a:ln>
          </c:spPr>
          <c:marker>
            <c:symbol val="x"/>
            <c:size val="5"/>
            <c:spPr>
              <a:noFill/>
              <a:ln w="6350" cap="flat" cmpd="sng" algn="ctr">
                <a:solidFill>
                  <a:srgbClr val="00FFFF"/>
                </a:solidFill>
                <a:prstDash val="solid"/>
                <a:round/>
              </a:ln>
            </c:spPr>
          </c:marker>
          <c:dLbls>
            <c:delete val="1"/>
          </c:dLbls>
          <c:val>
            <c:numRef>
              <c:f>[111.XLS]图形!$B$170:$Y$170</c:f>
              <c:numCache>
                <c:formatCode>General</c:formatCode>
                <c:ptCount val="24"/>
                <c:pt idx="0">
                  <c:v>1.22000002861023</c:v>
                </c:pt>
                <c:pt idx="1">
                  <c:v>1.13999998569489</c:v>
                </c:pt>
                <c:pt idx="2">
                  <c:v>1.23000001907349</c:v>
                </c:pt>
                <c:pt idx="3">
                  <c:v>1.12999999523163</c:v>
                </c:pt>
                <c:pt idx="4">
                  <c:v>1.17999994754791</c:v>
                </c:pt>
                <c:pt idx="5">
                  <c:v>1.08000004291534</c:v>
                </c:pt>
                <c:pt idx="6">
                  <c:v>1.32000005245209</c:v>
                </c:pt>
                <c:pt idx="7">
                  <c:v>1.3400000333786</c:v>
                </c:pt>
                <c:pt idx="8">
                  <c:v>1.28999996185303</c:v>
                </c:pt>
                <c:pt idx="9">
                  <c:v>1.12000000476837</c:v>
                </c:pt>
                <c:pt idx="10">
                  <c:v>1.14999997615814</c:v>
                </c:pt>
                <c:pt idx="11">
                  <c:v>1.16999995708466</c:v>
                </c:pt>
                <c:pt idx="12">
                  <c:v>1.01999998092651</c:v>
                </c:pt>
                <c:pt idx="13">
                  <c:v>0.990000009536743</c:v>
                </c:pt>
                <c:pt idx="14">
                  <c:v>1.03999996185303</c:v>
                </c:pt>
                <c:pt idx="15">
                  <c:v>0.970000028610229</c:v>
                </c:pt>
                <c:pt idx="16">
                  <c:v>1.03999996185303</c:v>
                </c:pt>
                <c:pt idx="17">
                  <c:v>1.07000005245209</c:v>
                </c:pt>
                <c:pt idx="18">
                  <c:v>1.1599999666214</c:v>
                </c:pt>
                <c:pt idx="19">
                  <c:v>1.28999996185303</c:v>
                </c:pt>
                <c:pt idx="20">
                  <c:v>1.16999995708466</c:v>
                </c:pt>
                <c:pt idx="21">
                  <c:v>1.27999997138977</c:v>
                </c:pt>
                <c:pt idx="22">
                  <c:v>1.27999997138977</c:v>
                </c:pt>
                <c:pt idx="23">
                  <c:v>1.25</c:v>
                </c:pt>
              </c:numCache>
            </c:numRef>
          </c:val>
          <c:smooth val="0"/>
        </c:ser>
        <c:dLbls>
          <c:showLegendKey val="0"/>
          <c:showVal val="0"/>
          <c:showCatName val="0"/>
          <c:showSerName val="0"/>
          <c:showPercent val="0"/>
          <c:showBubbleSize val="0"/>
        </c:dLbls>
        <c:marker val="1"/>
        <c:smooth val="0"/>
        <c:axId val="406391024"/>
        <c:axId val="263760897"/>
      </c:lineChart>
      <c:catAx>
        <c:axId val="406391024"/>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63760897"/>
        <c:crosses val="autoZero"/>
        <c:auto val="1"/>
        <c:lblAlgn val="ctr"/>
        <c:lblOffset val="100"/>
        <c:noMultiLvlLbl val="0"/>
      </c:catAx>
      <c:valAx>
        <c:axId val="263760897"/>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406391024"/>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85975"/>
          <c:y val="0.18475"/>
          <c:w val="0.12568306010929"/>
          <c:h val="0.505446623093682"/>
        </c:manualLayout>
      </c:layout>
      <c:overlay val="0"/>
      <c:spPr>
        <a:solidFill>
          <a:srgbClr val="FFFFFF"/>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feaca821-61c8-41d8-a877-eecfcff03b4f}"/>
      </c:ext>
    </c:extLst>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'111.xls'!$B$8</c:f>
              <c:strCache>
                <c:ptCount val="1"/>
                <c:pt idx="0">
                  <c:v>100天         </c:v>
                </c:pt>
              </c:strCache>
            </c:strRef>
          </c:tx>
          <c:spPr>
            <a:ln w="28575" cap="rnd" cmpd="sng" algn="ctr">
              <a:solidFill>
                <a:schemeClr val="accent2"/>
              </a:solidFill>
              <a:prstDash val="solid"/>
              <a:round/>
            </a:ln>
            <a:effectLst/>
          </c:spPr>
          <c:marker>
            <c:symbol val="none"/>
          </c:marker>
          <c:dLbls>
            <c:delete val="1"/>
          </c:dLbls>
          <c:cat>
            <c:numRef>
              <c:f>'111.xls'!$A$9:$A$124</c:f>
              <c:numCache>
                <c:formatCode>General</c:formatCode>
                <c:ptCount val="1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numCache>
            </c:numRef>
          </c:cat>
          <c:val>
            <c:numRef>
              <c:f>'111.xls'!$B$9:$B$124</c:f>
              <c:numCache>
                <c:formatCode>General</c:formatCode>
                <c:ptCount val="116"/>
                <c:pt idx="0">
                  <c:v>0.097</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0</c:v>
                </c:pt>
                <c:pt idx="102" c:formatCode="0.00E+00">
                  <c:v>0</c:v>
                </c:pt>
                <c:pt idx="103" c:formatCode="0.00E+00">
                  <c:v>0</c:v>
                </c:pt>
                <c:pt idx="104" c:formatCode="0.00E+00">
                  <c:v>0</c:v>
                </c:pt>
                <c:pt idx="105" c:formatCode="0.00E+00">
                  <c:v>0</c:v>
                </c:pt>
                <c:pt idx="106" c:formatCode="0.00E+00">
                  <c:v>0</c:v>
                </c:pt>
                <c:pt idx="107" c:formatCode="0.00E+00">
                  <c:v>0</c:v>
                </c:pt>
                <c:pt idx="108" c:formatCode="0.00E+00">
                  <c:v>0</c:v>
                </c:pt>
                <c:pt idx="109" c:formatCode="0.00E+00">
                  <c:v>0</c:v>
                </c:pt>
                <c:pt idx="110" c:formatCode="0.00E+00">
                  <c:v>0</c:v>
                </c:pt>
                <c:pt idx="111" c:formatCode="0.00E+00">
                  <c:v>0</c:v>
                </c:pt>
                <c:pt idx="112" c:formatCode="0.00E+00">
                  <c:v>0</c:v>
                </c:pt>
              </c:numCache>
            </c:numRef>
          </c:val>
          <c:smooth val="1"/>
        </c:ser>
        <c:ser>
          <c:idx val="2"/>
          <c:order val="1"/>
          <c:tx>
            <c:strRef>
              <c:f>'111.xls'!$C$8</c:f>
              <c:strCache>
                <c:ptCount val="1"/>
                <c:pt idx="0">
                  <c:v>1000天         </c:v>
                </c:pt>
              </c:strCache>
            </c:strRef>
          </c:tx>
          <c:spPr>
            <a:ln w="28575" cap="rnd" cmpd="sng" algn="ctr">
              <a:solidFill>
                <a:schemeClr val="accent3"/>
              </a:solidFill>
              <a:prstDash val="solid"/>
              <a:round/>
            </a:ln>
            <a:effectLst/>
          </c:spPr>
          <c:marker>
            <c:symbol val="none"/>
          </c:marker>
          <c:dLbls>
            <c:delete val="1"/>
          </c:dLbls>
          <c:cat>
            <c:numRef>
              <c:f>'111.xls'!$A$9:$A$124</c:f>
              <c:numCache>
                <c:formatCode>General</c:formatCode>
                <c:ptCount val="1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numCache>
            </c:numRef>
          </c:cat>
          <c:val>
            <c:numRef>
              <c:f>'111.xls'!$C$9:$C$124</c:f>
              <c:numCache>
                <c:formatCode>General</c:formatCode>
                <c:ptCount val="116"/>
                <c:pt idx="0">
                  <c:v>0.000144</c:v>
                </c:pt>
                <c:pt idx="1">
                  <c:v>0.0385</c:v>
                </c:pt>
                <c:pt idx="2">
                  <c:v>1.88e-10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0</c:v>
                </c:pt>
                <c:pt idx="102" c:formatCode="0.00E+00">
                  <c:v>0</c:v>
                </c:pt>
                <c:pt idx="103" c:formatCode="0.00E+00">
                  <c:v>0</c:v>
                </c:pt>
                <c:pt idx="104" c:formatCode="0.00E+00">
                  <c:v>0</c:v>
                </c:pt>
                <c:pt idx="105" c:formatCode="0.00E+00">
                  <c:v>0</c:v>
                </c:pt>
                <c:pt idx="106" c:formatCode="0.00E+00">
                  <c:v>0</c:v>
                </c:pt>
                <c:pt idx="107" c:formatCode="0.00E+00">
                  <c:v>0</c:v>
                </c:pt>
                <c:pt idx="108" c:formatCode="0.00E+00">
                  <c:v>0</c:v>
                </c:pt>
                <c:pt idx="109" c:formatCode="0.00E+00">
                  <c:v>0</c:v>
                </c:pt>
                <c:pt idx="110" c:formatCode="0.00E+00">
                  <c:v>0</c:v>
                </c:pt>
                <c:pt idx="111" c:formatCode="0.00E+00">
                  <c:v>0</c:v>
                </c:pt>
                <c:pt idx="112" c:formatCode="0.00E+00">
                  <c:v>0</c:v>
                </c:pt>
              </c:numCache>
            </c:numRef>
          </c:val>
          <c:smooth val="1"/>
        </c:ser>
        <c:ser>
          <c:idx val="3"/>
          <c:order val="2"/>
          <c:tx>
            <c:strRef>
              <c:f>'111.xls'!$D$8</c:f>
              <c:strCache>
                <c:ptCount val="1"/>
                <c:pt idx="0">
                  <c:v>9125天         </c:v>
                </c:pt>
              </c:strCache>
            </c:strRef>
          </c:tx>
          <c:spPr>
            <a:ln w="28575" cap="rnd" cmpd="sng" algn="ctr">
              <a:solidFill>
                <a:schemeClr val="accent4"/>
              </a:solidFill>
              <a:prstDash val="solid"/>
              <a:round/>
            </a:ln>
            <a:effectLst/>
          </c:spPr>
          <c:marker>
            <c:symbol val="none"/>
          </c:marker>
          <c:dLbls>
            <c:delete val="1"/>
          </c:dLbls>
          <c:cat>
            <c:numRef>
              <c:f>'111.xls'!$A$9:$A$124</c:f>
              <c:numCache>
                <c:formatCode>General</c:formatCode>
                <c:ptCount val="1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numCache>
            </c:numRef>
          </c:cat>
          <c:val>
            <c:numRef>
              <c:f>'111.xls'!$D$9:$D$124</c:f>
              <c:numCache>
                <c:formatCode>General</c:formatCode>
                <c:ptCount val="116"/>
                <c:pt idx="0">
                  <c:v>0</c:v>
                </c:pt>
                <c:pt idx="1">
                  <c:v>0</c:v>
                </c:pt>
                <c:pt idx="2">
                  <c:v>2.29e-13</c:v>
                </c:pt>
                <c:pt idx="3">
                  <c:v>6.68e-9</c:v>
                </c:pt>
                <c:pt idx="4">
                  <c:v>1.49e-5</c:v>
                </c:pt>
                <c:pt idx="5">
                  <c:v>0.00235</c:v>
                </c:pt>
                <c:pt idx="6">
                  <c:v>0.0262</c:v>
                </c:pt>
                <c:pt idx="7">
                  <c:v>0.0206</c:v>
                </c:pt>
                <c:pt idx="8">
                  <c:v>0.00115</c:v>
                </c:pt>
                <c:pt idx="9">
                  <c:v>4.56e-6</c:v>
                </c:pt>
                <c:pt idx="10">
                  <c:v>1.28e-9</c:v>
                </c:pt>
                <c:pt idx="11">
                  <c:v>2.74e-14</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4.49e-38</c:v>
                </c:pt>
                <c:pt idx="102" c:formatCode="0.00E+00">
                  <c:v>8.22e-39</c:v>
                </c:pt>
                <c:pt idx="103" c:formatCode="0.00E+00">
                  <c:v>1.48e-39</c:v>
                </c:pt>
                <c:pt idx="104" c:formatCode="0.00E+00">
                  <c:v>2.61e-40</c:v>
                </c:pt>
                <c:pt idx="105" c:formatCode="0.00E+00">
                  <c:v>4.53e-41</c:v>
                </c:pt>
                <c:pt idx="106" c:formatCode="0.00E+00">
                  <c:v>7.72e-42</c:v>
                </c:pt>
                <c:pt idx="107" c:formatCode="0.00E+00">
                  <c:v>1.29e-42</c:v>
                </c:pt>
                <c:pt idx="108" c:formatCode="0.00E+00">
                  <c:v>2.12e-43</c:v>
                </c:pt>
                <c:pt idx="109" c:formatCode="0.00E+00">
                  <c:v>3.36e-44</c:v>
                </c:pt>
                <c:pt idx="110" c:formatCode="0.00E+00">
                  <c:v>5.61e-45</c:v>
                </c:pt>
                <c:pt idx="111" c:formatCode="0.00E+00">
                  <c:v>1.4e-45</c:v>
                </c:pt>
                <c:pt idx="112" c:formatCode="0.00E+00">
                  <c:v>0</c:v>
                </c:pt>
              </c:numCache>
            </c:numRef>
          </c:val>
          <c:smooth val="1"/>
        </c:ser>
        <c:dLbls>
          <c:showLegendKey val="0"/>
          <c:showVal val="0"/>
          <c:showCatName val="0"/>
          <c:showSerName val="0"/>
          <c:showPercent val="0"/>
          <c:showBubbleSize val="0"/>
        </c:dLbls>
        <c:marker val="0"/>
        <c:smooth val="1"/>
        <c:axId val="754124149"/>
        <c:axId val="740273255"/>
      </c:lineChart>
      <c:catAx>
        <c:axId val="754124149"/>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sz="1000" b="0" i="0" u="none" strike="noStrike" kern="1200" baseline="0">
                    <a:solidFill>
                      <a:schemeClr val="tx1">
                        <a:lumMod val="65000"/>
                        <a:lumOff val="35000"/>
                      </a:schemeClr>
                    </a:solidFill>
                    <a:latin typeface="+mn-lt"/>
                    <a:ea typeface="+mn-ea"/>
                    <a:cs typeface="+mn-cs"/>
                  </a:rPr>
                  <a:t>迁移距离</a:t>
                </a:r>
                <a:endParaRPr lang="zh-CN" sz="1000" b="0" i="0" u="none" strike="noStrike" kern="1200" baseline="0">
                  <a:solidFill>
                    <a:schemeClr val="tx1">
                      <a:lumMod val="65000"/>
                      <a:lumOff val="35000"/>
                    </a:schemeClr>
                  </a:solidFill>
                  <a:latin typeface="+mn-lt"/>
                  <a:ea typeface="+mn-ea"/>
                  <a:cs typeface="+mn-cs"/>
                </a:endParaRPr>
              </a:p>
            </c:rich>
          </c:tx>
          <c:layout/>
          <c:overlay val="0"/>
          <c:spPr>
            <a:noFill/>
            <a:ln>
              <a:noFill/>
            </a:ln>
            <a:effectLst/>
          </c:spPr>
        </c:title>
        <c:numFmt formatCode="0_);[Red]\(0\)"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0273255"/>
        <c:crosses val="autoZero"/>
        <c:auto val="1"/>
        <c:lblAlgn val="ctr"/>
        <c:lblOffset val="100"/>
        <c:tickLblSkip val="20"/>
        <c:tickMarkSkip val="100"/>
        <c:noMultiLvlLbl val="0"/>
      </c:catAx>
      <c:valAx>
        <c:axId val="740273255"/>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sz="1000" b="0" i="0" u="none" strike="noStrike" kern="1200" baseline="0">
                    <a:solidFill>
                      <a:schemeClr val="tx1">
                        <a:lumMod val="65000"/>
                        <a:lumOff val="35000"/>
                      </a:schemeClr>
                    </a:solidFill>
                    <a:latin typeface="+mn-lt"/>
                    <a:ea typeface="+mn-ea"/>
                    <a:cs typeface="+mn-cs"/>
                  </a:rPr>
                  <a:t>浓度</a:t>
                </a:r>
                <a:endParaRPr lang="zh-CN" sz="1000" b="0" i="0" u="none" strike="noStrike" kern="1200" baseline="0">
                  <a:solidFill>
                    <a:schemeClr val="tx1">
                      <a:lumMod val="65000"/>
                      <a:lumOff val="35000"/>
                    </a:schemeClr>
                  </a:solidFill>
                  <a:latin typeface="+mn-lt"/>
                  <a:ea typeface="+mn-ea"/>
                  <a:cs typeface="+mn-cs"/>
                </a:endParaRPr>
              </a:p>
            </c:rich>
          </c:tx>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4124149"/>
        <c:crosses val="autoZero"/>
        <c:crossBetween val="midCat"/>
      </c:valAx>
      <c:spPr>
        <a:noFill/>
        <a:ln>
          <a:noFill/>
        </a:ln>
        <a:effectLst/>
      </c:spPr>
    </c:plotArea>
    <c:legend>
      <c:legendPos val="b"/>
      <c:layout>
        <c:manualLayout>
          <c:xMode val="edge"/>
          <c:yMode val="edge"/>
          <c:x val="0.28725"/>
          <c:y val="0.8945"/>
          <c:w val="0.42525"/>
          <c:h val="0.07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ee4c566-1681-41af-aad7-69b1b1b5f20b}"/>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'111.xls'!$B$8</c:f>
              <c:strCache>
                <c:ptCount val="1"/>
                <c:pt idx="0">
                  <c:v>100天         </c:v>
                </c:pt>
              </c:strCache>
            </c:strRef>
          </c:tx>
          <c:spPr>
            <a:ln w="28575" cap="rnd" cmpd="sng" algn="ctr">
              <a:solidFill>
                <a:schemeClr val="accent2"/>
              </a:solidFill>
              <a:prstDash val="solid"/>
              <a:round/>
            </a:ln>
            <a:effectLst/>
          </c:spPr>
          <c:marker>
            <c:symbol val="none"/>
          </c:marker>
          <c:dLbls>
            <c:delete val="1"/>
          </c:dLbls>
          <c:cat>
            <c:numRef>
              <c:f>'111.xls'!$A$9:$A$124</c:f>
              <c:numCache>
                <c:formatCode>0.000_ </c:formatCode>
                <c:ptCount val="116"/>
                <c:pt idx="0" c:formatCode="0.000_ ">
                  <c:v>0</c:v>
                </c:pt>
                <c:pt idx="1" c:formatCode="0.000_ ">
                  <c:v>5</c:v>
                </c:pt>
                <c:pt idx="2" c:formatCode="0.000_ ">
                  <c:v>10</c:v>
                </c:pt>
                <c:pt idx="3" c:formatCode="0.000_ ">
                  <c:v>15</c:v>
                </c:pt>
                <c:pt idx="4" c:formatCode="0.000_ ">
                  <c:v>20</c:v>
                </c:pt>
                <c:pt idx="5" c:formatCode="0.000_ ">
                  <c:v>25</c:v>
                </c:pt>
                <c:pt idx="6" c:formatCode="0.000_ ">
                  <c:v>30</c:v>
                </c:pt>
                <c:pt idx="7" c:formatCode="0.000_ ">
                  <c:v>35</c:v>
                </c:pt>
                <c:pt idx="8" c:formatCode="0.000_ ">
                  <c:v>40</c:v>
                </c:pt>
                <c:pt idx="9" c:formatCode="0.000_ ">
                  <c:v>45</c:v>
                </c:pt>
                <c:pt idx="10" c:formatCode="0.000_ ">
                  <c:v>50</c:v>
                </c:pt>
                <c:pt idx="11" c:formatCode="0.000_ ">
                  <c:v>55</c:v>
                </c:pt>
                <c:pt idx="12" c:formatCode="0.000_ ">
                  <c:v>60</c:v>
                </c:pt>
                <c:pt idx="13" c:formatCode="0.000_ ">
                  <c:v>65</c:v>
                </c:pt>
                <c:pt idx="14" c:formatCode="0.000_ ">
                  <c:v>70</c:v>
                </c:pt>
                <c:pt idx="15" c:formatCode="0.000_ ">
                  <c:v>75</c:v>
                </c:pt>
                <c:pt idx="16" c:formatCode="0.000_ ">
                  <c:v>80</c:v>
                </c:pt>
                <c:pt idx="17" c:formatCode="0.000_ ">
                  <c:v>85</c:v>
                </c:pt>
                <c:pt idx="18" c:formatCode="0.000_ ">
                  <c:v>90</c:v>
                </c:pt>
                <c:pt idx="19" c:formatCode="0.000_ ">
                  <c:v>95</c:v>
                </c:pt>
                <c:pt idx="20" c:formatCode="0.000_ ">
                  <c:v>100</c:v>
                </c:pt>
                <c:pt idx="21" c:formatCode="0.000_ ">
                  <c:v>105</c:v>
                </c:pt>
                <c:pt idx="22" c:formatCode="0.000_ ">
                  <c:v>110</c:v>
                </c:pt>
                <c:pt idx="23" c:formatCode="0.000_ ">
                  <c:v>115</c:v>
                </c:pt>
                <c:pt idx="24" c:formatCode="0.000_ ">
                  <c:v>120</c:v>
                </c:pt>
                <c:pt idx="25" c:formatCode="0.000_ ">
                  <c:v>125</c:v>
                </c:pt>
                <c:pt idx="26" c:formatCode="0.000_ ">
                  <c:v>130</c:v>
                </c:pt>
                <c:pt idx="27" c:formatCode="0.000_ ">
                  <c:v>135</c:v>
                </c:pt>
                <c:pt idx="28" c:formatCode="0.000_ ">
                  <c:v>140</c:v>
                </c:pt>
                <c:pt idx="29" c:formatCode="0.000_ ">
                  <c:v>145</c:v>
                </c:pt>
                <c:pt idx="30" c:formatCode="0.000_ ">
                  <c:v>150</c:v>
                </c:pt>
                <c:pt idx="31" c:formatCode="0.000_ ">
                  <c:v>155</c:v>
                </c:pt>
                <c:pt idx="32" c:formatCode="0.000_ ">
                  <c:v>160</c:v>
                </c:pt>
                <c:pt idx="33" c:formatCode="0.000_ ">
                  <c:v>165</c:v>
                </c:pt>
                <c:pt idx="34" c:formatCode="0.000_ ">
                  <c:v>170</c:v>
                </c:pt>
                <c:pt idx="35" c:formatCode="0.000_ ">
                  <c:v>175</c:v>
                </c:pt>
                <c:pt idx="36" c:formatCode="0.000_ ">
                  <c:v>180</c:v>
                </c:pt>
                <c:pt idx="37" c:formatCode="0.000_ ">
                  <c:v>185</c:v>
                </c:pt>
                <c:pt idx="38" c:formatCode="0.000_ ">
                  <c:v>190</c:v>
                </c:pt>
                <c:pt idx="39" c:formatCode="0.000_ ">
                  <c:v>195</c:v>
                </c:pt>
                <c:pt idx="40" c:formatCode="0.000_ ">
                  <c:v>200</c:v>
                </c:pt>
                <c:pt idx="41" c:formatCode="0.000_ ">
                  <c:v>205</c:v>
                </c:pt>
                <c:pt idx="42" c:formatCode="0.000_ ">
                  <c:v>210</c:v>
                </c:pt>
                <c:pt idx="43" c:formatCode="0.000_ ">
                  <c:v>215</c:v>
                </c:pt>
                <c:pt idx="44" c:formatCode="0.000_ ">
                  <c:v>220</c:v>
                </c:pt>
                <c:pt idx="45" c:formatCode="0.000_ ">
                  <c:v>225</c:v>
                </c:pt>
                <c:pt idx="46" c:formatCode="0.000_ ">
                  <c:v>230</c:v>
                </c:pt>
                <c:pt idx="47" c:formatCode="0.000_ ">
                  <c:v>235</c:v>
                </c:pt>
                <c:pt idx="48" c:formatCode="0.000_ ">
                  <c:v>240</c:v>
                </c:pt>
                <c:pt idx="49" c:formatCode="0.000_ ">
                  <c:v>245</c:v>
                </c:pt>
                <c:pt idx="50" c:formatCode="0.000_ ">
                  <c:v>250</c:v>
                </c:pt>
                <c:pt idx="51" c:formatCode="0.000_ ">
                  <c:v>255</c:v>
                </c:pt>
                <c:pt idx="52" c:formatCode="0.000_ ">
                  <c:v>260</c:v>
                </c:pt>
                <c:pt idx="53" c:formatCode="0.000_ ">
                  <c:v>265</c:v>
                </c:pt>
                <c:pt idx="54" c:formatCode="0.000_ ">
                  <c:v>270</c:v>
                </c:pt>
                <c:pt idx="55" c:formatCode="0.000_ ">
                  <c:v>275</c:v>
                </c:pt>
                <c:pt idx="56" c:formatCode="0.000_ ">
                  <c:v>280</c:v>
                </c:pt>
                <c:pt idx="57" c:formatCode="0.000_ ">
                  <c:v>285</c:v>
                </c:pt>
                <c:pt idx="58" c:formatCode="0.000_ ">
                  <c:v>290</c:v>
                </c:pt>
                <c:pt idx="59" c:formatCode="0.000_ ">
                  <c:v>295</c:v>
                </c:pt>
                <c:pt idx="60" c:formatCode="0.000_ ">
                  <c:v>300</c:v>
                </c:pt>
                <c:pt idx="61" c:formatCode="0.000_ ">
                  <c:v>305</c:v>
                </c:pt>
                <c:pt idx="62" c:formatCode="0.000_ ">
                  <c:v>310</c:v>
                </c:pt>
                <c:pt idx="63" c:formatCode="0.000_ ">
                  <c:v>315</c:v>
                </c:pt>
                <c:pt idx="64" c:formatCode="0.000_ ">
                  <c:v>320</c:v>
                </c:pt>
                <c:pt idx="65" c:formatCode="0.000_ ">
                  <c:v>325</c:v>
                </c:pt>
                <c:pt idx="66" c:formatCode="0.000_ ">
                  <c:v>330</c:v>
                </c:pt>
                <c:pt idx="67" c:formatCode="0.000_ ">
                  <c:v>335</c:v>
                </c:pt>
                <c:pt idx="68" c:formatCode="0.000_ ">
                  <c:v>340</c:v>
                </c:pt>
                <c:pt idx="69" c:formatCode="0.000_ ">
                  <c:v>345</c:v>
                </c:pt>
                <c:pt idx="70" c:formatCode="0.000_ ">
                  <c:v>350</c:v>
                </c:pt>
                <c:pt idx="71" c:formatCode="0.000_ ">
                  <c:v>355</c:v>
                </c:pt>
                <c:pt idx="72" c:formatCode="0.000_ ">
                  <c:v>360</c:v>
                </c:pt>
                <c:pt idx="73" c:formatCode="0.000_ ">
                  <c:v>365</c:v>
                </c:pt>
                <c:pt idx="74" c:formatCode="0.000_ ">
                  <c:v>370</c:v>
                </c:pt>
                <c:pt idx="75" c:formatCode="0.000_ ">
                  <c:v>375</c:v>
                </c:pt>
                <c:pt idx="76" c:formatCode="0.000_ ">
                  <c:v>380</c:v>
                </c:pt>
                <c:pt idx="77" c:formatCode="0.000_ ">
                  <c:v>385</c:v>
                </c:pt>
                <c:pt idx="78" c:formatCode="0.000_ ">
                  <c:v>390</c:v>
                </c:pt>
                <c:pt idx="79" c:formatCode="0.000_ ">
                  <c:v>395</c:v>
                </c:pt>
                <c:pt idx="80" c:formatCode="0.000_ ">
                  <c:v>400</c:v>
                </c:pt>
                <c:pt idx="81" c:formatCode="0.000_ ">
                  <c:v>405</c:v>
                </c:pt>
                <c:pt idx="82" c:formatCode="0.000_ ">
                  <c:v>410</c:v>
                </c:pt>
                <c:pt idx="83" c:formatCode="0.000_ ">
                  <c:v>415</c:v>
                </c:pt>
                <c:pt idx="84" c:formatCode="0.000_ ">
                  <c:v>420</c:v>
                </c:pt>
                <c:pt idx="85" c:formatCode="0.000_ ">
                  <c:v>425</c:v>
                </c:pt>
                <c:pt idx="86" c:formatCode="0.000_ ">
                  <c:v>430</c:v>
                </c:pt>
                <c:pt idx="87" c:formatCode="0.000_ ">
                  <c:v>435</c:v>
                </c:pt>
                <c:pt idx="88" c:formatCode="0.000_ ">
                  <c:v>440</c:v>
                </c:pt>
                <c:pt idx="89" c:formatCode="0.000_ ">
                  <c:v>445</c:v>
                </c:pt>
                <c:pt idx="90" c:formatCode="0.000_ ">
                  <c:v>450</c:v>
                </c:pt>
                <c:pt idx="91" c:formatCode="0.000_ ">
                  <c:v>455</c:v>
                </c:pt>
                <c:pt idx="92" c:formatCode="0.000_ ">
                  <c:v>460</c:v>
                </c:pt>
                <c:pt idx="93" c:formatCode="0.000_ ">
                  <c:v>465</c:v>
                </c:pt>
                <c:pt idx="94" c:formatCode="0.000_ ">
                  <c:v>470</c:v>
                </c:pt>
                <c:pt idx="95" c:formatCode="0.000_ ">
                  <c:v>475</c:v>
                </c:pt>
                <c:pt idx="96" c:formatCode="0.000_ ">
                  <c:v>480</c:v>
                </c:pt>
                <c:pt idx="97" c:formatCode="0.000_ ">
                  <c:v>485</c:v>
                </c:pt>
                <c:pt idx="98" c:formatCode="0.000_ ">
                  <c:v>490</c:v>
                </c:pt>
                <c:pt idx="99" c:formatCode="0.000_ ">
                  <c:v>495</c:v>
                </c:pt>
                <c:pt idx="100" c:formatCode="0.000_ ">
                  <c:v>500</c:v>
                </c:pt>
                <c:pt idx="101" c:formatCode="0.000_ ">
                  <c:v>505</c:v>
                </c:pt>
                <c:pt idx="102" c:formatCode="0.000_ ">
                  <c:v>510</c:v>
                </c:pt>
                <c:pt idx="103" c:formatCode="0.000_ ">
                  <c:v>515</c:v>
                </c:pt>
                <c:pt idx="104" c:formatCode="0.000_ ">
                  <c:v>520</c:v>
                </c:pt>
                <c:pt idx="105" c:formatCode="0.000_ ">
                  <c:v>525</c:v>
                </c:pt>
                <c:pt idx="106" c:formatCode="0.000_ ">
                  <c:v>530</c:v>
                </c:pt>
                <c:pt idx="107" c:formatCode="0.000_ ">
                  <c:v>535</c:v>
                </c:pt>
                <c:pt idx="108" c:formatCode="0.000_ ">
                  <c:v>540</c:v>
                </c:pt>
                <c:pt idx="109" c:formatCode="0.000_ ">
                  <c:v>545</c:v>
                </c:pt>
                <c:pt idx="110" c:formatCode="0.000_ ">
                  <c:v>550</c:v>
                </c:pt>
                <c:pt idx="111" c:formatCode="0.000_ ">
                  <c:v>555</c:v>
                </c:pt>
                <c:pt idx="112" c:formatCode="0.000_ ">
                  <c:v>560</c:v>
                </c:pt>
              </c:numCache>
            </c:numRef>
          </c:cat>
          <c:val>
            <c:numRef>
              <c:f>'111.xls'!$B$9:$B$124</c:f>
              <c:numCache>
                <c:formatCode>0.000_ </c:formatCode>
                <c:ptCount val="116"/>
                <c:pt idx="0">
                  <c:v>0.0143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0</c:v>
                </c:pt>
                <c:pt idx="102" c:formatCode="0.00E+00">
                  <c:v>0</c:v>
                </c:pt>
                <c:pt idx="103" c:formatCode="0.00E+00">
                  <c:v>0</c:v>
                </c:pt>
                <c:pt idx="104" c:formatCode="0.00E+00">
                  <c:v>0</c:v>
                </c:pt>
                <c:pt idx="105" c:formatCode="0.00E+00">
                  <c:v>0</c:v>
                </c:pt>
                <c:pt idx="106" c:formatCode="0.00E+00">
                  <c:v>0</c:v>
                </c:pt>
                <c:pt idx="107" c:formatCode="0.00E+00">
                  <c:v>0</c:v>
                </c:pt>
                <c:pt idx="108" c:formatCode="0.00E+00">
                  <c:v>0</c:v>
                </c:pt>
                <c:pt idx="109" c:formatCode="0.00E+00">
                  <c:v>0</c:v>
                </c:pt>
                <c:pt idx="110" c:formatCode="0.00E+00">
                  <c:v>0</c:v>
                </c:pt>
                <c:pt idx="111" c:formatCode="0.00E+00">
                  <c:v>0</c:v>
                </c:pt>
                <c:pt idx="112" c:formatCode="0.00E+00">
                  <c:v>0</c:v>
                </c:pt>
              </c:numCache>
            </c:numRef>
          </c:val>
          <c:smooth val="1"/>
        </c:ser>
        <c:ser>
          <c:idx val="2"/>
          <c:order val="1"/>
          <c:tx>
            <c:strRef>
              <c:f>'111.xls'!$C$8</c:f>
              <c:strCache>
                <c:ptCount val="1"/>
                <c:pt idx="0">
                  <c:v>1000天         </c:v>
                </c:pt>
              </c:strCache>
            </c:strRef>
          </c:tx>
          <c:spPr>
            <a:ln w="28575" cap="rnd" cmpd="sng" algn="ctr">
              <a:solidFill>
                <a:schemeClr val="accent3"/>
              </a:solidFill>
              <a:prstDash val="solid"/>
              <a:round/>
            </a:ln>
            <a:effectLst/>
          </c:spPr>
          <c:marker>
            <c:symbol val="none"/>
          </c:marker>
          <c:dLbls>
            <c:delete val="1"/>
          </c:dLbls>
          <c:cat>
            <c:numRef>
              <c:f>'111.xls'!$A$9:$A$124</c:f>
              <c:numCache>
                <c:formatCode>0.000_ </c:formatCode>
                <c:ptCount val="116"/>
                <c:pt idx="0" c:formatCode="0.000_ ">
                  <c:v>0</c:v>
                </c:pt>
                <c:pt idx="1" c:formatCode="0.000_ ">
                  <c:v>5</c:v>
                </c:pt>
                <c:pt idx="2" c:formatCode="0.000_ ">
                  <c:v>10</c:v>
                </c:pt>
                <c:pt idx="3" c:formatCode="0.000_ ">
                  <c:v>15</c:v>
                </c:pt>
                <c:pt idx="4" c:formatCode="0.000_ ">
                  <c:v>20</c:v>
                </c:pt>
                <c:pt idx="5" c:formatCode="0.000_ ">
                  <c:v>25</c:v>
                </c:pt>
                <c:pt idx="6" c:formatCode="0.000_ ">
                  <c:v>30</c:v>
                </c:pt>
                <c:pt idx="7" c:formatCode="0.000_ ">
                  <c:v>35</c:v>
                </c:pt>
                <c:pt idx="8" c:formatCode="0.000_ ">
                  <c:v>40</c:v>
                </c:pt>
                <c:pt idx="9" c:formatCode="0.000_ ">
                  <c:v>45</c:v>
                </c:pt>
                <c:pt idx="10" c:formatCode="0.000_ ">
                  <c:v>50</c:v>
                </c:pt>
                <c:pt idx="11" c:formatCode="0.000_ ">
                  <c:v>55</c:v>
                </c:pt>
                <c:pt idx="12" c:formatCode="0.000_ ">
                  <c:v>60</c:v>
                </c:pt>
                <c:pt idx="13" c:formatCode="0.000_ ">
                  <c:v>65</c:v>
                </c:pt>
                <c:pt idx="14" c:formatCode="0.000_ ">
                  <c:v>70</c:v>
                </c:pt>
                <c:pt idx="15" c:formatCode="0.000_ ">
                  <c:v>75</c:v>
                </c:pt>
                <c:pt idx="16" c:formatCode="0.000_ ">
                  <c:v>80</c:v>
                </c:pt>
                <c:pt idx="17" c:formatCode="0.000_ ">
                  <c:v>85</c:v>
                </c:pt>
                <c:pt idx="18" c:formatCode="0.000_ ">
                  <c:v>90</c:v>
                </c:pt>
                <c:pt idx="19" c:formatCode="0.000_ ">
                  <c:v>95</c:v>
                </c:pt>
                <c:pt idx="20" c:formatCode="0.000_ ">
                  <c:v>100</c:v>
                </c:pt>
                <c:pt idx="21" c:formatCode="0.000_ ">
                  <c:v>105</c:v>
                </c:pt>
                <c:pt idx="22" c:formatCode="0.000_ ">
                  <c:v>110</c:v>
                </c:pt>
                <c:pt idx="23" c:formatCode="0.000_ ">
                  <c:v>115</c:v>
                </c:pt>
                <c:pt idx="24" c:formatCode="0.000_ ">
                  <c:v>120</c:v>
                </c:pt>
                <c:pt idx="25" c:formatCode="0.000_ ">
                  <c:v>125</c:v>
                </c:pt>
                <c:pt idx="26" c:formatCode="0.000_ ">
                  <c:v>130</c:v>
                </c:pt>
                <c:pt idx="27" c:formatCode="0.000_ ">
                  <c:v>135</c:v>
                </c:pt>
                <c:pt idx="28" c:formatCode="0.000_ ">
                  <c:v>140</c:v>
                </c:pt>
                <c:pt idx="29" c:formatCode="0.000_ ">
                  <c:v>145</c:v>
                </c:pt>
                <c:pt idx="30" c:formatCode="0.000_ ">
                  <c:v>150</c:v>
                </c:pt>
                <c:pt idx="31" c:formatCode="0.000_ ">
                  <c:v>155</c:v>
                </c:pt>
                <c:pt idx="32" c:formatCode="0.000_ ">
                  <c:v>160</c:v>
                </c:pt>
                <c:pt idx="33" c:formatCode="0.000_ ">
                  <c:v>165</c:v>
                </c:pt>
                <c:pt idx="34" c:formatCode="0.000_ ">
                  <c:v>170</c:v>
                </c:pt>
                <c:pt idx="35" c:formatCode="0.000_ ">
                  <c:v>175</c:v>
                </c:pt>
                <c:pt idx="36" c:formatCode="0.000_ ">
                  <c:v>180</c:v>
                </c:pt>
                <c:pt idx="37" c:formatCode="0.000_ ">
                  <c:v>185</c:v>
                </c:pt>
                <c:pt idx="38" c:formatCode="0.000_ ">
                  <c:v>190</c:v>
                </c:pt>
                <c:pt idx="39" c:formatCode="0.000_ ">
                  <c:v>195</c:v>
                </c:pt>
                <c:pt idx="40" c:formatCode="0.000_ ">
                  <c:v>200</c:v>
                </c:pt>
                <c:pt idx="41" c:formatCode="0.000_ ">
                  <c:v>205</c:v>
                </c:pt>
                <c:pt idx="42" c:formatCode="0.000_ ">
                  <c:v>210</c:v>
                </c:pt>
                <c:pt idx="43" c:formatCode="0.000_ ">
                  <c:v>215</c:v>
                </c:pt>
                <c:pt idx="44" c:formatCode="0.000_ ">
                  <c:v>220</c:v>
                </c:pt>
                <c:pt idx="45" c:formatCode="0.000_ ">
                  <c:v>225</c:v>
                </c:pt>
                <c:pt idx="46" c:formatCode="0.000_ ">
                  <c:v>230</c:v>
                </c:pt>
                <c:pt idx="47" c:formatCode="0.000_ ">
                  <c:v>235</c:v>
                </c:pt>
                <c:pt idx="48" c:formatCode="0.000_ ">
                  <c:v>240</c:v>
                </c:pt>
                <c:pt idx="49" c:formatCode="0.000_ ">
                  <c:v>245</c:v>
                </c:pt>
                <c:pt idx="50" c:formatCode="0.000_ ">
                  <c:v>250</c:v>
                </c:pt>
                <c:pt idx="51" c:formatCode="0.000_ ">
                  <c:v>255</c:v>
                </c:pt>
                <c:pt idx="52" c:formatCode="0.000_ ">
                  <c:v>260</c:v>
                </c:pt>
                <c:pt idx="53" c:formatCode="0.000_ ">
                  <c:v>265</c:v>
                </c:pt>
                <c:pt idx="54" c:formatCode="0.000_ ">
                  <c:v>270</c:v>
                </c:pt>
                <c:pt idx="55" c:formatCode="0.000_ ">
                  <c:v>275</c:v>
                </c:pt>
                <c:pt idx="56" c:formatCode="0.000_ ">
                  <c:v>280</c:v>
                </c:pt>
                <c:pt idx="57" c:formatCode="0.000_ ">
                  <c:v>285</c:v>
                </c:pt>
                <c:pt idx="58" c:formatCode="0.000_ ">
                  <c:v>290</c:v>
                </c:pt>
                <c:pt idx="59" c:formatCode="0.000_ ">
                  <c:v>295</c:v>
                </c:pt>
                <c:pt idx="60" c:formatCode="0.000_ ">
                  <c:v>300</c:v>
                </c:pt>
                <c:pt idx="61" c:formatCode="0.000_ ">
                  <c:v>305</c:v>
                </c:pt>
                <c:pt idx="62" c:formatCode="0.000_ ">
                  <c:v>310</c:v>
                </c:pt>
                <c:pt idx="63" c:formatCode="0.000_ ">
                  <c:v>315</c:v>
                </c:pt>
                <c:pt idx="64" c:formatCode="0.000_ ">
                  <c:v>320</c:v>
                </c:pt>
                <c:pt idx="65" c:formatCode="0.000_ ">
                  <c:v>325</c:v>
                </c:pt>
                <c:pt idx="66" c:formatCode="0.000_ ">
                  <c:v>330</c:v>
                </c:pt>
                <c:pt idx="67" c:formatCode="0.000_ ">
                  <c:v>335</c:v>
                </c:pt>
                <c:pt idx="68" c:formatCode="0.000_ ">
                  <c:v>340</c:v>
                </c:pt>
                <c:pt idx="69" c:formatCode="0.000_ ">
                  <c:v>345</c:v>
                </c:pt>
                <c:pt idx="70" c:formatCode="0.000_ ">
                  <c:v>350</c:v>
                </c:pt>
                <c:pt idx="71" c:formatCode="0.000_ ">
                  <c:v>355</c:v>
                </c:pt>
                <c:pt idx="72" c:formatCode="0.000_ ">
                  <c:v>360</c:v>
                </c:pt>
                <c:pt idx="73" c:formatCode="0.000_ ">
                  <c:v>365</c:v>
                </c:pt>
                <c:pt idx="74" c:formatCode="0.000_ ">
                  <c:v>370</c:v>
                </c:pt>
                <c:pt idx="75" c:formatCode="0.000_ ">
                  <c:v>375</c:v>
                </c:pt>
                <c:pt idx="76" c:formatCode="0.000_ ">
                  <c:v>380</c:v>
                </c:pt>
                <c:pt idx="77" c:formatCode="0.000_ ">
                  <c:v>385</c:v>
                </c:pt>
                <c:pt idx="78" c:formatCode="0.000_ ">
                  <c:v>390</c:v>
                </c:pt>
                <c:pt idx="79" c:formatCode="0.000_ ">
                  <c:v>395</c:v>
                </c:pt>
                <c:pt idx="80" c:formatCode="0.000_ ">
                  <c:v>400</c:v>
                </c:pt>
                <c:pt idx="81" c:formatCode="0.000_ ">
                  <c:v>405</c:v>
                </c:pt>
                <c:pt idx="82" c:formatCode="0.000_ ">
                  <c:v>410</c:v>
                </c:pt>
                <c:pt idx="83" c:formatCode="0.000_ ">
                  <c:v>415</c:v>
                </c:pt>
                <c:pt idx="84" c:formatCode="0.000_ ">
                  <c:v>420</c:v>
                </c:pt>
                <c:pt idx="85" c:formatCode="0.000_ ">
                  <c:v>425</c:v>
                </c:pt>
                <c:pt idx="86" c:formatCode="0.000_ ">
                  <c:v>430</c:v>
                </c:pt>
                <c:pt idx="87" c:formatCode="0.000_ ">
                  <c:v>435</c:v>
                </c:pt>
                <c:pt idx="88" c:formatCode="0.000_ ">
                  <c:v>440</c:v>
                </c:pt>
                <c:pt idx="89" c:formatCode="0.000_ ">
                  <c:v>445</c:v>
                </c:pt>
                <c:pt idx="90" c:formatCode="0.000_ ">
                  <c:v>450</c:v>
                </c:pt>
                <c:pt idx="91" c:formatCode="0.000_ ">
                  <c:v>455</c:v>
                </c:pt>
                <c:pt idx="92" c:formatCode="0.000_ ">
                  <c:v>460</c:v>
                </c:pt>
                <c:pt idx="93" c:formatCode="0.000_ ">
                  <c:v>465</c:v>
                </c:pt>
                <c:pt idx="94" c:formatCode="0.000_ ">
                  <c:v>470</c:v>
                </c:pt>
                <c:pt idx="95" c:formatCode="0.000_ ">
                  <c:v>475</c:v>
                </c:pt>
                <c:pt idx="96" c:formatCode="0.000_ ">
                  <c:v>480</c:v>
                </c:pt>
                <c:pt idx="97" c:formatCode="0.000_ ">
                  <c:v>485</c:v>
                </c:pt>
                <c:pt idx="98" c:formatCode="0.000_ ">
                  <c:v>490</c:v>
                </c:pt>
                <c:pt idx="99" c:formatCode="0.000_ ">
                  <c:v>495</c:v>
                </c:pt>
                <c:pt idx="100" c:formatCode="0.000_ ">
                  <c:v>500</c:v>
                </c:pt>
                <c:pt idx="101" c:formatCode="0.000_ ">
                  <c:v>505</c:v>
                </c:pt>
                <c:pt idx="102" c:formatCode="0.000_ ">
                  <c:v>510</c:v>
                </c:pt>
                <c:pt idx="103" c:formatCode="0.000_ ">
                  <c:v>515</c:v>
                </c:pt>
                <c:pt idx="104" c:formatCode="0.000_ ">
                  <c:v>520</c:v>
                </c:pt>
                <c:pt idx="105" c:formatCode="0.000_ ">
                  <c:v>525</c:v>
                </c:pt>
                <c:pt idx="106" c:formatCode="0.000_ ">
                  <c:v>530</c:v>
                </c:pt>
                <c:pt idx="107" c:formatCode="0.000_ ">
                  <c:v>535</c:v>
                </c:pt>
                <c:pt idx="108" c:formatCode="0.000_ ">
                  <c:v>540</c:v>
                </c:pt>
                <c:pt idx="109" c:formatCode="0.000_ ">
                  <c:v>545</c:v>
                </c:pt>
                <c:pt idx="110" c:formatCode="0.000_ ">
                  <c:v>550</c:v>
                </c:pt>
                <c:pt idx="111" c:formatCode="0.000_ ">
                  <c:v>555</c:v>
                </c:pt>
                <c:pt idx="112" c:formatCode="0.000_ ">
                  <c:v>560</c:v>
                </c:pt>
              </c:numCache>
            </c:numRef>
          </c:cat>
          <c:val>
            <c:numRef>
              <c:f>'111.xls'!$C$9:$C$124</c:f>
              <c:numCache>
                <c:formatCode>0.000_ </c:formatCode>
                <c:ptCount val="116"/>
                <c:pt idx="0">
                  <c:v>2.12e-5</c:v>
                </c:pt>
                <c:pt idx="1">
                  <c:v>0.00567</c:v>
                </c:pt>
                <c:pt idx="2">
                  <c:v>2.77e-11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0</c:v>
                </c:pt>
                <c:pt idx="102" c:formatCode="0.00E+00">
                  <c:v>0</c:v>
                </c:pt>
                <c:pt idx="103" c:formatCode="0.00E+00">
                  <c:v>0</c:v>
                </c:pt>
                <c:pt idx="104" c:formatCode="0.00E+00">
                  <c:v>0</c:v>
                </c:pt>
                <c:pt idx="105" c:formatCode="0.00E+00">
                  <c:v>0</c:v>
                </c:pt>
                <c:pt idx="106" c:formatCode="0.00E+00">
                  <c:v>0</c:v>
                </c:pt>
                <c:pt idx="107" c:formatCode="0.00E+00">
                  <c:v>0</c:v>
                </c:pt>
                <c:pt idx="108" c:formatCode="0.00E+00">
                  <c:v>0</c:v>
                </c:pt>
                <c:pt idx="109" c:formatCode="0.00E+00">
                  <c:v>0</c:v>
                </c:pt>
                <c:pt idx="110" c:formatCode="0.00E+00">
                  <c:v>0</c:v>
                </c:pt>
                <c:pt idx="111" c:formatCode="0.00E+00">
                  <c:v>0</c:v>
                </c:pt>
                <c:pt idx="112" c:formatCode="0.00E+00">
                  <c:v>0</c:v>
                </c:pt>
              </c:numCache>
            </c:numRef>
          </c:val>
          <c:smooth val="1"/>
        </c:ser>
        <c:ser>
          <c:idx val="3"/>
          <c:order val="2"/>
          <c:tx>
            <c:strRef>
              <c:f>'111.xls'!$D$8</c:f>
              <c:strCache>
                <c:ptCount val="1"/>
                <c:pt idx="0">
                  <c:v>9125天         </c:v>
                </c:pt>
              </c:strCache>
            </c:strRef>
          </c:tx>
          <c:spPr>
            <a:ln w="28575" cap="rnd" cmpd="sng" algn="ctr">
              <a:solidFill>
                <a:schemeClr val="accent4"/>
              </a:solidFill>
              <a:prstDash val="solid"/>
              <a:round/>
            </a:ln>
            <a:effectLst/>
          </c:spPr>
          <c:marker>
            <c:symbol val="none"/>
          </c:marker>
          <c:dLbls>
            <c:delete val="1"/>
          </c:dLbls>
          <c:cat>
            <c:numRef>
              <c:f>'111.xls'!$A$9:$A$124</c:f>
              <c:numCache>
                <c:formatCode>0.000_ </c:formatCode>
                <c:ptCount val="116"/>
                <c:pt idx="0" c:formatCode="0.000_ ">
                  <c:v>0</c:v>
                </c:pt>
                <c:pt idx="1" c:formatCode="0.000_ ">
                  <c:v>5</c:v>
                </c:pt>
                <c:pt idx="2" c:formatCode="0.000_ ">
                  <c:v>10</c:v>
                </c:pt>
                <c:pt idx="3" c:formatCode="0.000_ ">
                  <c:v>15</c:v>
                </c:pt>
                <c:pt idx="4" c:formatCode="0.000_ ">
                  <c:v>20</c:v>
                </c:pt>
                <c:pt idx="5" c:formatCode="0.000_ ">
                  <c:v>25</c:v>
                </c:pt>
                <c:pt idx="6" c:formatCode="0.000_ ">
                  <c:v>30</c:v>
                </c:pt>
                <c:pt idx="7" c:formatCode="0.000_ ">
                  <c:v>35</c:v>
                </c:pt>
                <c:pt idx="8" c:formatCode="0.000_ ">
                  <c:v>40</c:v>
                </c:pt>
                <c:pt idx="9" c:formatCode="0.000_ ">
                  <c:v>45</c:v>
                </c:pt>
                <c:pt idx="10" c:formatCode="0.000_ ">
                  <c:v>50</c:v>
                </c:pt>
                <c:pt idx="11" c:formatCode="0.000_ ">
                  <c:v>55</c:v>
                </c:pt>
                <c:pt idx="12" c:formatCode="0.000_ ">
                  <c:v>60</c:v>
                </c:pt>
                <c:pt idx="13" c:formatCode="0.000_ ">
                  <c:v>65</c:v>
                </c:pt>
                <c:pt idx="14" c:formatCode="0.000_ ">
                  <c:v>70</c:v>
                </c:pt>
                <c:pt idx="15" c:formatCode="0.000_ ">
                  <c:v>75</c:v>
                </c:pt>
                <c:pt idx="16" c:formatCode="0.000_ ">
                  <c:v>80</c:v>
                </c:pt>
                <c:pt idx="17" c:formatCode="0.000_ ">
                  <c:v>85</c:v>
                </c:pt>
                <c:pt idx="18" c:formatCode="0.000_ ">
                  <c:v>90</c:v>
                </c:pt>
                <c:pt idx="19" c:formatCode="0.000_ ">
                  <c:v>95</c:v>
                </c:pt>
                <c:pt idx="20" c:formatCode="0.000_ ">
                  <c:v>100</c:v>
                </c:pt>
                <c:pt idx="21" c:formatCode="0.000_ ">
                  <c:v>105</c:v>
                </c:pt>
                <c:pt idx="22" c:formatCode="0.000_ ">
                  <c:v>110</c:v>
                </c:pt>
                <c:pt idx="23" c:formatCode="0.000_ ">
                  <c:v>115</c:v>
                </c:pt>
                <c:pt idx="24" c:formatCode="0.000_ ">
                  <c:v>120</c:v>
                </c:pt>
                <c:pt idx="25" c:formatCode="0.000_ ">
                  <c:v>125</c:v>
                </c:pt>
                <c:pt idx="26" c:formatCode="0.000_ ">
                  <c:v>130</c:v>
                </c:pt>
                <c:pt idx="27" c:formatCode="0.000_ ">
                  <c:v>135</c:v>
                </c:pt>
                <c:pt idx="28" c:formatCode="0.000_ ">
                  <c:v>140</c:v>
                </c:pt>
                <c:pt idx="29" c:formatCode="0.000_ ">
                  <c:v>145</c:v>
                </c:pt>
                <c:pt idx="30" c:formatCode="0.000_ ">
                  <c:v>150</c:v>
                </c:pt>
                <c:pt idx="31" c:formatCode="0.000_ ">
                  <c:v>155</c:v>
                </c:pt>
                <c:pt idx="32" c:formatCode="0.000_ ">
                  <c:v>160</c:v>
                </c:pt>
                <c:pt idx="33" c:formatCode="0.000_ ">
                  <c:v>165</c:v>
                </c:pt>
                <c:pt idx="34" c:formatCode="0.000_ ">
                  <c:v>170</c:v>
                </c:pt>
                <c:pt idx="35" c:formatCode="0.000_ ">
                  <c:v>175</c:v>
                </c:pt>
                <c:pt idx="36" c:formatCode="0.000_ ">
                  <c:v>180</c:v>
                </c:pt>
                <c:pt idx="37" c:formatCode="0.000_ ">
                  <c:v>185</c:v>
                </c:pt>
                <c:pt idx="38" c:formatCode="0.000_ ">
                  <c:v>190</c:v>
                </c:pt>
                <c:pt idx="39" c:formatCode="0.000_ ">
                  <c:v>195</c:v>
                </c:pt>
                <c:pt idx="40" c:formatCode="0.000_ ">
                  <c:v>200</c:v>
                </c:pt>
                <c:pt idx="41" c:formatCode="0.000_ ">
                  <c:v>205</c:v>
                </c:pt>
                <c:pt idx="42" c:formatCode="0.000_ ">
                  <c:v>210</c:v>
                </c:pt>
                <c:pt idx="43" c:formatCode="0.000_ ">
                  <c:v>215</c:v>
                </c:pt>
                <c:pt idx="44" c:formatCode="0.000_ ">
                  <c:v>220</c:v>
                </c:pt>
                <c:pt idx="45" c:formatCode="0.000_ ">
                  <c:v>225</c:v>
                </c:pt>
                <c:pt idx="46" c:formatCode="0.000_ ">
                  <c:v>230</c:v>
                </c:pt>
                <c:pt idx="47" c:formatCode="0.000_ ">
                  <c:v>235</c:v>
                </c:pt>
                <c:pt idx="48" c:formatCode="0.000_ ">
                  <c:v>240</c:v>
                </c:pt>
                <c:pt idx="49" c:formatCode="0.000_ ">
                  <c:v>245</c:v>
                </c:pt>
                <c:pt idx="50" c:formatCode="0.000_ ">
                  <c:v>250</c:v>
                </c:pt>
                <c:pt idx="51" c:formatCode="0.000_ ">
                  <c:v>255</c:v>
                </c:pt>
                <c:pt idx="52" c:formatCode="0.000_ ">
                  <c:v>260</c:v>
                </c:pt>
                <c:pt idx="53" c:formatCode="0.000_ ">
                  <c:v>265</c:v>
                </c:pt>
                <c:pt idx="54" c:formatCode="0.000_ ">
                  <c:v>270</c:v>
                </c:pt>
                <c:pt idx="55" c:formatCode="0.000_ ">
                  <c:v>275</c:v>
                </c:pt>
                <c:pt idx="56" c:formatCode="0.000_ ">
                  <c:v>280</c:v>
                </c:pt>
                <c:pt idx="57" c:formatCode="0.000_ ">
                  <c:v>285</c:v>
                </c:pt>
                <c:pt idx="58" c:formatCode="0.000_ ">
                  <c:v>290</c:v>
                </c:pt>
                <c:pt idx="59" c:formatCode="0.000_ ">
                  <c:v>295</c:v>
                </c:pt>
                <c:pt idx="60" c:formatCode="0.000_ ">
                  <c:v>300</c:v>
                </c:pt>
                <c:pt idx="61" c:formatCode="0.000_ ">
                  <c:v>305</c:v>
                </c:pt>
                <c:pt idx="62" c:formatCode="0.000_ ">
                  <c:v>310</c:v>
                </c:pt>
                <c:pt idx="63" c:formatCode="0.000_ ">
                  <c:v>315</c:v>
                </c:pt>
                <c:pt idx="64" c:formatCode="0.000_ ">
                  <c:v>320</c:v>
                </c:pt>
                <c:pt idx="65" c:formatCode="0.000_ ">
                  <c:v>325</c:v>
                </c:pt>
                <c:pt idx="66" c:formatCode="0.000_ ">
                  <c:v>330</c:v>
                </c:pt>
                <c:pt idx="67" c:formatCode="0.000_ ">
                  <c:v>335</c:v>
                </c:pt>
                <c:pt idx="68" c:formatCode="0.000_ ">
                  <c:v>340</c:v>
                </c:pt>
                <c:pt idx="69" c:formatCode="0.000_ ">
                  <c:v>345</c:v>
                </c:pt>
                <c:pt idx="70" c:formatCode="0.000_ ">
                  <c:v>350</c:v>
                </c:pt>
                <c:pt idx="71" c:formatCode="0.000_ ">
                  <c:v>355</c:v>
                </c:pt>
                <c:pt idx="72" c:formatCode="0.000_ ">
                  <c:v>360</c:v>
                </c:pt>
                <c:pt idx="73" c:formatCode="0.000_ ">
                  <c:v>365</c:v>
                </c:pt>
                <c:pt idx="74" c:formatCode="0.000_ ">
                  <c:v>370</c:v>
                </c:pt>
                <c:pt idx="75" c:formatCode="0.000_ ">
                  <c:v>375</c:v>
                </c:pt>
                <c:pt idx="76" c:formatCode="0.000_ ">
                  <c:v>380</c:v>
                </c:pt>
                <c:pt idx="77" c:formatCode="0.000_ ">
                  <c:v>385</c:v>
                </c:pt>
                <c:pt idx="78" c:formatCode="0.000_ ">
                  <c:v>390</c:v>
                </c:pt>
                <c:pt idx="79" c:formatCode="0.000_ ">
                  <c:v>395</c:v>
                </c:pt>
                <c:pt idx="80" c:formatCode="0.000_ ">
                  <c:v>400</c:v>
                </c:pt>
                <c:pt idx="81" c:formatCode="0.000_ ">
                  <c:v>405</c:v>
                </c:pt>
                <c:pt idx="82" c:formatCode="0.000_ ">
                  <c:v>410</c:v>
                </c:pt>
                <c:pt idx="83" c:formatCode="0.000_ ">
                  <c:v>415</c:v>
                </c:pt>
                <c:pt idx="84" c:formatCode="0.000_ ">
                  <c:v>420</c:v>
                </c:pt>
                <c:pt idx="85" c:formatCode="0.000_ ">
                  <c:v>425</c:v>
                </c:pt>
                <c:pt idx="86" c:formatCode="0.000_ ">
                  <c:v>430</c:v>
                </c:pt>
                <c:pt idx="87" c:formatCode="0.000_ ">
                  <c:v>435</c:v>
                </c:pt>
                <c:pt idx="88" c:formatCode="0.000_ ">
                  <c:v>440</c:v>
                </c:pt>
                <c:pt idx="89" c:formatCode="0.000_ ">
                  <c:v>445</c:v>
                </c:pt>
                <c:pt idx="90" c:formatCode="0.000_ ">
                  <c:v>450</c:v>
                </c:pt>
                <c:pt idx="91" c:formatCode="0.000_ ">
                  <c:v>455</c:v>
                </c:pt>
                <c:pt idx="92" c:formatCode="0.000_ ">
                  <c:v>460</c:v>
                </c:pt>
                <c:pt idx="93" c:formatCode="0.000_ ">
                  <c:v>465</c:v>
                </c:pt>
                <c:pt idx="94" c:formatCode="0.000_ ">
                  <c:v>470</c:v>
                </c:pt>
                <c:pt idx="95" c:formatCode="0.000_ ">
                  <c:v>475</c:v>
                </c:pt>
                <c:pt idx="96" c:formatCode="0.000_ ">
                  <c:v>480</c:v>
                </c:pt>
                <c:pt idx="97" c:formatCode="0.000_ ">
                  <c:v>485</c:v>
                </c:pt>
                <c:pt idx="98" c:formatCode="0.000_ ">
                  <c:v>490</c:v>
                </c:pt>
                <c:pt idx="99" c:formatCode="0.000_ ">
                  <c:v>495</c:v>
                </c:pt>
                <c:pt idx="100" c:formatCode="0.000_ ">
                  <c:v>500</c:v>
                </c:pt>
                <c:pt idx="101" c:formatCode="0.000_ ">
                  <c:v>505</c:v>
                </c:pt>
                <c:pt idx="102" c:formatCode="0.000_ ">
                  <c:v>510</c:v>
                </c:pt>
                <c:pt idx="103" c:formatCode="0.000_ ">
                  <c:v>515</c:v>
                </c:pt>
                <c:pt idx="104" c:formatCode="0.000_ ">
                  <c:v>520</c:v>
                </c:pt>
                <c:pt idx="105" c:formatCode="0.000_ ">
                  <c:v>525</c:v>
                </c:pt>
                <c:pt idx="106" c:formatCode="0.000_ ">
                  <c:v>530</c:v>
                </c:pt>
                <c:pt idx="107" c:formatCode="0.000_ ">
                  <c:v>535</c:v>
                </c:pt>
                <c:pt idx="108" c:formatCode="0.000_ ">
                  <c:v>540</c:v>
                </c:pt>
                <c:pt idx="109" c:formatCode="0.000_ ">
                  <c:v>545</c:v>
                </c:pt>
                <c:pt idx="110" c:formatCode="0.000_ ">
                  <c:v>550</c:v>
                </c:pt>
                <c:pt idx="111" c:formatCode="0.000_ ">
                  <c:v>555</c:v>
                </c:pt>
                <c:pt idx="112" c:formatCode="0.000_ ">
                  <c:v>560</c:v>
                </c:pt>
              </c:numCache>
            </c:numRef>
          </c:cat>
          <c:val>
            <c:numRef>
              <c:f>'111.xls'!$D$9:$D$124</c:f>
              <c:numCache>
                <c:formatCode>0.000_ </c:formatCode>
                <c:ptCount val="116"/>
                <c:pt idx="0">
                  <c:v>0</c:v>
                </c:pt>
                <c:pt idx="1">
                  <c:v>0</c:v>
                </c:pt>
                <c:pt idx="2">
                  <c:v>3.37e-14</c:v>
                </c:pt>
                <c:pt idx="3">
                  <c:v>9.83e-10</c:v>
                </c:pt>
                <c:pt idx="4">
                  <c:v>2.19e-6</c:v>
                </c:pt>
                <c:pt idx="5">
                  <c:v>0.000346</c:v>
                </c:pt>
                <c:pt idx="6">
                  <c:v>0.00386</c:v>
                </c:pt>
                <c:pt idx="7">
                  <c:v>0.00304</c:v>
                </c:pt>
                <c:pt idx="8">
                  <c:v>0.00017</c:v>
                </c:pt>
                <c:pt idx="9">
                  <c:v>6.71e-7</c:v>
                </c:pt>
                <c:pt idx="10">
                  <c:v>1.89e-10</c:v>
                </c:pt>
                <c:pt idx="11">
                  <c:v>4.03e-15</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4.49e-38</c:v>
                </c:pt>
                <c:pt idx="102" c:formatCode="0.00E+00">
                  <c:v>8.22e-39</c:v>
                </c:pt>
                <c:pt idx="103" c:formatCode="0.00E+00">
                  <c:v>1.48e-39</c:v>
                </c:pt>
                <c:pt idx="104" c:formatCode="0.00E+00">
                  <c:v>2.61e-40</c:v>
                </c:pt>
                <c:pt idx="105" c:formatCode="0.00E+00">
                  <c:v>4.53e-41</c:v>
                </c:pt>
                <c:pt idx="106" c:formatCode="0.00E+00">
                  <c:v>7.72e-42</c:v>
                </c:pt>
                <c:pt idx="107" c:formatCode="0.00E+00">
                  <c:v>1.29e-42</c:v>
                </c:pt>
                <c:pt idx="108" c:formatCode="0.00E+00">
                  <c:v>2.12e-43</c:v>
                </c:pt>
                <c:pt idx="109" c:formatCode="0.00E+00">
                  <c:v>3.36e-44</c:v>
                </c:pt>
                <c:pt idx="110" c:formatCode="0.00E+00">
                  <c:v>5.61e-45</c:v>
                </c:pt>
                <c:pt idx="111" c:formatCode="0.00E+00">
                  <c:v>1.4e-45</c:v>
                </c:pt>
                <c:pt idx="112" c:formatCode="0.00E+00">
                  <c:v>0</c:v>
                </c:pt>
              </c:numCache>
            </c:numRef>
          </c:val>
          <c:smooth val="1"/>
        </c:ser>
        <c:dLbls>
          <c:showLegendKey val="0"/>
          <c:showVal val="0"/>
          <c:showCatName val="0"/>
          <c:showSerName val="0"/>
          <c:showPercent val="0"/>
          <c:showBubbleSize val="0"/>
        </c:dLbls>
        <c:marker val="0"/>
        <c:smooth val="1"/>
        <c:axId val="395341914"/>
        <c:axId val="405607220"/>
      </c:lineChart>
      <c:catAx>
        <c:axId val="39534191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sz="1000" b="0" i="0" u="none" strike="noStrike" kern="1200" baseline="0">
                    <a:solidFill>
                      <a:schemeClr val="tx1">
                        <a:lumMod val="65000"/>
                        <a:lumOff val="35000"/>
                      </a:schemeClr>
                    </a:solidFill>
                    <a:latin typeface="+mn-lt"/>
                    <a:ea typeface="+mn-ea"/>
                    <a:cs typeface="+mn-cs"/>
                  </a:rPr>
                  <a:t>迁移距离</a:t>
                </a:r>
                <a:endParaRPr lang="zh-CN" sz="1000" b="0" i="0" u="none" strike="noStrike" kern="1200" baseline="0">
                  <a:solidFill>
                    <a:schemeClr val="tx1">
                      <a:lumMod val="65000"/>
                      <a:lumOff val="35000"/>
                    </a:schemeClr>
                  </a:solidFill>
                  <a:latin typeface="+mn-lt"/>
                  <a:ea typeface="+mn-ea"/>
                  <a:cs typeface="+mn-cs"/>
                </a:endParaRPr>
              </a:p>
            </c:rich>
          </c:tx>
          <c:layout/>
          <c:overlay val="0"/>
          <c:spPr>
            <a:noFill/>
            <a:ln>
              <a:noFill/>
            </a:ln>
            <a:effectLst/>
          </c:spPr>
        </c:title>
        <c:numFmt formatCode="0_);[Red]\(0\)"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5607220"/>
        <c:crosses val="autoZero"/>
        <c:auto val="1"/>
        <c:lblAlgn val="ctr"/>
        <c:lblOffset val="100"/>
        <c:tickLblSkip val="20"/>
        <c:tickMarkSkip val="100"/>
        <c:noMultiLvlLbl val="0"/>
      </c:catAx>
      <c:valAx>
        <c:axId val="4056072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sz="1000" b="0" i="0" u="none" strike="noStrike" kern="1200" baseline="0">
                    <a:solidFill>
                      <a:schemeClr val="tx1">
                        <a:lumMod val="65000"/>
                        <a:lumOff val="35000"/>
                      </a:schemeClr>
                    </a:solidFill>
                    <a:latin typeface="+mn-lt"/>
                    <a:ea typeface="+mn-ea"/>
                    <a:cs typeface="+mn-cs"/>
                  </a:rPr>
                  <a:t>浓度</a:t>
                </a:r>
                <a:endParaRPr lang="zh-CN" sz="1000" b="0" i="0" u="none" strike="noStrike" kern="1200" baseline="0">
                  <a:solidFill>
                    <a:schemeClr val="tx1">
                      <a:lumMod val="65000"/>
                      <a:lumOff val="35000"/>
                    </a:schemeClr>
                  </a:solidFill>
                  <a:latin typeface="+mn-lt"/>
                  <a:ea typeface="+mn-ea"/>
                  <a:cs typeface="+mn-cs"/>
                </a:endParaRPr>
              </a:p>
            </c:rich>
          </c:tx>
          <c:layout/>
          <c:overlay val="0"/>
          <c:spPr>
            <a:noFill/>
            <a:ln>
              <a:noFill/>
            </a:ln>
            <a:effectLst/>
          </c:spPr>
        </c:title>
        <c:numFmt formatCode="0.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5341914"/>
        <c:crosses val="autoZero"/>
        <c:crossBetween val="midCat"/>
      </c:valAx>
      <c:spPr>
        <a:noFill/>
        <a:ln>
          <a:noFill/>
        </a:ln>
        <a:effectLst/>
      </c:spPr>
    </c:plotArea>
    <c:legend>
      <c:legendPos val="b"/>
      <c:layout>
        <c:manualLayout>
          <c:xMode val="edge"/>
          <c:yMode val="edge"/>
          <c:x val="0.28725"/>
          <c:y val="0.8945"/>
          <c:w val="0.42525"/>
          <c:h val="0.07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6dc770b-4d5e-44bb-87fe-462e8441d03d}"/>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'111.xls'!$B$8</c:f>
              <c:strCache>
                <c:ptCount val="1"/>
                <c:pt idx="0">
                  <c:v>100天         </c:v>
                </c:pt>
              </c:strCache>
            </c:strRef>
          </c:tx>
          <c:spPr>
            <a:ln w="28575" cap="rnd" cmpd="sng" algn="ctr">
              <a:solidFill>
                <a:schemeClr val="accent2"/>
              </a:solidFill>
              <a:prstDash val="solid"/>
              <a:round/>
            </a:ln>
            <a:effectLst/>
          </c:spPr>
          <c:marker>
            <c:symbol val="none"/>
          </c:marker>
          <c:dLbls>
            <c:delete val="1"/>
          </c:dLbls>
          <c:cat>
            <c:numRef>
              <c:f>'111.xls'!$A$9:$A$124</c:f>
              <c:numCache>
                <c:formatCode>General</c:formatCode>
                <c:ptCount val="1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numCache>
            </c:numRef>
          </c:cat>
          <c:val>
            <c:numRef>
              <c:f>'111.xls'!$B$9:$B$124</c:f>
              <c:numCache>
                <c:formatCode>General</c:formatCode>
                <c:ptCount val="116"/>
                <c:pt idx="0">
                  <c:v>0.000539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0</c:v>
                </c:pt>
                <c:pt idx="102" c:formatCode="0.00E+00">
                  <c:v>0</c:v>
                </c:pt>
                <c:pt idx="103" c:formatCode="0.00E+00">
                  <c:v>0</c:v>
                </c:pt>
                <c:pt idx="104" c:formatCode="0.00E+00">
                  <c:v>0</c:v>
                </c:pt>
                <c:pt idx="105" c:formatCode="0.00E+00">
                  <c:v>0</c:v>
                </c:pt>
                <c:pt idx="106" c:formatCode="0.00E+00">
                  <c:v>0</c:v>
                </c:pt>
                <c:pt idx="107" c:formatCode="0.00E+00">
                  <c:v>0</c:v>
                </c:pt>
                <c:pt idx="108" c:formatCode="0.00E+00">
                  <c:v>0</c:v>
                </c:pt>
                <c:pt idx="109" c:formatCode="0.00E+00">
                  <c:v>0</c:v>
                </c:pt>
                <c:pt idx="110" c:formatCode="0.00E+00">
                  <c:v>0</c:v>
                </c:pt>
                <c:pt idx="111" c:formatCode="0.00E+00">
                  <c:v>0</c:v>
                </c:pt>
                <c:pt idx="112" c:formatCode="0.00E+00">
                  <c:v>0</c:v>
                </c:pt>
              </c:numCache>
            </c:numRef>
          </c:val>
          <c:smooth val="1"/>
        </c:ser>
        <c:ser>
          <c:idx val="2"/>
          <c:order val="1"/>
          <c:tx>
            <c:strRef>
              <c:f>'111.xls'!$C$8</c:f>
              <c:strCache>
                <c:ptCount val="1"/>
                <c:pt idx="0">
                  <c:v>1000天         </c:v>
                </c:pt>
              </c:strCache>
            </c:strRef>
          </c:tx>
          <c:spPr>
            <a:ln w="28575" cap="rnd" cmpd="sng" algn="ctr">
              <a:solidFill>
                <a:schemeClr val="accent3"/>
              </a:solidFill>
              <a:prstDash val="solid"/>
              <a:round/>
            </a:ln>
            <a:effectLst/>
          </c:spPr>
          <c:marker>
            <c:symbol val="none"/>
          </c:marker>
          <c:dLbls>
            <c:delete val="1"/>
          </c:dLbls>
          <c:cat>
            <c:numRef>
              <c:f>'111.xls'!$A$9:$A$124</c:f>
              <c:numCache>
                <c:formatCode>General</c:formatCode>
                <c:ptCount val="1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numCache>
            </c:numRef>
          </c:cat>
          <c:val>
            <c:numRef>
              <c:f>'111.xls'!$C$9:$C$124</c:f>
              <c:numCache>
                <c:formatCode>General</c:formatCode>
                <c:ptCount val="116"/>
                <c:pt idx="0">
                  <c:v>8.01e-7</c:v>
                </c:pt>
                <c:pt idx="1">
                  <c:v>0.000214</c:v>
                </c:pt>
                <c:pt idx="2">
                  <c:v>1.05e-12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0</c:v>
                </c:pt>
                <c:pt idx="102" c:formatCode="0.00E+00">
                  <c:v>0</c:v>
                </c:pt>
                <c:pt idx="103" c:formatCode="0.00E+00">
                  <c:v>0</c:v>
                </c:pt>
                <c:pt idx="104" c:formatCode="0.00E+00">
                  <c:v>0</c:v>
                </c:pt>
                <c:pt idx="105" c:formatCode="0.00E+00">
                  <c:v>0</c:v>
                </c:pt>
                <c:pt idx="106" c:formatCode="0.00E+00">
                  <c:v>0</c:v>
                </c:pt>
                <c:pt idx="107" c:formatCode="0.00E+00">
                  <c:v>0</c:v>
                </c:pt>
                <c:pt idx="108" c:formatCode="0.00E+00">
                  <c:v>0</c:v>
                </c:pt>
                <c:pt idx="109" c:formatCode="0.00E+00">
                  <c:v>0</c:v>
                </c:pt>
                <c:pt idx="110" c:formatCode="0.00E+00">
                  <c:v>0</c:v>
                </c:pt>
                <c:pt idx="111" c:formatCode="0.00E+00">
                  <c:v>0</c:v>
                </c:pt>
                <c:pt idx="112" c:formatCode="0.00E+00">
                  <c:v>0</c:v>
                </c:pt>
              </c:numCache>
            </c:numRef>
          </c:val>
          <c:smooth val="1"/>
        </c:ser>
        <c:ser>
          <c:idx val="3"/>
          <c:order val="2"/>
          <c:tx>
            <c:strRef>
              <c:f>'111.xls'!$D$8</c:f>
              <c:strCache>
                <c:ptCount val="1"/>
                <c:pt idx="0">
                  <c:v>9125天         </c:v>
                </c:pt>
              </c:strCache>
            </c:strRef>
          </c:tx>
          <c:spPr>
            <a:ln w="28575" cap="rnd" cmpd="sng" algn="ctr">
              <a:solidFill>
                <a:schemeClr val="accent4"/>
              </a:solidFill>
              <a:prstDash val="solid"/>
              <a:round/>
            </a:ln>
            <a:effectLst/>
          </c:spPr>
          <c:marker>
            <c:symbol val="none"/>
          </c:marker>
          <c:dLbls>
            <c:delete val="1"/>
          </c:dLbls>
          <c:cat>
            <c:numRef>
              <c:f>'111.xls'!$A$9:$A$124</c:f>
              <c:numCache>
                <c:formatCode>General</c:formatCode>
                <c:ptCount val="11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numCache>
            </c:numRef>
          </c:cat>
          <c:val>
            <c:numRef>
              <c:f>'111.xls'!$D$9:$D$124</c:f>
              <c:numCache>
                <c:formatCode>General</c:formatCode>
                <c:ptCount val="116"/>
                <c:pt idx="0">
                  <c:v>0</c:v>
                </c:pt>
                <c:pt idx="1">
                  <c:v>0</c:v>
                </c:pt>
                <c:pt idx="2">
                  <c:v>1.27e-15</c:v>
                </c:pt>
                <c:pt idx="3">
                  <c:v>3.71e-11</c:v>
                </c:pt>
                <c:pt idx="4">
                  <c:v>8.28e-8</c:v>
                </c:pt>
                <c:pt idx="5">
                  <c:v>1.31e-5</c:v>
                </c:pt>
                <c:pt idx="6">
                  <c:v>0.000145</c:v>
                </c:pt>
                <c:pt idx="7">
                  <c:v>0.000115</c:v>
                </c:pt>
                <c:pt idx="8">
                  <c:v>6.4e-6</c:v>
                </c:pt>
                <c:pt idx="9">
                  <c:v>2.53e-8</c:v>
                </c:pt>
                <c:pt idx="10">
                  <c:v>7.12e-12</c:v>
                </c:pt>
                <c:pt idx="11">
                  <c:v>1.52e-16</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formatCode="0.00E+00">
                  <c:v>4.49e-38</c:v>
                </c:pt>
                <c:pt idx="102" c:formatCode="0.00E+00">
                  <c:v>8.22e-39</c:v>
                </c:pt>
                <c:pt idx="103" c:formatCode="0.00E+00">
                  <c:v>1.48e-39</c:v>
                </c:pt>
                <c:pt idx="104" c:formatCode="0.00E+00">
                  <c:v>2.61e-40</c:v>
                </c:pt>
                <c:pt idx="105" c:formatCode="0.00E+00">
                  <c:v>4.53e-41</c:v>
                </c:pt>
                <c:pt idx="106" c:formatCode="0.00E+00">
                  <c:v>7.72e-42</c:v>
                </c:pt>
                <c:pt idx="107" c:formatCode="0.00E+00">
                  <c:v>1.29e-42</c:v>
                </c:pt>
                <c:pt idx="108" c:formatCode="0.00E+00">
                  <c:v>2.12e-43</c:v>
                </c:pt>
                <c:pt idx="109" c:formatCode="0.00E+00">
                  <c:v>3.36e-44</c:v>
                </c:pt>
                <c:pt idx="110" c:formatCode="0.00E+00">
                  <c:v>5.61e-45</c:v>
                </c:pt>
                <c:pt idx="111" c:formatCode="0.00E+00">
                  <c:v>1.4e-45</c:v>
                </c:pt>
                <c:pt idx="112" c:formatCode="0.00E+00">
                  <c:v>0</c:v>
                </c:pt>
              </c:numCache>
            </c:numRef>
          </c:val>
          <c:smooth val="1"/>
        </c:ser>
        <c:dLbls>
          <c:showLegendKey val="0"/>
          <c:showVal val="0"/>
          <c:showCatName val="0"/>
          <c:showSerName val="0"/>
          <c:showPercent val="0"/>
          <c:showBubbleSize val="0"/>
        </c:dLbls>
        <c:marker val="0"/>
        <c:smooth val="1"/>
        <c:axId val="395341914"/>
        <c:axId val="405607220"/>
      </c:lineChart>
      <c:catAx>
        <c:axId val="39534191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sz="1000" b="0" i="0" u="none" strike="noStrike" kern="1200" baseline="0">
                    <a:solidFill>
                      <a:schemeClr val="tx1">
                        <a:lumMod val="65000"/>
                        <a:lumOff val="35000"/>
                      </a:schemeClr>
                    </a:solidFill>
                    <a:latin typeface="+mn-lt"/>
                    <a:ea typeface="+mn-ea"/>
                    <a:cs typeface="+mn-cs"/>
                  </a:rPr>
                  <a:t>迁移距离</a:t>
                </a:r>
                <a:endParaRPr lang="zh-CN" sz="1000" b="0" i="0" u="none" strike="noStrike" kern="1200" baseline="0">
                  <a:solidFill>
                    <a:schemeClr val="tx1">
                      <a:lumMod val="65000"/>
                      <a:lumOff val="35000"/>
                    </a:schemeClr>
                  </a:solidFill>
                  <a:latin typeface="+mn-lt"/>
                  <a:ea typeface="+mn-ea"/>
                  <a:cs typeface="+mn-cs"/>
                </a:endParaRPr>
              </a:p>
            </c:rich>
          </c:tx>
          <c:layout/>
          <c:overlay val="0"/>
          <c:spPr>
            <a:noFill/>
            <a:ln>
              <a:noFill/>
            </a:ln>
            <a:effectLst/>
          </c:spPr>
        </c:title>
        <c:numFmt formatCode="0_);[Red]\(0\)"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5607220"/>
        <c:crosses val="autoZero"/>
        <c:auto val="1"/>
        <c:lblAlgn val="ctr"/>
        <c:lblOffset val="100"/>
        <c:tickLblSkip val="20"/>
        <c:tickMarkSkip val="100"/>
        <c:noMultiLvlLbl val="0"/>
      </c:catAx>
      <c:valAx>
        <c:axId val="4056072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sz="1000" b="0" i="0" u="none" strike="noStrike" kern="1200" baseline="0">
                    <a:solidFill>
                      <a:schemeClr val="tx1">
                        <a:lumMod val="65000"/>
                        <a:lumOff val="35000"/>
                      </a:schemeClr>
                    </a:solidFill>
                    <a:latin typeface="+mn-lt"/>
                    <a:ea typeface="+mn-ea"/>
                    <a:cs typeface="+mn-cs"/>
                  </a:rPr>
                  <a:t>浓度</a:t>
                </a:r>
                <a:endParaRPr lang="zh-CN" sz="1000" b="0" i="0" u="none" strike="noStrike" kern="1200" baseline="0">
                  <a:solidFill>
                    <a:schemeClr val="tx1">
                      <a:lumMod val="65000"/>
                      <a:lumOff val="35000"/>
                    </a:schemeClr>
                  </a:solidFill>
                  <a:latin typeface="+mn-lt"/>
                  <a:ea typeface="+mn-ea"/>
                  <a:cs typeface="+mn-cs"/>
                </a:endParaRPr>
              </a:p>
            </c:rich>
          </c:tx>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5341914"/>
        <c:crosses val="autoZero"/>
        <c:crossBetween val="midCat"/>
      </c:valAx>
      <c:spPr>
        <a:noFill/>
        <a:ln>
          <a:noFill/>
        </a:ln>
        <a:effectLst/>
      </c:spPr>
    </c:plotArea>
    <c:legend>
      <c:legendPos val="b"/>
      <c:layout>
        <c:manualLayout>
          <c:xMode val="edge"/>
          <c:yMode val="edge"/>
          <c:x val="0.28725"/>
          <c:y val="0.8945"/>
          <c:w val="0.42525"/>
          <c:h val="0.07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e1e14fd-4576-4df3-8114-94335f0e8763}"/>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98"/>
    <customShpInfo spid="_x0000_s2099"/>
  </customShpExts>
</s:customData>
</file>

<file path=customXml/item2.xml><?xml version="1.0" encoding="utf-8"?>
<contractReview xmlns="http://schemas.wps.cn/vas-ai-hub/contract-review">
  <reviewItems>
    <reviewItem>
      <errorID>483ef998-3599-44f9-b53b-e58e87ace5d0</errorID>
      <errorWord>~</errorWord>
      <group>L1_Format</group>
      <groupName>格式问题</groupName>
      <ability>L2_HalfPunc</ability>
      <abilityName>全半角检查</abilityName>
      <candidateList>
        <item>～</item>
      </candidateList>
      <explain>文本全半角错误。</explain>
      <paraID>40492470</paraID>
      <start>508</start>
      <end>509</end>
      <status>unmodified</status>
      <modifiedWord/>
      <trackRevisions>false</trackRevisions>
    </reviewItem>
    <reviewItem>
      <errorID>8f0e3b5a-2ee6-464c-bfb0-069b0443edd7</errorID>
      <errorWord>2026年03月13日</errorWord>
      <group>L1_Knowledge</group>
      <groupName>知识性问题</groupName>
      <ability>L2_Time</ability>
      <abilityName>日期时间</abilityName>
      <candidateList>
        <item>2026年3月13日</item>
      </candidateList>
      <explain>根据日常书写习惯，月份一般会省略前导零。</explain>
      <paraID>40492470</paraID>
      <start>519</start>
      <end>530</end>
      <status>unmodified</status>
      <modifiedWord/>
      <trackRevisions>false</trackRevisions>
    </reviewItem>
    <reviewItem>
      <errorID>9fdd9009-c9a0-4120-b297-fa570ed953c5</errorID>
      <errorWord>2040年08月13日</errorWord>
      <group>L1_Knowledge</group>
      <groupName>知识性问题</groupName>
      <ability>L2_Time</ability>
      <abilityName>日期时间</abilityName>
      <candidateList>
        <item>2040年8月13日</item>
      </candidateList>
      <explain>根据日常书写习惯，月份一般会省略前导零。</explain>
      <paraID>40492470</paraID>
      <start>531</start>
      <end>542</end>
      <status>unmodified</status>
      <modifiedWord/>
      <trackRevisions>false</trackRevisions>
    </reviewItem>
    <reviewItem>
      <errorID>0291a927-7d2f-4489-b6d9-4b5b648feb5e</errorID>
      <errorWord>东南144 方位</errorWord>
      <group>L1_Grammar</group>
      <groupName>语法问题</groupName>
      <ability>L2_Grammar</ability>
      <abilityName>语法错误</abilityName>
      <candidateList>
        <item>东南</item>
      </candidateList>
      <explain/>
      <paraID>5E0DBFF4</paraID>
      <start>40</start>
      <end>48</end>
      <status>unmodified</status>
      <modifiedWord/>
      <trackRevisions>false</trackRevisions>
    </reviewItem>
    <reviewItem>
      <errorID>74f317e0-d5d6-4923-aa78-4b0d9de5f89e</errorID>
      <errorWord>。</errorWord>
      <group>L1_Grammar</group>
      <groupName>语法问题</groupName>
      <ability>L2_Grammar</ability>
      <abilityName>语法错误</abilityName>
      <candidateList>
        <item>的存储需求。</item>
      </candidateList>
      <explain/>
      <paraID>54756BC9</paraID>
      <start>165</start>
      <end>166</end>
      <status>unmodified</status>
      <modifiedWord/>
      <trackRevisions>false</trackRevisions>
    </reviewItem>
    <reviewItem>
      <errorID>f28232fc-d258-49cd-808e-df625d3897d0</errorID>
      <errorWord>万m2</errorWord>
      <group>L1_Word</group>
      <groupName>字词问题</groupName>
      <ability>L2_Typo</ability>
      <abilityName>字词错误</abilityName>
      <candidateList>
        <item>万平方米</item>
      </candidateList>
      <explain/>
      <paraID>57751F67</paraID>
      <start>27</start>
      <end>30</end>
      <status>unmodified</status>
      <modifiedWord/>
      <trackRevisions>false</trackRevisions>
    </reviewItem>
    <reviewItem>
      <errorID>ee897a9c-2605-4a03-bfab-42d04f756506</errorID>
      <errorWord>万m3</errorWord>
      <group>L1_Word</group>
      <groupName>字词问题</groupName>
      <ability>L2_Typo</ability>
      <abilityName>字词错误</abilityName>
      <candidateList>
        <item>万立方米</item>
      </candidateList>
      <explain/>
      <paraID>57751F67</paraID>
      <start>55</start>
      <end>58</end>
      <status>unmodified</status>
      <modifiedWord/>
      <trackRevisions>false</trackRevisions>
    </reviewItem>
    <reviewItem>
      <errorID>cc75d6d3-f5e2-4a08-8d84-5ffa5cd7c5cd</errorID>
      <errorWord>万m3</errorWord>
      <group>L1_Word</group>
      <groupName>字词问题</groupName>
      <ability>L2_Typo</ability>
      <abilityName>字词错误</abilityName>
      <candidateList>
        <item>万立方米</item>
      </candidateList>
      <explain/>
      <paraID>57751F67</paraID>
      <start>69</start>
      <end>72</end>
      <status>unmodified</status>
      <modifiedWord/>
      <trackRevisions>false</trackRevisions>
    </reviewItem>
    <reviewItem>
      <errorID>4470b46a-cd96-46b0-8aa0-0d85bed1f718</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703B7EF0</paraID>
      <start>173</start>
      <end>180</end>
      <status>unmodified</status>
      <modifiedWord/>
      <trackRevisions>false</trackRevisions>
    </reviewItem>
    <reviewItem>
      <errorID>ac0b30f0-1678-42d7-8c19-790ef52d12b7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703B7EF0</paraID>
      <start>238</start>
      <end>245</end>
      <status>unmodified</status>
      <modifiedWord/>
      <trackRevisions>false</trackRevisions>
    </reviewItem>
    <reviewItem>
      <errorID>282ca38e-55a5-4358-b4f4-b3fa3d799790</errorID>
      <errorWord>上层</errorWord>
      <group>L1_Punc</group>
      <groupName>标点问题</groupName>
      <ability>L2_Punc</ability>
      <abilityName>标点符号检查</abilityName>
      <candidateList>
        <item>，上层</item>
      </candidateList>
      <explain/>
      <paraID>708B7C64</paraID>
      <start>163</start>
      <end>165</end>
      <status>unmodified</status>
      <modifiedWord/>
      <trackRevisions>false</trackRevisions>
    </reviewItem>
    <reviewItem>
      <errorID>fed47eb6-a94b-4089-a720-98ec530c7da2</errorID>
      <errorWord>不</errorWord>
      <group>L1_Punc</group>
      <groupName>标点问题</groupName>
      <ability>L2_Punc</ability>
      <abilityName>标点符号检查</abilityName>
      <candidateList>
        <item>，不</item>
      </candidateList>
      <explain/>
      <paraID>708B7C64</paraID>
      <start>192</start>
      <end>193</end>
      <status>unmodified</status>
      <modifiedWord/>
      <trackRevisions>false</trackRevisions>
    </reviewItem>
    <reviewItem>
      <errorID>0ea3c7c2-887f-4b2d-97c9-12e35d405f4c</errorID>
      <errorWord>）</errorWord>
      <group>L1_Grammar</group>
      <groupName>语法问题</groupName>
      <ability>L2_Grammar</ability>
      <abilityName>语法错误</abilityName>
      <candidateList>
        <item>起施行）</item>
      </candidateList>
      <explain/>
      <paraID>21E9A9BA</paraID>
      <start>26</start>
      <end>27</end>
      <status>unmodified</status>
      <modifiedWord/>
      <trackRevisions>false</trackRevisions>
    </reviewItem>
    <reviewItem>
      <errorID>02b3d6d9-b58a-4f37-bb02-8023bfb1acaf</errorID>
      <errorWord>）</errorWord>
      <group>L1_Grammar</group>
      <groupName>语法问题</groupName>
      <ability>L2_Grammar</ability>
      <abilityName>语法错误</abilityName>
      <candidateList>
        <item>修正）</item>
      </candidateList>
      <explain/>
      <paraID>21E9A9BA</paraID>
      <start>56</start>
      <end>57</end>
      <status>unmodified</status>
      <modifiedWord/>
      <trackRevisions>false</trackRevisions>
    </reviewItem>
    <reviewItem>
      <errorID>7e6c88ef-87fc-4bdf-a193-d31fc1b1fb85</errorID>
      <errorWord>，</errorWord>
      <group>L1_Punc</group>
      <groupName>标点问题</groupName>
      <ability>L2_Punc</ability>
      <abilityName>标点符号检查</abilityName>
      <candidateList>
        <item>、</item>
      </candidateList>
      <explain/>
      <paraID>1FB47640</paraID>
      <start>35</start>
      <end>36</end>
      <status>unmodified</status>
      <modifiedWord/>
      <trackRevisions>false</trackRevisions>
    </reviewItem>
    <reviewItem>
      <errorID>ea821e14-468d-4875-8277-0462942f83ae</errorID>
      <errorWord>中共中央国务院办公厅：</errorWord>
      <group>L1_Political</group>
      <groupName>政治性问题</groupName>
      <ability>L2_Keyword</ability>
      <abilityName>固定表述</abilityName>
      <candidateList>
        <item>中共中央办公厅、国务院办公厅</item>
      </candidateList>
      <explain>此处内容疑似含有固定表述相关错误，建议核查。</explain>
      <paraID> E87A2E5</paraID>
      <start>2</start>
      <end>13</end>
      <status>unmodified</status>
      <modifiedWord/>
      <trackRevisions>false</trackRevisions>
    </reviewItem>
    <reviewItem>
      <errorID>e80fab63-23b2-4def-a2b1-0f55659f9545</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 E87A2E5</paraID>
      <start>111</start>
      <end>118</end>
      <status>unmodified</status>
      <modifiedWord/>
      <trackRevisions>false</trackRevisions>
    </reviewItem>
    <reviewItem>
      <errorID>35f2836c-4d30-4c4c-b019-fe8f20ea1719</errorID>
      <errorWord>：</errorWord>
      <group>L1_Punc</group>
      <groupName>标点问题</groupName>
      <ability>L2_Punc</ability>
      <abilityName>标点符号检查</abilityName>
      <candidateList>
        <item>，</item>
      </candidateList>
      <explain/>
      <paraID>1FBE244D</paraID>
      <start>49</start>
      <end>50</end>
      <status>unmodified</status>
      <modifiedWord/>
      <trackRevisions>false</trackRevisions>
    </reviewItem>
    <reviewItem>
      <errorID>f6305c34-9f2e-4d47-ad8f-91cfd5f380aa</errorID>
      <errorWord>其它</errorWord>
      <group>L1_Word</group>
      <groupName>字词问题</groupName>
      <ability>L2_Alias</ability>
      <abilityName>也作/曾用词</abilityName>
      <candidateList>
        <item>其他</item>
      </candidateList>
      <explain>词汇[其它]为不规范表述或旧称，其规范书面表述为[其他]。</explain>
      <paraID>1FBE244D</paraID>
      <start>232</start>
      <end>234</end>
      <status>unmodified</status>
      <modifiedWord/>
      <trackRevisions>false</trackRevisions>
    </reviewItem>
    <reviewItem>
      <errorID>54744520-3cda-4676-8266-d5465a273ccc</errorID>
      <errorWord>02km</errorWord>
      <group>L1_Grammar</group>
      <groupName>语法问题</groupName>
      <ability>L2_Grammar</ability>
      <abilityName>语法错误</abilityName>
      <candidateList>
        <item>02</item>
      </candidateList>
      <explain/>
      <paraID>1FBE244D</paraID>
      <start>496</start>
      <end>500</end>
      <status>unmodified</status>
      <modifiedWord/>
      <trackRevisions>false</trackRevisions>
    </reviewItem>
    <reviewItem>
      <errorID>0c6e2ca3-0302-438c-8b85-26e8d70bed61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2E7A72B3</paraID>
      <start>27</start>
      <end>28</end>
      <status>unmodified</status>
      <modifiedWord/>
      <trackRevisions>false</trackRevisions>
    </reviewItem>
    <reviewItem>
      <errorID>81ccaf9a-03a6-4c3a-a1d7-4e2f7e991711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2E7A72B3</paraID>
      <start>107</start>
      <end>108</end>
      <status>unmodified</status>
      <modifiedWord/>
      <trackRevisions>false</trackRevisions>
    </reviewItem>
    <reviewItem>
      <errorID>170f296d-84d5-4cf4-9a3d-aa4aa70eab24</errorID>
      <errorWord>；</errorWord>
      <group>L1_Grammar</group>
      <groupName>语法问题</groupName>
      <ability>L2_Grammar</ability>
      <abilityName>语法错误</abilityName>
      <candidateList>
        <item>等措施；</item>
      </candidateList>
      <explain/>
      <paraID> 9F31FEA</paraID>
      <start>30</start>
      <end>31</end>
      <status>unmodified</status>
      <modifiedWord/>
      <trackRevisions>false</trackRevisions>
    </reviewItem>
    <reviewItem>
      <errorID>012babce-cc28-4555-866d-fe5b2874b677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10D09B20</paraID>
      <start>131</start>
      <end>132</end>
      <status>unmodified</status>
      <modifiedWord/>
      <trackRevisions>false</trackRevisions>
    </reviewItem>
    <reviewItem>
      <errorID>ac0f4a24-e2be-4a2a-ae88-936aba0341e6</errorID>
      <errorWord>其它也</errorWord>
      <group>L1_Word</group>
      <groupName>字词问题</groupName>
      <ability>L2_Alias</ability>
      <abilityName>也作/曾用词</abilityName>
      <candidateList>
        <item>其他也</item>
      </candidateList>
      <explain>词汇[其它也]为不规范表述或旧称，其规范书面表述为[其他也]。</explain>
      <paraID>10D09B20</paraID>
      <start>138</start>
      <end>141</end>
      <status>unmodified</status>
      <modifiedWord/>
      <trackRevisions>false</trackRevisions>
    </reviewItem>
    <reviewItem>
      <errorID>3b63df13-9dfa-4aae-a39e-1bada84774a7</errorID>
      <errorWord>、及</errorWord>
      <group>L1_Other</group>
      <groupName>其他问题</groupName>
      <ability>L2_UserTypo</ability>
      <abilityName>自定义错误</abilityName>
      <candidateList>
        <item>及</item>
      </candidateList>
      <explain>来自自定义错词库。</explain>
      <paraID>54B45F6B</paraID>
      <start>29</start>
      <end>31</end>
      <status>unmodified</status>
      <modifiedWord/>
      <trackRevisions>false</trackRevisions>
    </reviewItem>
    <reviewItem>
      <errorID>3d133e33-5eef-4454-be95-e06333747ccb</errorID>
      <errorWord>总则</errorWord>
      <group>L1_Word</group>
      <groupName>字词问题</groupName>
      <ability>L2_Typo</ability>
      <abilityName>字词错误</abilityName>
      <candidateList>
        <item> 总则</item>
      </candidateList>
      <explain/>
      <paraID>385ABFE9</paraID>
      <start>1</start>
      <end>3</end>
      <status>unmodified</status>
      <modifiedWord/>
      <trackRevisions>false</trackRevisions>
    </reviewItem>
    <reviewItem>
      <errorID>6078a5dd-72b8-4adc-92da-68a3f7bd72e8</errorID>
      <errorWord>评价</errorWord>
      <group>L1_Word</group>
      <groupName>字词问题</groupName>
      <ability>L2_Typo</ability>
      <abilityName>字词错误</abilityName>
      <candidateList>
        <item> 评价</item>
      </candidateList>
      <explain/>
      <paraID>7A4729C4</paraID>
      <start>3</start>
      <end>5</end>
      <status>unmodified</status>
      <modifiedWord/>
      <trackRevisions>false</trackRevisions>
    </reviewItem>
    <reviewItem>
      <errorID>f9bdab8b-9f8a-4d2f-9912-35f09ee4a3ce</errorID>
      <errorWord>评价</errorWord>
      <group>L1_Word</group>
      <groupName>字词问题</groupName>
      <ability>L2_Typo</ability>
      <abilityName>字词错误</abilityName>
      <candidateList>
        <item> 评价</item>
      </candidateList>
      <explain/>
      <paraID>124B4F5D</paraID>
      <start>5</start>
      <end>7</end>
      <status>unmodified</status>
      <modifiedWord/>
      <trackRevisions>false</trackRevisions>
    </reviewItem>
    <reviewItem>
      <errorID>0d07a5f8-c21f-4d0e-a307-1feadbb2ac35</errorID>
      <errorWord>法律、法规</errorWord>
      <group>L1_Word</group>
      <groupName>字词问题</groupName>
      <ability>L2_Typo</ability>
      <abilityName>字词错误</abilityName>
      <candidateList>
        <item>法律法规</item>
      </candidateList>
      <explain/>
      <paraID>39B816AD</paraID>
      <start>12</start>
      <end>17</end>
      <status>unmodified</status>
      <modifiedWord/>
      <trackRevisions>false</trackRevisions>
    </reviewItem>
    <reviewItem>
      <errorID>52426115-4072-485e-af7f-aef6a4a5ed90</errorID>
      <errorWord>中华人民共和国突发事件应对法</errorWord>
      <group>L1_Knowledge</group>
      <groupName>知识性问题</groupName>
      <ability>L2_Knowledge</ability>
      <abilityName>其他知识</abilityName>
      <candidateList>
        <item>《中华人民共和国突发事件应对法》</item>
      </candidateList>
      <explain>完整法律法规名称需要加书名号，请注意检查。</explain>
      <paraID>567D9549</paraID>
      <start>0</start>
      <end>14</end>
      <status>unmodified</status>
      <modifiedWord/>
      <trackRevisions>false</trackRevisions>
    </reviewItem>
    <reviewItem>
      <errorID>34858ce6-7370-4506-bafb-c00256c83123</errorID>
      <errorWord>14届</errorWord>
      <group>L1_Word</group>
      <groupName>字词问题</groupName>
      <ability>L2_Typo</ability>
      <abilityName>字词错误</abilityName>
      <candidateList>
        <item>第十四届</item>
      </candidateList>
      <explain/>
      <paraID>63978FE8</paraID>
      <start>0</start>
      <end>3</end>
      <status>unmodified</status>
      <modifiedWord/>
      <trackRevisions>false</trackRevisions>
    </reviewItem>
    <reviewItem>
      <errorID>7c196ba3-9115-4988-bc8d-7e2d8625ec8c</errorID>
      <errorWord>中华人民共和国矿产资源法</errorWord>
      <group>L1_Knowledge</group>
      <groupName>知识性问题</groupName>
      <ability>L2_Knowledge</ability>
      <abilityName>其他知识</abilityName>
      <candidateList>
        <item>《中华人民共和国矿产资源法》</item>
      </candidateList>
      <explain>完整法律法规名称需要加书名号，请注意检查。</explain>
      <paraID>5C5FE9B4</paraID>
      <start>0</start>
      <end>12</end>
      <status>unmodified</status>
      <modifiedWord/>
      <trackRevisions>false</trackRevisions>
    </reviewItem>
    <reviewItem>
      <errorID>e2d68f3c-61cc-4357-b2a1-f03e58c7190d</errorID>
      <errorWord>11届</errorWord>
      <group>L1_Word</group>
      <groupName>字词问题</groupName>
      <ability>L2_Typo</ability>
      <abilityName>字词错误</abilityName>
      <candidateList>
        <item>第十一届</item>
      </candidateList>
      <explain/>
      <paraID> B4A7747</paraID>
      <start>0</start>
      <end>3</end>
      <status>unmodified</status>
      <modifiedWord/>
      <trackRevisions>false</trackRevisions>
    </reviewItem>
    <reviewItem>
      <errorID>9f994da3-928c-4112-a89b-c6affac6b91c</errorID>
      <errorWord>中华人民共和国防洪法</errorWord>
      <group>L1_Knowledge</group>
      <groupName>知识性问题</groupName>
      <ability>L2_Knowledge</ability>
      <abilityName>其他知识</abilityName>
      <candidateList>
        <item>《中华人民共和国防洪法》</item>
      </candidateList>
      <explain>完整法律法规名称需要加书名号，请注意检查。</explain>
      <paraID>2D400558</paraID>
      <start>0</start>
      <end>10</end>
      <status>unmodified</status>
      <modifiedWord/>
      <trackRevisions>false</trackRevisions>
    </reviewItem>
    <reviewItem>
      <errorID>09707641-1ad7-41dc-bfad-40106703a170</errorID>
      <errorWord>中华人民共和国水土保持法实施条例</errorWord>
      <group>L1_Knowledge</group>
      <groupName>知识性问题</groupName>
      <ability>L2_Knowledge</ability>
      <abilityName>其他知识</abilityName>
      <candidateList/>
      <explain>该法规于2011年1月8日由国务院制定，当前已废止，请注意检查引用是否正确。</explain>
      <paraID>6F064F9F</paraID>
      <start>0</start>
      <end>16</end>
      <status>unmodified</status>
      <modifiedWord/>
      <trackRevisions>false</trackRevisions>
    </reviewItem>
    <reviewItem>
      <errorID>736b52e4-62c7-4cb9-a5d8-618daf7a849e</errorID>
      <errorWord>基本农田保护条例</errorWord>
      <group>L1_Knowledge</group>
      <groupName>知识性问题</groupName>
      <ability>L2_Knowledge</ability>
      <abilityName>其他知识</abilityName>
      <candidateList>
        <item>《基本农田保护条例》</item>
      </candidateList>
      <explain>完整法律法规名称需要加书名号，请注意检查。</explain>
      <paraID>5CBA65AC</paraID>
      <start>0</start>
      <end>8</end>
      <status>unmodified</status>
      <modifiedWord/>
      <trackRevisions>false</trackRevisions>
    </reviewItem>
    <reviewItem>
      <errorID>a6585fa4-a0d7-4447-a79b-04f4a036be3f</errorID>
      <errorWord>中华人民共和国水土保持法</errorWord>
      <group>L1_Knowledge</group>
      <groupName>知识性问题</groupName>
      <ability>L2_Knowledge</ability>
      <abilityName>其他知识</abilityName>
      <candidateList>
        <item>《中华人民共和国水土保持法》</item>
      </candidateList>
      <explain>完整法律法规名称需要加书名号，请注意检查。</explain>
      <paraID>23B2D38B</paraID>
      <start>0</start>
      <end>12</end>
      <status>unmodified</status>
      <modifiedWord/>
      <trackRevisions>false</trackRevisions>
    </reviewItem>
    <reviewItem>
      <errorID>e0754165-92bb-441b-9c68-aba35ccc4ff3</errorID>
      <errorWord>11届</errorWord>
      <group>L1_Word</group>
      <groupName>字词问题</groupName>
      <ability>L2_Typo</ability>
      <abilityName>字词错误</abilityName>
      <candidateList>
        <item>第十一届</item>
      </candidateList>
      <explain/>
      <paraID>31CD78F7</paraID>
      <start>0</start>
      <end>3</end>
      <status>unmodified</status>
      <modifiedWord/>
      <trackRevisions>false</trackRevisions>
    </reviewItem>
    <reviewItem>
      <errorID>c73e1af9-b201-481e-b5a4-806fddec69cf</errorID>
      <errorWord>土地复垦条例</errorWord>
      <group>L1_Knowledge</group>
      <groupName>知识性问题</groupName>
      <ability>L2_Knowledge</ability>
      <abilityName>其他知识</abilityName>
      <candidateList>
        <item>《土地复垦条例》</item>
      </candidateList>
      <explain>完整法律法规名称需要加书名号，请注意检查。</explain>
      <paraID>26070100</paraID>
      <start>0</start>
      <end>6</end>
      <status>unmodified</status>
      <modifiedWord/>
      <trackRevisions>false</trackRevisions>
    </reviewItem>
    <reviewItem>
      <errorID>bb3a527d-9289-4c0d-adcd-4d39dad348c4</errorID>
      <errorWord>中华人民共和国清洁生产促进法</errorWord>
      <group>L1_Knowledge</group>
      <groupName>知识性问题</groupName>
      <ability>L2_Knowledge</ability>
      <abilityName>其他知识</abilityName>
      <candidateList>
        <item>《中华人民共和国清洁生产促进法》</item>
      </candidateList>
      <explain>完整法律法规名称需要加书名号，请注意检查。</explain>
      <paraID>4C153949</paraID>
      <start>0</start>
      <end>14</end>
      <status>unmodified</status>
      <modifiedWord/>
      <trackRevisions>false</trackRevisions>
    </reviewItem>
    <reviewItem>
      <errorID>3018819d-554e-4436-b786-6ff7e066f658</errorID>
      <errorWord>11届</errorWord>
      <group>L1_Word</group>
      <groupName>字词问题</groupName>
      <ability>L2_Typo</ability>
      <abilityName>字词错误</abilityName>
      <candidateList>
        <item>第十一届</item>
      </candidateList>
      <explain/>
      <paraID> 249D78C</paraID>
      <start>0</start>
      <end>3</end>
      <status>unmodified</status>
      <modifiedWord/>
      <trackRevisions>false</trackRevisions>
    </reviewItem>
    <reviewItem>
      <errorID>a9907066-5855-4598-905d-951a88510440</errorID>
      <errorWord>危险化学品安全管理条例</errorWord>
      <group>L1_Knowledge</group>
      <groupName>知识性问题</groupName>
      <ability>L2_Knowledge</ability>
      <abilityName>其他知识</abilityName>
      <candidateList>
        <item>《危险化学品安全管理条例》</item>
      </candidateList>
      <explain>完整法律法规名称需要加书名号，请注意检查。</explain>
      <paraID>620F9B6C</paraID>
      <start>39</start>
      <end>50</end>
      <status>unmodified</status>
      <modifiedWord/>
      <trackRevisions>false</trackRevisions>
    </reviewItem>
    <reviewItem>
      <errorID>fb1c535b-a022-4ce3-a5cb-82f8426e01b0</errorID>
      <errorWord>中华人民共和国环境保护法</errorWord>
      <group>L1_Knowledge</group>
      <groupName>知识性问题</groupName>
      <ability>L2_Knowledge</ability>
      <abilityName>其他知识</abilityName>
      <candidateList>
        <item>《中华人民共和国环境保护法》</item>
      </candidateList>
      <explain>完整法律法规名称需要加书名号，请注意检查。</explain>
      <paraID> 1DD5321</paraID>
      <start>0</start>
      <end>12</end>
      <status>unmodified</status>
      <modifiedWord/>
      <trackRevisions>false</trackRevisions>
    </reviewItem>
    <reviewItem>
      <errorID>1b98e617-5d6c-42f3-8321-0c2d79954664</errorID>
      <errorWord>12届</errorWord>
      <group>L1_Word</group>
      <groupName>字词问题</groupName>
      <ability>L2_Typo</ability>
      <abilityName>字词错误</abilityName>
      <candidateList>
        <item>第十二届</item>
      </candidateList>
      <explain/>
      <paraID>2B28088A</paraID>
      <start>0</start>
      <end>3</end>
      <status>unmodified</status>
      <modifiedWord/>
      <trackRevisions>false</trackRevisions>
    </reviewItem>
    <reviewItem>
      <errorID>c255c2fc-f278-475a-b415-2966c64b3649</errorID>
      <errorWord>中华人民共和国陆生野生动物保护实施条例</errorWord>
      <group>L1_Knowledge</group>
      <groupName>知识性问题</groupName>
      <ability>L2_Knowledge</ability>
      <abilityName>其他知识</abilityName>
      <candidateList>
        <item>《中华人民共和国陆生野生动物保护实施条例》</item>
      </candidateList>
      <explain>完整法律法规名称需要加书名号，请注意检查。</explain>
      <paraID>3BAF33C4</paraID>
      <start>0</start>
      <end>19</end>
      <status>unmodified</status>
      <modifiedWord/>
      <trackRevisions>false</trackRevisions>
    </reviewItem>
    <reviewItem>
      <errorID>74ca1e14-de49-458f-be31-64b9b1046c2a</errorID>
      <errorWord>中华人民共和国水法</errorWord>
      <group>L1_Knowledge</group>
      <groupName>知识性问题</groupName>
      <ability>L2_Knowledge</ability>
      <abilityName>其他知识</abilityName>
      <candidateList>
        <item>《中华人民共和国水法》</item>
      </candidateList>
      <explain>完整法律法规名称需要加书名号，请注意检查。</explain>
      <paraID>339551E3</paraID>
      <start>0</start>
      <end>9</end>
      <status>unmodified</status>
      <modifiedWord/>
      <trackRevisions>false</trackRevisions>
    </reviewItem>
    <reviewItem>
      <errorID>1dc59819-36bd-402f-b99e-cb5e1e2ff596</errorID>
      <errorWord>12届</errorWord>
      <group>L1_Word</group>
      <groupName>字词问题</groupName>
      <ability>L2_Typo</ability>
      <abilityName>字词错误</abilityName>
      <candidateList>
        <item>第十二届</item>
      </candidateList>
      <explain/>
      <paraID> F76EF78</paraID>
      <start>0</start>
      <end>3</end>
      <status>unmodified</status>
      <modifiedWord/>
      <trackRevisions>false</trackRevisions>
    </reviewItem>
    <reviewItem>
      <errorID>75222a1a-c8dc-4c47-80d4-bba1f93aa1f4</errorID>
      <errorWord>中共中央办公厅 国务院办公厅</errorWord>
      <group>L1_Political</group>
      <groupName>政治性问题</groupName>
      <ability>L2_Keyword</ability>
      <abilityName>固定表述</abilityName>
      <candidateList>
        <item>中共中央办公厅、国务院办公厅</item>
      </candidateList>
      <explain>词汇“中共中央办公厅、国务院办公厅”在特定场景下为固定表述形式，请确认此处的“中共中央办公厅 国务院办公厅”是否存在不当。</explain>
      <paraID>34CB8CE0</paraID>
      <start>0</start>
      <end>14</end>
      <status>unmodified</status>
      <modifiedWord/>
      <trackRevisions>false</trackRevisions>
    </reviewItem>
    <reviewItem>
      <errorID>ded55313-1b8c-4778-a896-c2ac61999644</errorID>
      <errorWord>建设项目环境保护管理条例</errorWord>
      <group>L1_Knowledge</group>
      <groupName>知识性问题</groupName>
      <ability>L2_Knowledge</ability>
      <abilityName>其他知识</abilityName>
      <candidateList>
        <item>《建设项目环境保护管理条例》</item>
      </candidateList>
      <explain>完整法律法规名称需要加书名号，请注意检查。</explain>
      <paraID>7DE97CFB</paraID>
      <start>0</start>
      <end>12</end>
      <status>unmodified</status>
      <modifiedWord/>
      <trackRevisions>false</trackRevisions>
    </reviewItem>
    <reviewItem>
      <errorID>a842536e-56a9-4ad2-bf31-1ff4cab79a38</errorID>
      <errorWord>自然保护区管理条例</errorWord>
      <group>L1_Sensitive</group>
      <groupName>敏感问题</groupName>
      <ability>L2_UserSensitive</ability>
      <abilityName>自定义敏感词</abilityName>
      <candidateList/>
      <explain>来自自定义敏感词库。</explain>
      <paraID>5D6890C1</paraID>
      <start>7</start>
      <end>16</end>
      <status>unmodified</status>
      <modifiedWord/>
      <trackRevisions>false</trackRevisions>
    </reviewItem>
    <reviewItem>
      <errorID>f3ba282f-5ef1-442c-bab5-1232010a65f0</errorID>
      <errorWord>中华人民共和国野生植物保护条例</errorWord>
      <group>L1_Knowledge</group>
      <groupName>知识性问题</groupName>
      <ability>L2_Knowledge</ability>
      <abilityName>其他知识</abilityName>
      <candidateList>
        <item>《中华人民共和国野生植物保护条例》</item>
      </candidateList>
      <explain>完整法律法规名称需要加书名号，请注意检查。</explain>
      <paraID>12DCFEAC</paraID>
      <start>0</start>
      <end>15</end>
      <status>unmodified</status>
      <modifiedWord/>
      <trackRevisions>false</trackRevisions>
    </reviewItem>
    <reviewItem>
      <errorID>1fcecd86-f24a-4f79-9e63-10f2e7c29f1b</errorID>
      <errorWord>中华人民共和国道路交通安全法实施条例</errorWord>
      <group>L1_Knowledge</group>
      <groupName>知识性问题</groupName>
      <ability>L2_Knowledge</ability>
      <abilityName>其他知识</abilityName>
      <candidateList>
        <item>《中华人民共和国道路交通安全法实施条例》</item>
      </candidateList>
      <explain>完整法律法规名称需要加书名号，请注意检查。</explain>
      <paraID>33F2B860</paraID>
      <start>0</start>
      <end>18</end>
      <status>unmodified</status>
      <modifiedWord/>
      <trackRevisions>false</trackRevisions>
    </reviewItem>
    <reviewItem>
      <errorID>246c09a8-dbf0-47b7-8535-d208cf63f80f</errorID>
      <errorWord>中华人民共和国水污染防治法</errorWord>
      <group>L1_Knowledge</group>
      <groupName>知识性问题</groupName>
      <ability>L2_Knowledge</ability>
      <abilityName>其他知识</abilityName>
      <candidateList>
        <item>《中华人民共和国水污染防治法》</item>
      </candidateList>
      <explain>完整法律法规名称需要加书名号，请注意检查。</explain>
      <paraID>3E51EC26</paraID>
      <start>0</start>
      <end>13</end>
      <status>unmodified</status>
      <modifiedWord/>
      <trackRevisions>false</trackRevisions>
    </reviewItem>
    <reviewItem>
      <errorID>eb3fa234-31f1-4fa9-aeec-fc2629a4ee35</errorID>
      <errorWord>12届</errorWord>
      <group>L1_Word</group>
      <groupName>字词问题</groupName>
      <ability>L2_Typo</ability>
      <abilityName>字词错误</abilityName>
      <candidateList>
        <item>第十二届</item>
      </candidateList>
      <explain/>
      <paraID>1438063F</paraID>
      <start>0</start>
      <end>3</end>
      <status>unmodified</status>
      <modifiedWord/>
      <trackRevisions>false</trackRevisions>
    </reviewItem>
    <reviewItem>
      <errorID>14c6e8a0-2b11-4a2e-aecd-5ad1cd43de0d</errorID>
      <errorWord>中华人民共和国城乡规划法</errorWord>
      <group>L1_Knowledge</group>
      <groupName>知识性问题</groupName>
      <ability>L2_Knowledge</ability>
      <abilityName>其他知识</abilityName>
      <candidateList>
        <item>《中华人民共和国城乡规划法》</item>
      </candidateList>
      <explain>完整法律法规名称需要加书名号，请注意检查。</explain>
      <paraID>38B5042D</paraID>
      <start>0</start>
      <end>12</end>
      <status>unmodified</status>
      <modifiedWord/>
      <trackRevisions>false</trackRevisions>
    </reviewItem>
    <reviewItem>
      <errorID>c5e835ee-7681-4985-92e1-dddd568650fe</errorID>
      <errorWord>10届</errorWord>
      <group>L1_Word</group>
      <groupName>字词问题</groupName>
      <ability>L2_Typo</ability>
      <abilityName>字词错误</abilityName>
      <candidateList>
        <item>第十届</item>
      </candidateList>
      <explain/>
      <paraID>642239E9</paraID>
      <start>0</start>
      <end>3</end>
      <status>unmodified</status>
      <modifiedWord/>
      <trackRevisions>false</trackRevisions>
    </reviewItem>
    <reviewItem>
      <errorID>6dbeb5e4-f186-4193-9257-d0b3f9fd3f07</errorID>
      <errorWord>中华人民共和国河道管理条例</errorWord>
      <group>L1_Knowledge</group>
      <groupName>知识性问题</groupName>
      <ability>L2_Knowledge</ability>
      <abilityName>其他知识</abilityName>
      <candidateList>
        <item>《中华人民共和国河道管理条例》</item>
      </candidateList>
      <explain>完整法律法规名称需要加书名号，请注意检查。</explain>
      <paraID>779DD27F</paraID>
      <start>0</start>
      <end>13</end>
      <status>unmodified</status>
      <modifiedWord/>
      <trackRevisions>false</trackRevisions>
    </reviewItem>
    <reviewItem>
      <errorID>88460a53-03e7-45c7-8b8a-e6c86e2703bd</errorID>
      <errorWord>中华人民共和国野生动物保护法</errorWord>
      <group>L1_Knowledge</group>
      <groupName>知识性问题</groupName>
      <ability>L2_Knowledge</ability>
      <abilityName>其他知识</abilityName>
      <candidateList>
        <item>《中华人民共和国野生动物保护法》</item>
      </candidateList>
      <explain>完整法律法规名称需要加书名号，请注意检查。</explain>
      <paraID>352B0897</paraID>
      <start>0</start>
      <end>14</end>
      <status>unmodified</status>
      <modifiedWord/>
      <trackRevisions>false</trackRevisions>
    </reviewItem>
    <reviewItem>
      <errorID>c599fbcf-6824-4dc1-a786-534ba91c217c</errorID>
      <errorWord>13届</errorWord>
      <group>L1_Word</group>
      <groupName>字词问题</groupName>
      <ability>L2_Typo</ability>
      <abilityName>字词错误</abilityName>
      <candidateList>
        <item>第十三届</item>
      </candidateList>
      <explain/>
      <paraID>2D5F3ECD</paraID>
      <start>0</start>
      <end>3</end>
      <status>unmodified</status>
      <modifiedWord/>
      <trackRevisions>false</trackRevisions>
    </reviewItem>
    <reviewItem>
      <errorID>2033897b-546c-40a9-8288-8614371d4667</errorID>
      <errorWord>中华人民共和国循环经济促进法</errorWord>
      <group>L1_Knowledge</group>
      <groupName>知识性问题</groupName>
      <ability>L2_Knowledge</ability>
      <abilityName>其他知识</abilityName>
      <candidateList>
        <item>《中华人民共和国循环经济促进法》</item>
      </candidateList>
      <explain>完整法律法规名称需要加书名号，请注意检查。</explain>
      <paraID>57383D55</paraID>
      <start>0</start>
      <end>14</end>
      <status>unmodified</status>
      <modifiedWord/>
      <trackRevisions>false</trackRevisions>
    </reviewItem>
    <reviewItem>
      <errorID>e57afc57-6c46-48bd-8b08-00308385b94b</errorID>
      <errorWord>13届</errorWord>
      <group>L1_Word</group>
      <groupName>字词问题</groupName>
      <ability>L2_Typo</ability>
      <abilityName>字词错误</abilityName>
      <candidateList>
        <item>第十三届</item>
      </candidateList>
      <explain/>
      <paraID>61DED7BC</paraID>
      <start>0</start>
      <end>3</end>
      <status>unmodified</status>
      <modifiedWord/>
      <trackRevisions>false</trackRevisions>
    </reviewItem>
    <reviewItem>
      <errorID>6b99f500-73a1-4026-b55f-20ad89b82b02</errorID>
      <errorWord>中华人民共和国节约能源法</errorWord>
      <group>L1_Knowledge</group>
      <groupName>知识性问题</groupName>
      <ability>L2_Knowledge</ability>
      <abilityName>其他知识</abilityName>
      <candidateList>
        <item>《中华人民共和国节约能源法》</item>
      </candidateList>
      <explain>完整法律法规名称需要加书名号，请注意检查。</explain>
      <paraID>5032D6E3</paraID>
      <start>0</start>
      <end>12</end>
      <status>unmodified</status>
      <modifiedWord/>
      <trackRevisions>false</trackRevisions>
    </reviewItem>
    <reviewItem>
      <errorID>3315d692-3ae8-4ab2-b046-5afb391b5656</errorID>
      <errorWord>中华人民共和国环境保护税法</errorWord>
      <group>L1_Knowledge</group>
      <groupName>知识性问题</groupName>
      <ability>L2_Knowledge</ability>
      <abilityName>其他知识</abilityName>
      <candidateList>
        <item>《中华人民共和国环境保护税法》</item>
      </candidateList>
      <explain>完整法律法规名称需要加书名号，请注意检查。</explain>
      <paraID>73123D55</paraID>
      <start>0</start>
      <end>13</end>
      <status>unmodified</status>
      <modifiedWord/>
      <trackRevisions>false</trackRevisions>
    </reviewItem>
    <reviewItem>
      <errorID>022571b7-dd31-4bfc-a0a1-1ecc3967b661</errorID>
      <errorWord>中华人民共和国防沙治沙法</errorWord>
      <group>L1_Knowledge</group>
      <groupName>知识性问题</groupName>
      <ability>L2_Knowledge</ability>
      <abilityName>其他知识</abilityName>
      <candidateList>
        <item>《中华人民共和国防沙治沙法》</item>
      </candidateList>
      <explain>完整法律法规名称需要加书名号，请注意检查。</explain>
      <paraID>1DF90780</paraID>
      <start>0</start>
      <end>12</end>
      <status>unmodified</status>
      <modifiedWord/>
      <trackRevisions>false</trackRevisions>
    </reviewItem>
    <reviewItem>
      <errorID>c35606be-a441-41ae-97c9-6d847b471861</errorID>
      <errorWord>中华人民共和国大气污染防治法</errorWord>
      <group>L1_Knowledge</group>
      <groupName>知识性问题</groupName>
      <ability>L2_Knowledge</ability>
      <abilityName>其他知识</abilityName>
      <candidateList>
        <item>《中华人民共和国大气污染防治法》</item>
      </candidateList>
      <explain>完整法律法规名称需要加书名号，请注意检查。</explain>
      <paraID>38910A1E</paraID>
      <start>0</start>
      <end>14</end>
      <status>unmodified</status>
      <modifiedWord/>
      <trackRevisions>false</trackRevisions>
    </reviewItem>
    <reviewItem>
      <errorID>d5ee3ab0-75fe-4c77-af77-6f787aa900d2</errorID>
      <errorWord>中华人民共和国环境影响评价法</errorWord>
      <group>L1_Knowledge</group>
      <groupName>知识性问题</groupName>
      <ability>L2_Knowledge</ability>
      <abilityName>其他知识</abilityName>
      <candidateList>
        <item>《中华人民共和国环境影响评价法》</item>
      </candidateList>
      <explain>完整法律法规名称需要加书名号，请注意检查。</explain>
      <paraID>36BA6D04</paraID>
      <start>0</start>
      <end>14</end>
      <status>unmodified</status>
      <modifiedWord/>
      <trackRevisions>false</trackRevisions>
    </reviewItem>
    <reviewItem>
      <errorID>20ae6fd9-e75e-4272-8006-3bcfee0ef93d</errorID>
      <errorWord>13届</errorWord>
      <group>L1_Word</group>
      <groupName>字词问题</groupName>
      <ability>L2_Typo</ability>
      <abilityName>字词错误</abilityName>
      <candidateList>
        <item>第十三届</item>
      </candidateList>
      <explain/>
      <paraID>589DFA65</paraID>
      <start>0</start>
      <end>3</end>
      <status>unmodified</status>
      <modifiedWord/>
      <trackRevisions>false</trackRevisions>
    </reviewItem>
    <reviewItem>
      <errorID>6413ac61-6363-4ab1-9615-b3618c1ab2ed</errorID>
      <errorWord>中华人民共和国土壤污染防治法</errorWord>
      <group>L1_Knowledge</group>
      <groupName>知识性问题</groupName>
      <ability>L2_Knowledge</ability>
      <abilityName>其他知识</abilityName>
      <candidateList>
        <item>《中华人民共和国土壤污染防治法》</item>
      </candidateList>
      <explain>完整法律法规名称需要加书名号，请注意检查。</explain>
      <paraID>5E6978FB</paraID>
      <start>0</start>
      <end>14</end>
      <status>unmodified</status>
      <modifiedWord/>
      <trackRevisions>false</trackRevisions>
    </reviewItem>
    <reviewItem>
      <errorID>73196e45-45a5-4ffc-9999-a217ac479bd1</errorID>
      <errorWord>13届</errorWord>
      <group>L1_Word</group>
      <groupName>字词问题</groupName>
      <ability>L2_Typo</ability>
      <abilityName>字词错误</abilityName>
      <candidateList>
        <item>第十三届</item>
      </candidateList>
      <explain/>
      <paraID>76E838E8</paraID>
      <start>0</start>
      <end>3</end>
      <status>unmodified</status>
      <modifiedWord/>
      <trackRevisions>false</trackRevisions>
    </reviewItem>
    <reviewItem>
      <errorID>9cbef491-03e5-4b2e-b0d7-e7ba636d094f</errorID>
      <errorWord>中华人民共和国森林法</errorWord>
      <group>L1_Knowledge</group>
      <groupName>知识性问题</groupName>
      <ability>L2_Knowledge</ability>
      <abilityName>其他知识</abilityName>
      <candidateList>
        <item>《中华人民共和国森林法》</item>
      </candidateList>
      <explain>完整法律法规名称需要加书名号，请注意检查。</explain>
      <paraID> ED5A93A</paraID>
      <start>0</start>
      <end>10</end>
      <status>unmodified</status>
      <modifiedWord/>
      <trackRevisions>false</trackRevisions>
    </reviewItem>
    <reviewItem>
      <errorID>b3a5ac2c-b0a9-4944-a7a9-cb3560923834</errorID>
      <errorWord>13届</errorWord>
      <group>L1_Word</group>
      <groupName>字词问题</groupName>
      <ability>L2_Typo</ability>
      <abilityName>字词错误</abilityName>
      <candidateList>
        <item>第十三届</item>
      </candidateList>
      <explain/>
      <paraID>3FB65A3E</paraID>
      <start>0</start>
      <end>3</end>
      <status>unmodified</status>
      <modifiedWord/>
      <trackRevisions>false</trackRevisions>
    </reviewItem>
    <reviewItem>
      <errorID>74e95494-beed-42c6-a9cf-eefd85f567d2</errorID>
      <errorWord>中华人民共和国土地管理法</errorWord>
      <group>L1_Knowledge</group>
      <groupName>知识性问题</groupName>
      <ability>L2_Knowledge</ability>
      <abilityName>其他知识</abilityName>
      <candidateList>
        <item>《中华人民共和国土地管理法》</item>
      </candidateList>
      <explain>完整法律法规名称需要加书名号，请注意检查。</explain>
      <paraID>37728FF6</paraID>
      <start>0</start>
      <end>12</end>
      <status>unmodified</status>
      <modifiedWord/>
      <trackRevisions>false</trackRevisions>
    </reviewItem>
    <reviewItem>
      <errorID>be60fc9b-8692-43c3-b0d7-f5a507da6556</errorID>
      <errorWord>13届</errorWord>
      <group>L1_Word</group>
      <groupName>字词问题</groupName>
      <ability>L2_Typo</ability>
      <abilityName>字词错误</abilityName>
      <candidateList>
        <item>第十三届</item>
      </candidateList>
      <explain/>
      <paraID>4EAD2946</paraID>
      <start>0</start>
      <end>3</end>
      <status>unmodified</status>
      <modifiedWord/>
      <trackRevisions>false</trackRevisions>
    </reviewItem>
    <reviewItem>
      <errorID>e44a7ee5-7101-48f3-acf8-5eb0a34c2e44</errorID>
      <errorWord>中华人民共和国固体废物污染环境防治法</errorWord>
      <group>L1_Knowledge</group>
      <groupName>知识性问题</groupName>
      <ability>L2_Knowledge</ability>
      <abilityName>其他知识</abilityName>
      <candidateList>
        <item>《中华人民共和国固体废物污染环境防治法》</item>
      </candidateList>
      <explain>完整法律法规名称需要加书名号，请注意检查。</explain>
      <paraID>58884B85</paraID>
      <start>0</start>
      <end>18</end>
      <status>unmodified</status>
      <modifiedWord/>
      <trackRevisions>false</trackRevisions>
    </reviewItem>
    <reviewItem>
      <errorID>181c90f6-a3dd-48ed-a6df-ae30947985ac</errorID>
      <errorWord>13届</errorWord>
      <group>L1_Word</group>
      <groupName>字词问题</groupName>
      <ability>L2_Typo</ability>
      <abilityName>字词错误</abilityName>
      <candidateList>
        <item>第十三届</item>
      </candidateList>
      <explain/>
      <paraID>6CF83ED5</paraID>
      <start>0</start>
      <end>3</end>
      <status>unmodified</status>
      <modifiedWord/>
      <trackRevisions>false</trackRevisions>
    </reviewItem>
    <reviewItem>
      <errorID>588e1473-1537-45e8-8da5-6d4c42a564cb</errorID>
      <errorWord>排污许可管理条例</errorWord>
      <group>L1_Knowledge</group>
      <groupName>知识性问题</groupName>
      <ability>L2_Knowledge</ability>
      <abilityName>其他知识</abilityName>
      <candidateList>
        <item>《排污许可管理条例》</item>
      </candidateList>
      <explain>完整法律法规名称需要加书名号，请注意检查。</explain>
      <paraID>2326844A</paraID>
      <start>0</start>
      <end>8</end>
      <status>unmodified</status>
      <modifiedWord/>
      <trackRevisions>false</trackRevisions>
    </reviewItem>
    <reviewItem>
      <errorID>da3b9190-6387-4880-abd0-589c8bcc603f</errorID>
      <errorWord>中华人民共和国土地管理法实施条例</errorWord>
      <group>L1_Knowledge</group>
      <groupName>知识性问题</groupName>
      <ability>L2_Knowledge</ability>
      <abilityName>其他知识</abilityName>
      <candidateList>
        <item>《中华人民共和国土地管理法实施条例》</item>
      </candidateList>
      <explain>完整法律法规名称需要加书名号，请注意检查。</explain>
      <paraID>4ADB8E39</paraID>
      <start>0</start>
      <end>16</end>
      <status>unmodified</status>
      <modifiedWord/>
      <trackRevisions>false</trackRevisions>
    </reviewItem>
    <reviewItem>
      <errorID>1c885e49-09ad-4772-9ce7-ca19f75fa9e3</errorID>
      <errorWord>中华人民共和国安全生产法</errorWord>
      <group>L1_Knowledge</group>
      <groupName>知识性问题</groupName>
      <ability>L2_Knowledge</ability>
      <abilityName>其他知识</abilityName>
      <candidateList>
        <item>《中华人民共和国安全生产法》</item>
      </candidateList>
      <explain>完整法律法规名称需要加书名号，请注意检查。</explain>
      <paraID> 11841BB</paraID>
      <start>0</start>
      <end>12</end>
      <status>unmodified</status>
      <modifiedWord/>
      <trackRevisions>false</trackRevisions>
    </reviewItem>
    <reviewItem>
      <errorID>65060db0-e7d4-4568-bb29-d04314ce8e77</errorID>
      <errorWord>13届</errorWord>
      <group>L1_Word</group>
      <groupName>字词问题</groupName>
      <ability>L2_Typo</ability>
      <abilityName>字词错误</abilityName>
      <candidateList>
        <item>第十三届</item>
      </candidateList>
      <explain/>
      <paraID>6DD94FBC</paraID>
      <start>0</start>
      <end>3</end>
      <status>unmodified</status>
      <modifiedWord/>
      <trackRevisions>false</trackRevisions>
    </reviewItem>
    <reviewItem>
      <errorID>01e7dbce-44d4-43c2-9be3-0d782412d362</errorID>
      <errorWord>地下水管理条例</errorWord>
      <group>L1_Knowledge</group>
      <groupName>知识性问题</groupName>
      <ability>L2_Knowledge</ability>
      <abilityName>其他知识</abilityName>
      <candidateList>
        <item>《地下水管理条例》</item>
      </candidateList>
      <explain>完整法律法规名称需要加书名号，请注意检查。</explain>
      <paraID>58CC5B6E</paraID>
      <start>0</start>
      <end>7</end>
      <status>unmodified</status>
      <modifiedWord/>
      <trackRevisions>false</trackRevisions>
    </reviewItem>
    <reviewItem>
      <errorID>273674bb-ceb0-4782-b75f-050d634027a3</errorID>
      <errorWord>中华人民共和国湿地保护法</errorWord>
      <group>L1_Knowledge</group>
      <groupName>知识性问题</groupName>
      <ability>L2_Knowledge</ability>
      <abilityName>其他知识</abilityName>
      <candidateList>
        <item>《中华人民共和国湿地保护法》</item>
      </candidateList>
      <explain>完整法律法规名称需要加书名号，请注意检查。</explain>
      <paraID>39EA69ED</paraID>
      <start>0</start>
      <end>12</end>
      <status>unmodified</status>
      <modifiedWord/>
      <trackRevisions>false</trackRevisions>
    </reviewItem>
    <reviewItem>
      <errorID>d23b5c86-69d8-43fb-bcb1-5f1d7cb6dead</errorID>
      <errorWord>13届</errorWord>
      <group>L1_Word</group>
      <groupName>字词问题</groupName>
      <ability>L2_Typo</ability>
      <abilityName>字词错误</abilityName>
      <candidateList>
        <item>第十三届</item>
      </candidateList>
      <explain/>
      <paraID>51A81BDE</paraID>
      <start>0</start>
      <end>3</end>
      <status>unmodified</status>
      <modifiedWord/>
      <trackRevisions>false</trackRevisions>
    </reviewItem>
    <reviewItem>
      <errorID>b1ba1f5b-b8b6-4d05-9538-a975d948ffde</errorID>
      <errorWord>中华人民共和国噪声污染防治法</errorWord>
      <group>L1_Knowledge</group>
      <groupName>知识性问题</groupName>
      <ability>L2_Knowledge</ability>
      <abilityName>其他知识</abilityName>
      <candidateList>
        <item>《中华人民共和国噪声污染防治法》</item>
      </candidateList>
      <explain>完整法律法规名称需要加书名号，请注意检查。</explain>
      <paraID>424580F5</paraID>
      <start>0</start>
      <end>14</end>
      <status>unmodified</status>
      <modifiedWord/>
      <trackRevisions>false</trackRevisions>
    </reviewItem>
    <reviewItem>
      <errorID>e5be690e-c526-49f4-a678-75f8dfb47278</errorID>
      <errorWord>13届</errorWord>
      <group>L1_Word</group>
      <groupName>字词问题</groupName>
      <ability>L2_Typo</ability>
      <abilityName>字词错误</abilityName>
      <candidateList>
        <item>十三届</item>
      </candidateList>
      <explain/>
      <paraID>749BF6AE</paraID>
      <start>0</start>
      <end>3</end>
      <status>unmodified</status>
      <modifiedWord/>
      <trackRevisions>false</trackRevisions>
    </reviewItem>
    <reviewItem>
      <errorID>acb2b432-6b12-4263-8146-730a7a69a5f4</errorID>
      <errorWord>全国生态环境保护纲要</errorWord>
      <group>L1_Political</group>
      <groupName>政治性问题</groupName>
      <ability>L2_Keyword</ability>
      <abilityName>固定表述</abilityName>
      <candidateList>
        <item>《全国生态环境保护纲要》</item>
      </candidateList>
      <explain>此处内容疑似含有固定表述相关错误，建议核查。</explain>
      <paraID>7CFF7463</paraID>
      <start>0</start>
      <end>10</end>
      <status>unmodified</status>
      <modifiedWord/>
      <trackRevisions>false</trackRevisions>
    </reviewItem>
    <reviewItem>
      <errorID>d9e5ae0a-a2f9-4417-ba5d-68cb340af0d6</errorID>
      <errorWord>全国生态脆弱区保护规划纲要</errorWord>
      <group>L1_Punc</group>
      <groupName>标点问题</groupName>
      <ability>L2_Punc</ability>
      <abilityName>标点符号检查</abilityName>
      <candidateList>
        <item>《全国生态脆弱区保护规划纲要》</item>
      </candidateList>
      <explain/>
      <paraID>6AC42B35</paraID>
      <start>0</start>
      <end>13</end>
      <status>unmodified</status>
      <modifiedWord/>
      <trackRevisions>false</trackRevisions>
    </reviewItem>
    <reviewItem>
      <errorID>e411bd32-d06a-4220-bde3-1de1bbc3a80f</errorID>
      <errorWord>土地复垦条例实施办法</errorWord>
      <group>L1_Punc</group>
      <groupName>标点问题</groupName>
      <ability>L2_Punc</ability>
      <abilityName>标点符号检查</abilityName>
      <candidateList>
        <item>《土地复垦条例实施办法》</item>
      </candidateList>
      <explain/>
      <paraID>799EB58F</paraID>
      <start>0</start>
      <end>10</end>
      <status>unmodified</status>
      <modifiedWord/>
      <trackRevisions>false</trackRevisions>
    </reviewItem>
    <reviewItem>
      <errorID>b4c73b10-4ae5-46ba-a04f-42af8477160b</errorID>
      <errorWord>关于落实大气污染防治行动计划严格环境影响评价准入的通知</errorWord>
      <group>L1_Punc</group>
      <groupName>标点问题</groupName>
      <ability>L2_Punc</ability>
      <abilityName>标点符号检查</abilityName>
      <candidateList>
        <item>《关于落实大气污染防治行动计划严格环境影响评价准入的通知》</item>
      </candidateList>
      <explain/>
      <paraID>5DCB2A14</paraID>
      <start>0</start>
      <end>27</end>
      <status>unmodified</status>
      <modifiedWord/>
      <trackRevisions>false</trackRevisions>
    </reviewItem>
    <reviewItem>
      <errorID>516613d1-6e32-48f2-baa8-f6c4f74813f5</errorID>
      <errorWord>关于印发企业事业单位突发环境事件应急预案备案管理办法（试行）的通知</errorWord>
      <group>L1_Punc</group>
      <groupName>标点问题</groupName>
      <ability>L2_Punc</ability>
      <abilityName>标点符号检查</abilityName>
      <candidateList>
        <item>《关于印发企业事业单位突发环境事件应急预案备案管理办法（试行）的通知》</item>
      </candidateList>
      <explain/>
      <paraID> 21FD5D8</paraID>
      <start>0</start>
      <end>33</end>
      <status>unmodified</status>
      <modifiedWord/>
      <trackRevisions>false</trackRevisions>
    </reviewItem>
    <reviewItem>
      <errorID>2d343e14-6d97-4493-8c5e-7b59537ecdcf</errorID>
      <errorWord>突发环境事件应急管理办法</errorWord>
      <group>L1_Punc</group>
      <groupName>标点问题</groupName>
      <ability>L2_Punc</ability>
      <abilityName>标点符号检查</abilityName>
      <candidateList>
        <item>《突发环境事件应急管理办法》</item>
      </candidateList>
      <explain/>
      <paraID>719DB9A5</paraID>
      <start>0</start>
      <end>12</end>
      <status>unmodified</status>
      <modifiedWord/>
      <trackRevisions>false</trackRevisions>
    </reviewItem>
    <reviewItem>
      <errorID>7a05020c-775d-43d1-a7fa-7aec64bf0030</errorID>
      <errorWord>全国生态功能区划（修编版）</errorWord>
      <group>L1_Punc</group>
      <groupName>标点问题</groupName>
      <ability>L2_Punc</ability>
      <abilityName>标点符号检查</abilityName>
      <candidateList>
        <item>《全国生态功能区划（修编版）》</item>
      </candidateList>
      <explain/>
      <paraID> E5DF36B</paraID>
      <start>0</start>
      <end>13</end>
      <status>unmodified</status>
      <modifiedWord/>
      <trackRevisions>false</trackRevisions>
    </reviewItem>
    <reviewItem>
      <errorID>86e4fe7a-1dcc-4370-b80c-370fb808e1c9</errorID>
      <errorWord>关于印发〈建设项目环境保护事中事后监督管理办法（试行）〉的通知</errorWord>
      <group>L1_Punc</group>
      <groupName>标点问题</groupName>
      <ability>L2_Punc</ability>
      <abilityName>标点符号检查</abilityName>
      <candidateList>
        <item>《关于印发〈建设项目环境保护事中事后监督管理办法（试行）〉的通知》</item>
      </candidateList>
      <explain/>
      <paraID>7ED12575</paraID>
      <start>0</start>
      <end>31</end>
      <status>unmodified</status>
      <modifiedWord/>
      <trackRevisions>false</trackRevisions>
    </reviewItem>
    <reviewItem>
      <errorID>d7efb4a9-64c0-4b86-934c-953c8daccaf9</errorID>
      <errorWord>关于印发建设项目竣工环境保护验收现场检查及审查要点的通知</errorWord>
      <group>L1_Punc</group>
      <groupName>标点问题</groupName>
      <ability>L2_Punc</ability>
      <abilityName>标点符号检查</abilityName>
      <candidateList>
        <item>《关于印发建设项目竣工环境保护验收现场检查及审查要点的通知》</item>
      </candidateList>
      <explain/>
      <paraID>13D45203</paraID>
      <start>0</start>
      <end>28</end>
      <status>unmodified</status>
      <modifiedWord/>
      <trackRevisions>false</trackRevisions>
    </reviewItem>
    <reviewItem>
      <errorID>ed2842aa-0e2f-4937-9427-694080523753</errorID>
      <errorWord>关于以改善环境质量为核心加强环境影响评价管理的通知</errorWord>
      <group>L1_Punc</group>
      <groupName>标点问题</groupName>
      <ability>L2_Punc</ability>
      <abilityName>标点符号检查</abilityName>
      <candidateList>
        <item>《关于以改善环境质量为核心加强环境影响评价管理的通知》</item>
      </candidateList>
      <explain/>
      <paraID>3E3EA462</paraID>
      <start>0</start>
      <end>25</end>
      <status>unmodified</status>
      <modifiedWord/>
      <trackRevisions>false</trackRevisions>
    </reviewItem>
    <reviewItem>
      <errorID>a952291a-6750-4164-8b85-2ca7dcf6fc98</errorID>
      <errorWord>污染地块土壤环境管理办法（试行）</errorWord>
      <group>L1_Political</group>
      <groupName>政治性问题</groupName>
      <ability>L2_Keyword</ability>
      <abilityName>固定表述</abilityName>
      <candidateList>
        <item>《污染地块土壤环境管理办法（试行）》</item>
      </candidateList>
      <explain>此处内容疑似含有固定表述相关错误，建议核查。</explain>
      <paraID>792FF24A</paraID>
      <start>0</start>
      <end>16</end>
      <status>unmodified</status>
      <modifiedWord/>
      <trackRevisions>false</trackRevisions>
    </reviewItem>
    <reviewItem>
      <errorID>79dcf214-06a4-4583-877a-bb08b06ab5d0</errorID>
      <errorWord>建设项目危险废物环境影响评价指南</errorWord>
      <group>L1_Punc</group>
      <groupName>标点问题</groupName>
      <ability>L2_Punc</ability>
      <abilityName>标点符号检查</abilityName>
      <candidateList>
        <item>《建设项目危险废物环境影响评价指南》</item>
      </candidateList>
      <explain/>
      <paraID>12C78E72</paraID>
      <start>0</start>
      <end>16</end>
      <status>unmodified</status>
      <modifiedWord/>
      <trackRevisions>false</trackRevisions>
    </reviewItem>
    <reviewItem>
      <errorID>ba7c29c8-908d-4fd8-81fa-5343e524caa6</errorID>
      <errorWord>关于做好环境影响评价制度与排污许可制衔接相关工作的通知</errorWord>
      <group>L1_Political</group>
      <groupName>政治性问题</groupName>
      <ability>L2_Keyword</ability>
      <abilityName>固定表述</abilityName>
      <candidateList>
        <item>《关于做好环境影响评价制度与排污许可制衔接相关工作的通知》</item>
      </candidateList>
      <explain>此处内容疑似含有固定表述相关错误，建议核查。</explain>
      <paraID>1233FD0B</paraID>
      <start>0</start>
      <end>27</end>
      <status>unmodified</status>
      <modifiedWord/>
      <trackRevisions>false</trackRevisions>
    </reviewItem>
    <reviewItem>
      <errorID>dee74310-9df9-482a-a202-d7b870029631</errorID>
      <errorWord>关于发布〈建设项目竣工环境保护验收暂行办法〉的公告</errorWord>
      <group>L1_Punc</group>
      <groupName>标点问题</groupName>
      <ability>L2_Punc</ability>
      <abilityName>标点符号检查</abilityName>
      <candidateList>
        <item>《关于发布〈建设项目竣工环境保护验收暂行办法〉的公告》</item>
      </candidateList>
      <explain/>
      <paraID>2E7E5BDC</paraID>
      <start>0</start>
      <end>25</end>
      <status>unmodified</status>
      <modifiedWord/>
      <trackRevisions>false</trackRevisions>
    </reviewItem>
    <reviewItem>
      <errorID>bdb3e0f8-bda7-4c37-a1a6-4e13b729b982</errorID>
      <errorWord>“生态保护红线、环境质量底线、资源利用上线和环境准入负面清单”编制技术指南</errorWord>
      <group>L1_Political</group>
      <groupName>政治性问题</groupName>
      <ability>L2_Keyword</ability>
      <abilityName>固定表述</abilityName>
      <candidateList>
        <item>《“生态保护红线、环境质量底线、资源利用上线和环境准入负面清单”编制技术指南》</item>
      </candidateList>
      <explain>此处内容疑似含有固定表述相关错误，建议核查。</explain>
      <paraID> BFB03F6</paraID>
      <start>0</start>
      <end>37</end>
      <status>unmodified</status>
      <modifiedWord/>
      <trackRevisions>false</trackRevisions>
    </reviewItem>
    <reviewItem>
      <errorID>467d8222-f906-41aa-ad52-83627657faea</errorID>
      <errorWord>关于强化建设项目环境影响评价事中事后监管的实施意见</errorWord>
      <group>L1_Punc</group>
      <groupName>标点问题</groupName>
      <ability>L2_Punc</ability>
      <abilityName>标点符号检查</abilityName>
      <candidateList>
        <item>《关于强化建设项目环境影响评价事中事后监管的实施意见》</item>
      </candidateList>
      <explain/>
      <paraID>7037D151</paraID>
      <start>0</start>
      <end>25</end>
      <status>unmodified</status>
      <modifiedWord/>
      <trackRevisions>false</trackRevisions>
    </reviewItem>
    <reviewItem>
      <errorID>45320eb7-626a-4a14-90a7-c442d2f08cc7</errorID>
      <errorWord>工矿用地土壤环境管理办法（试行）</errorWord>
      <group>L1_Political</group>
      <groupName>政治性问题</groupName>
      <ability>L2_Keyword</ability>
      <abilityName>固定表述</abilityName>
      <candidateList>
        <item>《工矿用地土壤环境管理办法（试行）》</item>
      </candidateList>
      <explain>此处内容疑似含有固定表述相关错误，建议核查。</explain>
      <paraID>544BBA9E</paraID>
      <start>0</start>
      <end>16</end>
      <status>unmodified</status>
      <modifiedWord/>
      <trackRevisions>false</trackRevisions>
    </reviewItem>
    <reviewItem>
      <errorID>d4c48c97-4af7-483e-8902-4f9f9d5ae9c4</errorID>
      <errorWord>环境影响评价公众参与办法</errorWord>
      <group>L1_Punc</group>
      <groupName>标点问题</groupName>
      <ability>L2_Punc</ability>
      <abilityName>标点符号检查</abilityName>
      <candidateList>
        <item>《环境影响评价公众参与办法》</item>
      </candidateList>
      <explain/>
      <paraID>24742B27</paraID>
      <start>0</start>
      <end>12</end>
      <status>unmodified</status>
      <modifiedWord/>
      <trackRevisions>false</trackRevisions>
    </reviewItem>
    <reviewItem>
      <errorID>9c017ac9-5eff-46a7-a4d4-fa77fb4dda21</errorID>
      <errorWord>关于印发地下水污染防治实施方案的通知</errorWord>
      <group>L1_Punc</group>
      <groupName>标点问题</groupName>
      <ability>L2_Punc</ability>
      <abilityName>标点符号检查</abilityName>
      <candidateList>
        <item>《关于印发地下水污染防治实施方案的通知》</item>
      </candidateList>
      <explain/>
      <paraID>4361509D</paraID>
      <start>0</start>
      <end>18</end>
      <status>unmodified</status>
      <modifiedWord/>
      <trackRevisions>false</trackRevisions>
    </reviewItem>
    <reviewItem>
      <errorID>4c4ade60-c999-4697-b2d2-d89f20f61afb</errorID>
      <errorWord>关于提升危险废物环境监管能力、利用处置能力和环境风险防范能力的指导意见</errorWord>
      <group>L1_Punc</group>
      <groupName>标点问题</groupName>
      <ability>L2_Punc</ability>
      <abilityName>标点符号检查</abilityName>
      <candidateList>
        <item>《关于提升危险废物环境监管能力、利用处置能力和环境风险防范能力的指导意见》</item>
      </candidateList>
      <explain/>
      <paraID> E6A3EE8</paraID>
      <start>0</start>
      <end>35</end>
      <status>unmodified</status>
      <modifiedWord/>
      <trackRevisions>false</trackRevisions>
    </reviewItem>
    <reviewItem>
      <errorID>f7d01664-2a1f-42d1-8aa1-5973e5d4818b</errorID>
      <errorWord>关于深入推进重点行业清洁生产审核工作的通知</errorWord>
      <group>L1_Punc</group>
      <groupName>标点问题</groupName>
      <ability>L2_Punc</ability>
      <abilityName>标点符号检查</abilityName>
      <candidateList>
        <item>《关于深入推进重点行业清洁生产审核工作的通知》</item>
      </candidateList>
      <explain/>
      <paraID>5CCE747C</paraID>
      <start>0</start>
      <end>21</end>
      <status>unmodified</status>
      <modifiedWord/>
      <trackRevisions>false</trackRevisions>
    </reviewItem>
    <reviewItem>
      <errorID>7613c184-6cf1-424f-bc4d-038e2d47388d</errorID>
      <errorWord>关于加强生态保护监管工作的意见</errorWord>
      <group>L1_Punc</group>
      <groupName>标点问题</groupName>
      <ability>L2_Punc</ability>
      <abilityName>标点符号检查</abilityName>
      <candidateList>
        <item>《关于加强生态保护监管工作的意见》</item>
      </candidateList>
      <explain/>
      <paraID>2C9E325A</paraID>
      <start>0</start>
      <end>15</end>
      <status>unmodified</status>
      <modifiedWord/>
      <trackRevisions>false</trackRevisions>
    </reviewItem>
    <reviewItem>
      <errorID>f9425f6e-39e4-40c3-83a1-6d0ec5371798</errorID>
      <errorWord>关于加强重点行业建设项目区域削减措施监督管理的通知</errorWord>
      <group>L1_Punc</group>
      <groupName>标点问题</groupName>
      <ability>L2_Punc</ability>
      <abilityName>标点符号检查</abilityName>
      <candidateList>
        <item>《关于加强重点行业建设项目区域削减措施监督管理的通知》</item>
      </candidateList>
      <explain/>
      <paraID>70A36251</paraID>
      <start>0</start>
      <end>25</end>
      <status>unmodified</status>
      <modifiedWord/>
      <trackRevisions>false</trackRevisions>
    </reviewItem>
    <reviewItem>
      <errorID>fc7d6737-b508-405c-ae38-e4d29f4d0a06</errorID>
      <errorWord>建设项目环境影响评价分类管理名录</errorWord>
      <group>L1_Punc</group>
      <groupName>标点问题</groupName>
      <ability>L2_Punc</ability>
      <abilityName>标点符号检查</abilityName>
      <candidateList>
        <item>《建设项目环境影响评价分类管理名录》</item>
      </candidateList>
      <explain/>
      <paraID>5EB5DAE0</paraID>
      <start>0</start>
      <end>16</end>
      <status>unmodified</status>
      <modifiedWord/>
      <trackRevisions>false</trackRevisions>
    </reviewItem>
    <reviewItem>
      <errorID>10299afb-e00e-4f6c-978c-8b255b441bbf</errorID>
      <errorWord>国家危险废物名录（2025版）</errorWord>
      <group>L1_Punc</group>
      <groupName>标点问题</groupName>
      <ability>L2_Punc</ability>
      <abilityName>标点符号检查</abilityName>
      <candidateList>
        <item>《国家危险废物名录（2025版）》</item>
      </candidateList>
      <explain/>
      <paraID> 65017CC</paraID>
      <start>0</start>
      <end>15</end>
      <status>unmodified</status>
      <modifiedWord/>
      <trackRevisions>false</trackRevisions>
    </reviewItem>
    <reviewItem>
      <errorID>4429ec86-2b93-407f-9fac-e6006d031acd</errorID>
      <errorWord>关于发布重点监管单位土壤污染隐患排查指南（试行）的公告</errorWord>
      <group>L1_Punc</group>
      <groupName>标点问题</groupName>
      <ability>L2_Punc</ability>
      <abilityName>标点符号检查</abilityName>
      <candidateList>
        <item>《关于发布重点监管单位土壤污染隐患排查指南（试行）的公告》</item>
      </candidateList>
      <explain/>
      <paraID>6FC15ECC</paraID>
      <start>0</start>
      <end>27</end>
      <status>unmodified</status>
      <modifiedWord/>
      <trackRevisions>false</trackRevisions>
    </reviewItem>
    <reviewItem>
      <errorID>9b2f90e0-4729-4682-bacd-d8ae69968945</errorID>
      <errorWord>住房城乡建设部</errorWord>
      <group>L1_Word</group>
      <groupName>字词问题</groupName>
      <ability>L2_Typo</ability>
      <abilityName>字词错误</abilityName>
      <candidateList>
        <item>住房和城乡建设部</item>
      </candidateList>
      <explain/>
      <paraID>4F02417E</paraID>
      <start>22</start>
      <end>29</end>
      <status>unmodified</status>
      <modifiedWord/>
      <trackRevisions>false</trackRevisions>
    </reviewItem>
    <reviewItem>
      <errorID>1cf9f146-f7eb-494f-9235-80774fdf99cf</errorID>
      <errorWord>〔2023〕第7号</errorWord>
      <group>L1_Knowledge</group>
      <groupName>知识性问题</groupName>
      <ability>L2_Knowledge</ability>
      <abilityName>其他知识</abilityName>
      <candidateList>
        <item>〔2023〕7号</item>
      </candidateList>
      <explain>发文字号格式错误。</explain>
      <paraID>5B9C8C9C</paraID>
      <start>11</start>
      <end>20</end>
      <status>unmodified</status>
      <modifiedWord/>
      <trackRevisions>false</trackRevisions>
    </reviewItem>
    <reviewItem>
      <errorID>4d1e533c-8164-40c2-a181-7dd55c4e8468</errorID>
      <errorWord>新疆维吾尔自治区环境保护条例</errorWord>
      <group>L1_Knowledge</group>
      <groupName>知识性问题</groupName>
      <ability>L2_Knowledge</ability>
      <abilityName>其他知识</abilityName>
      <candidateList>
        <item>《新疆维吾尔自治区环境保护条例》</item>
      </candidateList>
      <explain>完整法律法规名称需要加书名号，请注意检查。</explain>
      <paraID>1942BC71</paraID>
      <start>0</start>
      <end>14</end>
      <status>unmodified</status>
      <modifiedWord/>
      <trackRevisions>false</trackRevisions>
    </reviewItem>
    <reviewItem>
      <errorID>04f162c4-7716-4e71-a6cd-457bc30758ca</errorID>
      <errorWord>13届</errorWord>
      <group>L1_Word</group>
      <groupName>字词问题</groupName>
      <ability>L2_Typo</ability>
      <abilityName>字词错误</abilityName>
      <candidateList>
        <item>十三届</item>
      </candidateList>
      <explain/>
      <paraID> C0ADFC7</paraID>
      <start>0</start>
      <end>3</end>
      <status>unmodified</status>
      <modifiedWord/>
      <trackRevisions>false</trackRevisions>
    </reviewItem>
    <reviewItem>
      <errorID>218371a0-d7af-4446-8ce2-810fcc01e2bc</errorID>
      <errorWord>新疆维吾尔自治区野生植物保护条例</errorWord>
      <group>L1_Knowledge</group>
      <groupName>知识性问题</groupName>
      <ability>L2_Knowledge</ability>
      <abilityName>其他知识</abilityName>
      <candidateList>
        <item>《新疆维吾尔自治区野生植物保护条例》</item>
      </candidateList>
      <explain>完整法律法规名称需要加书名号，请注意检查。</explain>
      <paraID>298C7A69</paraID>
      <start>0</start>
      <end>16</end>
      <status>unmodified</status>
      <modifiedWord/>
      <trackRevisions>false</trackRevisions>
    </reviewItem>
    <reviewItem>
      <errorID>52233707-dd05-4ea6-9553-b35d293f5a7a</errorID>
      <errorWord>13届</errorWord>
      <group>L1_Word</group>
      <groupName>字词问题</groupName>
      <ability>L2_Typo</ability>
      <abilityName>字词错误</abilityName>
      <candidateList>
        <item>十三届</item>
      </candidateList>
      <explain/>
      <paraID>4F789E5B</paraID>
      <start>0</start>
      <end>3</end>
      <status>unmodified</status>
      <modifiedWord/>
      <trackRevisions>false</trackRevisions>
    </reviewItem>
    <reviewItem>
      <errorID>20fd18e2-a90e-4bc8-bbd0-ce8e4f838eb0</errorID>
      <errorWord>新疆维吾尔自治区大气污染防治条例</errorWord>
      <group>L1_Knowledge</group>
      <groupName>知识性问题</groupName>
      <ability>L2_Knowledge</ability>
      <abilityName>其他知识</abilityName>
      <candidateList>
        <item>《新疆维吾尔自治区大气污染防治条例》</item>
      </candidateList>
      <explain>完整法律法规名称需要加书名号，请注意检查。</explain>
      <paraID>4E255568</paraID>
      <start>0</start>
      <end>16</end>
      <status>unmodified</status>
      <modifiedWord/>
      <trackRevisions>false</trackRevisions>
    </reviewItem>
    <reviewItem>
      <errorID>0c2ac625-af6d-4b8b-b520-6eb2051835bf</errorID>
      <errorWord>第13届</errorWord>
      <group>L1_Word</group>
      <groupName>字词问题</groupName>
      <ability>L2_Typo</ability>
      <abilityName>字词错误</abilityName>
      <candidateList>
        <item>十三届</item>
      </candidateList>
      <explain/>
      <paraID>6795835F</paraID>
      <start>3</start>
      <end>7</end>
      <status>unmodified</status>
      <modifiedWord/>
      <trackRevisions>false</trackRevisions>
    </reviewItem>
    <reviewItem>
      <errorID>940d3e31-ad3d-4f57-8b1b-e9ce9cbaac3e</errorID>
      <errorWord>十四五规划</errorWord>
      <group>L1_Other</group>
      <groupName>其他问题</groupName>
      <ability>L2_UserTypo</ability>
      <abilityName>自定义错误</abilityName>
      <candidateList>
        <item>“十四五”规划</item>
      </candidateList>
      <explain>来自自定义错词库。</explain>
      <paraID>1B613793</paraID>
      <start>8</start>
      <end>15</end>
      <status>modified</status>
      <modifiedWord>“十四五”规划</modifiedWord>
      <trackRevisions>false</trackRevisions>
    </reviewItem>
    <reviewItem>
      <errorID>cdee0f69-fad3-4adb-a6ac-a45b4a41c5b4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E6EFB9C</paraID>
      <start>26</start>
      <end>27</end>
      <status>unmodified</status>
      <modifiedWord/>
      <trackRevisions>false</trackRevisions>
    </reviewItem>
    <reviewItem>
      <errorID>b4afd571-6ed6-4229-8161-1c0a9d3dcc1a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2B78E4B0</paraID>
      <start>19</start>
      <end>20</end>
      <status>unmodified</status>
      <modifiedWord/>
      <trackRevisions>false</trackRevisions>
    </reviewItem>
    <reviewItem>
      <errorID>0af1ad35-0e9b-4550-ab32-dd35693efbe7</errorID>
      <errorWord>～</errorWord>
      <group>L1_Format</group>
      <groupName>格式问题</groupName>
      <ability>L2_HalfPunc</ability>
      <abilityName>全半角检查</abilityName>
      <candidateList>
        <item>~</item>
      </candidateList>
      <explain>文本全半角错误。</explain>
      <paraID>5E4CB280</paraID>
      <start>9</start>
      <end>10</end>
      <status>unmodified</status>
      <modifiedWord/>
      <trackRevisions>false</trackRevisions>
    </reviewItem>
    <reviewItem>
      <errorID>f50e234a-26f5-4b04-9d6d-d6b4fdca188b</errorID>
      <errorWord>T16453</errorWord>
      <group>L1_Word</group>
      <groupName>字词问题</groupName>
      <ability>L2_Typo</ability>
      <abilityName>字词错误</abilityName>
      <candidateList>
        <item>T 16453</item>
      </candidateList>
      <explain/>
      <paraID>6DA67C34</paraID>
      <start>3</start>
      <end>9</end>
      <status>unmodified</status>
      <modifiedWord/>
      <trackRevisions>false</trackRevisions>
    </reviewItem>
    <reviewItem>
      <errorID>697e8d4c-d7ca-4a53-92c7-c4e4d1de141f</errorID>
      <errorWord>~</errorWord>
      <group>L1_Punc</group>
      <groupName>标点问题</groupName>
      <ability>L2_Punc</ability>
      <abilityName>标点符号检查</abilityName>
      <candidateList>
        <item>～</item>
      </candidateList>
      <explain/>
      <paraID>6DA67C34</paraID>
      <start>11</start>
      <end>12</end>
      <status>unmodified</status>
      <modifiedWord/>
      <trackRevisions>false</trackRevisions>
    </reviewItem>
    <reviewItem>
      <errorID>2f99843f-353c-4e22-a59d-e0365ce539ea</errorID>
      <errorWord>环境影响</errorWord>
      <group>L1_Word</group>
      <groupName>字词问题</groupName>
      <ability>L2_Typo</ability>
      <abilityName>字词错误</abilityName>
      <candidateList>
        <item> 环境影响</item>
      </candidateList>
      <explain/>
      <paraID>651811A4</paraID>
      <start>3</start>
      <end>7</end>
      <status>unmodified</status>
      <modifiedWord/>
      <trackRevisions>false</trackRevisions>
    </reviewItem>
    <reviewItem>
      <errorID>d4f59492-aadc-4825-b772-f2608e7dc6cb</errorID>
      <errorWord>评价</errorWord>
      <group>L1_Word</group>
      <groupName>字词问题</groupName>
      <ability>L2_Typo</ability>
      <abilityName>字词错误</abilityName>
      <candidateList>
        <item> 评价</item>
      </candidateList>
      <explain/>
      <paraID>1ABE2CE9</paraID>
      <start>3</start>
      <end>5</end>
      <status>unmodified</status>
      <modifiedWord/>
      <trackRevisions>false</trackRevisions>
    </reviewItem>
    <reviewItem>
      <errorID>06f509cd-416b-4b8e-b53b-cdd458ddaaf0</errorID>
      <errorWord>环境影响</errorWord>
      <group>L1_Word</group>
      <groupName>字词问题</groupName>
      <ability>L2_Typo</ability>
      <abilityName>字词错误</abilityName>
      <candidateList>
        <item> 环境影响</item>
      </candidateList>
      <explain/>
      <paraID>58F5F910</paraID>
      <start>5</start>
      <end>9</end>
      <status>unmodified</status>
      <modifiedWord/>
      <trackRevisions>false</trackRevisions>
    </reviewItem>
    <reviewItem>
      <errorID>7474df79-4cca-49de-a335-3efed1d8a19f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25A63143</paraID>
      <start>0</start>
      <end>2</end>
      <status>unmodified</status>
      <modifiedWord/>
      <trackRevisions>false</trackRevisions>
    </reviewItem>
    <reviewItem>
      <errorID>3e7b6e2e-850f-47fb-885c-2214596965fe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7BCAF74B</paraID>
      <start>0</start>
      <end>2</end>
      <status>unmodified</status>
      <modifiedWord/>
      <trackRevisions>false</trackRevisions>
    </reviewItem>
    <reviewItem>
      <errorID>2bbf87ae-6282-4d0b-b811-cb78e9567706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5E36D223</paraID>
      <start>0</start>
      <end>2</end>
      <status>unmodified</status>
      <modifiedWord/>
      <trackRevisions>false</trackRevisions>
    </reviewItem>
    <reviewItem>
      <errorID>39eb3cca-a143-4c4d-bfcf-3736b36be40e</errorID>
      <errorWord>将最终</errorWord>
      <group>L1_Word</group>
      <groupName>字词问题</groupName>
      <ability>L2_Typo</ability>
      <abilityName>字词错误</abilityName>
      <candidateList>
        <item>最终将</item>
      </candidateList>
      <explain/>
      <paraID>4797215B</paraID>
      <start>26</start>
      <end>29</end>
      <status>unmodified</status>
      <modifiedWord/>
      <trackRevisions>false</trackRevisions>
    </reviewItem>
    <reviewItem>
      <errorID>7c62e086-f831-4243-8e92-2676ef53f5bb</errorID>
      <errorWord>GB3095</errorWord>
      <group>L1_Word</group>
      <groupName>字词问题</groupName>
      <ability>L2_Typo</ability>
      <abilityName>字词错误</abilityName>
      <candidateList>
        <item>GB 3095</item>
      </candidateList>
      <explain/>
      <paraID>31F1C920</paraID>
      <start>20</start>
      <end>26</end>
      <status>unmodified</status>
      <modifiedWord/>
      <trackRevisions>false</trackRevisions>
    </reviewItem>
    <reviewItem>
      <errorID>9d07a599-41c9-4746-b70a-5eefed8ad335</errorID>
      <errorWord>支一河</errorWord>
      <group>L1_Grammar</group>
      <groupName>语法问题</groupName>
      <ability>L2_Grammar</ability>
      <abilityName>语法错误</abilityName>
      <candidateList>
        <item>支</item>
      </candidateList>
      <explain/>
      <paraID>532DAF6B</paraID>
      <start>14</start>
      <end>17</end>
      <status>unmodified</status>
      <modifiedWord/>
      <trackRevisions>false</trackRevisions>
    </reviewItem>
    <reviewItem>
      <errorID>7855495a-4081-4158-a10f-d0504c667364</errorID>
      <errorWord>，</errorWord>
      <group>L1_Punc</group>
      <groupName>标点问题</groupName>
      <ability>L2_Punc</ability>
      <abilityName>标点符号检查</abilityName>
      <candidateList>
        <item>；</item>
      </candidateList>
      <explain/>
      <paraID>532DAF6B</paraID>
      <start>40</start>
      <end>41</end>
      <status>unmodified</status>
      <modifiedWord/>
      <trackRevisions>false</trackRevisions>
    </reviewItem>
    <reviewItem>
      <errorID>b1aca252-6de0-4789-984c-d33d1a694abd</errorID>
      <errorWord>支一河</errorWord>
      <group>L1_Grammar</group>
      <groupName>语法问题</groupName>
      <ability>L2_Grammar</ability>
      <abilityName>语法错误</abilityName>
      <candidateList>
        <item>支</item>
      </candidateList>
      <explain/>
      <paraID>532DAF6B</paraID>
      <start>52</start>
      <end>55</end>
      <status>unmodified</status>
      <modifiedWord/>
      <trackRevisions>false</trackRevisions>
    </reviewItem>
    <reviewItem>
      <errorID>3bc7d8c0-7259-49f2-b731-efcd0608398f</errorID>
      <errorWord>，</errorWord>
      <group>L1_Punc</group>
      <groupName>标点问题</groupName>
      <ability>L2_Punc</ability>
      <abilityName>标点符号检查</abilityName>
      <candidateList>
        <item>。</item>
      </candidateList>
      <explain/>
      <paraID>532DAF6B</paraID>
      <start>78</start>
      <end>79</end>
      <status>unmodified</status>
      <modifiedWord/>
      <trackRevisions>false</trackRevisions>
    </reviewItem>
    <reviewItem>
      <errorID>074d442c-ed63-4616-8f3f-73a1eaf43dbd</errorID>
      <errorWord>支一河</errorWord>
      <group>L1_Grammar</group>
      <groupName>语法问题</groupName>
      <ability>L2_Grammar</ability>
      <abilityName>语法错误</abilityName>
      <candidateList>
        <item>支</item>
      </candidateList>
      <explain/>
      <paraID>532DAF6B</paraID>
      <start>95</start>
      <end>98</end>
      <status>unmodified</status>
      <modifiedWord/>
      <trackRevisions>false</trackRevisions>
    </reviewItem>
    <reviewItem>
      <errorID>45ee4e3c-9682-4fb0-b27b-f813385e78a0</errorID>
      <errorWord>-</errorWord>
      <group>L1_Punc</group>
      <groupName>标点问题</groupName>
      <ability>L2_Punc</ability>
      <abilityName>标点符号检查</abilityName>
      <candidateList>
        <item>－</item>
      </candidateList>
      <explain/>
      <paraID>5B384103</paraID>
      <start>73</start>
      <end>74</end>
      <status>unmodified</status>
      <modifiedWord/>
      <trackRevisions>false</trackRevisions>
    </reviewItem>
    <reviewItem>
      <errorID>8f7d0f79-59b3-45e6-842c-2e82e9acf874</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259ABC3D</paraID>
      <start>10</start>
      <end>17</end>
      <status>unmodified</status>
      <modifiedWord/>
      <trackRevisions>false</trackRevisions>
    </reviewItem>
    <reviewItem>
      <errorID>060c02d2-8f9c-4d75-9a68-72b38c3ab379</errorID>
      <errorWord>GB3095-2026），本项目区的环境空气功能区划属二类功能区，执行《环境空气质量标准》（GB3095</errorWord>
      <group>L1_Grammar</group>
      <groupName>语法问题</groupName>
      <ability>L2_Grammar</ability>
      <abilityName>语法错误</abilityName>
      <candidateList>
        <item>GB 3095-2026），本项目区的环境空气功能区划属二类功能区，执行《环境空气质量标准》（GB 3095</item>
      </candidateList>
      <explain/>
      <paraID>744065A7</paraID>
      <start>13</start>
      <end>65</end>
      <status>unmodified</status>
      <modifiedWord/>
      <trackRevisions>false</trackRevisions>
    </reviewItem>
    <reviewItem>
      <errorID>932154b1-80b2-4df3-b735-d5e4d054b4e1</errorID>
      <errorWord>GB3095</errorWord>
      <group>L1_Word</group>
      <groupName>字词问题</groupName>
      <ability>L2_Typo</ability>
      <abilityName>字词错误</abilityName>
      <candidateList>
        <item>GB 3095</item>
      </candidateList>
      <explain/>
      <paraID>744065A7</paraID>
      <start>92</start>
      <end>98</end>
      <status>unmodified</status>
      <modifiedWord/>
      <trackRevisions>false</trackRevisions>
    </reviewItem>
    <reviewItem>
      <errorID>d7a1a9af-40d8-45c0-a6f3-47c11f19f42e</errorID>
      <errorWord>GB3095</errorWord>
      <group>L1_Word</group>
      <groupName>字词问题</groupName>
      <ability>L2_Typo</ability>
      <abilityName>字词错误</abilityName>
      <candidateList>
        <item>GB 3095</item>
      </candidateList>
      <explain/>
      <paraID>62861229</paraID>
      <start>21</start>
      <end>27</end>
      <status>unmodified</status>
      <modifiedWord/>
      <trackRevisions>false</trackRevisions>
    </reviewItem>
    <reviewItem>
      <errorID>c0ff99b7-f038-4f11-8929-22e720129f90</errorID>
      <errorWord>单位</errorWord>
      <group>L1_Word</group>
      <groupName>字词问题</groupName>
      <ability>L2_Typo</ability>
      <abilityName>字词错误</abilityName>
      <candidateList>
        <item> 单位</item>
      </candidateList>
      <explain/>
      <paraID> BA5018C</paraID>
      <start>19</start>
      <end>21</end>
      <status>unmodified</status>
      <modifiedWord/>
      <trackRevisions>false</trackRevisions>
    </reviewItem>
    <reviewItem>
      <errorID>ddafc777-498e-470b-80d8-4dccfb382ee9</errorID>
      <errorWord>GB3096</errorWord>
      <group>L1_Word</group>
      <groupName>字词问题</groupName>
      <ability>L2_Typo</ability>
      <abilityName>字词错误</abilityName>
      <candidateList>
        <item>GB 3096</item>
      </candidateList>
      <explain/>
      <paraID>60ED5BF9</paraID>
      <start>17</start>
      <end>23</end>
      <status>unmodified</status>
      <modifiedWord/>
      <trackRevisions>false</trackRevisions>
    </reviewItem>
    <reviewItem>
      <errorID>f70f58c7-386d-45ea-8eb4-ee29a435c785</errorID>
      <errorWord>（A）</errorWord>
      <group>L1_Punc</group>
      <groupName>标点问题</groupName>
      <ability>L2_Punc</ability>
      <abilityName>标点符号检查</abilityName>
      <candidateList>
        <item>(A)</item>
      </candidateList>
      <explain/>
      <paraID>6C7B67CC</paraID>
      <start>26</start>
      <end>29</end>
      <status>unmodified</status>
      <modifiedWord/>
      <trackRevisions>false</trackRevisions>
    </reviewItem>
    <reviewItem>
      <errorID>7b655acb-41b1-4573-810d-d0283e0a91b3</errorID>
      <errorWord>GB50137</errorWord>
      <group>L1_Word</group>
      <groupName>字词问题</groupName>
      <ability>L2_Typo</ability>
      <abilityName>字词错误</abilityName>
      <candidateList>
        <item>GB 50137</item>
      </candidateList>
      <explain/>
      <paraID>73E1564B</paraID>
      <start>23</start>
      <end>30</end>
      <status>unmodified</status>
      <modifiedWord/>
      <trackRevisions>false</trackRevisions>
    </reviewItem>
    <reviewItem>
      <errorID>5bd73c14-e681-4129-bffc-0e5c5c357ef0</errorID>
      <errorWord>GB36600</errorWord>
      <group>L1_Word</group>
      <groupName>字词问题</groupName>
      <ability>L2_Typo</ability>
      <abilityName>字词错误</abilityName>
      <candidateList>
        <item>GB 36600</item>
      </candidateList>
      <explain/>
      <paraID>73E1564B</paraID>
      <start>89</start>
      <end>96</end>
      <status>unmodified</status>
      <modifiedWord/>
      <trackRevisions>false</trackRevisions>
    </reviewItem>
    <reviewItem>
      <errorID>e48de58d-a29f-4591-a61f-ffd86a23cdb7</errorID>
      <errorWord>GB15618</errorWord>
      <group>L1_Word</group>
      <groupName>字词问题</groupName>
      <ability>L2_Typo</ability>
      <abilityName>字词错误</abilityName>
      <candidateList>
        <item>GB 15618</item>
      </candidateList>
      <explain/>
      <paraID>73E1564B</paraID>
      <start>160</start>
      <end>167</end>
      <status>unmodified</status>
      <modifiedWord/>
      <trackRevisions>false</trackRevisions>
    </reviewItem>
    <reviewItem>
      <errorID>0eecf0b3-50ce-482f-97bf-a02dc18e6a0e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4968835B</paraID>
      <start>0</start>
      <end>2</end>
      <status>unmodified</status>
      <modifiedWord/>
      <trackRevisions>false</trackRevisions>
    </reviewItem>
    <reviewItem>
      <errorID>8aad8f54-d22d-4c6d-9cb0-0c3b8a0b2346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E42CAA5</paraID>
      <start>0</start>
      <end>2</end>
      <status>unmodified</status>
      <modifiedWord/>
      <trackRevisions>false</trackRevisions>
    </reviewItem>
    <reviewItem>
      <errorID>11bacebe-159e-4dd4-9b3b-5b34d78b8608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589B57D1</paraID>
      <start>0</start>
      <end>2</end>
      <status>unmodified</status>
      <modifiedWord/>
      <trackRevisions>false</trackRevisions>
    </reviewItem>
    <reviewItem>
      <errorID>e89fc28e-2170-4727-87f4-7983158db8df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6095737B</paraID>
      <start>0</start>
      <end>2</end>
      <status>unmodified</status>
      <modifiedWord/>
      <trackRevisions>false</trackRevisions>
    </reviewItem>
    <reviewItem>
      <errorID>d37d7080-ae88-4827-8ad7-6cf7ec980b6a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5BBCA794</paraID>
      <start>0</start>
      <end>2</end>
      <status>unmodified</status>
      <modifiedWord/>
      <trackRevisions>false</trackRevisions>
    </reviewItem>
    <reviewItem>
      <errorID>23bbf5fa-c6a3-4595-9db6-01f0bb53c8e9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48001ECB</paraID>
      <start>0</start>
      <end>2</end>
      <status>unmodified</status>
      <modifiedWord/>
      <trackRevisions>false</trackRevisions>
    </reviewItem>
    <reviewItem>
      <errorID>41676752-3bf8-417d-943d-9f553b2c63a7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77D32C72</paraID>
      <start>0</start>
      <end>2</end>
      <status>unmodified</status>
      <modifiedWord/>
      <trackRevisions>false</trackRevisions>
    </reviewItem>
    <reviewItem>
      <errorID>47bc77d6-9092-4bd7-bb90-67b05660222d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24F972EA</paraID>
      <start>0</start>
      <end>2</end>
      <status>unmodified</status>
      <modifiedWord/>
      <trackRevisions>false</trackRevisions>
    </reviewItem>
    <reviewItem>
      <errorID>300af0e5-148a-4be6-ab36-57542c12c300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22A2EBDB</paraID>
      <start>0</start>
      <end>2</end>
      <status>unmodified</status>
      <modifiedWord/>
      <trackRevisions>false</trackRevisions>
    </reviewItem>
    <reviewItem>
      <errorID>0957f08f-5e2d-43a4-b6db-74c57ba3dae0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293E084C</paraID>
      <start>0</start>
      <end>2</end>
      <status>unmodified</status>
      <modifiedWord/>
      <trackRevisions>false</trackRevisions>
    </reviewItem>
    <reviewItem>
      <errorID>df39833b-d75d-4383-a1b3-892b09288aeb</errorID>
      <errorWord>、</errorWord>
      <group>L1_Word</group>
      <groupName>字词问题</groupName>
      <ability>L2_Typo</ability>
      <abilityName>字词错误</abilityName>
      <candidateList>
        <item>及</item>
      </candidateList>
      <explain/>
      <paraID>1B3B7613</paraID>
      <start>67</start>
      <end>68</end>
      <status>unmodified</status>
      <modifiedWord/>
      <trackRevisions>false</trackRevisions>
    </reviewItem>
    <reviewItem>
      <errorID>3c28e2e5-66fb-45c8-8188-0a0bae5c7f07</errorID>
      <errorWord>T18920</errorWord>
      <group>L1_Word</group>
      <groupName>字词问题</groupName>
      <ability>L2_Typo</ability>
      <abilityName>字词错误</abilityName>
      <candidateList>
        <item>T 18920</item>
      </candidateList>
      <explain/>
      <paraID> 5E4150A</paraID>
      <start>219</start>
      <end>225</end>
      <status>unmodified</status>
      <modifiedWord/>
      <trackRevisions>false</trackRevisions>
    </reviewItem>
    <reviewItem>
      <errorID>5855f142-6960-4e35-9db9-d45bc6cbb2c7</errorID>
      <errorWord>mg</errorWord>
      <group>L1_Punc</group>
      <groupName>标点问题</groupName>
      <ability>L2_Punc</ability>
      <abilityName>标点符号检查</abilityName>
      <candidateList>
        <item>：mg</item>
      </candidateList>
      <explain/>
      <paraID>5AB5D211</paraID>
      <start>28</start>
      <end>30</end>
      <status>unmodified</status>
      <modifiedWord/>
      <trackRevisions>false</trackRevisions>
    </reviewItem>
    <reviewItem>
      <errorID>30851e84-385a-4752-8132-f438f6cc111a</errorID>
      <errorWord>mg</errorWord>
      <group>L1_Punc</group>
      <groupName>标点问题</groupName>
      <ability>L2_Punc</ability>
      <abilityName>标点符号检查</abilityName>
      <candidateList>
        <item>：mg</item>
      </candidateList>
      <explain/>
      <paraID>64A04101</paraID>
      <start>30</start>
      <end>32</end>
      <status>unmodified</status>
      <modifiedWord/>
      <trackRevisions>false</trackRevisions>
    </reviewItem>
    <reviewItem>
      <errorID>0a06d449-6698-493e-8f1b-ce2b145ae000</errorID>
      <errorWord>mg</errorWord>
      <group>L1_Punc</group>
      <groupName>标点问题</groupName>
      <ability>L2_Punc</ability>
      <abilityName>标点符号检查</abilityName>
      <candidateList>
        <item>：mg</item>
      </candidateList>
      <explain/>
      <paraID>2C111B8A</paraID>
      <start>34</start>
      <end>36</end>
      <status>unmodified</status>
      <modifiedWord/>
      <trackRevisions>false</trackRevisions>
    </reviewItem>
    <reviewItem>
      <errorID>519d8f45-3c6f-42b9-bde2-98054a68c2bd</errorID>
      <errorWord>（A）</errorWord>
      <group>L1_Punc</group>
      <groupName>标点问题</groupName>
      <ability>L2_Punc</ability>
      <abilityName>标点符号检查</abilityName>
      <candidateList>
        <item>(A)</item>
      </candidateList>
      <explain/>
      <paraID>3BC43125</paraID>
      <start>32</start>
      <end>35</end>
      <status>unmodified</status>
      <modifiedWord/>
      <trackRevisions>false</trackRevisions>
    </reviewItem>
    <reviewItem>
      <errorID>5aa2bcdc-7c82-4cd6-aebf-a5648967182f</errorID>
      <errorWord>GB12348</errorWord>
      <group>L1_Word</group>
      <groupName>字词问题</groupName>
      <ability>L2_Typo</ability>
      <abilityName>字词错误</abilityName>
      <candidateList>
        <item>GB 12348</item>
      </candidateList>
      <explain/>
      <paraID>1378B6D3</paraID>
      <start>24</start>
      <end>31</end>
      <status>unmodified</status>
      <modifiedWord/>
      <trackRevisions>false</trackRevisions>
    </reviewItem>
    <reviewItem>
      <errorID>aa1e2e86-d42f-4c11-b504-219051308265</errorID>
      <errorWord>GB18599</errorWord>
      <group>L1_Word</group>
      <groupName>字词问题</groupName>
      <ability>L2_Typo</ability>
      <abilityName>字词错误</abilityName>
      <candidateList>
        <item>GB 18599</item>
      </candidateList>
      <explain/>
      <paraID>22EAFD20</paraID>
      <start>30</start>
      <end>37</end>
      <status>unmodified</status>
      <modifiedWord/>
      <trackRevisions>false</trackRevisions>
    </reviewItem>
    <reviewItem>
      <errorID>d57cd060-1ec7-436c-8c6b-cc810f7488db</errorID>
      <errorWord>）中的固体废物执行标准</errorWord>
      <group>L1_Grammar</group>
      <groupName>语法问题</groupName>
      <ability>L2_Grammar</ability>
      <abilityName>语法错误</abilityName>
      <candidateList>
        <item>）</item>
      </candidateList>
      <explain/>
      <paraID>22EAFD20</paraID>
      <start>42</start>
      <end>53</end>
      <status>unmodified</status>
      <modifiedWord/>
      <trackRevisions>false</trackRevisions>
    </reviewItem>
    <reviewItem>
      <errorID>64970424-f49d-422b-bc6e-99958c004ca8</errorID>
      <errorWord>T15555</errorWord>
      <group>L1_Word</group>
      <groupName>字词问题</groupName>
      <ability>L2_Typo</ability>
      <abilityName>字词错误</abilityName>
      <candidateList>
        <item>T 15555</item>
      </candidateList>
      <explain/>
      <paraID>1574BA37</paraID>
      <start>5</start>
      <end>11</end>
      <status>unmodified</status>
      <modifiedWord/>
      <trackRevisions>false</trackRevisions>
    </reviewItem>
    <reviewItem>
      <errorID>140ac12c-e5ac-47b9-a4e4-e7f7d9488211</errorID>
      <errorWord>危险物</errorWord>
      <group>L1_Word</group>
      <groupName>字词问题</groupName>
      <ability>L2_Typo</ability>
      <abilityName>字词错误</abilityName>
      <candidateList>
        <item>危险废物</item>
      </candidateList>
      <explain/>
      <paraID>1574BA37</paraID>
      <start>52</start>
      <end>55</end>
      <status>unmodified</status>
      <modifiedWord/>
      <trackRevisions>false</trackRevisions>
    </reviewItem>
    <reviewItem>
      <errorID>b536f7d7-c740-4699-b671-b87df192e76f</errorID>
      <errorWord>隔</errorWord>
      <group>L1_Word</group>
      <groupName>字词问题</groupName>
      <ability>L2_Typo</ability>
      <abilityName>字词错误</abilityName>
      <candidateList>
        <item>镉</item>
      </candidateList>
      <explain/>
      <paraID>459F85DF</paraID>
      <start>4</start>
      <end>5</end>
      <status>modified</status>
      <modifiedWord>镉</modifiedWord>
      <trackRevisions>false</trackRevisions>
    </reviewItem>
    <reviewItem>
      <errorID>c36542c2-95b4-4568-a028-cbe08e101643</errorID>
      <errorWord>，</errorWord>
      <group>L1_Word</group>
      <groupName>字词问题</groupName>
      <ability>L2_Typo</ability>
      <abilityName>字词错误</abilityName>
      <candidateList>
        <item>，以</item>
      </candidateList>
      <explain/>
      <paraID>196411DE</paraID>
      <start>87</start>
      <end>88</end>
      <status>unmodified</status>
      <modifiedWord/>
      <trackRevisions>false</trackRevisions>
    </reviewItem>
    <reviewItem>
      <errorID>c64a0c4c-ceb2-4128-a115-413c42b02062</errorID>
      <errorWord>表2.6 3</errorWord>
      <group>L1_Other</group>
      <groupName>其他问题</groupName>
      <ability>L2_Consistency</ability>
      <abilityName>一致性检查</abilityName>
      <candidateList>
        <item>表2.6-3</item>
      </candidateList>
      <explain>数字一致性错误，全文表格编号统一使用连接符“-”，此处编号格式不一致</explain>
      <paraID>39943884</paraID>
      <start>0</start>
      <end>6</end>
      <status>unmodified</status>
      <modifiedWord/>
      <trackRevisions>false</trackRevisions>
    </reviewItem>
    <reviewItem>
      <errorID>df439393-a1e0-46d0-b824-52fddf1b1d25</errorID>
      <errorWord>海拔高度</errorWord>
      <group>L1_Word</group>
      <groupName>字词问题</groupName>
      <ability>L2_Typo</ability>
      <abilityName>字词错误</abilityName>
      <candidateList>
        <item>海拔</item>
      </candidateList>
      <explain>〈名〉从平均海平面起算的高度。</explain>
      <paraID>75B4AB3B</paraID>
      <start>5</start>
      <end>9</end>
      <status>unmodified</status>
      <modifiedWord/>
      <trackRevisions>false</trackRevisions>
    </reviewItem>
    <reviewItem>
      <errorID>c46b3285-9c3f-41ff-888f-a78c57c11198</errorID>
      <errorWord>表2.6 4</errorWord>
      <group>L1_Other</group>
      <groupName>其他问题</groupName>
      <ability>L2_Consistency</ability>
      <abilityName>一致性检查</abilityName>
      <candidateList>
        <item>表2.6-4</item>
      </candidateList>
      <explain>数字一致性错误，全文表格编号统一使用连接符“-”，此处编号格式不一致</explain>
      <paraID>27C8669A</paraID>
      <start>0</start>
      <end>6</end>
      <status>unmodified</status>
      <modifiedWord/>
      <trackRevisions>false</trackRevisions>
    </reviewItem>
    <reviewItem>
      <errorID>096beae5-f35c-4793-93b6-c764c6a04255</errorID>
      <errorWord>海拔高度</errorWord>
      <group>L1_Word</group>
      <groupName>字词问题</groupName>
      <ability>L2_Typo</ability>
      <abilityName>字词错误</abilityName>
      <candidateList>
        <item>海拔</item>
      </candidateList>
      <explain>〈名〉从平均海平面起算的高度。</explain>
      <paraID>35DB084C</paraID>
      <start>2</start>
      <end>6</end>
      <status>unmodified</status>
      <modifiedWord/>
      <trackRevisions>false</trackRevisions>
    </reviewItem>
    <reviewItem>
      <errorID>be89e823-3859-46a8-9ea3-2f6277658e54</errorID>
      <errorWord>（</errorWord>
      <group>L1_Format</group>
      <groupName>格式问题</groupName>
      <ability>L2_HalfPunc</ability>
      <abilityName>全半角检查</abilityName>
      <candidateList>
        <item>(</item>
      </candidateList>
      <explain>文本全半角错误。</explain>
      <paraID>405CAAC0</paraID>
      <start>4</start>
      <end>5</end>
      <status>unmodified</status>
      <modifiedWord/>
      <trackRevisions>false</trackRevisions>
    </reviewItem>
    <reviewItem>
      <errorID>a4aa3576-3501-4688-91be-b80821763d84</errorID>
      <errorWord>）</errorWord>
      <group>L1_Format</group>
      <groupName>格式问题</groupName>
      <ability>L2_HalfPunc</ability>
      <abilityName>全半角检查</abilityName>
      <candidateList>
        <item>)</item>
      </candidateList>
      <explain>文本全半角错误。</explain>
      <paraID>405CAAC0</paraID>
      <start>6</start>
      <end>7</end>
      <status>unmodified</status>
      <modifiedWord/>
      <trackRevisions>false</trackRevisions>
    </reviewItem>
    <reviewItem>
      <errorID>d35ebba8-31d1-47ee-822b-7d934e673371</errorID>
      <errorWord>（</errorWord>
      <group>L1_Format</group>
      <groupName>格式问题</groupName>
      <ability>L2_HalfPunc</ability>
      <abilityName>全半角检查</abilityName>
      <candidateList>
        <item>(</item>
      </candidateList>
      <explain>文本全半角错误。</explain>
      <paraID>79B649F0</paraID>
      <start>3</start>
      <end>4</end>
      <status>unmodified</status>
      <modifiedWord/>
      <trackRevisions>false</trackRevisions>
    </reviewItem>
    <reviewItem>
      <errorID>1da0e8dd-5716-4d75-963d-391e43eca947</errorID>
      <errorWord>）</errorWord>
      <group>L1_Format</group>
      <groupName>格式问题</groupName>
      <ability>L2_HalfPunc</ability>
      <abilityName>全半角检查</abilityName>
      <candidateList>
        <item>)</item>
      </candidateList>
      <explain>文本全半角错误。</explain>
      <paraID>79B649F0</paraID>
      <start>5</start>
      <end>6</end>
      <status>unmodified</status>
      <modifiedWord/>
      <trackRevisions>false</trackRevisions>
    </reviewItem>
    <reviewItem>
      <errorID>dfd222ee-7226-4e33-8425-05ede3396a74</errorID>
      <errorWord>按</errorWord>
      <group>L1_Word</group>
      <groupName>字词问题</groupName>
      <ability>L2_Typo</ability>
      <abilityName>字词错误</abilityName>
      <candidateList>
        <item>按照</item>
      </candidateList>
      <explain/>
      <paraID>3D06985F</paraID>
      <start>64</start>
      <end>65</end>
      <status>unmodified</status>
      <modifiedWord/>
      <trackRevisions>false</trackRevisions>
    </reviewItem>
    <reviewItem>
      <errorID>a0d3e6f5-d91f-4fbf-8bf0-0c61feddd275</errorID>
      <errorWord>HJ2</errorWord>
      <group>L1_Word</group>
      <groupName>字词问题</groupName>
      <ability>L2_Typo</ability>
      <abilityName>字词错误</abilityName>
      <candidateList>
        <item>HJ 2</item>
      </candidateList>
      <explain/>
      <paraID>3D06985F</paraID>
      <start>83</start>
      <end>86</end>
      <status>unmodified</status>
      <modifiedWord/>
      <trackRevisions>false</trackRevisions>
    </reviewItem>
    <reviewItem>
      <errorID>a027f2b4-c6bc-4896-9f1c-dfca2f928306</errorID>
      <errorWord>规定</errorWord>
      <group>L1_Word</group>
      <groupName>字词问题</groupName>
      <ability>L2_Typo</ability>
      <abilityName>字词错误</abilityName>
      <candidateList>
        <item>的规定</item>
      </candidateList>
      <explain/>
      <paraID>3D06985F</paraID>
      <start>94</start>
      <end>96</end>
      <status>unmodified</status>
      <modifiedWord/>
      <trackRevisions>false</trackRevisions>
    </reviewItem>
    <reviewItem>
      <errorID>d1e07f3f-9595-4511-add9-f808df28d28a</errorID>
      <errorWord>HJ2</errorWord>
      <group>L1_Word</group>
      <groupName>字词问题</groupName>
      <ability>L2_Typo</ability>
      <abilityName>字词错误</abilityName>
      <candidateList>
        <item>HJ 2</item>
      </candidateList>
      <explain/>
      <paraID>524128CC</paraID>
      <start>180</start>
      <end>183</end>
      <status>unmodified</status>
      <modifiedWord/>
      <trackRevisions>false</trackRevisions>
    </reviewItem>
    <reviewItem>
      <errorID>ab841ce2-f7ac-4a30-a94b-16eac3e3f116</errorID>
      <errorWord>HJ610</errorWord>
      <group>L1_Word</group>
      <groupName>字词问题</groupName>
      <ability>L2_Typo</ability>
      <abilityName>字词错误</abilityName>
      <candidateList>
        <item>HJ 610</item>
      </candidateList>
      <explain/>
      <paraID>687A7627</paraID>
      <start>55</start>
      <end>60</end>
      <status>unmodified</status>
      <modifiedWord/>
      <trackRevisions>false</trackRevisions>
    </reviewItem>
    <reviewItem>
      <errorID>969457db-b983-4b82-8d64-8e263c60c6f9</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687A7627</paraID>
      <start>170</start>
      <end>175</end>
      <status>unmodified</status>
      <modifiedWord/>
      <trackRevisions>false</trackRevisions>
    </reviewItem>
    <reviewItem>
      <errorID>d07814e6-9660-43d2-9f34-d9be6a5d01c3</errorID>
      <errorWord>HJ610</errorWord>
      <group>L1_Word</group>
      <groupName>字词问题</groupName>
      <ability>L2_Typo</ability>
      <abilityName>字词错误</abilityName>
      <candidateList>
        <item>HJ 610</item>
      </candidateList>
      <explain/>
      <paraID>687A7627</paraID>
      <start>213</start>
      <end>218</end>
      <status>unmodified</status>
      <modifiedWord/>
      <trackRevisions>false</trackRevisions>
    </reviewItem>
    <reviewItem>
      <errorID>65384400-9c29-45f2-84e6-224d03a18672</errorID>
      <errorWord>(</errorWord>
      <group>L1_Format</group>
      <groupName>格式问题</groupName>
      <ability>L2_HalfPunc</ability>
      <abilityName>全半角检查</abilityName>
      <candidateList>
        <item>（</item>
      </candidateList>
      <explain>文本全半角错误。</explain>
      <paraID>2ABD7DB5</paraID>
      <start>8</start>
      <end>9</end>
      <status>unmodified</status>
      <modifiedWord/>
      <trackRevisions>false</trackRevisions>
    </reviewItem>
    <reviewItem>
      <errorID>ed7ffff3-31b1-45db-8506-c1decc34b56b</errorID>
      <errorWord>)</errorWord>
      <group>L1_Format</group>
      <groupName>格式问题</groupName>
      <ability>L2_HalfPunc</ability>
      <abilityName>全半角检查</abilityName>
      <candidateList>
        <item>）</item>
      </candidateList>
      <explain>文本全半角错误。</explain>
      <paraID>2ABD7DB5</paraID>
      <start>38</start>
      <end>39</end>
      <status>unmodified</status>
      <modifiedWord/>
      <trackRevisions>false</trackRevisions>
    </reviewItem>
    <reviewItem>
      <errorID>130c39e9-c8e3-4892-a7f1-aa4cb2c8e614</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2ABD7DB5</paraID>
      <start>72</start>
      <end>77</end>
      <status>unmodified</status>
      <modifiedWord/>
      <trackRevisions>false</trackRevisions>
    </reviewItem>
    <reviewItem>
      <errorID>69480df1-a459-4e8e-b120-538d974fc66a</errorID>
      <errorWord>(</errorWord>
      <group>L1_Format</group>
      <groupName>格式问题</groupName>
      <ability>L2_HalfPunc</ability>
      <abilityName>全半角检查</abilityName>
      <candidateList>
        <item>（</item>
      </candidateList>
      <explain>文本全半角错误。</explain>
      <paraID>16FF4AE2</paraID>
      <start>8</start>
      <end>9</end>
      <status>unmodified</status>
      <modifiedWord/>
      <trackRevisions>false</trackRevisions>
    </reviewItem>
    <reviewItem>
      <errorID>7ca5cb45-2ccb-4d20-8926-05af4f7eb7d4</errorID>
      <errorWord>)</errorWord>
      <group>L1_Format</group>
      <groupName>格式问题</groupName>
      <ability>L2_HalfPunc</ability>
      <abilityName>全半角检查</abilityName>
      <candidateList>
        <item>）</item>
      </candidateList>
      <explain>文本全半角错误。</explain>
      <paraID>16FF4AE2</paraID>
      <start>37</start>
      <end>38</end>
      <status>unmodified</status>
      <modifiedWord/>
      <trackRevisions>false</trackRevisions>
    </reviewItem>
    <reviewItem>
      <errorID>fc24592a-01c9-4fa5-91b1-21ade55488e4</errorID>
      <errorWord>其它未</errorWord>
      <group>L1_Word</group>
      <groupName>字词问题</groupName>
      <ability>L2_Alias</ability>
      <abilityName>也作/曾用词</abilityName>
      <candidateList>
        <item>其他未</item>
      </candidateList>
      <explain>词汇[其它未]为不规范表述或旧称，其规范书面表述为[其他未]。</explain>
      <paraID>16FF4AE2</paraID>
      <start>117</start>
      <end>120</end>
      <status>unmodified</status>
      <modifiedWord/>
      <trackRevisions>false</trackRevisions>
    </reviewItem>
    <reviewItem>
      <errorID>89c24e1b-5f47-4d2b-ad1e-1812bad21ee5</errorID>
      <errorWord>II类</errorWord>
      <group>L1_Knowledge</group>
      <groupName>知识性问题</groupName>
      <ability>L2_Knowledge</ability>
      <abilityName>其他知识</abilityName>
      <candidateList>
        <item>Ⅱ类</item>
      </candidateList>
      <explain>中文环境下罗马数字格式错误。</explain>
      <paraID> B893DAC</paraID>
      <start>0</start>
      <end>3</end>
      <status>unmodified</status>
      <modifiedWord/>
      <trackRevisions>false</trackRevisions>
    </reviewItem>
    <reviewItem>
      <errorID>3142f0c8-afb1-4b06-b11a-aa1ef25ede93</errorID>
      <errorWord>III类</errorWord>
      <group>L1_Knowledge</group>
      <groupName>知识性问题</groupName>
      <ability>L2_Knowledge</ability>
      <abilityName>其他知识</abilityName>
      <candidateList>
        <item>Ⅲ类</item>
      </candidateList>
      <explain>中文环境下罗马数字格式错误。</explain>
      <paraID>2FDE8C79</paraID>
      <start>0</start>
      <end>4</end>
      <status>unmodified</status>
      <modifiedWord/>
      <trackRevisions>false</trackRevisions>
    </reviewItem>
    <reviewItem>
      <errorID>74f1ec9c-cd15-4652-88e1-76496fe42c79</errorID>
      <errorWord>评价</errorWord>
      <group>L1_Grammar</group>
      <groupName>语法问题</groupName>
      <ability>L2_Grammar</ability>
      <abilityName>语法错误</abilityName>
      <candidateList>
        <item>环境评价</item>
      </candidateList>
      <explain/>
      <paraID>7078DAF8</paraID>
      <start>8</start>
      <end>10</end>
      <status>unmodified</status>
      <modifiedWord/>
      <trackRevisions>false</trackRevisions>
    </reviewItem>
    <reviewItem>
      <errorID>9aed8bbc-6074-4f1f-befb-b8c3466698e6</errorID>
      <errorWord>GB3096</errorWord>
      <group>L1_Word</group>
      <groupName>字词问题</groupName>
      <ability>L2_Typo</ability>
      <abilityName>字词错误</abilityName>
      <candidateList>
        <item>GB 3096</item>
      </candidateList>
      <explain/>
      <paraID>383F117E</paraID>
      <start>15</start>
      <end>21</end>
      <status>unmodified</status>
      <modifiedWord/>
      <trackRevisions>false</trackRevisions>
    </reviewItem>
    <reviewItem>
      <errorID>722b85e6-3b5b-40fa-b887-4deb69ea4e4f</errorID>
      <errorWord>中</errorWord>
      <group>L1_Word</group>
      <groupName>字词问题</groupName>
      <ability>L2_Typo</ability>
      <abilityName>字词错误</abilityName>
      <candidateList>
        <item>规定</item>
      </candidateList>
      <explain/>
      <paraID>383F117E</paraID>
      <start>27</start>
      <end>28</end>
      <status>unmodified</status>
      <modifiedWord/>
      <trackRevisions>false</trackRevisions>
    </reviewItem>
    <reviewItem>
      <errorID>66c0d72c-dbef-497a-a43a-2342ae2622fc</errorID>
      <errorWord>HJ2</errorWord>
      <group>L1_Word</group>
      <groupName>字词问题</groupName>
      <ability>L2_Typo</ability>
      <abilityName>字词错误</abilityName>
      <candidateList>
        <item>HJ 2</item>
      </candidateList>
      <explain/>
      <paraID>383F117E</paraID>
      <start>85</start>
      <end>88</end>
      <status>unmodified</status>
      <modifiedWord/>
      <trackRevisions>false</trackRevisions>
    </reviewItem>
    <reviewItem>
      <errorID>7e5b7dea-6101-4c1a-ba7c-dca191d8f4c8</errorID>
      <errorWord>II</errorWord>
      <group>L1_Knowledge</group>
      <groupName>知识性问题</groupName>
      <ability>L2_Knowledge</ability>
      <abilityName>其他知识</abilityName>
      <candidateList>
        <item>Ⅱ</item>
      </candidateList>
      <explain>中文环境下罗马数字格式错误。</explain>
      <paraID>4B46F71C</paraID>
      <start>0</start>
      <end>2</end>
      <status>unmodified</status>
      <modifiedWord/>
      <trackRevisions>false</trackRevisions>
    </reviewItem>
    <reviewItem>
      <errorID>d392a4c8-e22e-4398-b4b4-caf70cc37b6b</errorID>
      <errorWord>III</errorWord>
      <group>L1_Knowledge</group>
      <groupName>知识性问题</groupName>
      <ability>L2_Knowledge</ability>
      <abilityName>其他知识</abilityName>
      <candidateList>
        <item>Ⅲ</item>
      </candidateList>
      <explain>中文环境下罗马数字格式错误。</explain>
      <paraID>49714305</paraID>
      <start>0</start>
      <end>3</end>
      <status>unmodified</status>
      <modifiedWord/>
      <trackRevisions>false</trackRevisions>
    </reviewItem>
    <reviewItem>
      <errorID>fdd946b3-cc02-467a-b7dc-d277d2b8a816</errorID>
      <errorWord>煤气层</errorWord>
      <group>L1_Word</group>
      <groupName>字词问题</groupName>
      <ability>L2_Typo</ability>
      <abilityName>字词错误</abilityName>
      <candidateList>
        <item>煤层气</item>
      </candidateList>
      <explain/>
      <paraID>29187BF5</paraID>
      <start>35</start>
      <end>38</end>
      <status>unmodified</status>
      <modifiedWord/>
      <trackRevisions>false</trackRevisions>
    </reviewItem>
    <reviewItem>
      <errorID>26ade4b3-d1d1-4d00-b89f-19764b2ad8df</errorID>
      <errorWord>养老院</errorWord>
      <group>L1_Punc</group>
      <groupName>标点问题</groupName>
      <ability>L2_Punc</ability>
      <abilityName>标点符号检查</abilityName>
      <candidateList>
        <item>、养老院</item>
      </candidateList>
      <explain/>
      <paraID>15EA2ADB</paraID>
      <start>38</start>
      <end>41</end>
      <status>unmodified</status>
      <modifiedWord/>
      <trackRevisions>false</trackRevisions>
    </reviewItem>
    <reviewItem>
      <errorID>9c38d4ee-da1b-442e-8ccf-827caabf68da</errorID>
      <errorWord>HJ964</errorWord>
      <group>L1_Word</group>
      <groupName>字词问题</groupName>
      <ability>L2_Typo</ability>
      <abilityName>字词错误</abilityName>
      <candidateList>
        <item>HJ 964</item>
      </candidateList>
      <explain/>
      <paraID>23F57497</paraID>
      <start>24</start>
      <end>29</end>
      <status>unmodified</status>
      <modifiedWord/>
      <trackRevisions>false</trackRevisions>
    </reviewItem>
    <reviewItem>
      <errorID>c31bd4d6-f853-482f-8704-aff7f38f142e</errorID>
      <errorWord>II</errorWord>
      <group>L1_Knowledge</group>
      <groupName>知识性问题</groupName>
      <ability>L2_Knowledge</ability>
      <abilityName>其他知识</abilityName>
      <candidateList>
        <item>Ⅱ</item>
      </candidateList>
      <explain>中文环境下罗马数字格式错误。</explain>
      <paraID>6260CE29</paraID>
      <start>0</start>
      <end>2</end>
      <status>unmodified</status>
      <modifiedWord/>
      <trackRevisions>false</trackRevisions>
    </reviewItem>
    <reviewItem>
      <errorID>98615316-add0-4d7e-b6c3-d79755b3c56f</errorID>
      <errorWord>III</errorWord>
      <group>L1_Knowledge</group>
      <groupName>知识性问题</groupName>
      <ability>L2_Knowledge</ability>
      <abilityName>其他知识</abilityName>
      <candidateList>
        <item>Ⅲ</item>
      </candidateList>
      <explain>中文环境下罗马数字格式错误。</explain>
      <paraID>14D5C279</paraID>
      <start>0</start>
      <end>3</end>
      <status>unmodified</status>
      <modifiedWord/>
      <trackRevisions>false</trackRevisions>
    </reviewItem>
    <reviewItem>
      <errorID>25bd4cae-9978-4998-82b9-fab983332334</errorID>
      <errorWord>-</errorWord>
      <group>L1_Format</group>
      <groupName>格式问题</groupName>
      <ability>L2_HalfPunc</ability>
      <abilityName>全半角检查</abilityName>
      <candidateList>
        <item>－</item>
      </candidateList>
      <explain>文本全半角错误。</explain>
      <paraID>2026BA9B</paraID>
      <start>3</start>
      <end>4</end>
      <status>unmodified</status>
      <modifiedWord/>
      <trackRevisions>false</trackRevisions>
    </reviewItem>
    <reviewItem>
      <errorID>a31a6118-8a75-4aac-b562-fe173c87f6e4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7F96DF5D</paraID>
      <start>0</start>
      <end>2</end>
      <status>unmodified</status>
      <modifiedWord/>
      <trackRevisions>false</trackRevisions>
    </reviewItem>
    <reviewItem>
      <errorID>fac9cda7-49de-4af2-bddd-980e4b6b9eaf</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24619CF1</paraID>
      <start>0</start>
      <end>2</end>
      <status>unmodified</status>
      <modifiedWord/>
      <trackRevisions>false</trackRevisions>
    </reviewItem>
    <reviewItem>
      <errorID>8b0b0774-cfd4-4b3b-bcec-a01975a09375</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7C99DDC9</paraID>
      <start>0</start>
      <end>2</end>
      <status>unmodified</status>
      <modifiedWord/>
      <trackRevisions>false</trackRevisions>
    </reviewItem>
    <reviewItem>
      <errorID>01b00677-e203-476b-a24d-4ee554fd4d69</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533139AA</paraID>
      <start>0</start>
      <end>2</end>
      <status>unmodified</status>
      <modifiedWord/>
      <trackRevisions>false</trackRevisions>
    </reviewItem>
    <reviewItem>
      <errorID>3aa91ff6-27ef-4435-89cf-0f8c39ec9cc5</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56EDE916</paraID>
      <start>0</start>
      <end>2</end>
      <status>unmodified</status>
      <modifiedWord/>
      <trackRevisions>false</trackRevisions>
    </reviewItem>
    <reviewItem>
      <errorID>220a4483-6efe-4647-b754-3cd73046a825</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5B8C7F6C</paraID>
      <start>0</start>
      <end>2</end>
      <status>unmodified</status>
      <modifiedWord/>
      <trackRevisions>false</trackRevisions>
    </reviewItem>
    <reviewItem>
      <errorID>30567368-87bf-4c78-a0b1-18f8880d3d60</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7F441DA6</paraID>
      <start>0</start>
      <end>2</end>
      <status>unmodified</status>
      <modifiedWord/>
      <trackRevisions>false</trackRevisions>
    </reviewItem>
    <reviewItem>
      <errorID>832512ee-89fc-4314-a59d-23634181d5ed</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3EF9A8CE</paraID>
      <start>0</start>
      <end>2</end>
      <status>unmodified</status>
      <modifiedWord/>
      <trackRevisions>false</trackRevisions>
    </reviewItem>
    <reviewItem>
      <errorID>b018819e-7da9-4e23-8f52-6d3c288f3be4</errorID>
      <errorWord>IV</errorWord>
      <group>L1_Knowledge</group>
      <groupName>知识性问题</groupName>
      <ability>L2_Knowledge</ability>
      <abilityName>其他知识</abilityName>
      <candidateList>
        <item>Ⅳ</item>
      </candidateList>
      <explain>中文环境下罗马数字格式错误。</explain>
      <paraID> BAC9A01</paraID>
      <start>121</start>
      <end>123</end>
      <status>unmodified</status>
      <modifiedWord/>
      <trackRevisions>false</trackRevisions>
    </reviewItem>
    <reviewItem>
      <errorID>4c85e0cf-4e0e-4b02-998c-cef5f5a9ecd0</errorID>
      <errorWord>III</errorWord>
      <group>L1_Knowledge</group>
      <groupName>知识性问题</groupName>
      <ability>L2_Knowledge</ability>
      <abilityName>其他知识</abilityName>
      <candidateList>
        <item>Ⅲ</item>
      </candidateList>
      <explain>中文环境下罗马数字格式错误。</explain>
      <paraID> BAC9A01</paraID>
      <start>171</start>
      <end>174</end>
      <status>unmodified</status>
      <modifiedWord/>
      <trackRevisions>false</trackRevisions>
    </reviewItem>
    <reviewItem>
      <errorID>a0ecd454-2def-48ba-833d-a6f303636b83</errorID>
      <errorWord>II</errorWord>
      <group>L1_Knowledge</group>
      <groupName>知识性问题</groupName>
      <ability>L2_Knowledge</ability>
      <abilityName>其他知识</abilityName>
      <candidateList>
        <item>Ⅱ</item>
      </candidateList>
      <explain>中文环境下罗马数字格式错误。</explain>
      <paraID> BAC9A01</paraID>
      <start>219</start>
      <end>221</end>
      <status>unmodified</status>
      <modifiedWord/>
      <trackRevisions>false</trackRevisions>
    </reviewItem>
    <reviewItem>
      <errorID>2cf51bf5-bb31-4887-8cf4-f05794d2468d</errorID>
      <errorWord>IV</errorWord>
      <group>L1_Knowledge</group>
      <groupName>知识性问题</groupName>
      <ability>L2_Knowledge</ability>
      <abilityName>其他知识</abilityName>
      <candidateList>
        <item>Ⅳ</item>
      </candidateList>
      <explain>中文环境下罗马数字格式错误。</explain>
      <paraID>5E7EF81E</paraID>
      <start>31</start>
      <end>33</end>
      <status>unmodified</status>
      <modifiedWord/>
      <trackRevisions>false</trackRevisions>
    </reviewItem>
    <reviewItem>
      <errorID>7ee56566-095b-470d-84d5-eaca6feb57d5</errorID>
      <errorWord>III</errorWord>
      <group>L1_Word</group>
      <groupName>字词问题</groupName>
      <ability>L2_Typo</ability>
      <abilityName>字词错误</abilityName>
      <candidateList>
        <item>Ⅲ</item>
      </candidateList>
      <explain/>
      <paraID>5DA7F9AE</paraID>
      <start>31</start>
      <end>34</end>
      <status>unmodified</status>
      <modifiedWord/>
      <trackRevisions>false</trackRevisions>
    </reviewItem>
    <reviewItem>
      <errorID>65414a05-ef4c-4a7a-a627-be573b55e211</errorID>
      <errorWord>涉及到</errorWord>
      <group>L1_Sensitive</group>
      <groupName>敏感问题</groupName>
      <ability>L2_UserSensitive</ability>
      <abilityName>自定义敏感词</abilityName>
      <candidateList/>
      <explain>来自自定义敏感词库。</explain>
      <paraID>6C2473CE</paraID>
      <start>58</start>
      <end>61</end>
      <status>unmodified</status>
      <modifiedWord/>
      <trackRevisions>false</trackRevisions>
    </reviewItem>
    <reviewItem>
      <errorID>3ca8585a-1bda-434b-8a0a-dc2cae4c0cac</errorID>
      <errorWord>见</errorWord>
      <group>L1_Word</group>
      <groupName>字词问题</groupName>
      <ability>L2_Typo</ability>
      <abilityName>字词错误</abilityName>
      <candidateList>
        <item>见下</item>
      </candidateList>
      <explain/>
      <paraID>10A3CF2A</paraID>
      <start>7</start>
      <end>8</end>
      <status>unmodified</status>
      <modifiedWord/>
      <trackRevisions>false</trackRevisions>
    </reviewItem>
    <reviewItem>
      <errorID>f11e8333-c04a-4c49-b8fc-9717fef8ed55</errorID>
      <errorWord>-</errorWord>
      <group>L1_Format</group>
      <groupName>格式问题</groupName>
      <ability>L2_HalfPunc</ability>
      <abilityName>全半角检查</abilityName>
      <candidateList>
        <item>－</item>
      </candidateList>
      <explain>文本全半角错误。</explain>
      <paraID>7C98C88F</paraID>
      <start>14</start>
      <end>15</end>
      <status>unmodified</status>
      <modifiedWord/>
      <trackRevisions>false</trackRevisions>
    </reviewItem>
    <reviewItem>
      <errorID>d4a7d8f3-7ffa-4347-82a3-4bb772e2e677</errorID>
      <errorWord>-</errorWord>
      <group>L1_Format</group>
      <groupName>格式问题</groupName>
      <ability>L2_HalfPunc</ability>
      <abilityName>全半角检查</abilityName>
      <candidateList>
        <item>－</item>
      </candidateList>
      <explain>文本全半角错误。</explain>
      <paraID>7C98C88F</paraID>
      <start>27</start>
      <end>28</end>
      <status>unmodified</status>
      <modifiedWord/>
      <trackRevisions>false</trackRevisions>
    </reviewItem>
    <reviewItem>
      <errorID>bbc3b916-2172-4c1e-8637-3793c039d5ab</errorID>
      <errorWord>-</errorWord>
      <group>L1_Format</group>
      <groupName>格式问题</groupName>
      <ability>L2_HalfPunc</ability>
      <abilityName>全半角检查</abilityName>
      <candidateList>
        <item>－</item>
      </candidateList>
      <explain>文本全半角错误。</explain>
      <paraID>7C98C88F</paraID>
      <start>44</start>
      <end>45</end>
      <status>unmodified</status>
      <modifiedWord/>
      <trackRevisions>false</trackRevisions>
    </reviewItem>
    <reviewItem>
      <errorID>9dacd09a-5a14-4ffe-a997-a9f370dbfcce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2BC95ABD</paraID>
      <start>44</start>
      <end>45</end>
      <status>unmodified</status>
      <modifiedWord/>
      <trackRevisions>false</trackRevisions>
    </reviewItem>
    <reviewItem>
      <errorID>85f1c225-02aa-429f-bde7-3da3ef2b72dc</errorID>
      <errorWord>日至2026年</errorWord>
      <group>L1_Word</group>
      <groupName>字词问题</groupName>
      <ability>L2_Typo</ability>
      <abilityName>字词错误</abilityName>
      <candidateList>
        <item>日起至2026年</item>
      </candidateList>
      <explain/>
      <paraID>361C3C7B</paraID>
      <start>89</start>
      <end>96</end>
      <status>unmodified</status>
      <modifiedWord/>
      <trackRevisions>false</trackRevisions>
    </reviewItem>
    <reviewItem>
      <errorID>5aeab4e6-2717-406f-8aed-bfd2d713e33c</errorID>
      <errorWord>~</errorWord>
      <group>L1_Format</group>
      <groupName>格式问题</groupName>
      <ability>L2_HalfPunc</ability>
      <abilityName>全半角检查</abilityName>
      <candidateList>
        <item>～</item>
      </candidateList>
      <explain>文本全半角错误。</explain>
      <paraID>78F8932B</paraID>
      <start>90</start>
      <end>91</end>
      <status>unmodified</status>
      <modifiedWord/>
      <trackRevisions>false</trackRevisions>
    </reviewItem>
    <reviewItem>
      <errorID>93837f4b-e743-4fda-a209-2297f8d9fbed</errorID>
      <errorWord>2026年03月13日</errorWord>
      <group>L1_Knowledge</group>
      <groupName>知识性问题</groupName>
      <ability>L2_Time</ability>
      <abilityName>日期时间</abilityName>
      <candidateList>
        <item>2026年3月13日</item>
      </candidateList>
      <explain>根据日常书写习惯，月份一般会省略前导零。</explain>
      <paraID>78F8932B</paraID>
      <start>101</start>
      <end>112</end>
      <status>unmodified</status>
      <modifiedWord/>
      <trackRevisions>false</trackRevisions>
    </reviewItem>
    <reviewItem>
      <errorID>20b8c002-c7f1-43c8-be50-3e0c9240866c</errorID>
      <errorWord>2040年08月13日</errorWord>
      <group>L1_Knowledge</group>
      <groupName>知识性问题</groupName>
      <ability>L2_Time</ability>
      <abilityName>日期时间</abilityName>
      <candidateList>
        <item>2040年8月13日</item>
      </candidateList>
      <explain>根据日常书写习惯，月份一般会省略前导零。</explain>
      <paraID>78F8932B</paraID>
      <start>113</start>
      <end>124</end>
      <status>unmodified</status>
      <modifiedWord/>
      <trackRevisions>false</trackRevisions>
    </reviewItem>
    <reviewItem>
      <errorID>2178132b-4b1f-4bf2-a97c-39a4be77d202</errorID>
      <errorWord>见</errorWord>
      <group>L1_Word</group>
      <groupName>字词问题</groupName>
      <ability>L2_Typo</ability>
      <abilityName>字词错误</abilityName>
      <candidateList>
        <item>见下</item>
      </candidateList>
      <explain/>
      <paraID>6F1D3E1E</paraID>
      <start>9</start>
      <end>10</end>
      <status>unmodified</status>
      <modifiedWord/>
      <trackRevisions>false</trackRevisions>
    </reviewItem>
    <reviewItem>
      <errorID>6439a9a8-7dfe-4e8b-acf3-6b2ec6ef8c61</errorID>
      <errorWord>-</errorWord>
      <group>L1_Format</group>
      <groupName>格式问题</groupName>
      <ability>L2_HalfPunc</ability>
      <abilityName>全半角检查</abilityName>
      <candidateList>
        <item>－</item>
      </candidateList>
      <explain>文本全半角错误。</explain>
      <paraID>5BC6AE19</paraID>
      <start>57</start>
      <end>58</end>
      <status>unmodified</status>
      <modifiedWord/>
      <trackRevisions>false</trackRevisions>
    </reviewItem>
    <reviewItem>
      <errorID>85dc6e23-2bc3-4012-9aa4-66e74f20560e</errorID>
      <errorWord>-</errorWord>
      <group>L1_Format</group>
      <groupName>格式问题</groupName>
      <ability>L2_HalfPunc</ability>
      <abilityName>全半角检查</abilityName>
      <candidateList>
        <item>－</item>
      </candidateList>
      <explain>文本全半角错误。</explain>
      <paraID>5BC6AE19</paraID>
      <start>69</start>
      <end>70</end>
      <status>unmodified</status>
      <modifiedWord/>
      <trackRevisions>false</trackRevisions>
    </reviewItem>
    <reviewItem>
      <errorID>792dd15a-2ec1-4a19-8d56-9dcb116bbf5b</errorID>
      <errorWord>-</errorWord>
      <group>L1_Format</group>
      <groupName>格式问题</groupName>
      <ability>L2_HalfPunc</ability>
      <abilityName>全半角检查</abilityName>
      <candidateList>
        <item>－</item>
      </candidateList>
      <explain>文本全半角错误。</explain>
      <paraID>7DE112EE</paraID>
      <start>4</start>
      <end>5</end>
      <status>unmodified</status>
      <modifiedWord/>
      <trackRevisions>false</trackRevisions>
    </reviewItem>
    <reviewItem>
      <errorID>2a1c55bc-2145-43db-a6dc-e9235afd967d</errorID>
      <errorWord>-</errorWord>
      <group>L1_Format</group>
      <groupName>格式问题</groupName>
      <ability>L2_HalfPunc</ability>
      <abilityName>全半角检查</abilityName>
      <candidateList>
        <item>－</item>
      </candidateList>
      <explain>文本全半角错误。</explain>
      <paraID>21B5B4F3</paraID>
      <start>7</start>
      <end>8</end>
      <status>unmodified</status>
      <modifiedWord/>
      <trackRevisions>false</trackRevisions>
    </reviewItem>
    <reviewItem>
      <errorID>f15f9ca9-2697-4979-8b92-c7499698a2fd</errorID>
      <errorWord>..</errorWord>
      <group>L1_Punc</group>
      <groupName>标点问题</groupName>
      <ability>L2_Punc</ability>
      <abilityName>标点符号检查</abilityName>
      <candidateList>
        <item>.</item>
      </candidateList>
      <explain/>
      <paraID>134B5EA3</paraID>
      <start>1</start>
      <end>3</end>
      <status>unmodified</status>
      <modifiedWord/>
      <trackRevisions>false</trackRevisions>
    </reviewItem>
    <reviewItem>
      <errorID>4d91b572-964b-4e34-a089-a39460d26850</errorID>
      <errorWord>主要以粒状为主</errorWord>
      <group>L1_Grammar</group>
      <groupName>语法问题</groupName>
      <ability>L2_Grammar</ability>
      <abilityName>语法错误</abilityName>
      <candidateList>
        <item>以粒状为主</item>
      </candidateList>
      <explain>该表达中的“主要以粒状为主”存在语义重复。</explain>
      <paraID>3D381DCF</paraID>
      <start>16</start>
      <end>23</end>
      <status>unmodified</status>
      <modifiedWord/>
      <trackRevisions>false</trackRevisions>
    </reviewItem>
    <reviewItem>
      <errorID>de8eadae-576b-4a1e-bbc8-e60748b76baa</errorID>
      <errorWord>弯月亮</errorWord>
      <group>L1_Word</group>
      <groupName>字词问题</groupName>
      <ability>L2_Typo</ability>
      <abilityName>字词错误</abilityName>
      <candidateList>
        <item>弯月形</item>
      </candidateList>
      <explain/>
      <paraID>3D381DCF</paraID>
      <start>46</start>
      <end>49</end>
      <status>unmodified</status>
      <modifiedWord/>
      <trackRevisions>false</trackRevisions>
    </reviewItem>
    <reviewItem>
      <errorID>ec3ea9d3-12cd-45d9-9021-db2f8caf8c0d</errorID>
      <errorWord>具</errorWord>
      <group>L1_Word</group>
      <groupName>字词问题</groupName>
      <ability>L2_Typo</ability>
      <abilityName>字词错误</abilityName>
      <candidateList>
        <item>具有</item>
      </candidateList>
      <explain>〈动〉有（多用于抽象事物）：～信心｜～伟大的意义。</explain>
      <paraID>5588AE68</paraID>
      <start>44</start>
      <end>45</end>
      <status>unmodified</status>
      <modifiedWord/>
      <trackRevisions>false</trackRevisions>
    </reviewItem>
    <reviewItem>
      <errorID>98196b90-7ada-42a6-86cc-2a1df543c711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4F59ECC9</paraID>
      <start>32</start>
      <end>33</end>
      <status>unmodified</status>
      <modifiedWord/>
      <trackRevisions>false</trackRevisions>
    </reviewItem>
    <reviewItem>
      <errorID>5fd8c417-41f5-4123-a451-9ec3090e05d8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4F59ECC9</paraID>
      <start>57</start>
      <end>58</end>
      <status>unmodified</status>
      <modifiedWord/>
      <trackRevisions>false</trackRevisions>
    </reviewItem>
    <reviewItem>
      <errorID>8ecdb4c3-0177-423a-a169-37d4575ded40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4F59ECC9</paraID>
      <start>81</start>
      <end>82</end>
      <status>unmodified</status>
      <modifiedWord/>
      <trackRevisions>false</trackRevisions>
    </reviewItem>
    <reviewItem>
      <errorID>db90aa5b-1692-4c29-b882-9d0792fd3c98</errorID>
      <errorWord>-</errorWord>
      <group>L1_Format</group>
      <groupName>格式问题</groupName>
      <ability>L2_HalfPunc</ability>
      <abilityName>全半角检查</abilityName>
      <candidateList>
        <item>－</item>
      </candidateList>
      <explain>文本全半角错误。</explain>
      <paraID>59AF71FE</paraID>
      <start>7</start>
      <end>8</end>
      <status>unmodified</status>
      <modifiedWord/>
      <trackRevisions>false</trackRevisions>
    </reviewItem>
    <reviewItem>
      <errorID>fb02b352-7240-4d9a-82fb-89108b3a45ed</errorID>
      <errorWord>-</errorWord>
      <group>L1_Format</group>
      <groupName>格式问题</groupName>
      <ability>L2_HalfPunc</ability>
      <abilityName>全半角检查</abilityName>
      <candidateList>
        <item>－</item>
      </candidateList>
      <explain>文本全半角错误。</explain>
      <paraID>3FAB1D7F</paraID>
      <start>5</start>
      <end>6</end>
      <status>unmodified</status>
      <modifiedWord/>
      <trackRevisions>false</trackRevisions>
    </reviewItem>
    <reviewItem>
      <errorID>4131438c-241d-44fb-9950-3636aafc00bd</errorID>
      <errorWord>-</errorWord>
      <group>L1_Format</group>
      <groupName>格式问题</groupName>
      <ability>L2_HalfPunc</ability>
      <abilityName>全半角检查</abilityName>
      <candidateList>
        <item>－</item>
      </candidateList>
      <explain>文本全半角错误。</explain>
      <paraID>3FAB1D7F</paraID>
      <start>35</start>
      <end>36</end>
      <status>unmodified</status>
      <modifiedWord/>
      <trackRevisions>false</trackRevisions>
    </reviewItem>
    <reviewItem>
      <errorID>73c73ec6-a460-42cf-848a-fac1dfaa5c18</errorID>
      <errorWord>（</errorWord>
      <group>L1_Format</group>
      <groupName>格式问题</groupName>
      <ability>L2_HalfPunc</ability>
      <abilityName>全半角检查</abilityName>
      <candidateList>
        <item>(</item>
      </candidateList>
      <explain>文本全半角错误。</explain>
      <paraID>235C34A1</paraID>
      <start>0</start>
      <end>1</end>
      <status>unmodified</status>
      <modifiedWord/>
      <trackRevisions>false</trackRevisions>
    </reviewItem>
    <reviewItem>
      <errorID>70200a6c-9300-4b8e-a5d2-67e61bdfa134</errorID>
      <errorWord>）</errorWord>
      <group>L1_Format</group>
      <groupName>格式问题</groupName>
      <ability>L2_HalfPunc</ability>
      <abilityName>全半角检查</abilityName>
      <candidateList>
        <item>)</item>
      </candidateList>
      <explain>文本全半角错误。</explain>
      <paraID>235C34A1</paraID>
      <start>4</start>
      <end>5</end>
      <status>unmodified</status>
      <modifiedWord/>
      <trackRevisions>false</trackRevisions>
    </reviewItem>
    <reviewItem>
      <errorID>4ed7c484-b52d-4dbe-992b-a87629e00162</errorID>
      <errorWord>（</errorWord>
      <group>L1_Format</group>
      <groupName>格式问题</groupName>
      <ability>L2_HalfPunc</ability>
      <abilityName>全半角检查</abilityName>
      <candidateList>
        <item>(</item>
      </candidateList>
      <explain>文本全半角错误。</explain>
      <paraID>2673D668</paraID>
      <start>0</start>
      <end>1</end>
      <status>unmodified</status>
      <modifiedWord/>
      <trackRevisions>false</trackRevisions>
    </reviewItem>
    <reviewItem>
      <errorID>cd64c941-777d-4f7b-b301-f533900de953</errorID>
      <errorWord>）</errorWord>
      <group>L1_Format</group>
      <groupName>格式问题</groupName>
      <ability>L2_HalfPunc</ability>
      <abilityName>全半角检查</abilityName>
      <candidateList>
        <item>)</item>
      </candidateList>
      <explain>文本全半角错误。</explain>
      <paraID>2673D668</paraID>
      <start>4</start>
      <end>5</end>
      <status>unmodified</status>
      <modifiedWord/>
      <trackRevisions>false</trackRevisions>
    </reviewItem>
    <reviewItem>
      <errorID>c8c53ecd-3079-4d61-8bbe-12d77ab2d558</errorID>
      <errorWord>-</errorWord>
      <group>L1_Format</group>
      <groupName>格式问题</groupName>
      <ability>L2_HalfPunc</ability>
      <abilityName>全半角检查</abilityName>
      <candidateList>
        <item>－</item>
      </candidateList>
      <explain>文本全半角错误。</explain>
      <paraID>10C7322A</paraID>
      <start>113</start>
      <end>114</end>
      <status>unmodified</status>
      <modifiedWord/>
      <trackRevisions>false</trackRevisions>
    </reviewItem>
    <reviewItem>
      <errorID>329593c1-3da5-4fcb-98ef-9517d88657c7</errorID>
      <errorWord>（</errorWord>
      <group>L1_Format</group>
      <groupName>格式问题</groupName>
      <ability>L2_HalfPunc</ability>
      <abilityName>全半角检查</abilityName>
      <candidateList>
        <item>(</item>
      </candidateList>
      <explain>文本全半角错误。</explain>
      <paraID>30581F55</paraID>
      <start>0</start>
      <end>1</end>
      <status>unmodified</status>
      <modifiedWord/>
      <trackRevisions>false</trackRevisions>
    </reviewItem>
    <reviewItem>
      <errorID>11c9c811-bfcf-44b8-b3d0-29caecfd8650</errorID>
      <errorWord>）</errorWord>
      <group>L1_Format</group>
      <groupName>格式问题</groupName>
      <ability>L2_HalfPunc</ability>
      <abilityName>全半角检查</abilityName>
      <candidateList>
        <item>)</item>
      </candidateList>
      <explain>文本全半角错误。</explain>
      <paraID>30581F55</paraID>
      <start>4</start>
      <end>5</end>
      <status>unmodified</status>
      <modifiedWord/>
      <trackRevisions>false</trackRevisions>
    </reviewItem>
    <reviewItem>
      <errorID>09c3c131-ebc2-4372-98b0-fa2dba4ef30c</errorID>
      <errorWord>（</errorWord>
      <group>L1_Format</group>
      <groupName>格式问题</groupName>
      <ability>L2_HalfPunc</ability>
      <abilityName>全半角检查</abilityName>
      <candidateList>
        <item>(</item>
      </candidateList>
      <explain>文本全半角错误。</explain>
      <paraID>3D69FD52</paraID>
      <start>9</start>
      <end>10</end>
      <status>unmodified</status>
      <modifiedWord/>
      <trackRevisions>false</trackRevisions>
    </reviewItem>
    <reviewItem>
      <errorID>3e7ac711-c4cf-4636-ac7f-0e07ee8db1fb</errorID>
      <errorWord>）</errorWord>
      <group>L1_Format</group>
      <groupName>格式问题</groupName>
      <ability>L2_HalfPunc</ability>
      <abilityName>全半角检查</abilityName>
      <candidateList>
        <item>)</item>
      </candidateList>
      <explain>文本全半角错误。</explain>
      <paraID>3D69FD52</paraID>
      <start>13</start>
      <end>14</end>
      <status>unmodified</status>
      <modifiedWord/>
      <trackRevisions>false</trackRevisions>
    </reviewItem>
    <reviewItem>
      <errorID>e837ad6f-bba4-4e91-ba1f-c2818d9f62f5</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22E6136</paraID>
      <start>66</start>
      <end>69</end>
      <status>unmodified</status>
      <modifiedWord/>
      <trackRevisions>false</trackRevisions>
    </reviewItem>
    <reviewItem>
      <errorID>247db2ca-0635-4da9-8f34-00a6ae158207</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22E6136</paraID>
      <start>105</start>
      <end>108</end>
      <status>unmodified</status>
      <modifiedWord/>
      <trackRevisions>false</trackRevisions>
    </reviewItem>
    <reviewItem>
      <errorID>fc30a474-f4cb-4cd3-9aa6-9d89f83aad9e</errorID>
      <errorWord>~</errorWord>
      <group>L1_Format</group>
      <groupName>格式问题</groupName>
      <ability>L2_HalfPunc</ability>
      <abilityName>全半角检查</abilityName>
      <candidateList>
        <item>～</item>
      </candidateList>
      <explain>文本全半角错误。</explain>
      <paraID>7746F6F3</paraID>
      <start>25</start>
      <end>26</end>
      <status>unmodified</status>
      <modifiedWord/>
      <trackRevisions>false</trackRevisions>
    </reviewItem>
    <reviewItem>
      <errorID>a63763ee-b3f1-4665-b4c2-25156da68983</errorID>
      <errorWord>：</errorWord>
      <group>L1_Format</group>
      <groupName>格式问题</groupName>
      <ability>L2_HalfPunc</ability>
      <abilityName>全半角检查</abilityName>
      <candidateList>
        <item>:</item>
      </candidateList>
      <explain>文本全半角错误。</explain>
      <paraID>39C1C3AD</paraID>
      <start>4</start>
      <end>5</end>
      <status>unmodified</status>
      <modifiedWord/>
      <trackRevisions>false</trackRevisions>
    </reviewItem>
    <reviewItem>
      <errorID>f0927ff5-8419-4189-b240-146a244ce9c1</errorID>
      <errorWord>：</errorWord>
      <group>L1_Format</group>
      <groupName>格式问题</groupName>
      <ability>L2_HalfPunc</ability>
      <abilityName>全半角检查</abilityName>
      <candidateList>
        <item>:</item>
      </candidateList>
      <explain>文本全半角错误。</explain>
      <paraID>39C1C3AD</paraID>
      <start>25</start>
      <end>26</end>
      <status>unmodified</status>
      <modifiedWord/>
      <trackRevisions>false</trackRevisions>
    </reviewItem>
    <reviewItem>
      <errorID>fc4cc547-cdbd-4f1c-86a0-02aac2d85fd4</errorID>
      <errorWord>货</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4846D8E8</paraID>
      <start>63</start>
      <end>64</end>
      <status>unmodified</status>
      <modifiedWord/>
      <trackRevisions>false</trackRevisions>
    </reviewItem>
    <reviewItem>
      <errorID>5c852cf8-915e-4177-b9c2-e36d42b31930</errorID>
      <errorWord>-</errorWord>
      <group>L1_Format</group>
      <groupName>格式问题</groupName>
      <ability>L2_HalfPunc</ability>
      <abilityName>全半角检查</abilityName>
      <candidateList>
        <item>－</item>
      </candidateList>
      <explain>文本全半角错误。</explain>
      <paraID>524CA378</paraID>
      <start>18</start>
      <end>19</end>
      <status>unmodified</status>
      <modifiedWord/>
      <trackRevisions>false</trackRevisions>
    </reviewItem>
    <reviewItem>
      <errorID>c5965e77-8305-401f-ad2a-de12e5a395a6</errorID>
      <errorWord>-</errorWord>
      <group>L1_Format</group>
      <groupName>格式问题</groupName>
      <ability>L2_HalfPunc</ability>
      <abilityName>全半角检查</abilityName>
      <candidateList>
        <item>－</item>
      </candidateList>
      <explain>文本全半角错误。</explain>
      <paraID>524CA378</paraID>
      <start>54</start>
      <end>55</end>
      <status>unmodified</status>
      <modifiedWord/>
      <trackRevisions>false</trackRevisions>
    </reviewItem>
    <reviewItem>
      <errorID>f981232c-a30c-437a-b4e8-6afdb4f7bc61</errorID>
      <errorWord>-</errorWord>
      <group>L1_Format</group>
      <groupName>格式问题</groupName>
      <ability>L2_HalfPunc</ability>
      <abilityName>全半角检查</abilityName>
      <candidateList>
        <item>－</item>
      </candidateList>
      <explain>文本全半角错误。</explain>
      <paraID>524CA378</paraID>
      <start>67</start>
      <end>68</end>
      <status>unmodified</status>
      <modifiedWord/>
      <trackRevisions>false</trackRevisions>
    </reviewItem>
    <reviewItem>
      <errorID>007f5c7c-bfed-4189-a175-948b4e47ea4d</errorID>
      <errorWord>-</errorWord>
      <group>L1_Format</group>
      <groupName>格式问题</groupName>
      <ability>L2_HalfPunc</ability>
      <abilityName>全半角检查</abilityName>
      <candidateList>
        <item>－</item>
      </candidateList>
      <explain>文本全半角错误。</explain>
      <paraID>524CA378</paraID>
      <start>84</start>
      <end>85</end>
      <status>unmodified</status>
      <modifiedWord/>
      <trackRevisions>false</trackRevisions>
    </reviewItem>
    <reviewItem>
      <errorID>46eb184d-d6e7-4e9d-8f4a-1e392c0705ed</errorID>
      <errorWord>;</errorWord>
      <group>L1_Format</group>
      <groupName>格式问题</groupName>
      <ability>L2_HalfPunc</ability>
      <abilityName>全半角检查</abilityName>
      <candidateList>
        <item>；</item>
      </candidateList>
      <explain>文本全半角错误。</explain>
      <paraID>618EEE9D</paraID>
      <start>68</start>
      <end>69</end>
      <status>unmodified</status>
      <modifiedWord/>
      <trackRevisions>false</trackRevisions>
    </reviewItem>
    <reviewItem>
      <errorID>b8dd7331-90c0-4148-a3fb-99b209517743</errorID>
      <errorWord>设防护栏杆</errorWord>
      <group>L1_Word</group>
      <groupName>字词问题</groupName>
      <ability>L2_Typo</ability>
      <abilityName>字词错误</abilityName>
      <candidateList>
        <item>设置防护栏杆</item>
      </candidateList>
      <explain/>
      <paraID>5F146C68</paraID>
      <start>7</start>
      <end>12</end>
      <status>unmodified</status>
      <modifiedWord/>
      <trackRevisions>false</trackRevisions>
    </reviewItem>
    <reviewItem>
      <errorID>6df2dbc5-6e79-43f4-96ef-e8c4bd088ede</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7800E985</paraID>
      <start>93</start>
      <end>96</end>
      <status>unmodified</status>
      <modifiedWord/>
      <trackRevisions>false</trackRevisions>
    </reviewItem>
    <reviewItem>
      <errorID>9ad40985-8484-4596-b8ee-9fa2118688ef</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21EDA677</paraID>
      <start>85</start>
      <end>88</end>
      <status>unmodified</status>
      <modifiedWord/>
      <trackRevisions>false</trackRevisions>
    </reviewItem>
    <reviewItem>
      <errorID>4d721747-830a-48fe-b174-e784460eac5e</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21EDA677</paraID>
      <start>107</start>
      <end>110</end>
      <status>unmodified</status>
      <modifiedWord/>
      <trackRevisions>false</trackRevisions>
    </reviewItem>
    <reviewItem>
      <errorID>829dc7b8-8aa6-4179-aa51-0c858685ace3</errorID>
      <errorWord>黑龙江富蕴</errorWord>
      <group>L1_Knowledge</group>
      <groupName>知识性问题</groupName>
      <ability>L2_Location</ability>
      <abilityName>地名检查</abilityName>
      <candidateList>
        <item>新疆富蕴</item>
      </candidateList>
      <explain>地名表述错误。</explain>
      <paraID>21EDA677</paraID>
      <start>115</start>
      <end>120</end>
      <status>unmodified</status>
      <modifiedWord/>
      <trackRevisions>false</trackRevisions>
    </reviewItem>
    <reviewItem>
      <errorID>7a92431b-6792-49cf-907e-0fc01e27fd55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7765036E</paraID>
      <start>56</start>
      <end>57</end>
      <status>unmodified</status>
      <modifiedWord/>
      <trackRevisions>false</trackRevisions>
    </reviewItem>
    <reviewItem>
      <errorID>0ede2b88-8912-4c58-b2a1-92172bf0095c</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7765036E</paraID>
      <start>110</start>
      <end>113</end>
      <status>unmodified</status>
      <modifiedWord/>
      <trackRevisions>false</trackRevisions>
    </reviewItem>
    <reviewItem>
      <errorID>d002ef00-1b47-43c7-9d8c-4787ee27c0f9</errorID>
      <errorWord>黑龙江富蕴</errorWord>
      <group>L1_Knowledge</group>
      <groupName>知识性问题</groupName>
      <ability>L2_Location</ability>
      <abilityName>地名检查</abilityName>
      <candidateList>
        <item>新疆富蕴</item>
      </candidateList>
      <explain>地名表述错误。</explain>
      <paraID>7765036E</paraID>
      <start>118</start>
      <end>123</end>
      <status>unmodified</status>
      <modifiedWord/>
      <trackRevisions>false</trackRevisions>
    </reviewItem>
    <reviewItem>
      <errorID>0342db2a-2cab-41c6-b4fa-e3bdfeebf0f1</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72F19369</paraID>
      <start>39</start>
      <end>42</end>
      <status>unmodified</status>
      <modifiedWord/>
      <trackRevisions>false</trackRevisions>
    </reviewItem>
    <reviewItem>
      <errorID>e3bc799c-396b-438a-8a6d-dbb621e9929a</errorID>
      <errorWord>黑龙江富蕴</errorWord>
      <group>L1_Knowledge</group>
      <groupName>知识性问题</groupName>
      <ability>L2_Location</ability>
      <abilityName>地名检查</abilityName>
      <candidateList>
        <item>新疆富蕴</item>
      </candidateList>
      <explain>地名表述错误。</explain>
      <paraID>72F19369</paraID>
      <start>47</start>
      <end>52</end>
      <status>unmodified</status>
      <modifiedWord/>
      <trackRevisions>false</trackRevisions>
    </reviewItem>
    <reviewItem>
      <errorID>b3a7a587-01c1-43ee-98aa-c15b962fe29a</errorID>
      <errorWord>黑龙江富蕴</errorWord>
      <group>L1_Knowledge</group>
      <groupName>知识性问题</groupName>
      <ability>L2_Location</ability>
      <abilityName>地名检查</abilityName>
      <candidateList>
        <item>新疆富蕴</item>
      </candidateList>
      <explain>地名表述错误。</explain>
      <paraID>2222C232</paraID>
      <start>45</start>
      <end>50</end>
      <status>unmodified</status>
      <modifiedWord/>
      <trackRevisions>false</trackRevisions>
    </reviewItem>
    <reviewItem>
      <errorID>20cd6c2e-22bf-459b-9fb8-a9f7ab570e6b</errorID>
      <errorWord>黑龙江富蕴</errorWord>
      <group>L1_Knowledge</group>
      <groupName>知识性问题</groupName>
      <ability>L2_Location</ability>
      <abilityName>地名检查</abilityName>
      <candidateList>
        <item>新疆富蕴</item>
      </candidateList>
      <explain>地名表述错误。</explain>
      <paraID>2222C232</paraID>
      <start>90</start>
      <end>95</end>
      <status>unmodified</status>
      <modifiedWord/>
      <trackRevisions>false</trackRevisions>
    </reviewItem>
    <reviewItem>
      <errorID>334600f7-b76a-493d-a9d7-82573ed2d89a</errorID>
      <errorWord>黑龙江富蕴</errorWord>
      <group>L1_Knowledge</group>
      <groupName>知识性问题</groupName>
      <ability>L2_Location</ability>
      <abilityName>地名检查</abilityName>
      <candidateList>
        <item>新疆富蕴</item>
      </candidateList>
      <explain>地名表述错误。</explain>
      <paraID>334E0245</paraID>
      <start>5</start>
      <end>10</end>
      <status>unmodified</status>
      <modifiedWord/>
      <trackRevisions>false</trackRevisions>
    </reviewItem>
    <reviewItem>
      <errorID>2991d4ed-aba4-4f67-be5f-dd7d93e9570c</errorID>
      <errorWord>黑龙江富蕴</errorWord>
      <group>L1_Knowledge</group>
      <groupName>知识性问题</groupName>
      <ability>L2_Location</ability>
      <abilityName>地名检查</abilityName>
      <candidateList>
        <item>新疆富蕴</item>
      </candidateList>
      <explain>地名表述错误。</explain>
      <paraID>334E0245</paraID>
      <start>134</start>
      <end>139</end>
      <status>unmodified</status>
      <modifiedWord/>
      <trackRevisions>false</trackRevisions>
    </reviewItem>
    <reviewItem>
      <errorID>643732b5-19ed-4ad8-9fea-4391d1c206c2</errorID>
      <errorWord>室内、外</errorWord>
      <group>L1_Punc</group>
      <groupName>标点问题</groupName>
      <ability>L2_Punc</ability>
      <abilityName>标点符号检查</abilityName>
      <candidateList>
        <item>室内外</item>
      </candidateList>
      <explain/>
      <paraID> 2731670</paraID>
      <start>0</start>
      <end>4</end>
      <status>unmodified</status>
      <modifiedWord/>
      <trackRevisions>false</trackRevisions>
    </reviewItem>
    <reviewItem>
      <errorID>0c077980-1780-4b20-bfbf-de1e8892d55a</errorID>
      <errorWord>，</errorWord>
      <group>L1_Format</group>
      <groupName>格式问题</groupName>
      <ability>L2_HalfPunc</ability>
      <abilityName>全半角检查</abilityName>
      <candidateList>
        <item>, </item>
      </candidateList>
      <explain>文本全半角错误。</explain>
      <paraID> 2731670</paraID>
      <start>101</start>
      <end>102</end>
      <status>unmodified</status>
      <modifiedWord/>
      <trackRevisions>false</trackRevisions>
    </reviewItem>
    <reviewItem>
      <errorID>a2cd9ed6-f16f-46f2-ba02-d3005751e2e7</errorID>
      <errorWord>，</errorWord>
      <group>L1_Format</group>
      <groupName>格式问题</groupName>
      <ability>L2_HalfPunc</ability>
      <abilityName>全半角检查</abilityName>
      <candidateList>
        <item>, </item>
      </candidateList>
      <explain>文本全半角错误。</explain>
      <paraID> 2731670</paraID>
      <start>107</start>
      <end>108</end>
      <status>unmodified</status>
      <modifiedWord/>
      <trackRevisions>false</trackRevisions>
    </reviewItem>
    <reviewItem>
      <errorID>00a61973-3b97-4964-b7f9-f9c7fba53455</errorID>
      <errorWord>。</errorWord>
      <group>L1_Format</group>
      <groupName>格式问题</groupName>
      <ability>L2_HalfPunc</ability>
      <abilityName>全半角检查</abilityName>
      <candidateList>
        <item>.</item>
      </candidateList>
      <explain>文本全半角错误。</explain>
      <paraID> 2731670</paraID>
      <start>115</start>
      <end>116</end>
      <status>unmodified</status>
      <modifiedWord/>
      <trackRevisions>false</trackRevisions>
    </reviewItem>
    <reviewItem>
      <errorID>0aeeda01-4618-49ea-8583-884e9bc833e3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439E980F</paraID>
      <start>126</start>
      <end>127</end>
      <status>unmodified</status>
      <modifiedWord/>
      <trackRevisions>false</trackRevisions>
    </reviewItem>
    <reviewItem>
      <errorID>75b14063-b36d-4130-b5c0-336cbbdb0008</errorID>
      <errorWord>厂</errorWord>
      <group>L1_Word</group>
      <groupName>字词问题</groupName>
      <ability>L2_Typo</ability>
      <abilityName>字词错误</abilityName>
      <candidateList>
        <item>场</item>
      </candidateList>
      <explain/>
      <paraID>17621FCB</paraID>
      <start>13</start>
      <end>14</end>
      <status>unmodified</status>
      <modifiedWord/>
      <trackRevisions>false</trackRevisions>
    </reviewItem>
    <reviewItem>
      <errorID>73ffb291-d6ca-4205-90ac-e60dd9a25b94</errorID>
      <errorWord>约为</errorWord>
      <group>L1_Word</group>
      <groupName>字词问题</groupName>
      <ability>L2_Typo</ability>
      <abilityName>字词错误</abilityName>
      <candidateList>
        <item>约</item>
      </candidateList>
      <explain/>
      <paraID>763310E0</paraID>
      <start>68</start>
      <end>70</end>
      <status>unmodified</status>
      <modifiedWord/>
      <trackRevisions>false</trackRevisions>
    </reviewItem>
    <reviewItem>
      <errorID>e7f63e6f-2920-4808-997d-15a2dcf17f90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1A85C54D</paraID>
      <start>0</start>
      <end>2</end>
      <status>unmodified</status>
      <modifiedWord/>
      <trackRevisions>false</trackRevisions>
    </reviewItem>
    <reviewItem>
      <errorID>55d2b3ed-e81c-4860-adc2-114f8471341c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30F33B79</paraID>
      <start>0</start>
      <end>2</end>
      <status>unmodified</status>
      <modifiedWord/>
      <trackRevisions>false</trackRevisions>
    </reviewItem>
    <reviewItem>
      <errorID>fb080a50-e965-49ac-a311-a11840435ea6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7D135209</paraID>
      <start>0</start>
      <end>2</end>
      <status>unmodified</status>
      <modifiedWord/>
      <trackRevisions>false</trackRevisions>
    </reviewItem>
    <reviewItem>
      <errorID>8268348d-f074-4585-9c5d-3d6cb59947ae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3978F630</paraID>
      <start>0</start>
      <end>2</end>
      <status>unmodified</status>
      <modifiedWord/>
      <trackRevisions>false</trackRevisions>
    </reviewItem>
    <reviewItem>
      <errorID>8018e02f-988f-463f-9ad9-36d8210b4803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3535CDA8</paraID>
      <start>0</start>
      <end>2</end>
      <status>unmodified</status>
      <modifiedWord/>
      <trackRevisions>false</trackRevisions>
    </reviewItem>
    <reviewItem>
      <errorID>d7e8ef82-3783-4adc-b39e-7130dbe9c122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3B246953</paraID>
      <start>0</start>
      <end>2</end>
      <status>unmodified</status>
      <modifiedWord/>
      <trackRevisions>false</trackRevisions>
    </reviewItem>
    <reviewItem>
      <errorID>5abab331-89f3-4aff-85e5-c010a1f2d055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58797AA9</paraID>
      <start>0</start>
      <end>2</end>
      <status>unmodified</status>
      <modifiedWord/>
      <trackRevisions>false</trackRevisions>
    </reviewItem>
    <reviewItem>
      <errorID>496e20ae-e232-47da-afef-ee60021893f7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26D43EA7</paraID>
      <start>0</start>
      <end>2</end>
      <status>unmodified</status>
      <modifiedWord/>
      <trackRevisions>false</trackRevisions>
    </reviewItem>
    <reviewItem>
      <errorID>25c5f412-5c28-4b13-b347-0010369da9cc</errorID>
      <errorWord>厂</errorWord>
      <group>L1_Word</group>
      <groupName>字词问题</groupName>
      <ability>L2_Typo</ability>
      <abilityName>字词错误</abilityName>
      <candidateList>
        <item>场</item>
      </candidateList>
      <explain/>
      <paraID>152B7FDA</paraID>
      <start>20</start>
      <end>21</end>
      <status>unmodified</status>
      <modifiedWord/>
      <trackRevisions>false</trackRevisions>
    </reviewItem>
    <reviewItem>
      <errorID>975c4eb2-3027-4992-9117-a40d0fc0315c</errorID>
      <errorWord>其它</errorWord>
      <group>L1_Word</group>
      <groupName>字词问题</groupName>
      <ability>L2_Alias</ability>
      <abilityName>也作/曾用词</abilityName>
      <candidateList>
        <item>其他</item>
      </candidateList>
      <explain>词汇[其它]为不规范表述或旧称，其规范书面表述为[其他]。</explain>
      <paraID>70BE578D</paraID>
      <start>114</start>
      <end>116</end>
      <status>unmodified</status>
      <modifiedWord/>
      <trackRevisions>false</trackRevisions>
    </reviewItem>
    <reviewItem>
      <errorID>1cc0a080-8b10-4fcc-bdca-ecd99cb96787</errorID>
      <errorWord>其它</errorWord>
      <group>L1_Word</group>
      <groupName>字词问题</groupName>
      <ability>L2_Alias</ability>
      <abilityName>也作/曾用词</abilityName>
      <candidateList>
        <item>其他</item>
      </candidateList>
      <explain>词汇[其它]为不规范表述或旧称，其规范书面表述为[其他]。</explain>
      <paraID> 7507F34</paraID>
      <start>115</start>
      <end>117</end>
      <status>unmodified</status>
      <modifiedWord/>
      <trackRevisions>false</trackRevisions>
    </reviewItem>
    <reviewItem>
      <errorID>e2e99fda-1514-42ca-b101-9f1a680f1ab8</errorID>
      <errorWord>考虑到</errorWord>
      <group>L1_Word</group>
      <groupName>字词问题</groupName>
      <ability>L2_Typo</ability>
      <abilityName>字词错误</abilityName>
      <candidateList>
        <item>考虑</item>
      </candidateList>
      <explain/>
      <paraID>737E2F49</paraID>
      <start>14</start>
      <end>17</end>
      <status>unmodified</status>
      <modifiedWord/>
      <trackRevisions>false</trackRevisions>
    </reviewItem>
    <reviewItem>
      <errorID>844565ac-a9f7-42df-a73b-7e9ea737ef3d</errorID>
      <errorWord>-</errorWord>
      <group>L1_Format</group>
      <groupName>格式问题</groupName>
      <ability>L2_HalfPunc</ability>
      <abilityName>全半角检查</abilityName>
      <candidateList>
        <item>－</item>
      </candidateList>
      <explain>文本全半角错误。</explain>
      <paraID>198FA3F9</paraID>
      <start>3</start>
      <end>4</end>
      <status>unmodified</status>
      <modifiedWord/>
      <trackRevisions>false</trackRevisions>
    </reviewItem>
    <reviewItem>
      <errorID>42a41487-68a8-4cd9-9273-311c67550f4b</errorID>
      <errorWord>打入到</errorWord>
      <group>L1_Word</group>
      <groupName>字词问题</groupName>
      <ability>L2_Typo</ability>
      <abilityName>字词错误</abilityName>
      <candidateList>
        <item>打入</item>
      </candidateList>
      <explain/>
      <paraID>6E37B8A2</paraID>
      <start>137</start>
      <end>140</end>
      <status>unmodified</status>
      <modifiedWord/>
      <trackRevisions>false</trackRevisions>
    </reviewItem>
    <reviewItem>
      <errorID>f07ea423-c96a-4150-a5d9-0248d36afea7</errorID>
      <errorWord>-</errorWord>
      <group>L1_Format</group>
      <groupName>格式问题</groupName>
      <ability>L2_HalfPunc</ability>
      <abilityName>全半角检查</abilityName>
      <candidateList>
        <item>－</item>
      </candidateList>
      <explain>文本全半角错误。</explain>
      <paraID> 42597C0</paraID>
      <start>48</start>
      <end>49</end>
      <status>unmodified</status>
      <modifiedWord/>
      <trackRevisions>false</trackRevisions>
    </reviewItem>
    <reviewItem>
      <errorID>0ef0136b-81ce-4300-a132-ecc6d5084b34</errorID>
      <errorWord>-</errorWord>
      <group>L1_Format</group>
      <groupName>格式问题</groupName>
      <ability>L2_HalfPunc</ability>
      <abilityName>全半角检查</abilityName>
      <candidateList>
        <item>－</item>
      </candidateList>
      <explain>文本全半角错误。</explain>
      <paraID> 42597C0</paraID>
      <start>51</start>
      <end>52</end>
      <status>unmodified</status>
      <modifiedWord/>
      <trackRevisions>false</trackRevisions>
    </reviewItem>
    <reviewItem>
      <errorID>c8f99979-edb9-463c-85fe-4de3da6e1ed3</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5A08BA6F</paraID>
      <start>334</start>
      <end>337</end>
      <status>unmodified</status>
      <modifiedWord/>
      <trackRevisions>false</trackRevisions>
    </reviewItem>
    <reviewItem>
      <errorID>8bce88a1-e200-434b-bd2d-51def03d5e66</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5A08BA6F</paraID>
      <start>356</start>
      <end>359</end>
      <status>unmodified</status>
      <modifiedWord/>
      <trackRevisions>false</trackRevisions>
    </reviewItem>
    <reviewItem>
      <errorID>a4f14a40-7d9a-472a-8e2d-a58ee602b4e4</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5A08BA6F</paraID>
      <start>453</start>
      <end>456</end>
      <status>unmodified</status>
      <modifiedWord/>
      <trackRevisions>false</trackRevisions>
    </reviewItem>
    <reviewItem>
      <errorID>9b446f9a-edc5-4f25-a439-3c8233fe5779</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5A08BA6F</paraID>
      <start>487</start>
      <end>490</end>
      <status>unmodified</status>
      <modifiedWord/>
      <trackRevisions>false</trackRevisions>
    </reviewItem>
    <reviewItem>
      <errorID>345f41aa-43eb-46dc-8984-a06587625a30</errorID>
      <errorWord>～</errorWord>
      <group>L1_Format</group>
      <groupName>格式问题</groupName>
      <ability>L2_HalfPunc</ability>
      <abilityName>全半角检查</abilityName>
      <candidateList>
        <item>~</item>
      </candidateList>
      <explain>文本全半角错误。</explain>
      <paraID>1D27D0DC</paraID>
      <start>2</start>
      <end>3</end>
      <status>unmodified</status>
      <modifiedWord/>
      <trackRevisions>false</trackRevisions>
    </reviewItem>
    <reviewItem>
      <errorID>780d8b2e-83d2-456e-8a02-84448dcfe8a9</errorID>
      <errorWord>～</errorWord>
      <group>L1_Format</group>
      <groupName>格式问题</groupName>
      <ability>L2_HalfPunc</ability>
      <abilityName>全半角检查</abilityName>
      <candidateList>
        <item>~</item>
      </candidateList>
      <explain>文本全半角错误。</explain>
      <paraID>639F1B9E</paraID>
      <start>2</start>
      <end>3</end>
      <status>unmodified</status>
      <modifiedWord/>
      <trackRevisions>false</trackRevisions>
    </reviewItem>
    <reviewItem>
      <errorID>ce420a1c-7026-4c45-975d-c6a164a51c1d</errorID>
      <errorWord>～</errorWord>
      <group>L1_Format</group>
      <groupName>格式问题</groupName>
      <ability>L2_HalfPunc</ability>
      <abilityName>全半角检查</abilityName>
      <candidateList>
        <item>~</item>
      </candidateList>
      <explain>文本全半角错误。</explain>
      <paraID> 5044692</paraID>
      <start>2</start>
      <end>3</end>
      <status>unmodified</status>
      <modifiedWord/>
      <trackRevisions>false</trackRevisions>
    </reviewItem>
    <reviewItem>
      <errorID>da8f8b5d-e765-43c6-a4fa-5b9807287778</errorID>
      <errorWord>～</errorWord>
      <group>L1_Format</group>
      <groupName>格式问题</groupName>
      <ability>L2_HalfPunc</ability>
      <abilityName>全半角检查</abilityName>
      <candidateList>
        <item>~</item>
      </candidateList>
      <explain>文本全半角错误。</explain>
      <paraID>785826AB</paraID>
      <start>3</start>
      <end>4</end>
      <status>unmodified</status>
      <modifiedWord/>
      <trackRevisions>false</trackRevisions>
    </reviewItem>
    <reviewItem>
      <errorID>d296f1cc-52e9-45c7-94ff-cee99e39ec84</errorID>
      <errorWord>～</errorWord>
      <group>L1_Format</group>
      <groupName>格式问题</groupName>
      <ability>L2_HalfPunc</ability>
      <abilityName>全半角检查</abilityName>
      <candidateList>
        <item>~</item>
      </candidateList>
      <explain>文本全半角错误。</explain>
      <paraID>538C7984</paraID>
      <start>3</start>
      <end>4</end>
      <status>unmodified</status>
      <modifiedWord/>
      <trackRevisions>false</trackRevisions>
    </reviewItem>
    <reviewItem>
      <errorID>ee22f7a4-4d88-44b6-84a7-12891f969252</errorID>
      <errorWord>～</errorWord>
      <group>L1_Format</group>
      <groupName>格式问题</groupName>
      <ability>L2_HalfPunc</ability>
      <abilityName>全半角检查</abilityName>
      <candidateList>
        <item>~</item>
      </candidateList>
      <explain>文本全半角错误。</explain>
      <paraID>22D91525</paraID>
      <start>2</start>
      <end>3</end>
      <status>unmodified</status>
      <modifiedWord/>
      <trackRevisions>false</trackRevisions>
    </reviewItem>
    <reviewItem>
      <errorID>da98be08-c4d7-4ed3-bb8e-9cff7747b4d4</errorID>
      <errorWord>～</errorWord>
      <group>L1_Format</group>
      <groupName>格式问题</groupName>
      <ability>L2_HalfPunc</ability>
      <abilityName>全半角检查</abilityName>
      <candidateList>
        <item>~</item>
      </candidateList>
      <explain>文本全半角错误。</explain>
      <paraID>4FA19AE1</paraID>
      <start>2</start>
      <end>3</end>
      <status>unmodified</status>
      <modifiedWord/>
      <trackRevisions>false</trackRevisions>
    </reviewItem>
    <reviewItem>
      <errorID>abb15483-b211-40f4-85bb-5d290e5f0260</errorID>
      <errorWord>～</errorWord>
      <group>L1_Format</group>
      <groupName>格式问题</groupName>
      <ability>L2_HalfPunc</ability>
      <abilityName>全半角检查</abilityName>
      <candidateList>
        <item>~</item>
      </candidateList>
      <explain>文本全半角错误。</explain>
      <paraID>19197080</paraID>
      <start>3</start>
      <end>4</end>
      <status>unmodified</status>
      <modifiedWord/>
      <trackRevisions>false</trackRevisions>
    </reviewItem>
    <reviewItem>
      <errorID>f588b070-a48c-4852-a931-fc782970f710</errorID>
      <errorWord>～</errorWord>
      <group>L1_Format</group>
      <groupName>格式问题</groupName>
      <ability>L2_HalfPunc</ability>
      <abilityName>全半角检查</abilityName>
      <candidateList>
        <item>~</item>
      </candidateList>
      <explain>文本全半角错误。</explain>
      <paraID>2F4A13CA</paraID>
      <start>3</start>
      <end>4</end>
      <status>unmodified</status>
      <modifiedWord/>
      <trackRevisions>false</trackRevisions>
    </reviewItem>
    <reviewItem>
      <errorID>4a62a6b5-9268-449f-8abd-5610b3636c6e</errorID>
      <errorWord>～</errorWord>
      <group>L1_Format</group>
      <groupName>格式问题</groupName>
      <ability>L2_HalfPunc</ability>
      <abilityName>全半角检查</abilityName>
      <candidateList>
        <item>~</item>
      </candidateList>
      <explain>文本全半角错误。</explain>
      <paraID>168AC2C5</paraID>
      <start>3</start>
      <end>4</end>
      <status>unmodified</status>
      <modifiedWord/>
      <trackRevisions>false</trackRevisions>
    </reviewItem>
    <reviewItem>
      <errorID>7630daa2-675b-4e70-9b63-6a4bb72a5ddc</errorID>
      <errorWord>～</errorWord>
      <group>L1_Format</group>
      <groupName>格式问题</groupName>
      <ability>L2_HalfPunc</ability>
      <abilityName>全半角检查</abilityName>
      <candidateList>
        <item>~</item>
      </candidateList>
      <explain>文本全半角错误。</explain>
      <paraID>79842AB1</paraID>
      <start>2</start>
      <end>3</end>
      <status>unmodified</status>
      <modifiedWord/>
      <trackRevisions>false</trackRevisions>
    </reviewItem>
    <reviewItem>
      <errorID>5c8f3289-c226-408f-98d9-d7cbbf66735b</errorID>
      <errorWord>～</errorWord>
      <group>L1_Format</group>
      <groupName>格式问题</groupName>
      <ability>L2_HalfPunc</ability>
      <abilityName>全半角检查</abilityName>
      <candidateList>
        <item>~</item>
      </candidateList>
      <explain>文本全半角错误。</explain>
      <paraID>156888A9</paraID>
      <start>3</start>
      <end>4</end>
      <status>unmodified</status>
      <modifiedWord/>
      <trackRevisions>false</trackRevisions>
    </reviewItem>
    <reviewItem>
      <errorID>33d80b42-d6a2-4981-afbf-9e7af869ac7d</errorID>
      <errorWord>～</errorWord>
      <group>L1_Format</group>
      <groupName>格式问题</groupName>
      <ability>L2_HalfPunc</ability>
      <abilityName>全半角检查</abilityName>
      <candidateList>
        <item>~</item>
      </candidateList>
      <explain>文本全半角错误。</explain>
      <paraID>5BA8AD39</paraID>
      <start>2</start>
      <end>3</end>
      <status>unmodified</status>
      <modifiedWord/>
      <trackRevisions>false</trackRevisions>
    </reviewItem>
    <reviewItem>
      <errorID>47f00bdb-8774-496f-b2d4-19eb64ed08cc</errorID>
      <errorWord>～</errorWord>
      <group>L1_Format</group>
      <groupName>格式问题</groupName>
      <ability>L2_HalfPunc</ability>
      <abilityName>全半角检查</abilityName>
      <candidateList>
        <item>~</item>
      </candidateList>
      <explain>文本全半角错误。</explain>
      <paraID>6AE40F66</paraID>
      <start>2</start>
      <end>3</end>
      <status>unmodified</status>
      <modifiedWord/>
      <trackRevisions>false</trackRevisions>
    </reviewItem>
    <reviewItem>
      <errorID>cedc470d-192c-45b5-80d9-d21fee5ac2f4</errorID>
      <errorWord>～</errorWord>
      <group>L1_Format</group>
      <groupName>格式问题</groupName>
      <ability>L2_HalfPunc</ability>
      <abilityName>全半角检查</abilityName>
      <candidateList>
        <item>~</item>
      </candidateList>
      <explain>文本全半角错误。</explain>
      <paraID>35A41007</paraID>
      <start>2</start>
      <end>3</end>
      <status>unmodified</status>
      <modifiedWord/>
      <trackRevisions>false</trackRevisions>
    </reviewItem>
    <reviewItem>
      <errorID>f9c548ec-28a1-41c2-a179-fa711caab690</errorID>
      <errorWord>~</errorWord>
      <group>L1_Format</group>
      <groupName>格式问题</groupName>
      <ability>L2_HalfPunc</ability>
      <abilityName>全半角检查</abilityName>
      <candidateList>
        <item>～</item>
      </candidateList>
      <explain>文本全半角错误。</explain>
      <paraID>739FCD7D</paraID>
      <start>386</start>
      <end>387</end>
      <status>unmodified</status>
      <modifiedWord/>
      <trackRevisions>false</trackRevisions>
    </reviewItem>
    <reviewItem>
      <errorID>1eeb7a3a-2319-4f13-95f2-16133ad76145</errorID>
      <errorWord>-</errorWord>
      <group>L1_Format</group>
      <groupName>格式问题</groupName>
      <ability>L2_HalfPunc</ability>
      <abilityName>全半角检查</abilityName>
      <candidateList>
        <item>－</item>
      </candidateList>
      <explain>文本全半角错误。</explain>
      <paraID>345A86CC</paraID>
      <start>19</start>
      <end>20</end>
      <status>unmodified</status>
      <modifiedWord/>
      <trackRevisions>false</trackRevisions>
    </reviewItem>
    <reviewItem>
      <errorID>9cf9082a-37af-4c14-9fc8-2c63568333c7</errorID>
      <errorWord>-</errorWord>
      <group>L1_Format</group>
      <groupName>格式问题</groupName>
      <ability>L2_HalfPunc</ability>
      <abilityName>全半角检查</abilityName>
      <candidateList>
        <item>－</item>
      </candidateList>
      <explain>文本全半角错误。</explain>
      <paraID> EB0DD70</paraID>
      <start>4</start>
      <end>5</end>
      <status>unmodified</status>
      <modifiedWord/>
      <trackRevisions>false</trackRevisions>
    </reviewItem>
    <reviewItem>
      <errorID>94ae87e4-3ad6-4709-b63a-ad9148fca0f1</errorID>
      <errorWord>-</errorWord>
      <group>L1_Format</group>
      <groupName>格式问题</groupName>
      <ability>L2_HalfPunc</ability>
      <abilityName>全半角检查</abilityName>
      <candidateList>
        <item>－</item>
      </candidateList>
      <explain>文本全半角错误。</explain>
      <paraID>6CB635AE</paraID>
      <start>6</start>
      <end>7</end>
      <status>unmodified</status>
      <modifiedWord/>
      <trackRevisions>false</trackRevisions>
    </reviewItem>
    <reviewItem>
      <errorID>e4626e49-f7d4-44e0-a34c-0d65b4e5b8e6</errorID>
      <errorWord>-</errorWord>
      <group>L1_Format</group>
      <groupName>格式问题</groupName>
      <ability>L2_HalfPunc</ability>
      <abilityName>全半角检查</abilityName>
      <candidateList>
        <item>－</item>
      </candidateList>
      <explain>文本全半角错误。</explain>
      <paraID>475A7423</paraID>
      <start>4</start>
      <end>5</end>
      <status>unmodified</status>
      <modifiedWord/>
      <trackRevisions>false</trackRevisions>
    </reviewItem>
    <reviewItem>
      <errorID>58fd37dc-1de6-46de-ac72-b1809596550d</errorID>
      <errorWord>-</errorWord>
      <group>L1_Format</group>
      <groupName>格式问题</groupName>
      <ability>L2_HalfPunc</ability>
      <abilityName>全半角检查</abilityName>
      <candidateList>
        <item>－</item>
      </candidateList>
      <explain>文本全半角错误。</explain>
      <paraID>443B321E</paraID>
      <start>1</start>
      <end>2</end>
      <status>unmodified</status>
      <modifiedWord/>
      <trackRevisions>false</trackRevisions>
    </reviewItem>
    <reviewItem>
      <errorID>42c8180c-f5ea-4b55-911c-6a11cf607b83</errorID>
      <errorWord>-</errorWord>
      <group>L1_Format</group>
      <groupName>格式问题</groupName>
      <ability>L2_HalfPunc</ability>
      <abilityName>全半角检查</abilityName>
      <candidateList>
        <item>－</item>
      </candidateList>
      <explain>文本全半角错误。</explain>
      <paraID> 6D3BF01</paraID>
      <start>5</start>
      <end>6</end>
      <status>unmodified</status>
      <modifiedWord/>
      <trackRevisions>false</trackRevisions>
    </reviewItem>
    <reviewItem>
      <errorID>1ffab449-7d0f-498b-b16a-9594d9f6f907</errorID>
      <errorWord>-</errorWord>
      <group>L1_Format</group>
      <groupName>格式问题</groupName>
      <ability>L2_HalfPunc</ability>
      <abilityName>全半角检查</abilityName>
      <candidateList>
        <item>－</item>
      </candidateList>
      <explain>文本全半角错误。</explain>
      <paraID>5D48BF0C</paraID>
      <start>1</start>
      <end>2</end>
      <status>unmodified</status>
      <modifiedWord/>
      <trackRevisions>false</trackRevisions>
    </reviewItem>
    <reviewItem>
      <errorID>0aebec48-6486-4819-9dbe-e903b513b0be</errorID>
      <errorWord>-</errorWord>
      <group>L1_Format</group>
      <groupName>格式问题</groupName>
      <ability>L2_HalfPunc</ability>
      <abilityName>全半角检查</abilityName>
      <candidateList>
        <item>－</item>
      </candidateList>
      <explain>文本全半角错误。</explain>
      <paraID>1F4ADC6E</paraID>
      <start>1</start>
      <end>2</end>
      <status>unmodified</status>
      <modifiedWord/>
      <trackRevisions>false</trackRevisions>
    </reviewItem>
    <reviewItem>
      <errorID>3769b636-3004-416f-a0fd-869703d455e7</errorID>
      <errorWord>-</errorWord>
      <group>L1_Format</group>
      <groupName>格式问题</groupName>
      <ability>L2_HalfPunc</ability>
      <abilityName>全半角检查</abilityName>
      <candidateList>
        <item>－</item>
      </candidateList>
      <explain>文本全半角错误。</explain>
      <paraID>7C053145</paraID>
      <start>1</start>
      <end>2</end>
      <status>unmodified</status>
      <modifiedWord/>
      <trackRevisions>false</trackRevisions>
    </reviewItem>
    <reviewItem>
      <errorID>ba7b83c5-6e38-423f-bb4e-d34a005ff346</errorID>
      <errorWord>-</errorWord>
      <group>L1_Format</group>
      <groupName>格式问题</groupName>
      <ability>L2_HalfPunc</ability>
      <abilityName>全半角检查</abilityName>
      <candidateList>
        <item>－</item>
      </candidateList>
      <explain>文本全半角错误。</explain>
      <paraID>111531EF</paraID>
      <start>1</start>
      <end>2</end>
      <status>unmodified</status>
      <modifiedWord/>
      <trackRevisions>false</trackRevisions>
    </reviewItem>
    <reviewItem>
      <errorID>0d433ee9-135e-49a0-94fd-9f1dc79e2db9</errorID>
      <errorWord>-</errorWord>
      <group>L1_Format</group>
      <groupName>格式问题</groupName>
      <ability>L2_HalfPunc</ability>
      <abilityName>全半角检查</abilityName>
      <candidateList>
        <item>－</item>
      </candidateList>
      <explain>文本全半角错误。</explain>
      <paraID>19C3DAEC</paraID>
      <start>5</start>
      <end>6</end>
      <status>unmodified</status>
      <modifiedWord/>
      <trackRevisions>false</trackRevisions>
    </reviewItem>
    <reviewItem>
      <errorID>7e5d0857-5efb-46ca-83db-03b85a84d812</errorID>
      <errorWord>-</errorWord>
      <group>L1_Format</group>
      <groupName>格式问题</groupName>
      <ability>L2_HalfPunc</ability>
      <abilityName>全半角检查</abilityName>
      <candidateList>
        <item>－</item>
      </candidateList>
      <explain>文本全半角错误。</explain>
      <paraID>215E329B</paraID>
      <start>2</start>
      <end>3</end>
      <status>unmodified</status>
      <modifiedWord/>
      <trackRevisions>false</trackRevisions>
    </reviewItem>
    <reviewItem>
      <errorID>e5638d31-7851-4953-80b2-dc64bb63b6ff</errorID>
      <errorWord>-</errorWord>
      <group>L1_Format</group>
      <groupName>格式问题</groupName>
      <ability>L2_HalfPunc</ability>
      <abilityName>全半角检查</abilityName>
      <candidateList>
        <item>－</item>
      </candidateList>
      <explain>文本全半角错误。</explain>
      <paraID>6B592448</paraID>
      <start>2</start>
      <end>3</end>
      <status>unmodified</status>
      <modifiedWord/>
      <trackRevisions>false</trackRevisions>
    </reviewItem>
    <reviewItem>
      <errorID>82e021e0-3a97-4616-88de-a9f1d07f3694</errorID>
      <errorWord>：</errorWord>
      <group>L1_Format</group>
      <groupName>格式问题</groupName>
      <ability>L2_HalfPunc</ability>
      <abilityName>全半角检查</abilityName>
      <candidateList>
        <item>:</item>
      </candidateList>
      <explain>文本全半角错误。</explain>
      <paraID>6BA550E1</paraID>
      <start>154</start>
      <end>155</end>
      <status>unmodified</status>
      <modifiedWord/>
      <trackRevisions>false</trackRevisions>
    </reviewItem>
    <reviewItem>
      <errorID>d5c1794b-3907-4943-a954-b5a567f50be2</errorID>
      <errorWord>万</errorWord>
      <group>L1_Word</group>
      <groupName>字词问题</groupName>
      <ability>L2_Typo</ability>
      <abilityName>字词错误</abilityName>
      <candidateList>
        <item>万元</item>
      </candidateList>
      <explain/>
      <paraID> 487BAB4</paraID>
      <start>6</start>
      <end>7</end>
      <status>unmodified</status>
      <modifiedWord/>
      <trackRevisions>false</trackRevisions>
    </reviewItem>
    <reviewItem>
      <errorID>1ce1f341-660f-40e2-a14e-a664f6a7e346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57395AD2</paraID>
      <start>56</start>
      <end>57</end>
      <status>unmodified</status>
      <modifiedWord/>
      <trackRevisions>false</trackRevisions>
    </reviewItem>
    <reviewItem>
      <errorID>e2e51dce-c903-4673-9a48-e0f26dcbe6b1</errorID>
      <errorWord>，</errorWord>
      <group>L1_Format</group>
      <groupName>格式问题</groupName>
      <ability>L2_HalfPunc</ability>
      <abilityName>全半角检查</abilityName>
      <candidateList>
        <item>, </item>
      </candidateList>
      <explain>文本全半角错误。</explain>
      <paraID>5C856A56</paraID>
      <start>1</start>
      <end>2</end>
      <status>unmodified</status>
      <modifiedWord/>
      <trackRevisions>false</trackRevisions>
    </reviewItem>
    <reviewItem>
      <errorID>dabbeab1-1617-434a-9b9d-cf389e2273c4</errorID>
      <errorWord>，</errorWord>
      <group>L1_Format</group>
      <groupName>格式问题</groupName>
      <ability>L2_HalfPunc</ability>
      <abilityName>全半角检查</abilityName>
      <candidateList>
        <item>, </item>
      </candidateList>
      <explain>文本全半角错误。</explain>
      <paraID>29059EF7</paraID>
      <start>1</start>
      <end>2</end>
      <status>unmodified</status>
      <modifiedWord/>
      <trackRevisions>false</trackRevisions>
    </reviewItem>
    <reviewItem>
      <errorID>6ee7e606-0131-43be-a230-f8e4bb978b64</errorID>
      <errorWord>（</errorWord>
      <group>L1_Format</group>
      <groupName>格式问题</groupName>
      <ability>L2_HalfPunc</ability>
      <abilityName>全半角检查</abilityName>
      <candidateList>
        <item>(</item>
      </candidateList>
      <explain>文本全半角错误。</explain>
      <paraID>  2E3408</paraID>
      <start>0</start>
      <end>1</end>
      <status>unmodified</status>
      <modifiedWord/>
      <trackRevisions>false</trackRevisions>
    </reviewItem>
    <reviewItem>
      <errorID>b7ad00d1-0108-45ad-8c5f-cfb88ecff658</errorID>
      <errorWord>）</errorWord>
      <group>L1_Format</group>
      <groupName>格式问题</groupName>
      <ability>L2_HalfPunc</ability>
      <abilityName>全半角检查</abilityName>
      <candidateList>
        <item>)</item>
      </candidateList>
      <explain>文本全半角错误。</explain>
      <paraID>  2E3408</paraID>
      <start>17</start>
      <end>18</end>
      <status>unmodified</status>
      <modifiedWord/>
      <trackRevisions>false</trackRevisions>
    </reviewItem>
    <reviewItem>
      <errorID>56cbaa16-dafb-4a20-bc09-cf71f5927c2d</errorID>
      <errorWord>万</errorWord>
      <group>L1_Word</group>
      <groupName>字词问题</groupName>
      <ability>L2_Typo</ability>
      <abilityName>字词错误</abilityName>
      <candidateList>
        <item>万元</item>
      </candidateList>
      <explain/>
      <paraID> 9CBE8C0</paraID>
      <start>5</start>
      <end>6</end>
      <status>unmodified</status>
      <modifiedWord/>
      <trackRevisions>false</trackRevisions>
    </reviewItem>
    <reviewItem>
      <errorID>4558e0d5-9797-47e7-ba82-c0e89f1213f2</errorID>
      <errorWord>（</errorWord>
      <group>L1_Format</group>
      <groupName>格式问题</groupName>
      <ability>L2_HalfPunc</ability>
      <abilityName>全半角检查</abilityName>
      <candidateList>
        <item>(</item>
      </candidateList>
      <explain>文本全半角错误。</explain>
      <paraID>  B1265D</paraID>
      <start>0</start>
      <end>1</end>
      <status>unmodified</status>
      <modifiedWord/>
      <trackRevisions>false</trackRevisions>
    </reviewItem>
    <reviewItem>
      <errorID>eca6bb81-5e1b-4a2a-b074-fca1ec99dfd5</errorID>
      <errorWord>）</errorWord>
      <group>L1_Format</group>
      <groupName>格式问题</groupName>
      <ability>L2_HalfPunc</ability>
      <abilityName>全半角检查</abilityName>
      <candidateList>
        <item>)</item>
      </candidateList>
      <explain>文本全半角错误。</explain>
      <paraID>  B1265D</paraID>
      <start>17</start>
      <end>18</end>
      <status>unmodified</status>
      <modifiedWord/>
      <trackRevisions>false</trackRevisions>
    </reviewItem>
    <reviewItem>
      <errorID>6b6c7ef7-3659-4223-ba7f-f10693068fd6</errorID>
      <errorWord>（</errorWord>
      <group>L1_Format</group>
      <groupName>格式问题</groupName>
      <ability>L2_HalfPunc</ability>
      <abilityName>全半角检查</abilityName>
      <candidateList>
        <item>(</item>
      </candidateList>
      <explain>文本全半角错误。</explain>
      <paraID>2FBA1C9F</paraID>
      <start>0</start>
      <end>1</end>
      <status>unmodified</status>
      <modifiedWord/>
      <trackRevisions>false</trackRevisions>
    </reviewItem>
    <reviewItem>
      <errorID>ab8cf4fc-79c8-4059-853b-4058e654b30f</errorID>
      <errorWord>）</errorWord>
      <group>L1_Format</group>
      <groupName>格式问题</groupName>
      <ability>L2_HalfPunc</ability>
      <abilityName>全半角检查</abilityName>
      <candidateList>
        <item>)</item>
      </candidateList>
      <explain>文本全半角错误。</explain>
      <paraID>2FBA1C9F</paraID>
      <start>17</start>
      <end>18</end>
      <status>unmodified</status>
      <modifiedWord/>
      <trackRevisions>false</trackRevisions>
    </reviewItem>
    <reviewItem>
      <errorID>dfd7b2c3-1181-49f4-8e48-ee0ccacf3a15</errorID>
      <errorWord>（</errorWord>
      <group>L1_Format</group>
      <groupName>格式问题</groupName>
      <ability>L2_HalfPunc</ability>
      <abilityName>全半角检查</abilityName>
      <candidateList>
        <item>(</item>
      </candidateList>
      <explain>文本全半角错误。</explain>
      <paraID>74BCE660</paraID>
      <start>0</start>
      <end>1</end>
      <status>unmodified</status>
      <modifiedWord/>
      <trackRevisions>false</trackRevisions>
    </reviewItem>
    <reviewItem>
      <errorID>507123d7-26aa-4c14-a26b-d1ef89e9d8eb</errorID>
      <errorWord>）</errorWord>
      <group>L1_Format</group>
      <groupName>格式问题</groupName>
      <ability>L2_HalfPunc</ability>
      <abilityName>全半角检查</abilityName>
      <candidateList>
        <item>)</item>
      </candidateList>
      <explain>文本全半角错误。</explain>
      <paraID>74BCE660</paraID>
      <start>17</start>
      <end>18</end>
      <status>unmodified</status>
      <modifiedWord/>
      <trackRevisions>false</trackRevisions>
    </reviewItem>
    <reviewItem>
      <errorID>69988782-9fc6-405a-a1df-3e3fd6a91f8c</errorID>
      <errorWord>（</errorWord>
      <group>L1_Format</group>
      <groupName>格式问题</groupName>
      <ability>L2_HalfPunc</ability>
      <abilityName>全半角检查</abilityName>
      <candidateList>
        <item>(</item>
      </candidateList>
      <explain>文本全半角错误。</explain>
      <paraID>7642F6D1</paraID>
      <start>0</start>
      <end>1</end>
      <status>unmodified</status>
      <modifiedWord/>
      <trackRevisions>false</trackRevisions>
    </reviewItem>
    <reviewItem>
      <errorID>117d4514-50c2-4e5a-9615-5bdf12c69a74</errorID>
      <errorWord>）</errorWord>
      <group>L1_Format</group>
      <groupName>格式问题</groupName>
      <ability>L2_HalfPunc</ability>
      <abilityName>全半角检查</abilityName>
      <candidateList>
        <item>)</item>
      </candidateList>
      <explain>文本全半角错误。</explain>
      <paraID>7642F6D1</paraID>
      <start>17</start>
      <end>18</end>
      <status>unmodified</status>
      <modifiedWord/>
      <trackRevisions>false</trackRevisions>
    </reviewItem>
    <reviewItem>
      <errorID>63a6a03c-3b6b-48f4-914c-3d083e45859f</errorID>
      <errorWord>（</errorWord>
      <group>L1_Format</group>
      <groupName>格式问题</groupName>
      <ability>L2_HalfPunc</ability>
      <abilityName>全半角检查</abilityName>
      <candidateList>
        <item>(</item>
      </candidateList>
      <explain>文本全半角错误。</explain>
      <paraID>278FD18A</paraID>
      <start>0</start>
      <end>1</end>
      <status>unmodified</status>
      <modifiedWord/>
      <trackRevisions>false</trackRevisions>
    </reviewItem>
    <reviewItem>
      <errorID>93889119-2682-45b2-8af5-8e553b313828</errorID>
      <errorWord>）</errorWord>
      <group>L1_Format</group>
      <groupName>格式问题</groupName>
      <ability>L2_HalfPunc</ability>
      <abilityName>全半角检查</abilityName>
      <candidateList>
        <item>)</item>
      </candidateList>
      <explain>文本全半角错误。</explain>
      <paraID>278FD18A</paraID>
      <start>16</start>
      <end>17</end>
      <status>unmodified</status>
      <modifiedWord/>
      <trackRevisions>false</trackRevisions>
    </reviewItem>
    <reviewItem>
      <errorID>765f0fe3-0cd8-44f6-b4e0-db673b8f6a6c</errorID>
      <errorWord>（</errorWord>
      <group>L1_Format</group>
      <groupName>格式问题</groupName>
      <ability>L2_HalfPunc</ability>
      <abilityName>全半角检查</abilityName>
      <candidateList>
        <item>(</item>
      </candidateList>
      <explain>文本全半角错误。</explain>
      <paraID>374CD7CD</paraID>
      <start>0</start>
      <end>1</end>
      <status>unmodified</status>
      <modifiedWord/>
      <trackRevisions>false</trackRevisions>
    </reviewItem>
    <reviewItem>
      <errorID>d43af095-03d8-4f4f-8205-a72004dfcf69</errorID>
      <errorWord>）</errorWord>
      <group>L1_Format</group>
      <groupName>格式问题</groupName>
      <ability>L2_HalfPunc</ability>
      <abilityName>全半角检查</abilityName>
      <candidateList>
        <item>)</item>
      </candidateList>
      <explain>文本全半角错误。</explain>
      <paraID>374CD7CD</paraID>
      <start>16</start>
      <end>17</end>
      <status>unmodified</status>
      <modifiedWord/>
      <trackRevisions>false</trackRevisions>
    </reviewItem>
    <reviewItem>
      <errorID>c538185e-009f-45ca-8d09-f9eff6615323</errorID>
      <errorWord>（</errorWord>
      <group>L1_Format</group>
      <groupName>格式问题</groupName>
      <ability>L2_HalfPunc</ability>
      <abilityName>全半角检查</abilityName>
      <candidateList>
        <item>(</item>
      </candidateList>
      <explain>文本全半角错误。</explain>
      <paraID>36103151</paraID>
      <start>0</start>
      <end>1</end>
      <status>unmodified</status>
      <modifiedWord/>
      <trackRevisions>false</trackRevisions>
    </reviewItem>
    <reviewItem>
      <errorID>54ef0440-25d9-40fc-a2bf-283ad19f50aa</errorID>
      <errorWord>）</errorWord>
      <group>L1_Format</group>
      <groupName>格式问题</groupName>
      <ability>L2_HalfPunc</ability>
      <abilityName>全半角检查</abilityName>
      <candidateList>
        <item>)</item>
      </candidateList>
      <explain>文本全半角错误。</explain>
      <paraID>36103151</paraID>
      <start>16</start>
      <end>17</end>
      <status>unmodified</status>
      <modifiedWord/>
      <trackRevisions>false</trackRevisions>
    </reviewItem>
    <reviewItem>
      <errorID>95b5b959-5cce-4266-a259-338e1f8f5497</errorID>
      <errorWord>（</errorWord>
      <group>L1_Format</group>
      <groupName>格式问题</groupName>
      <ability>L2_HalfPunc</ability>
      <abilityName>全半角检查</abilityName>
      <candidateList>
        <item>(</item>
      </candidateList>
      <explain>文本全半角错误。</explain>
      <paraID>6F034D50</paraID>
      <start>0</start>
      <end>1</end>
      <status>unmodified</status>
      <modifiedWord/>
      <trackRevisions>false</trackRevisions>
    </reviewItem>
    <reviewItem>
      <errorID>5d79bfab-df12-4824-96cb-a154d7c7070d</errorID>
      <errorWord>）</errorWord>
      <group>L1_Format</group>
      <groupName>格式问题</groupName>
      <ability>L2_HalfPunc</ability>
      <abilityName>全半角检查</abilityName>
      <candidateList>
        <item>)</item>
      </candidateList>
      <explain>文本全半角错误。</explain>
      <paraID>6F034D50</paraID>
      <start>16</start>
      <end>17</end>
      <status>unmodified</status>
      <modifiedWord/>
      <trackRevisions>false</trackRevisions>
    </reviewItem>
    <reviewItem>
      <errorID>580a7fe8-9678-4c0d-aaef-8fc4888b2578</errorID>
      <errorWord>（</errorWord>
      <group>L1_Format</group>
      <groupName>格式问题</groupName>
      <ability>L2_HalfPunc</ability>
      <abilityName>全半角检查</abilityName>
      <candidateList>
        <item>(</item>
      </candidateList>
      <explain>文本全半角错误。</explain>
      <paraID>200EEC0B</paraID>
      <start>0</start>
      <end>1</end>
      <status>unmodified</status>
      <modifiedWord/>
      <trackRevisions>false</trackRevisions>
    </reviewItem>
    <reviewItem>
      <errorID>3a73d3f4-61fd-497a-9330-8e1f2a032d09</errorID>
      <errorWord>）</errorWord>
      <group>L1_Format</group>
      <groupName>格式问题</groupName>
      <ability>L2_HalfPunc</ability>
      <abilityName>全半角检查</abilityName>
      <candidateList>
        <item>)</item>
      </candidateList>
      <explain>文本全半角错误。</explain>
      <paraID>200EEC0B</paraID>
      <start>16</start>
      <end>17</end>
      <status>unmodified</status>
      <modifiedWord/>
      <trackRevisions>false</trackRevisions>
    </reviewItem>
    <reviewItem>
      <errorID>9e0565f8-febd-4796-b138-f41f4940eb04</errorID>
      <errorWord>（</errorWord>
      <group>L1_Format</group>
      <groupName>格式问题</groupName>
      <ability>L2_HalfPunc</ability>
      <abilityName>全半角检查</abilityName>
      <candidateList>
        <item>(</item>
      </candidateList>
      <explain>文本全半角错误。</explain>
      <paraID>733C6255</paraID>
      <start>0</start>
      <end>1</end>
      <status>unmodified</status>
      <modifiedWord/>
      <trackRevisions>false</trackRevisions>
    </reviewItem>
    <reviewItem>
      <errorID>72f1f94e-34f2-4de3-9bda-f476df9c4ad7</errorID>
      <errorWord>）</errorWord>
      <group>L1_Format</group>
      <groupName>格式问题</groupName>
      <ability>L2_HalfPunc</ability>
      <abilityName>全半角检查</abilityName>
      <candidateList>
        <item>)</item>
      </candidateList>
      <explain>文本全半角错误。</explain>
      <paraID>5C942199</paraID>
      <start>15</start>
      <end>16</end>
      <status>unmodified</status>
      <modifiedWord/>
      <trackRevisions>false</trackRevisions>
    </reviewItem>
    <reviewItem>
      <errorID>ae5c0512-ba01-40b1-b055-228cb4a20238</errorID>
      <errorWord>（</errorWord>
      <group>L1_Format</group>
      <groupName>格式问题</groupName>
      <ability>L2_HalfPunc</ability>
      <abilityName>全半角检查</abilityName>
      <candidateList>
        <item>(</item>
      </candidateList>
      <explain>文本全半角错误。</explain>
      <paraID> FF6DCBA</paraID>
      <start>0</start>
      <end>1</end>
      <status>unmodified</status>
      <modifiedWord/>
      <trackRevisions>false</trackRevisions>
    </reviewItem>
    <reviewItem>
      <errorID>9bd465e2-da08-456e-bb63-a7e278066721</errorID>
      <errorWord>）</errorWord>
      <group>L1_Format</group>
      <groupName>格式问题</groupName>
      <ability>L2_HalfPunc</ability>
      <abilityName>全半角检查</abilityName>
      <candidateList>
        <item>)</item>
      </candidateList>
      <explain>文本全半角错误。</explain>
      <paraID> FF6DCBA</paraID>
      <start>6</start>
      <end>7</end>
      <status>unmodified</status>
      <modifiedWord/>
      <trackRevisions>false</trackRevisions>
    </reviewItem>
    <reviewItem>
      <errorID>4ed57e9b-ad60-4f4c-a0a5-c77ba52ab273</errorID>
      <errorWord>（</errorWord>
      <group>L1_Format</group>
      <groupName>格式问题</groupName>
      <ability>L2_HalfPunc</ability>
      <abilityName>全半角检查</abilityName>
      <candidateList>
        <item>(</item>
      </candidateList>
      <explain>文本全半角错误。</explain>
      <paraID>2A83552F</paraID>
      <start>0</start>
      <end>1</end>
      <status>unmodified</status>
      <modifiedWord/>
      <trackRevisions>false</trackRevisions>
    </reviewItem>
    <reviewItem>
      <errorID>ec91e877-ba66-413d-b464-95c337773e8e</errorID>
      <errorWord>）</errorWord>
      <group>L1_Format</group>
      <groupName>格式问题</groupName>
      <ability>L2_HalfPunc</ability>
      <abilityName>全半角检查</abilityName>
      <candidateList>
        <item>)</item>
      </candidateList>
      <explain>文本全半角错误。</explain>
      <paraID>2A83552F</paraID>
      <start>4</start>
      <end>5</end>
      <status>unmodified</status>
      <modifiedWord/>
      <trackRevisions>false</trackRevisions>
    </reviewItem>
    <reviewItem>
      <errorID>ede750b0-a32d-44b6-81c3-959b8056a78d</errorID>
      <errorWord>（</errorWord>
      <group>L1_Format</group>
      <groupName>格式问题</groupName>
      <ability>L2_HalfPunc</ability>
      <abilityName>全半角检查</abilityName>
      <candidateList>
        <item>(</item>
      </candidateList>
      <explain>文本全半角错误。</explain>
      <paraID>6BCCE327</paraID>
      <start>0</start>
      <end>1</end>
      <status>unmodified</status>
      <modifiedWord/>
      <trackRevisions>false</trackRevisions>
    </reviewItem>
    <reviewItem>
      <errorID>532f4ff5-4fa5-4f74-ac5e-0ad396217001</errorID>
      <errorWord>）</errorWord>
      <group>L1_Format</group>
      <groupName>格式问题</groupName>
      <ability>L2_HalfPunc</ability>
      <abilityName>全半角检查</abilityName>
      <candidateList>
        <item>)</item>
      </candidateList>
      <explain>文本全半角错误。</explain>
      <paraID>6BCCE327</paraID>
      <start>4</start>
      <end>5</end>
      <status>unmodified</status>
      <modifiedWord/>
      <trackRevisions>false</trackRevisions>
    </reviewItem>
    <reviewItem>
      <errorID>a95e83dc-ed57-4927-ac04-fbc3c8bbf632</errorID>
      <errorWord>万</errorWord>
      <group>L1_Word</group>
      <groupName>字词问题</groupName>
      <ability>L2_Typo</ability>
      <abilityName>字词错误</abilityName>
      <candidateList>
        <item>万元</item>
      </candidateList>
      <explain/>
      <paraID>4C36E071</paraID>
      <start>5</start>
      <end>6</end>
      <status>unmodified</status>
      <modifiedWord/>
      <trackRevisions>false</trackRevisions>
    </reviewItem>
    <reviewItem>
      <errorID>423700bb-0383-4ec3-b3fe-2f11c79088f6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2B7EA5F9</paraID>
      <start>0</start>
      <end>2</end>
      <status>unmodified</status>
      <modifiedWord/>
      <trackRevisions>false</trackRevisions>
    </reviewItem>
    <reviewItem>
      <errorID>916dc5c5-c362-4968-8152-95bb8b10e268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ABEC698</paraID>
      <start>0</start>
      <end>2</end>
      <status>unmodified</status>
      <modifiedWord/>
      <trackRevisions>false</trackRevisions>
    </reviewItem>
    <reviewItem>
      <errorID>5b06be9e-f52b-4c14-b78d-7b492e1db9b8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76715E22</paraID>
      <start>0</start>
      <end>2</end>
      <status>unmodified</status>
      <modifiedWord/>
      <trackRevisions>false</trackRevisions>
    </reviewItem>
    <reviewItem>
      <errorID>d91f95c0-7b69-4b78-8fc7-2793723113ce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3F394754</paraID>
      <start>0</start>
      <end>2</end>
      <status>unmodified</status>
      <modifiedWord/>
      <trackRevisions>false</trackRevisions>
    </reviewItem>
    <reviewItem>
      <errorID>9ac3bdd7-7c29-48f9-98ed-88f957ab307c</errorID>
      <errorWord>~</errorWord>
      <group>L1_Format</group>
      <groupName>格式问题</groupName>
      <ability>L2_HalfPunc</ability>
      <abilityName>全半角检查</abilityName>
      <candidateList>
        <item>～</item>
      </candidateList>
      <explain>文本全半角错误。</explain>
      <paraID>3F394754</paraID>
      <start>86</start>
      <end>87</end>
      <status>unmodified</status>
      <modifiedWord/>
      <trackRevisions>false</trackRevisions>
    </reviewItem>
    <reviewItem>
      <errorID>6782d2e3-5f1c-4550-a98c-b0078cfebdfe</errorID>
      <errorWord>用新</errorWord>
      <group>L1_Word</group>
      <groupName>字词问题</groupName>
      <ability>L2_Typo</ability>
      <abilityName>字词错误</abilityName>
      <candidateList>
        <item>用</item>
      </candidateList>
      <explain/>
      <paraID>6C3B3326</paraID>
      <start>35</start>
      <end>37</end>
      <status>unmodified</status>
      <modifiedWord/>
      <trackRevisions>false</trackRevisions>
    </reviewItem>
    <reviewItem>
      <errorID>b5de7417-5804-4162-89f6-72234ca44d75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3541BEE6</paraID>
      <start>83</start>
      <end>86</end>
      <status>unmodified</status>
      <modifiedWord/>
      <trackRevisions>false</trackRevisions>
    </reviewItem>
    <reviewItem>
      <errorID>be838dee-d6f7-4c5c-af2a-9a754d95b49a</errorID>
      <errorWord>诣</errorWord>
      <group>L1_Word</group>
      <groupName>字词问题</groupName>
      <ability>L2_Typo</ability>
      <abilityName>字词错误</abilityName>
      <candidateList>
        <item>钰</item>
      </candidateList>
      <explain>存在发音相近字词的误用。</explain>
      <paraID>6909E304</paraID>
      <start>140</start>
      <end>141</end>
      <status>unmodified</status>
      <modifiedWord/>
      <trackRevisions>false</trackRevisions>
    </reviewItem>
    <reviewItem>
      <errorID>375d2f37-b634-4a23-a0fa-2f2bcf338b57</errorID>
      <errorWord>，可</errorWord>
      <group>L1_Word</group>
      <groupName>字词问题</groupName>
      <ability>L2_Typo</ability>
      <abilityName>字词错误</abilityName>
      <candidateList>
        <item>，</item>
      </candidateList>
      <explain/>
      <paraID>363C5DB9</paraID>
      <start>30</start>
      <end>32</end>
      <status>unmodified</status>
      <modifiedWord/>
      <trackRevisions>false</trackRevisions>
    </reviewItem>
    <reviewItem>
      <errorID>66bc8633-b825-4cac-9c4a-9c7592f7e0a6</errorID>
      <errorWord>-</errorWord>
      <group>L1_Format</group>
      <groupName>格式问题</groupName>
      <ability>L2_HalfPunc</ability>
      <abilityName>全半角检查</abilityName>
      <candidateList>
        <item>－</item>
      </candidateList>
      <explain>文本全半角错误。</explain>
      <paraID>5800EEB6</paraID>
      <start>12</start>
      <end>13</end>
      <status>unmodified</status>
      <modifiedWord/>
      <trackRevisions>false</trackRevisions>
    </reviewItem>
    <reviewItem>
      <errorID>045027dc-0faf-4a9e-afa0-521a3824486e</errorID>
      <errorWord>-</errorWord>
      <group>L1_Format</group>
      <groupName>格式问题</groupName>
      <ability>L2_HalfPunc</ability>
      <abilityName>全半角检查</abilityName>
      <candidateList>
        <item>－</item>
      </candidateList>
      <explain>文本全半角错误。</explain>
      <paraID>5800EEB6</paraID>
      <start>15</start>
      <end>16</end>
      <status>unmodified</status>
      <modifiedWord/>
      <trackRevisions>false</trackRevisions>
    </reviewItem>
    <reviewItem>
      <errorID>1d749802-736b-476f-9ab3-1f1eb5424979</errorID>
      <errorWord>-</errorWord>
      <group>L1_Format</group>
      <groupName>格式问题</groupName>
      <ability>L2_HalfPunc</ability>
      <abilityName>全半角检查</abilityName>
      <candidateList>
        <item>－</item>
      </candidateList>
      <explain>文本全半角错误。</explain>
      <paraID>5800EEB6</paraID>
      <start>18</start>
      <end>19</end>
      <status>unmodified</status>
      <modifiedWord/>
      <trackRevisions>false</trackRevisions>
    </reviewItem>
    <reviewItem>
      <errorID>fa129827-81ba-4bb7-b703-513721394c87</errorID>
      <errorWord>-</errorWord>
      <group>L1_Format</group>
      <groupName>格式问题</groupName>
      <ability>L2_HalfPunc</ability>
      <abilityName>全半角检查</abilityName>
      <candidateList>
        <item>－</item>
      </candidateList>
      <explain>文本全半角错误。</explain>
      <paraID>16D9F5B0</paraID>
      <start>71</start>
      <end>72</end>
      <status>unmodified</status>
      <modifiedWord/>
      <trackRevisions>false</trackRevisions>
    </reviewItem>
    <reviewItem>
      <errorID>47487579-e0ea-4907-aa1c-b737a73aeb83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7970FB8C</paraID>
      <start>30</start>
      <end>31</end>
      <status>unmodified</status>
      <modifiedWord/>
      <trackRevisions>false</trackRevisions>
    </reviewItem>
    <reviewItem>
      <errorID>e9ced2ee-918c-43b8-afbb-c9e65f835f77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61C36884</paraID>
      <start>24</start>
      <end>25</end>
      <status>unmodified</status>
      <modifiedWord/>
      <trackRevisions>false</trackRevisions>
    </reviewItem>
    <reviewItem>
      <errorID>6cc75228-0a0d-4e5d-9ddb-2dd188ccd091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B565A52</paraID>
      <start>27</start>
      <end>28</end>
      <status>unmodified</status>
      <modifiedWord/>
      <trackRevisions>false</trackRevisions>
    </reviewItem>
    <reviewItem>
      <errorID>f851ed2f-641e-459f-beb6-afbb66d3b560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B565A52</paraID>
      <start>107</start>
      <end>108</end>
      <status>unmodified</status>
      <modifiedWord/>
      <trackRevisions>false</trackRevisions>
    </reviewItem>
    <reviewItem>
      <errorID>bce1c409-f747-46f0-8ef8-3e51a3010eba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63529C47</paraID>
      <start>30</start>
      <end>31</end>
      <status>unmodified</status>
      <modifiedWord/>
      <trackRevisions>false</trackRevisions>
    </reviewItem>
    <reviewItem>
      <errorID>9f9884df-3b1f-4ffa-b276-bbfc3a56e2f7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522EFD3F</paraID>
      <start>47</start>
      <end>48</end>
      <status>unmodified</status>
      <modifiedWord/>
      <trackRevisions>false</trackRevisions>
    </reviewItem>
    <reviewItem>
      <errorID>200f5af8-5724-44a9-b062-f3f5be983ed8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522EFD3F</paraID>
      <start>117</start>
      <end>118</end>
      <status>unmodified</status>
      <modifiedWord/>
      <trackRevisions>false</trackRevisions>
    </reviewItem>
    <reviewItem>
      <errorID>1f81091c-cd59-44a6-b9a4-87c6ec66a3e4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52907A2</paraID>
      <start>22</start>
      <end>23</end>
      <status>unmodified</status>
      <modifiedWord/>
      <trackRevisions>false</trackRevisions>
    </reviewItem>
    <reviewItem>
      <errorID>f775dcd1-08ea-4362-ab70-42f95df65198</errorID>
      <errorWord>生态优先，绿色发展</errorWord>
      <group>L1_Political</group>
      <groupName>政治性问题</groupName>
      <ability>L2_Unpolitical</ability>
      <abilityName>政治敏感错误</abilityName>
      <candidateList>
        <item>生态优先、绿色发展</item>
      </candidateList>
      <explain/>
      <paraID>2F962CA6</paraID>
      <start>5</start>
      <end>14</end>
      <status>modified</status>
      <modifiedWord>生态优先、绿色发展</modifiedWord>
      <trackRevisions>false</trackRevisions>
    </reviewItem>
    <reviewItem>
      <errorID>aa701e6b-57b6-47c2-a5ba-34db4be6dc6e</errorID>
      <errorWord>国家重要生态功能区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词汇“国家重点生态功能区”在特定场景下为固定表述形式，请确认此处的“国家重要生态功能区”是否存在不当。</explain>
      <paraID>330ED76B</paraID>
      <start>209</start>
      <end>218</end>
      <status>unmodified</status>
      <modifiedWord/>
      <trackRevisions>false</trackRevisions>
    </reviewItem>
    <reviewItem>
      <errorID>eef7f403-4c0d-4467-bb3b-6ed971975e93</errorID>
      <errorWord>生态环境保护监测</errorWord>
      <group>L1_Political</group>
      <groupName>政治性问题</groupName>
      <ability>L2_Keyword</ability>
      <abilityName>固定表述</abilityName>
      <candidateList>
        <item>生态环境保护督察</item>
      </candidateList>
      <explain>词汇“生态环境保护督察”在特定场景下为固定表述形式，请确认此处的“生态环境保护监测”是否存在不当。</explain>
      <paraID> 67BA7C0</paraID>
      <start>5</start>
      <end>13</end>
      <status>unmodified</status>
      <modifiedWord/>
      <trackRevisions>false</trackRevisions>
    </reviewItem>
    <reviewItem>
      <errorID>8295e24b-2e3f-49a1-aea9-89d427278009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67A82450</paraID>
      <start>32</start>
      <end>33</end>
      <status>unmodified</status>
      <modifiedWord/>
      <trackRevisions>false</trackRevisions>
    </reviewItem>
    <reviewItem>
      <errorID>aa247946-b255-4603-9f3e-efc8d78b70b0</errorID>
      <errorWord>生态文明制度改革</errorWord>
      <group>L1_Political</group>
      <groupName>政治性问题</groupName>
      <ability>L2_Keyword</ability>
      <abilityName>固定表述</abilityName>
      <candidateList>
        <item>生态文明体制改革</item>
      </candidateList>
      <explain>词汇“生态文明体制改革”在特定场景下为固定表述形式，请确认此处的“生态文明制度改革”是否存在不当。</explain>
      <paraID> D24C19D</paraID>
      <start>17</start>
      <end>25</end>
      <status>unmodified</status>
      <modifiedWord/>
      <trackRevisions>false</trackRevisions>
    </reviewItem>
    <reviewItem>
      <errorID>480fc4d9-40bd-4926-b4d3-577720349ae0</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7541C337</paraID>
      <start>56</start>
      <end>58</end>
      <status>unmodified</status>
      <modifiedWord/>
      <trackRevisions>false</trackRevisions>
    </reviewItem>
    <reviewItem>
      <errorID>ffb1a543-45fc-491f-b7c9-3b465db338e7</errorID>
      <errorWord>-</errorWord>
      <group>L1_Format</group>
      <groupName>格式问题</groupName>
      <ability>L2_HalfPunc</ability>
      <abilityName>全半角检查</abilityName>
      <candidateList>
        <item>－</item>
      </candidateList>
      <explain>文本全半角错误。</explain>
      <paraID>149CB5EE</paraID>
      <start>45</start>
      <end>46</end>
      <status>unmodified</status>
      <modifiedWord/>
      <trackRevisions>false</trackRevisions>
    </reviewItem>
    <reviewItem>
      <errorID>39772e61-6dc0-489b-ac05-9691a371e485</errorID>
      <errorWord>-</errorWord>
      <group>L1_Format</group>
      <groupName>格式问题</groupName>
      <ability>L2_HalfPunc</ability>
      <abilityName>全半角检查</abilityName>
      <candidateList>
        <item>－</item>
      </candidateList>
      <explain>文本全半角错误。</explain>
      <paraID>149CB5EE</paraID>
      <start>60</start>
      <end>61</end>
      <status>unmodified</status>
      <modifiedWord/>
      <trackRevisions>false</trackRevisions>
    </reviewItem>
    <reviewItem>
      <errorID>4593c7d8-db03-4160-92b3-e495afd73c38</errorID>
      <errorWord>量</errorWord>
      <group>L1_Word</group>
      <groupName>字词问题</groupName>
      <ability>L2_Typo</ability>
      <abilityName>字词错误</abilityName>
      <candidateList>
        <item>量和</item>
      </candidateList>
      <explain/>
      <paraID>62AC8A90</paraID>
      <start>126</start>
      <end>127</end>
      <status>unmodified</status>
      <modifiedWord/>
      <trackRevisions>false</trackRevisions>
    </reviewItem>
    <reviewItem>
      <errorID>4afb1fc5-a58c-4f2e-aa3b-8f581faedd31</errorID>
      <errorWord>生态环境的</errorWord>
      <group>L1_Word</group>
      <groupName>字词问题</groupName>
      <ability>L2_Typo</ability>
      <abilityName>字词错误</abilityName>
      <candidateList>
        <item>生态环境</item>
      </candidateList>
      <explain>生物和影响生物生存与发展的一切外界条件的总和。由许多生态因素综合而成，其中非生物因素有光、温度、水分、大气、土壤和无机盐类等，生物因素有植物、动物、微生物等。在自然界，生态因素相互联系，相互影响，共同对生物发生作用。</explain>
      <paraID>6AB70C97</paraID>
      <start>6</start>
      <end>11</end>
      <status>unmodified</status>
      <modifiedWord/>
      <trackRevisions>false</trackRevisions>
    </reviewItem>
    <reviewItem>
      <errorID>2f7338a2-abc4-4a03-a10c-8e6c2ce46f96</errorID>
      <errorWord>临近</errorWord>
      <group>L1_Word</group>
      <groupName>字词问题</groupName>
      <ability>L2_Typo</ability>
      <abilityName>字词错误</abilityName>
      <candidateList>
        <item>邻近</item>
      </candidateList>
      <explain>存在发音相同字词的误用。</explain>
      <paraID>76840794</paraID>
      <start>34</start>
      <end>36</end>
      <status>unmodified</status>
      <modifiedWord/>
      <trackRevisions>false</trackRevisions>
    </reviewItem>
    <reviewItem>
      <errorID>b4fe8bc4-84f9-4687-b564-fee0a91e3a63</errorID>
      <errorWord>其它</errorWord>
      <group>L1_Word</group>
      <groupName>字词问题</groupName>
      <ability>L2_Alias</ability>
      <abilityName>也作/曾用词</abilityName>
      <candidateList>
        <item>其他</item>
      </candidateList>
      <explain>词汇[其它]为不规范表述或旧称，其规范书面表述为[其他]。</explain>
      <paraID>38757951</paraID>
      <start>181</start>
      <end>183</end>
      <status>unmodified</status>
      <modifiedWord/>
      <trackRevisions>false</trackRevisions>
    </reviewItem>
    <reviewItem>
      <errorID>687ca710-15f1-4669-a92b-291ec8f4e9eb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703C4379</paraID>
      <start>66</start>
      <end>67</end>
      <status>unmodified</status>
      <modifiedWord/>
      <trackRevisions>false</trackRevisions>
    </reviewItem>
    <reviewItem>
      <errorID>b9e72234-c250-4913-8853-4424a9df89f4</errorID>
      <errorWord>(</errorWord>
      <group>L1_Format</group>
      <groupName>格式问题</groupName>
      <ability>L2_HalfPunc</ability>
      <abilityName>全半角检查</abilityName>
      <candidateList>
        <item>（</item>
      </candidateList>
      <explain>文本全半角错误。</explain>
      <paraID>74AB5A90</paraID>
      <start>49</start>
      <end>50</end>
      <status>unmodified</status>
      <modifiedWord/>
      <trackRevisions>false</trackRevisions>
    </reviewItem>
    <reviewItem>
      <errorID>c83cac57-e8ca-4c06-8897-5c25826bc6ab</errorID>
      <errorWord>)</errorWord>
      <group>L1_Format</group>
      <groupName>格式问题</groupName>
      <ability>L2_HalfPunc</ability>
      <abilityName>全半角检查</abilityName>
      <candidateList>
        <item>）</item>
      </candidateList>
      <explain>文本全半角错误。</explain>
      <paraID>74AB5A90</paraID>
      <start>57</start>
      <end>58</end>
      <status>unmodified</status>
      <modifiedWord/>
      <trackRevisions>false</trackRevisions>
    </reviewItem>
    <reviewItem>
      <errorID>2939369c-be0a-4d70-8fb1-041386dac1e6</errorID>
      <errorWord>(</errorWord>
      <group>L1_Format</group>
      <groupName>格式问题</groupName>
      <ability>L2_HalfPunc</ability>
      <abilityName>全半角检查</abilityName>
      <candidateList>
        <item>（</item>
      </candidateList>
      <explain>文本全半角错误。</explain>
      <paraID>74AB5A90</paraID>
      <start>82</start>
      <end>83</end>
      <status>unmodified</status>
      <modifiedWord/>
      <trackRevisions>false</trackRevisions>
    </reviewItem>
    <reviewItem>
      <errorID>9cef79c4-2cbb-4a38-8f7c-60573dbe7f70</errorID>
      <errorWord>)</errorWord>
      <group>L1_Format</group>
      <groupName>格式问题</groupName>
      <ability>L2_HalfPunc</ability>
      <abilityName>全半角检查</abilityName>
      <candidateList>
        <item>）</item>
      </candidateList>
      <explain>文本全半角错误。</explain>
      <paraID>74AB5A90</paraID>
      <start>90</start>
      <end>91</end>
      <status>unmodified</status>
      <modifiedWord/>
      <trackRevisions>false</trackRevisions>
    </reviewItem>
    <reviewItem>
      <errorID>58ee6f48-67f7-482a-bad0-da252e0cea3e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701B668A</paraID>
      <start>0</start>
      <end>2</end>
      <status>unmodified</status>
      <modifiedWord/>
      <trackRevisions>false</trackRevisions>
    </reviewItem>
    <reviewItem>
      <errorID>401278f5-cd2d-4072-b801-3abd44465de7</errorID>
      <errorWord>准</errorWord>
      <group>L1_Word</group>
      <groupName>字词问题</groupName>
      <ability>L2_Typo</ability>
      <abilityName>字词错误</abilityName>
      <candidateList>
        <item>准和</item>
      </candidateList>
      <explain/>
      <paraID>531FE97B</paraID>
      <start>62</start>
      <end>63</end>
      <status>unmodified</status>
      <modifiedWord/>
      <trackRevisions>false</trackRevisions>
    </reviewItem>
    <reviewItem>
      <errorID>c95d62b7-a172-4900-a658-42bd69a65f3e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5FFF55D4</paraID>
      <start>0</start>
      <end>2</end>
      <status>unmodified</status>
      <modifiedWord/>
      <trackRevisions>false</trackRevisions>
    </reviewItem>
    <reviewItem>
      <errorID>b26c1531-1700-40d6-bbad-26c5e5d3c52c</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 9F6BB26</paraID>
      <start>140</start>
      <end>144</end>
      <status>unmodified</status>
      <modifiedWord/>
      <trackRevisions>false</trackRevisions>
    </reviewItem>
    <reviewItem>
      <errorID>155cd762-a2e2-4525-a155-fa3974a61ddb</errorID>
      <errorWord>提高</errorWord>
      <group>L1_Grammar</group>
      <groupName>语法问题</groupName>
      <ability>L2_Grammar</ability>
      <abilityName>语法错误</abilityName>
      <candidateList>
        <item>增强</item>
      </candidateList>
      <explain>“提高～意识”搭配不当，建议修改为“增强～意识”。</explain>
      <paraID> 9F6BB26</paraID>
      <start>214</start>
      <end>216</end>
      <status>unmodified</status>
      <modifiedWord/>
      <trackRevisions>false</trackRevisions>
    </reviewItem>
    <reviewItem>
      <errorID>f9e573bb-59a5-4c96-aaa9-571dfef03ca2</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17691372</paraID>
      <start>103</start>
      <end>107</end>
      <status>unmodified</status>
      <modifiedWord/>
      <trackRevisions>false</trackRevisions>
    </reviewItem>
    <reviewItem>
      <errorID>07d62101-cdda-409b-9d0c-86ff27103859</errorID>
      <errorWord>需</errorWord>
      <group>L1_Word</group>
      <groupName>字词问题</groupName>
      <ability>L2_Typo</ability>
      <abilityName>字词错误</abilityName>
      <candidateList>
        <item>须</item>
      </candidateList>
      <explain>（鬚）xū❶原来指长在下巴上的胡子，后来泛指胡须：～发｜～眉。❷须子：触～｜花～。</explain>
      <paraID>4AC208A5</paraID>
      <start>106</start>
      <end>107</end>
      <status>unmodified</status>
      <modifiedWord/>
      <trackRevisions>false</trackRevisions>
    </reviewItem>
    <reviewItem>
      <errorID>a2aeb191-ded5-4979-ac7d-d0f8cc11bc2a</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9B70260</paraID>
      <start>127</start>
      <end>128</end>
      <status>unmodified</status>
      <modifiedWord/>
      <trackRevisions>false</trackRevisions>
    </reviewItem>
    <reviewItem>
      <errorID>41fb4b61-8061-4087-93fe-95177d51db03</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9B70260</paraID>
      <start>131</start>
      <end>132</end>
      <status>unmodified</status>
      <modifiedWord/>
      <trackRevisions>false</trackRevisions>
    </reviewItem>
    <reviewItem>
      <errorID>20d94308-2dc0-4c11-9830-beed4aeb9d85</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593</start>
      <end>594</end>
      <status>unmodified</status>
      <modifiedWord/>
      <trackRevisions>false</trackRevisions>
    </reviewItem>
    <reviewItem>
      <errorID>aab78777-7af1-4959-b4ee-1bf6dd4812b8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597</start>
      <end>598</end>
      <status>unmodified</status>
      <modifiedWord/>
      <trackRevisions>false</trackRevisions>
    </reviewItem>
    <reviewItem>
      <errorID>31bfe880-fc37-42e0-9dd1-9fe751e41af1</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638</start>
      <end>639</end>
      <status>unmodified</status>
      <modifiedWord/>
      <trackRevisions>false</trackRevisions>
    </reviewItem>
    <reviewItem>
      <errorID>1690c97f-ddd3-436e-bd62-0e413e35c35c</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642</start>
      <end>643</end>
      <status>unmodified</status>
      <modifiedWord/>
      <trackRevisions>false</trackRevisions>
    </reviewItem>
    <reviewItem>
      <errorID>1c73c459-e0e1-40f1-817d-0f51462381af</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686</start>
      <end>687</end>
      <status>unmodified</status>
      <modifiedWord/>
      <trackRevisions>false</trackRevisions>
    </reviewItem>
    <reviewItem>
      <errorID>581e080a-a91a-4efd-8802-e333978d757c</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690</start>
      <end>691</end>
      <status>unmodified</status>
      <modifiedWord/>
      <trackRevisions>false</trackRevisions>
    </reviewItem>
    <reviewItem>
      <errorID>a4d8a350-4a2e-49a9-8bd9-dd85fe081689</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720</start>
      <end>721</end>
      <status>unmodified</status>
      <modifiedWord/>
      <trackRevisions>false</trackRevisions>
    </reviewItem>
    <reviewItem>
      <errorID>bf135339-c0d8-4a0f-9962-86df6071d2f2</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4158726</paraID>
      <start>724</start>
      <end>725</end>
      <status>unmodified</status>
      <modifiedWord/>
      <trackRevisions>false</trackRevisions>
    </reviewItem>
    <reviewItem>
      <errorID>7657d4f3-9538-4511-8656-43e955ecbe3d</errorID>
      <errorWord>月1日实施</errorWord>
      <group>L1_Word</group>
      <groupName>字词问题</groupName>
      <ability>L2_Typo</ability>
      <abilityName>字词错误</abilityName>
      <candidateList>
        <item>月1日起实施</item>
      </candidateList>
      <explain/>
      <paraID>481C34C2</paraID>
      <start>27</start>
      <end>32</end>
      <status>unmodified</status>
      <modifiedWord/>
      <trackRevisions>false</trackRevisions>
    </reviewItem>
    <reviewItem>
      <errorID>f763e36a-181e-4c19-966e-34ffcf3895bb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481C34C2</paraID>
      <start>40</start>
      <end>41</end>
      <status>unmodified</status>
      <modifiedWord/>
      <trackRevisions>false</trackRevisions>
    </reviewItem>
    <reviewItem>
      <errorID>a0c646da-df21-4256-a352-83a58bc40c45</errorID>
      <errorWord>月1日实施</errorWord>
      <group>L1_Word</group>
      <groupName>字词问题</groupName>
      <ability>L2_Typo</ability>
      <abilityName>字词错误</abilityName>
      <candidateList>
        <item>月1日起实施</item>
      </candidateList>
      <explain/>
      <paraID>7B0DB77C</paraID>
      <start>42</start>
      <end>47</end>
      <status>unmodified</status>
      <modifiedWord/>
      <trackRevisions>false</trackRevisions>
    </reviewItem>
    <reviewItem>
      <errorID>d2fbe6b4-9c5a-4f57-83f5-413098051afa</errorID>
      <errorWord>》中</errorWord>
      <group>L1_Word</group>
      <groupName>字词问题</groupName>
      <ability>L2_Typo</ability>
      <abilityName>字词错误</abilityName>
      <candidateList>
        <item>》</item>
      </candidateList>
      <explain/>
      <paraID> 8AB0AF5</paraID>
      <start>19</start>
      <end>21</end>
      <status>unmodified</status>
      <modifiedWord/>
      <trackRevisions>false</trackRevisions>
    </reviewItem>
    <reviewItem>
      <errorID>3545308d-324e-423c-977d-5b4daadb9d66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72B28C93</paraID>
      <start>175</start>
      <end>176</end>
      <status>unmodified</status>
      <modifiedWord/>
      <trackRevisions>false</trackRevisions>
    </reviewItem>
    <reviewItem>
      <errorID>2f2480da-f486-45c5-a26f-9b2034621631</errorID>
      <errorWord>&lt;</errorWord>
      <group>L1_Format</group>
      <groupName>格式问题</groupName>
      <ability>L2_HalfPunc</ability>
      <abilityName>全半角检查</abilityName>
      <candidateList>
        <item>〈</item>
      </candidateList>
      <explain>文本全半角错误。</explain>
      <paraID>351BDF36</paraID>
      <start>17</start>
      <end>18</end>
      <status>unmodified</status>
      <modifiedWord/>
      <trackRevisions>false</trackRevisions>
    </reviewItem>
    <reviewItem>
      <errorID>23bc31e2-e710-4606-bbb9-6f00485d7c20</errorID>
      <errorWord>&gt;的通知》</errorWord>
      <group>L1_Punc</group>
      <groupName>标点问题</groupName>
      <ability>L2_Punc</ability>
      <abilityName>标点符号检查</abilityName>
      <candidateList>
        <item>〉的通知》</item>
      </candidateList>
      <explain/>
      <paraID>351BDF36</paraID>
      <start>30</start>
      <end>35</end>
      <status>unmodified</status>
      <modifiedWord/>
      <trackRevisions>false</trackRevisions>
    </reviewItem>
    <reviewItem>
      <errorID>d1c04ea8-1986-4393-a154-637776311834</errorID>
      <errorWord>&lt;</errorWord>
      <group>L1_Format</group>
      <groupName>格式问题</groupName>
      <ability>L2_HalfPunc</ability>
      <abilityName>全半角检查</abilityName>
      <candidateList>
        <item>〈</item>
      </candidateList>
      <explain>文本全半角错误。</explain>
      <paraID>67FA8ED2</paraID>
      <start>26</start>
      <end>27</end>
      <status>unmodified</status>
      <modifiedWord/>
      <trackRevisions>false</trackRevisions>
    </reviewItem>
    <reviewItem>
      <errorID>0575ed82-b392-4624-b1e5-daf54cd1006a</errorID>
      <errorWord>&gt;的通知》</errorWord>
      <group>L1_Punc</group>
      <groupName>标点问题</groupName>
      <ability>L2_Punc</ability>
      <abilityName>标点符号检查</abilityName>
      <candidateList>
        <item>〉的通知》</item>
      </candidateList>
      <explain/>
      <paraID>67FA8ED2</paraID>
      <start>39</start>
      <end>44</end>
      <status>unmodified</status>
      <modifiedWord/>
      <trackRevisions>false</trackRevisions>
    </reviewItem>
    <reviewItem>
      <errorID>308d0efb-4eab-41d7-b0f3-6161c2463515</errorID>
      <errorWord>&lt;</errorWord>
      <group>L1_Format</group>
      <groupName>格式问题</groupName>
      <ability>L2_HalfPunc</ability>
      <abilityName>全半角检查</abilityName>
      <candidateList>
        <item>〈</item>
      </candidateList>
      <explain>文本全半角错误。</explain>
      <paraID>67FA8ED2</paraID>
      <start>260</start>
      <end>261</end>
      <status>unmodified</status>
      <modifiedWord/>
      <trackRevisions>false</trackRevisions>
    </reviewItem>
    <reviewItem>
      <errorID>00b1be4d-70bb-42da-b629-4d9d537b7c94</errorID>
      <errorWord>&gt;的通知》</errorWord>
      <group>L1_Punc</group>
      <groupName>标点问题</groupName>
      <ability>L2_Punc</ability>
      <abilityName>标点符号检查</abilityName>
      <candidateList>
        <item>〉的通知》</item>
      </candidateList>
      <explain/>
      <paraID>67FA8ED2</paraID>
      <start>273</start>
      <end>278</end>
      <status>unmodified</status>
      <modifiedWord/>
      <trackRevisions>false</trackRevisions>
    </reviewItem>
    <reviewItem>
      <errorID>68210fbd-a96a-4d43-9a87-fc02812bb382</errorID>
      <errorWord>文化自然遗产</errorWord>
      <group>L1_Word</group>
      <groupName>字词问题</groupName>
      <ability>L2_Typo</ability>
      <abilityName>字词错误</abilityName>
      <candidateList>
        <item>文化和自然遗产</item>
      </candidateList>
      <explain/>
      <paraID>6542A046</paraID>
      <start>84</start>
      <end>90</end>
      <status>unmodified</status>
      <modifiedWord/>
      <trackRevisions>false</trackRevisions>
    </reviewItem>
    <reviewItem>
      <errorID>3ecefa6f-8240-4d46-8322-d1a82edcc99e</errorID>
      <errorWord>文化自然遗产</errorWord>
      <group>L1_Word</group>
      <groupName>字词问题</groupName>
      <ability>L2_Typo</ability>
      <abilityName>字词错误</abilityName>
      <candidateList>
        <item>文化和自然遗产</item>
      </candidateList>
      <explain/>
      <paraID>2A16D5CF</paraID>
      <start>39</start>
      <end>45</end>
      <status>unmodified</status>
      <modifiedWord/>
      <trackRevisions>false</trackRevisions>
    </reviewItem>
    <reviewItem>
      <errorID>be6c151d-05a9-4619-bb7d-b378eeeefb48</errorID>
      <errorWord>法律、法规</errorWord>
      <group>L1_Word</group>
      <groupName>字词问题</groupName>
      <ability>L2_Typo</ability>
      <abilityName>字词错误</abilityName>
      <candidateList>
        <item>法律法规</item>
      </candidateList>
      <explain/>
      <paraID> 84E89E7</paraID>
      <start>136</start>
      <end>141</end>
      <status>unmodified</status>
      <modifiedWord/>
      <trackRevisions>false</trackRevisions>
    </reviewItem>
    <reviewItem>
      <errorID>9532499a-acd9-4f07-b3b6-b924e6c3de19</errorID>
      <errorWord>釆</errorWord>
      <group>L1_Word</group>
      <groupName>字词问题</groupName>
      <ability>L2_Typo</ability>
      <abilityName>字词错误</abilityName>
      <candidateList>
        <item>采</item>
      </candidateList>
      <explain/>
      <paraID>277802C0</paraID>
      <start>14</start>
      <end>15</end>
      <status>unmodified</status>
      <modifiedWord/>
      <trackRevisions>false</trackRevisions>
    </reviewItem>
    <reviewItem>
      <errorID>1bb7dba9-de40-4619-82e8-e49525fe2869</errorID>
      <errorWord>上线</errorWord>
      <group>L1_Word</group>
      <groupName>字词问题</groupName>
      <ability>L2_Typo</ability>
      <abilityName>字词错误</abilityName>
      <candidateList>
        <item>上限</item>
      </candidateList>
      <explain>存在发音相同字词的误用。</explain>
      <paraID>79A8F155</paraID>
      <start>7</start>
      <end>9</end>
      <status>unmodified</status>
      <modifiedWord/>
      <trackRevisions>false</trackRevisions>
    </reviewItem>
    <reviewItem>
      <errorID>4d8627aa-349d-459b-8c60-d7a4a174e42d</errorID>
      <errorWord>法律、法规</errorWord>
      <group>L1_Word</group>
      <groupName>字词问题</groupName>
      <ability>L2_Typo</ability>
      <abilityName>字词错误</abilityName>
      <candidateList>
        <item>法律法规</item>
      </candidateList>
      <explain/>
      <paraID>16C06B7F</paraID>
      <start>64</start>
      <end>69</end>
      <status>unmodified</status>
      <modifiedWord/>
      <trackRevisions>false</trackRevisions>
    </reviewItem>
    <reviewItem>
      <errorID>ad318d18-a66b-4862-a883-912deb02dbef</errorID>
      <errorWord>法律、法规</errorWord>
      <group>L1_Word</group>
      <groupName>字词问题</groupName>
      <ability>L2_Typo</ability>
      <abilityName>字词错误</abilityName>
      <candidateList>
        <item>法律法规</item>
      </candidateList>
      <explain/>
      <paraID>7DD31EEA</paraID>
      <start>68</start>
      <end>73</end>
      <status>unmodified</status>
      <modifiedWord/>
      <trackRevisions>false</trackRevisions>
    </reviewItem>
    <reviewItem>
      <errorID>7b99d283-e454-4268-b396-9973fede1a58</errorID>
      <errorWord>-</errorWord>
      <group>L1_Format</group>
      <groupName>格式问题</groupName>
      <ability>L2_HalfPunc</ability>
      <abilityName>全半角检查</abilityName>
      <candidateList>
        <item>－</item>
      </candidateList>
      <explain>文本全半角错误。</explain>
      <paraID>2960C9F6</paraID>
      <start>70</start>
      <end>71</end>
      <status>unmodified</status>
      <modifiedWord/>
      <trackRevisions>false</trackRevisions>
    </reviewItem>
    <reviewItem>
      <errorID>60b65984-b4d0-453c-a21e-785a65aac4c7</errorID>
      <errorWord>其它</errorWord>
      <group>L1_Word</group>
      <groupName>字词问题</groupName>
      <ability>L2_Alias</ability>
      <abilityName>也作/曾用词</abilityName>
      <candidateList>
        <item>其他</item>
      </candidateList>
      <explain>词汇[其它]为不规范表述或旧称，其规范书面表述为[其他]。</explain>
      <paraID> CBDE500</paraID>
      <start>4</start>
      <end>6</end>
      <status>unmodified</status>
      <modifiedWord/>
      <trackRevisions>false</trackRevisions>
    </reviewItem>
    <reviewItem>
      <errorID>74b7d6df-8fd3-4319-ad1e-5d46220e7440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A6E126D</paraID>
      <start>0</start>
      <end>2</end>
      <status>unmodified</status>
      <modifiedWord/>
      <trackRevisions>false</trackRevisions>
    </reviewItem>
    <reviewItem>
      <errorID>641d451e-26f9-4e9c-adf5-90f8b9c35c74</errorID>
      <errorWord>秸杆</errorWord>
      <group>L1_Word</group>
      <groupName>字词问题</groupName>
      <ability>L2_Typo</ability>
      <abilityName>字词错误</abilityName>
      <candidateList>
        <item>秸秆</item>
      </candidateList>
      <explain>〈名〉农作物脱粒后剩下的茎。</explain>
      <paraID>55BE57DC</paraID>
      <start>4</start>
      <end>6</end>
      <status>unmodified</status>
      <modifiedWord/>
      <trackRevisions>false</trackRevisions>
    </reviewItem>
    <reviewItem>
      <errorID>9236289b-2dc8-4ea7-b07c-b96a63ff2c10</errorID>
      <errorWord>秸杆</errorWord>
      <group>L1_Word</group>
      <groupName>字词问题</groupName>
      <ability>L2_Typo</ability>
      <abilityName>字词错误</abilityName>
      <candidateList>
        <item>秸秆</item>
      </candidateList>
      <explain>〈名〉农作物脱粒后剩下的茎。</explain>
      <paraID>55BE57DC</paraID>
      <start>13</start>
      <end>15</end>
      <status>unmodified</status>
      <modifiedWord/>
      <trackRevisions>false</trackRevisions>
    </reviewItem>
    <reviewItem>
      <errorID>0dc162bb-d656-4dec-a383-178bbafed33b</errorID>
      <errorWord>秸杆</errorWord>
      <group>L1_Word</group>
      <groupName>字词问题</groupName>
      <ability>L2_Typo</ability>
      <abilityName>字词错误</abilityName>
      <candidateList>
        <item>秸秆</item>
      </candidateList>
      <explain>〈名〉农作物脱粒后剩下的茎。</explain>
      <paraID>55BE57DC</paraID>
      <start>31</start>
      <end>33</end>
      <status>unmodified</status>
      <modifiedWord/>
      <trackRevisions>false</trackRevisions>
    </reviewItem>
    <reviewItem>
      <errorID>59af47bd-0ecc-41a5-9282-3e2fc315c01b</errorID>
      <errorWord>地区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577AAF32</paraID>
      <start>16</start>
      <end>18</end>
      <status>unmodified</status>
      <modifiedWord/>
      <trackRevisions>false</trackRevisions>
    </reviewItem>
    <reviewItem>
      <errorID>16280b35-23bf-497c-8755-0d58e046e8f7</errorID>
      <errorWord>'</errorWord>
      <group>L1_Format</group>
      <groupName>格式问题</groupName>
      <ability>L2_HalfPunc</ability>
      <abilityName>全半角检查</abilityName>
      <candidateList/>
      <explain>文本全半角错误。</explain>
      <paraID> 7858F12</paraID>
      <start>47</start>
      <end>48</end>
      <status>unmodified</status>
      <modifiedWord/>
      <trackRevisions>false</trackRevisions>
    </reviewItem>
    <reviewItem>
      <errorID>9ef56a3e-89e9-4e01-b32f-ca89cf3a7420</errorID>
      <errorWord>'</errorWord>
      <group>L1_Format</group>
      <groupName>格式问题</groupName>
      <ability>L2_HalfPunc</ability>
      <abilityName>全半角检查</abilityName>
      <candidateList/>
      <explain>文本全半角错误。</explain>
      <paraID> 7858F12</paraID>
      <start>63</start>
      <end>64</end>
      <status>unmodified</status>
      <modifiedWord/>
      <trackRevisions>false</trackRevisions>
    </reviewItem>
    <reviewItem>
      <errorID>e5c58888-5a79-4859-94ab-0bb0f230c208</errorID>
      <errorWord>蒙古人民共和国</errorWord>
      <group>L1_Word</group>
      <groupName>字词问题</groupName>
      <ability>L2_Typo</ability>
      <abilityName>字词错误</abilityName>
      <candidateList>
        <item>蒙古国</item>
      </candidateList>
      <explain/>
      <paraID> 7858F12</paraID>
      <start>68</start>
      <end>75</end>
      <status>unmodified</status>
      <modifiedWord/>
      <trackRevisions>false</trackRevisions>
    </reviewItem>
    <reviewItem>
      <errorID>a59a263b-d133-4f34-8918-db564af1b4d9</errorID>
      <errorWord>"</errorWord>
      <group>L1_Format</group>
      <groupName>格式问题</groupName>
      <ability>L2_HalfPunc</ability>
      <abilityName>全半角检查</abilityName>
      <candidateList/>
      <explain>文本全半角错误。</explain>
      <paraID>71DDA3B4</paraID>
      <start>76</start>
      <end>77</end>
      <status>unmodified</status>
      <modifiedWord/>
      <trackRevisions>false</trackRevisions>
    </reviewItem>
    <reviewItem>
      <errorID>50fba0bc-3bef-4622-9be9-63b3a1465672</errorID>
      <errorWord>"</errorWord>
      <group>L1_Format</group>
      <groupName>格式问题</groupName>
      <ability>L2_HalfPunc</ability>
      <abilityName>全半角检查</abilityName>
      <candidateList>
        <item>”</item>
      </candidateList>
      <explain>文本全半角错误。</explain>
      <paraID>71DDA3B4</paraID>
      <start>88</start>
      <end>89</end>
      <status>unmodified</status>
      <modifiedWord/>
      <trackRevisions>false</trackRevisions>
    </reviewItem>
    <reviewItem>
      <errorID>e6daddc6-4ad9-4252-93a5-998df61c12ed</errorID>
      <errorWord>"</errorWord>
      <group>L1_Format</group>
      <groupName>格式问题</groupName>
      <ability>L2_HalfPunc</ability>
      <abilityName>全半角检查</abilityName>
      <candidateList/>
      <explain>文本全半角错误。</explain>
      <paraID>71DDA3B4</paraID>
      <start>112</start>
      <end>113</end>
      <status>unmodified</status>
      <modifiedWord/>
      <trackRevisions>false</trackRevisions>
    </reviewItem>
    <reviewItem>
      <errorID>65e59d25-e299-4a58-a431-7e6e4451537d</errorID>
      <errorWord>"</errorWord>
      <group>L1_Format</group>
      <groupName>格式问题</groupName>
      <ability>L2_HalfPunc</ability>
      <abilityName>全半角检查</abilityName>
      <candidateList>
        <item>”</item>
      </candidateList>
      <explain>文本全半角错误。</explain>
      <paraID>71DDA3B4</paraID>
      <start>127</start>
      <end>128</end>
      <status>unmodified</status>
      <modifiedWord/>
      <trackRevisions>false</trackRevisions>
    </reviewItem>
    <reviewItem>
      <errorID>0f6eb357-8885-41cf-9e0a-3177cfa090d5</errorID>
      <errorWord>-</errorWord>
      <group>L1_Format</group>
      <groupName>格式问题</groupName>
      <ability>L2_HalfPunc</ability>
      <abilityName>全半角检查</abilityName>
      <candidateList>
        <item>－</item>
      </candidateList>
      <explain>文本全半角错误。</explain>
      <paraID>71DDA3B4</paraID>
      <start>189</start>
      <end>190</end>
      <status>unmodified</status>
      <modifiedWord/>
      <trackRevisions>false</trackRevisions>
    </reviewItem>
    <reviewItem>
      <errorID>a95976c1-da80-4798-afec-945ca1267373</errorID>
      <errorWord>蒙古人民共和国</errorWord>
      <group>L1_Word</group>
      <groupName>字词问题</groupName>
      <ability>L2_Typo</ability>
      <abilityName>字词错误</abilityName>
      <candidateList>
        <item>蒙古国</item>
      </candidateList>
      <explain/>
      <paraID>2D1EFD47</paraID>
      <start>12</start>
      <end>19</end>
      <status>unmodified</status>
      <modifiedWord/>
      <trackRevisions>false</trackRevisions>
    </reviewItem>
    <reviewItem>
      <errorID>75f429b2-27f8-46c8-b564-ba218514e7f7</errorID>
      <errorWord>较其它</errorWord>
      <group>L1_Word</group>
      <groupName>字词问题</groupName>
      <ability>L2_Alias</ability>
      <abilityName>也作/曾用词</abilityName>
      <candidateList>
        <item>较其他</item>
      </candidateList>
      <explain>词汇[较其它]为不规范表述或旧称，其规范书面表述为[较其他]。</explain>
      <paraID>64ABD4C5</paraID>
      <start>113</start>
      <end>116</end>
      <status>unmodified</status>
      <modifiedWord/>
      <trackRevisions>false</trackRevisions>
    </reviewItem>
    <reviewItem>
      <errorID>2d3648a5-defd-465c-93d7-967978557ce6</errorID>
      <errorWord>用</errorWord>
      <group>L1_Word</group>
      <groupName>字词问题</groupName>
      <ability>L2_Typo</ability>
      <abilityName>字词错误</abilityName>
      <candidateList>
        <item>用水</item>
      </candidateList>
      <explain/>
      <paraID>5EC00DE6</paraID>
      <start>286</start>
      <end>287</end>
      <status>unmodified</status>
      <modifiedWord/>
      <trackRevisions>false</trackRevisions>
    </reviewItem>
    <reviewItem>
      <errorID>903d6a03-93ec-456e-835e-01416976d775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6DEED057</paraID>
      <start>219</start>
      <end>220</end>
      <status>unmodified</status>
      <modifiedWord/>
      <trackRevisions>false</trackRevisions>
    </reviewItem>
    <reviewItem>
      <errorID>ac8a7f58-a87c-4289-bd37-cf481ede9948</errorID>
      <errorWord>，其</errorWord>
      <group>L1_Word</group>
      <groupName>字词问题</groupName>
      <ability>L2_Typo</ability>
      <abilityName>字词错误</abilityName>
      <candidateList>
        <item>，</item>
      </candidateList>
      <explain/>
      <paraID> 7902EC3</paraID>
      <start>34</start>
      <end>36</end>
      <status>unmodified</status>
      <modifiedWord/>
      <trackRevisions>false</trackRevisions>
    </reviewItem>
    <reviewItem>
      <errorID>dfdcc4b0-ca44-48a5-90f9-be3d2b551e56</errorID>
      <errorWord>-</errorWord>
      <group>L1_Format</group>
      <groupName>格式问题</groupName>
      <ability>L2_HalfPunc</ability>
      <abilityName>全半角检查</abilityName>
      <candidateList>
        <item>－</item>
      </candidateList>
      <explain>文本全半角错误。</explain>
      <paraID>63E80D3B</paraID>
      <start>108</start>
      <end>109</end>
      <status>unmodified</status>
      <modifiedWord/>
      <trackRevisions>false</trackRevisions>
    </reviewItem>
    <reviewItem>
      <errorID>99c121a0-d876-4616-86d5-8ec28601ae2e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18D6F5C9</paraID>
      <start>98</start>
      <end>99</end>
      <status>unmodified</status>
      <modifiedWord/>
      <trackRevisions>false</trackRevisions>
    </reviewItem>
    <reviewItem>
      <errorID>2c778325-c9e2-47e0-a70c-bfb9d6553efc</errorID>
      <errorWord>牧区</errorWord>
      <group>L1_Word</group>
      <groupName>字词问题</groupName>
      <ability>L2_Typo</ability>
      <abilityName>字词错误</abilityName>
      <candidateList>
        <item>牧</item>
      </candidateList>
      <explain/>
      <paraID>2FC3FAA2</paraID>
      <start>9</start>
      <end>11</end>
      <status>unmodified</status>
      <modifiedWord/>
      <trackRevisions>false</trackRevisions>
    </reviewItem>
    <reviewItem>
      <errorID>1ecfda46-bf42-47f1-9e64-466a5980ad70</errorID>
      <errorWord>-</errorWord>
      <group>L1_Format</group>
      <groupName>格式问题</groupName>
      <ability>L2_HalfPunc</ability>
      <abilityName>全半角检查</abilityName>
      <candidateList>
        <item>－</item>
      </candidateList>
      <explain>文本全半角错误。</explain>
      <paraID> 6ABCFEE</paraID>
      <start>64</start>
      <end>65</end>
      <status>unmodified</status>
      <modifiedWord/>
      <trackRevisions>false</trackRevisions>
    </reviewItem>
    <reviewItem>
      <errorID>649a7a10-f050-4159-a9e8-852cebc6a715</errorID>
      <errorWord>具</errorWord>
      <group>L1_Word</group>
      <groupName>字词问题</groupName>
      <ability>L2_Typo</ability>
      <abilityName>字词错误</abilityName>
      <candidateList>
        <item>具有</item>
      </candidateList>
      <explain>〈动〉有（多用于抽象事物）：～信心｜～伟大的意义。</explain>
      <paraID>304F4F29</paraID>
      <start>37</start>
      <end>38</end>
      <status>unmodified</status>
      <modifiedWord/>
      <trackRevisions>false</trackRevisions>
    </reviewItem>
    <reviewItem>
      <errorID>aba1a4d0-9ae9-4e3b-b89e-5bc6ec6f7fa7</errorID>
      <errorWord>须</errorWord>
      <group>L1_Word</group>
      <groupName>字词问题</groupName>
      <ability>L2_Typo</ability>
      <abilityName>字词错误</abilityName>
      <candidateList>
        <item>需</item>
      </candidateList>
      <explain>存在发音相同字词的误用。</explain>
      <paraID>2E9505DF</paraID>
      <start>245</start>
      <end>246</end>
      <status>unmodified</status>
      <modifiedWord/>
      <trackRevisions>false</trackRevisions>
    </reviewItem>
    <reviewItem>
      <errorID>287d9f0e-4b13-4ced-9855-03c917859b9c</errorID>
      <errorWord>II类</errorWord>
      <group>L1_Knowledge</group>
      <groupName>知识性问题</groupName>
      <ability>L2_Knowledge</ability>
      <abilityName>其他知识</abilityName>
      <candidateList>
        <item>Ⅱ类</item>
      </candidateList>
      <explain>中文环境下罗马数字格式错误。</explain>
      <paraID>1962B1F2</paraID>
      <start>16</start>
      <end>19</end>
      <status>unmodified</status>
      <modifiedWord/>
      <trackRevisions>false</trackRevisions>
    </reviewItem>
    <reviewItem>
      <errorID>d3727795-10a5-4016-8b96-cd62b3a36836</errorID>
      <errorWord>VIII</errorWord>
      <group>L1_Word</group>
      <groupName>字词问题</groupName>
      <ability>L2_Typo</ability>
      <abilityName>字词错误</abilityName>
      <candidateList>
        <item>Ⅷ</item>
      </candidateList>
      <explain/>
      <paraID>2EC4967E</paraID>
      <start>16</start>
      <end>20</end>
      <status>unmodified</status>
      <modifiedWord/>
      <trackRevisions>false</trackRevisions>
    </reviewItem>
    <reviewItem>
      <errorID>f30c4992-e415-4afa-b4dd-9dcb6aa5ea97</errorID>
      <errorWord>（</errorWord>
      <group>L1_Format</group>
      <groupName>格式问题</groupName>
      <ability>L2_HalfPunc</ability>
      <abilityName>全半角检查</abilityName>
      <candidateList>
        <item>(</item>
      </candidateList>
      <explain>文本全半角错误。</explain>
      <paraID>39FF2158</paraID>
      <start>3</start>
      <end>4</end>
      <status>unmodified</status>
      <modifiedWord/>
      <trackRevisions>false</trackRevisions>
    </reviewItem>
    <reviewItem>
      <errorID>830222a5-6ede-4567-ac81-01e014b519ee</errorID>
      <errorWord>）</errorWord>
      <group>L1_Format</group>
      <groupName>格式问题</groupName>
      <ability>L2_HalfPunc</ability>
      <abilityName>全半角检查</abilityName>
      <candidateList>
        <item>)</item>
      </candidateList>
      <explain>文本全半角错误。</explain>
      <paraID>39FF2158</paraID>
      <start>9</start>
      <end>10</end>
      <status>unmodified</status>
      <modifiedWord/>
      <trackRevisions>false</trackRevisions>
    </reviewItem>
    <reviewItem>
      <errorID>abe11470-dc6e-4030-b1b5-12c371152fe2</errorID>
      <errorWord>（</errorWord>
      <group>L1_Format</group>
      <groupName>格式问题</groupName>
      <ability>L2_HalfPunc</ability>
      <abilityName>全半角检查</abilityName>
      <candidateList>
        <item>(</item>
      </candidateList>
      <explain>文本全半角错误。</explain>
      <paraID>78257F2C</paraID>
      <start>1</start>
      <end>2</end>
      <status>unmodified</status>
      <modifiedWord/>
      <trackRevisions>false</trackRevisions>
    </reviewItem>
    <reviewItem>
      <errorID>a82266a6-50c9-4fe4-a345-29ab00708883</errorID>
      <errorWord>）</errorWord>
      <group>L1_Format</group>
      <groupName>格式问题</groupName>
      <ability>L2_HalfPunc</ability>
      <abilityName>全半角检查</abilityName>
      <candidateList>
        <item>)</item>
      </candidateList>
      <explain>文本全半角错误。</explain>
      <paraID>78257F2C</paraID>
      <start>7</start>
      <end>8</end>
      <status>unmodified</status>
      <modifiedWord/>
      <trackRevisions>false</trackRevisions>
    </reviewItem>
    <reviewItem>
      <errorID>56922276-983b-41fd-bf86-dee5f11e7a54</errorID>
      <errorWord>，</errorWord>
      <group>L1_Format</group>
      <groupName>格式问题</groupName>
      <ability>L2_HalfPunc</ability>
      <abilityName>全半角检查</abilityName>
      <candidateList>
        <item>,</item>
      </candidateList>
      <explain>文本全半角错误。</explain>
      <paraID>3068A2EE</paraID>
      <start>12</start>
      <end>13</end>
      <status>unmodified</status>
      <modifiedWord/>
      <trackRevisions>false</trackRevisions>
    </reviewItem>
    <reviewItem>
      <errorID>3bd33e0b-5762-47b6-81bd-7cdd2dabd074</errorID>
      <errorWord>：</errorWord>
      <group>L1_Format</group>
      <groupName>格式问题</groupName>
      <ability>L2_HalfPunc</ability>
      <abilityName>全半角检查</abilityName>
      <candidateList>
        <item>:</item>
      </candidateList>
      <explain>文本全半角错误。</explain>
      <paraID>2EB07B9F</paraID>
      <start>1</start>
      <end>2</end>
      <status>unmodified</status>
      <modifiedWord/>
      <trackRevisions>false</trackRevisions>
    </reviewItem>
    <reviewItem>
      <errorID>f41bd2f3-8de9-457f-84c7-6826649511d3</errorID>
      <errorWord>：</errorWord>
      <group>L1_Format</group>
      <groupName>格式问题</groupName>
      <ability>L2_HalfPunc</ability>
      <abilityName>全半角检查</abilityName>
      <candidateList>
        <item>:</item>
      </candidateList>
      <explain>文本全半角错误。</explain>
      <paraID>16BC6BB9</paraID>
      <start>1</start>
      <end>2</end>
      <status>unmodified</status>
      <modifiedWord/>
      <trackRevisions>false</trackRevisions>
    </reviewItem>
    <reviewItem>
      <errorID>55d35e5a-7f05-4cdb-b5a4-5e41a57a7c7a</errorID>
      <errorWord>：</errorWord>
      <group>L1_Format</group>
      <groupName>格式问题</groupName>
      <ability>L2_HalfPunc</ability>
      <abilityName>全半角检查</abilityName>
      <candidateList>
        <item>:</item>
      </candidateList>
      <explain>文本全半角错误。</explain>
      <paraID> 3442CCD</paraID>
      <start>1</start>
      <end>2</end>
      <status>unmodified</status>
      <modifiedWord/>
      <trackRevisions>false</trackRevisions>
    </reviewItem>
    <reviewItem>
      <errorID>e9a7de22-f870-4ab3-aec6-73df482b1bb1</errorID>
      <errorWord>：</errorWord>
      <group>L1_Format</group>
      <groupName>格式问题</groupName>
      <ability>L2_HalfPunc</ability>
      <abilityName>全半角检查</abilityName>
      <candidateList>
        <item>:</item>
      </candidateList>
      <explain>文本全半角错误。</explain>
      <paraID>54CD2A39</paraID>
      <start>1</start>
      <end>2</end>
      <status>unmodified</status>
      <modifiedWord/>
      <trackRevisions>false</trackRevisions>
    </reviewItem>
    <reviewItem>
      <errorID>de92e62f-d404-4a8a-a56f-4a4b38a8ecd4</errorID>
      <errorWord>：</errorWord>
      <group>L1_Format</group>
      <groupName>格式问题</groupName>
      <ability>L2_HalfPunc</ability>
      <abilityName>全半角检查</abilityName>
      <candidateList>
        <item>:</item>
      </candidateList>
      <explain>文本全半角错误。</explain>
      <paraID>176CE914</paraID>
      <start>1</start>
      <end>2</end>
      <status>unmodified</status>
      <modifiedWord/>
      <trackRevisions>false</trackRevisions>
    </reviewItem>
    <reviewItem>
      <errorID>ba3e9107-11b6-459b-9243-531dbf4e330b</errorID>
      <errorWord>：</errorWord>
      <group>L1_Format</group>
      <groupName>格式问题</groupName>
      <ability>L2_HalfPunc</ability>
      <abilityName>全半角检查</abilityName>
      <candidateList>
        <item>:</item>
      </candidateList>
      <explain>文本全半角错误。</explain>
      <paraID>45E851C7</paraID>
      <start>1</start>
      <end>2</end>
      <status>unmodified</status>
      <modifiedWord/>
      <trackRevisions>false</trackRevisions>
    </reviewItem>
    <reviewItem>
      <errorID>2f88e6be-5fea-4b13-a7f0-734230cce7c4</errorID>
      <errorWord>：</errorWord>
      <group>L1_Format</group>
      <groupName>格式问题</groupName>
      <ability>L2_HalfPunc</ability>
      <abilityName>全半角检查</abilityName>
      <candidateList>
        <item>:</item>
      </candidateList>
      <explain>文本全半角错误。</explain>
      <paraID>5ADFE9FB</paraID>
      <start>1</start>
      <end>2</end>
      <status>unmodified</status>
      <modifiedWord/>
      <trackRevisions>false</trackRevisions>
    </reviewItem>
    <reviewItem>
      <errorID>3f8a25f2-26be-481c-8c01-48a49f7c64c9</errorID>
      <errorWord>：</errorWord>
      <group>L1_Format</group>
      <groupName>格式问题</groupName>
      <ability>L2_HalfPunc</ability>
      <abilityName>全半角检查</abilityName>
      <candidateList>
        <item>:</item>
      </candidateList>
      <explain>文本全半角错误。</explain>
      <paraID>63938E8C</paraID>
      <start>1</start>
      <end>2</end>
      <status>unmodified</status>
      <modifiedWord/>
      <trackRevisions>false</trackRevisions>
    </reviewItem>
    <reviewItem>
      <errorID>b653efa7-538d-43cd-a1cb-99a7fb217301</errorID>
      <errorWord>：</errorWord>
      <group>L1_Format</group>
      <groupName>格式问题</groupName>
      <ability>L2_HalfPunc</ability>
      <abilityName>全半角检查</abilityName>
      <candidateList>
        <item>:</item>
      </candidateList>
      <explain>文本全半角错误。</explain>
      <paraID>66E48A3C</paraID>
      <start>1</start>
      <end>2</end>
      <status>unmodified</status>
      <modifiedWord/>
      <trackRevisions>false</trackRevisions>
    </reviewItem>
    <reviewItem>
      <errorID>c8863172-d9f9-4afd-a866-6d1064a8b981</errorID>
      <errorWord>：</errorWord>
      <group>L1_Format</group>
      <groupName>格式问题</groupName>
      <ability>L2_HalfPunc</ability>
      <abilityName>全半角检查</abilityName>
      <candidateList>
        <item>:</item>
      </candidateList>
      <explain>文本全半角错误。</explain>
      <paraID>4982EF8B</paraID>
      <start>1</start>
      <end>2</end>
      <status>unmodified</status>
      <modifiedWord/>
      <trackRevisions>false</trackRevisions>
    </reviewItem>
    <reviewItem>
      <errorID>58f8136f-4e68-42fc-872c-c22e91822a58</errorID>
      <errorWord>(</errorWord>
      <group>L1_Format</group>
      <groupName>格式问题</groupName>
      <ability>L2_HalfPunc</ability>
      <abilityName>全半角检查</abilityName>
      <candidateList>
        <item>（</item>
      </candidateList>
      <explain>文本全半角错误。</explain>
      <paraID>4CE6E824</paraID>
      <start>9</start>
      <end>10</end>
      <status>unmodified</status>
      <modifiedWord/>
      <trackRevisions>false</trackRevisions>
    </reviewItem>
    <reviewItem>
      <errorID>75e00bf5-ed2b-47db-9382-4252da5dcc21</errorID>
      <errorWord>)</errorWord>
      <group>L1_Format</group>
      <groupName>格式问题</groupName>
      <ability>L2_HalfPunc</ability>
      <abilityName>全半角检查</abilityName>
      <candidateList>
        <item>）</item>
      </candidateList>
      <explain>文本全半角错误。</explain>
      <paraID>4CE6E824</paraID>
      <start>16</start>
      <end>17</end>
      <status>unmodified</status>
      <modifiedWord/>
      <trackRevisions>false</trackRevisions>
    </reviewItem>
    <reviewItem>
      <errorID>6c7463b8-091f-48f8-b796-ff09a035258f</errorID>
      <errorWord>(</errorWord>
      <group>L1_Format</group>
      <groupName>格式问题</groupName>
      <ability>L2_HalfPunc</ability>
      <abilityName>全半角检查</abilityName>
      <candidateList>
        <item>（</item>
      </candidateList>
      <explain>文本全半角错误。</explain>
      <paraID>36899710</paraID>
      <start>3</start>
      <end>4</end>
      <status>unmodified</status>
      <modifiedWord/>
      <trackRevisions>false</trackRevisions>
    </reviewItem>
    <reviewItem>
      <errorID>c484fdbc-f843-4748-91cb-ddc8f2d6a3e0</errorID>
      <errorWord>)</errorWord>
      <group>L1_Format</group>
      <groupName>格式问题</groupName>
      <ability>L2_HalfPunc</ability>
      <abilityName>全半角检查</abilityName>
      <candidateList>
        <item>）</item>
      </candidateList>
      <explain>文本全半角错误。</explain>
      <paraID>36899710</paraID>
      <start>10</start>
      <end>11</end>
      <status>unmodified</status>
      <modifiedWord/>
      <trackRevisions>false</trackRevisions>
    </reviewItem>
    <reviewItem>
      <errorID>078b7577-a3d2-4cf2-a417-690c3282030d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C6EC12F</paraID>
      <start>74</start>
      <end>75</end>
      <status>unmodified</status>
      <modifiedWord/>
      <trackRevisions>false</trackRevisions>
    </reviewItem>
    <reviewItem>
      <errorID>3d9f5c61-a0d4-44fe-8cb2-36836c26a90e</errorID>
      <errorWord>~</errorWord>
      <group>L1_Format</group>
      <groupName>格式问题</groupName>
      <ability>L2_HalfPunc</ability>
      <abilityName>全半角检查</abilityName>
      <candidateList>
        <item>～</item>
      </candidateList>
      <explain>文本全半角错误。</explain>
      <paraID>7C578714</paraID>
      <start>13</start>
      <end>14</end>
      <status>unmodified</status>
      <modifiedWord/>
      <trackRevisions>false</trackRevisions>
    </reviewItem>
    <reviewItem>
      <errorID>7130e966-a7a0-431e-8ef2-d4455a69d19a</errorID>
      <errorWord>~</errorWord>
      <group>L1_Format</group>
      <groupName>格式问题</groupName>
      <ability>L2_HalfPunc</ability>
      <abilityName>全半角检查</abilityName>
      <candidateList>
        <item>～</item>
      </candidateList>
      <explain>文本全半角错误。</explain>
      <paraID>7C578714</paraID>
      <start>22</start>
      <end>23</end>
      <status>unmodified</status>
      <modifiedWord/>
      <trackRevisions>false</trackRevisions>
    </reviewItem>
    <reviewItem>
      <errorID>3ad26591-1823-490a-9f2b-6f74e487a8b6</errorID>
      <errorWord>~</errorWord>
      <group>L1_Format</group>
      <groupName>格式问题</groupName>
      <ability>L2_HalfPunc</ability>
      <abilityName>全半角检查</abilityName>
      <candidateList>
        <item>～</item>
      </candidateList>
      <explain>文本全半角错误。</explain>
      <paraID>5614AF0E</paraID>
      <start>13</start>
      <end>14</end>
      <status>unmodified</status>
      <modifiedWord/>
      <trackRevisions>false</trackRevisions>
    </reviewItem>
    <reviewItem>
      <errorID>6aeefd11-5463-4d7c-a849-ec070cf68a80</errorID>
      <errorWord>~</errorWord>
      <group>L1_Format</group>
      <groupName>格式问题</groupName>
      <ability>L2_HalfPunc</ability>
      <abilityName>全半角检查</abilityName>
      <candidateList>
        <item>～</item>
      </candidateList>
      <explain>文本全半角错误。</explain>
      <paraID>5614AF0E</paraID>
      <start>22</start>
      <end>23</end>
      <status>unmodified</status>
      <modifiedWord/>
      <trackRevisions>false</trackRevisions>
    </reviewItem>
    <reviewItem>
      <errorID>b01df7da-2f7b-4225-b4a8-12da9c56105e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7638BE3E</paraID>
      <start>30</start>
      <end>31</end>
      <status>unmodified</status>
      <modifiedWord/>
      <trackRevisions>false</trackRevisions>
    </reviewItem>
    <reviewItem>
      <errorID>496a25d5-0273-4b5b-8702-bf524da6eedb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370BDB4E</paraID>
      <start>36</start>
      <end>37</end>
      <status>unmodified</status>
      <modifiedWord/>
      <trackRevisions>false</trackRevisions>
    </reviewItem>
    <reviewItem>
      <errorID>7fc5f7ac-a0ed-4693-a73e-236f9dc872bd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370BDB4E</paraID>
      <start>45</start>
      <end>46</end>
      <status>unmodified</status>
      <modifiedWord/>
      <trackRevisions>false</trackRevisions>
    </reviewItem>
    <reviewItem>
      <errorID>ecd6b734-5e19-4c3d-8db6-57dfe1ef8834</errorID>
      <errorWord>（</errorWord>
      <group>L1_Format</group>
      <groupName>格式问题</groupName>
      <ability>L2_HalfPunc</ability>
      <abilityName>全半角检查</abilityName>
      <candidateList>
        <item>(</item>
      </candidateList>
      <explain>文本全半角错误。</explain>
      <paraID>5AEBFE1F</paraID>
      <start>0</start>
      <end>1</end>
      <status>unmodified</status>
      <modifiedWord/>
      <trackRevisions>false</trackRevisions>
    </reviewItem>
    <reviewItem>
      <errorID>fac6d9f5-c151-49ad-8b05-9d600b2377c3</errorID>
      <errorWord>）</errorWord>
      <group>L1_Format</group>
      <groupName>格式问题</groupName>
      <ability>L2_HalfPunc</ability>
      <abilityName>全半角检查</abilityName>
      <candidateList>
        <item>)</item>
      </candidateList>
      <explain>文本全半角错误。</explain>
      <paraID>5AEBFE1F</paraID>
      <start>24</start>
      <end>25</end>
      <status>unmodified</status>
      <modifiedWord/>
      <trackRevisions>false</trackRevisions>
    </reviewItem>
    <reviewItem>
      <errorID>aebd951a-3c9c-451f-961e-7b6b9c60c583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103EF1EB</paraID>
      <start>0</start>
      <end>2</end>
      <status>unmodified</status>
      <modifiedWord/>
      <trackRevisions>false</trackRevisions>
    </reviewItem>
    <reviewItem>
      <errorID>95fba6a0-9b23-4a6a-b1a6-e6b489c4d44d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1305EFA3</paraID>
      <start>0</start>
      <end>2</end>
      <status>unmodified</status>
      <modifiedWord/>
      <trackRevisions>false</trackRevisions>
    </reviewItem>
    <reviewItem>
      <errorID>0424c2d9-4511-4954-94da-fa77be15e88b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2F403B85</paraID>
      <start>0</start>
      <end>2</end>
      <status>unmodified</status>
      <modifiedWord/>
      <trackRevisions>false</trackRevisions>
    </reviewItem>
    <reviewItem>
      <errorID>815af2dd-31de-4036-a31f-a63cb6bc7d4e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2C363763</paraID>
      <start>0</start>
      <end>2</end>
      <status>unmodified</status>
      <modifiedWord/>
      <trackRevisions>false</trackRevisions>
    </reviewItem>
    <reviewItem>
      <errorID>3982644e-5162-4164-b28b-6e623e79f2f6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305ABF1B</paraID>
      <start>0</start>
      <end>2</end>
      <status>unmodified</status>
      <modifiedWord/>
      <trackRevisions>false</trackRevisions>
    </reviewItem>
    <reviewItem>
      <errorID>c1ea0145-ff31-489c-bc06-1e883ca94710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5D1DA766</paraID>
      <start>0</start>
      <end>2</end>
      <status>unmodified</status>
      <modifiedWord/>
      <trackRevisions>false</trackRevisions>
    </reviewItem>
    <reviewItem>
      <errorID>9e775932-4fb9-4eb8-ab13-49786a5add8a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394E6BFA</paraID>
      <start>0</start>
      <end>2</end>
      <status>unmodified</status>
      <modifiedWord/>
      <trackRevisions>false</trackRevisions>
    </reviewItem>
    <reviewItem>
      <errorID>9f25ecfa-c9de-4447-b405-a41da80b4dbf</errorID>
      <errorWord>,</errorWord>
      <group>L1_Format</group>
      <groupName>格式问题</groupName>
      <ability>L2_HalfPunc</ability>
      <abilityName>全半角检查</abilityName>
      <candidateList>
        <item>，</item>
      </candidateList>
      <explain>文本全半角错误。</explain>
      <paraID>4B599EE5</paraID>
      <start>1</start>
      <end>2</end>
      <status>unmodified</status>
      <modifiedWord/>
      <trackRevisions>false</trackRevisions>
    </reviewItem>
    <reviewItem>
      <errorID>cd64873e-9aa4-4135-bd86-b98f22784688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59F90DCF</paraID>
      <start>0</start>
      <end>2</end>
      <status>unmodified</status>
      <modifiedWord/>
      <trackRevisions>false</trackRevisions>
    </reviewItem>
    <reviewItem>
      <errorID>e51452b7-0242-4770-9bc2-b0817f447cbd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60B076A8</paraID>
      <start>0</start>
      <end>2</end>
      <status>unmodified</status>
      <modifiedWord/>
      <trackRevisions>false</trackRevisions>
    </reviewItem>
    <reviewItem>
      <errorID>317fda26-6d72-45dd-8897-5cccb93bb2d8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C4A04D4</paraID>
      <start>0</start>
      <end>2</end>
      <status>unmodified</status>
      <modifiedWord/>
      <trackRevisions>false</trackRevisions>
    </reviewItem>
    <reviewItem>
      <errorID>c4f5a9a0-a811-4ed2-9f79-3bc10854dab6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437C121D</paraID>
      <start>0</start>
      <end>2</end>
      <status>unmodified</status>
      <modifiedWord/>
      <trackRevisions>false</trackRevisions>
    </reviewItem>
    <reviewItem>
      <errorID>72774015-86f8-4c5b-b5db-5fbeaf9498b0</errorID>
      <errorWord>（</errorWord>
      <group>L1_Format</group>
      <groupName>格式问题</groupName>
      <ability>L2_HalfPunc</ability>
      <abilityName>全半角检查</abilityName>
      <candidateList>
        <item>(</item>
      </candidateList>
      <explain>文本全半角错误。</explain>
      <paraID>68C5F706</paraID>
      <start>0</start>
      <end>1</end>
      <status>unmodified</status>
      <modifiedWord/>
      <trackRevisions>false</trackRevisions>
    </reviewItem>
    <reviewItem>
      <errorID>7c28f13a-9a04-425b-a88f-4b9a8eb0882c</errorID>
      <errorWord>）</errorWord>
      <group>L1_Format</group>
      <groupName>格式问题</groupName>
      <ability>L2_HalfPunc</ability>
      <abilityName>全半角检查</abilityName>
      <candidateList>
        <item>)</item>
      </candidateList>
      <explain>文本全半角错误。</explain>
      <paraID>68C5F706</paraID>
      <start>21</start>
      <end>22</end>
      <status>unmodified</status>
      <modifiedWord/>
      <trackRevisions>false</trackRevisions>
    </reviewItem>
    <reviewItem>
      <errorID>b6953bd8-ea3a-4c08-80c4-749d4f52b963</errorID>
      <errorWord>蒙</errorWord>
      <group>L1_Word</group>
      <groupName>字词问题</groupName>
      <ability>L2_Typo</ability>
      <abilityName>字词错误</abilityName>
      <candidateList>
        <item>蒙古</item>
      </candidateList>
      <explain/>
      <paraID> 1691DC1</paraID>
      <start>749</start>
      <end>750</end>
      <status>unmodified</status>
      <modifiedWord/>
      <trackRevisions>false</trackRevisions>
    </reviewItem>
    <reviewItem>
      <errorID>5b61a343-0928-4a8a-a88e-78cab46e29d5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6FA0571B</paraID>
      <start>45</start>
      <end>46</end>
      <status>unmodified</status>
      <modifiedWord/>
      <trackRevisions>false</trackRevisions>
    </reviewItem>
    <reviewItem>
      <errorID>db1ac60f-fc75-447b-96f5-a3fb4cbb350a</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6FA0571B</paraID>
      <start>59</start>
      <end>65</end>
      <status>unmodified</status>
      <modifiedWord/>
      <trackRevisions>false</trackRevisions>
    </reviewItem>
    <reviewItem>
      <errorID>9e96036a-ea99-471f-a94d-a33975d44658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6FA0571B</paraID>
      <start>103</start>
      <end>104</end>
      <status>unmodified</status>
      <modifiedWord/>
      <trackRevisions>false</trackRevisions>
    </reviewItem>
    <reviewItem>
      <errorID>712754c8-4f39-45c6-a5d4-eb312e21e73e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22E12DB0</paraID>
      <start>11</start>
      <end>12</end>
      <status>unmodified</status>
      <modifiedWord/>
      <trackRevisions>false</trackRevisions>
    </reviewItem>
    <reviewItem>
      <errorID>092d7148-7a22-444c-b50e-54700888e00e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27B437AE</paraID>
      <start>46</start>
      <end>47</end>
      <status>unmodified</status>
      <modifiedWord/>
      <trackRevisions>false</trackRevisions>
    </reviewItem>
    <reviewItem>
      <errorID>58edd93b-41be-4ca5-a1e4-990bdaed8a47</errorID>
      <errorWord>（</errorWord>
      <group>L1_Punc</group>
      <groupName>标点问题</groupName>
      <ability>L2_Punc</ability>
      <abilityName>标点符号检查</abilityName>
      <candidateList/>
      <explain>同一形式括号套用。</explain>
      <paraID>50F55BB9</paraID>
      <start>14</start>
      <end>15</end>
      <status>unmodified</status>
      <modifiedWord/>
      <trackRevisions>false</trackRevisions>
    </reviewItem>
    <reviewItem>
      <errorID>66dfa473-3ced-4b15-a60b-13ea49076ba6</errorID>
      <errorWord>）</errorWord>
      <group>L1_Punc</group>
      <groupName>标点问题</groupName>
      <ability>L2_Punc</ability>
      <abilityName>标点符号检查</abilityName>
      <candidateList/>
      <explain>同一形式括号套用。</explain>
      <paraID>50F55BB9</paraID>
      <start>16</start>
      <end>17</end>
      <status>unmodified</status>
      <modifiedWord/>
      <trackRevisions>false</trackRevisions>
    </reviewItem>
    <reviewItem>
      <errorID>8a275f4a-35ab-4aa7-8311-0ac1c9d0132a</errorID>
      <errorWord>~</errorWord>
      <group>L1_Format</group>
      <groupName>格式问题</groupName>
      <ability>L2_HalfPunc</ability>
      <abilityName>全半角检查</abilityName>
      <candidateList>
        <item>～</item>
      </candidateList>
      <explain>文本全半角错误。</explain>
      <paraID>308EB5C9</paraID>
      <start>3</start>
      <end>4</end>
      <status>unmodified</status>
      <modifiedWord/>
      <trackRevisions>false</trackRevisions>
    </reviewItem>
    <reviewItem>
      <errorID>a4f2d23b-1cd3-4c93-9c92-c84866068681</errorID>
      <errorWord>（</errorWord>
      <group>L1_Punc</group>
      <groupName>标点问题</groupName>
      <ability>L2_Punc</ability>
      <abilityName>标点符号检查</abilityName>
      <candidateList/>
      <explain>同一形式括号套用。</explain>
      <paraID>70CCF401</paraID>
      <start>14</start>
      <end>15</end>
      <status>unmodified</status>
      <modifiedWord/>
      <trackRevisions>false</trackRevisions>
    </reviewItem>
    <reviewItem>
      <errorID>ab014aea-e8c1-41d5-9c8a-65b71c71fdfc</errorID>
      <errorWord>）</errorWord>
      <group>L1_Punc</group>
      <groupName>标点问题</groupName>
      <ability>L2_Punc</ability>
      <abilityName>标点符号检查</abilityName>
      <candidateList/>
      <explain>同一形式括号套用。</explain>
      <paraID>70CCF401</paraID>
      <start>16</start>
      <end>17</end>
      <status>unmodified</status>
      <modifiedWord/>
      <trackRevisions>false</trackRevisions>
    </reviewItem>
    <reviewItem>
      <errorID>b713297c-f98d-4f0f-a6ca-1ae0d0b12d1b</errorID>
      <errorWord>"</errorWord>
      <group>L1_Format</group>
      <groupName>格式问题</groupName>
      <ability>L2_HalfPunc</ability>
      <abilityName>全半角检查</abilityName>
      <candidateList/>
      <explain>文本全半角错误。</explain>
      <paraID>6E6C353A</paraID>
      <start>16</start>
      <end>17</end>
      <status>unmodified</status>
      <modifiedWord/>
      <trackRevisions>false</trackRevisions>
    </reviewItem>
    <reviewItem>
      <errorID>f7a27940-aa49-4e8d-a0b2-f691e28e4f6d</errorID>
      <errorWord>"</errorWord>
      <group>L1_Format</group>
      <groupName>格式问题</groupName>
      <ability>L2_HalfPunc</ability>
      <abilityName>全半角检查</abilityName>
      <candidateList/>
      <explain>文本全半角错误。</explain>
      <paraID>71A86325</paraID>
      <start>16</start>
      <end>17</end>
      <status>unmodified</status>
      <modifiedWord/>
      <trackRevisions>false</trackRevisions>
    </reviewItem>
    <reviewItem>
      <errorID>fa9348d4-b8c1-48ea-9798-7ebbe9023aad</errorID>
      <errorWord>"</errorWord>
      <group>L1_Format</group>
      <groupName>格式问题</groupName>
      <ability>L2_HalfPunc</ability>
      <abilityName>全半角检查</abilityName>
      <candidateList/>
      <explain>文本全半角错误。</explain>
      <paraID>4DB45E90</paraID>
      <start>16</start>
      <end>17</end>
      <status>unmodified</status>
      <modifiedWord/>
      <trackRevisions>false</trackRevisions>
    </reviewItem>
    <reviewItem>
      <errorID>5bef2791-04fd-42d9-a9cc-c40a9e76993a</errorID>
      <errorWord>主要以绢蒿类为主</errorWord>
      <group>L1_Grammar</group>
      <groupName>语法问题</groupName>
      <ability>L2_Grammar</ability>
      <abilityName>语法错误</abilityName>
      <candidateList>
        <item>以绢蒿类为主</item>
      </candidateList>
      <explain>该表达中的“主要以绢蒿类为主”存在语义重复。</explain>
      <paraID> A03A0EA</paraID>
      <start>209</start>
      <end>217</end>
      <status>unmodified</status>
      <modifiedWord/>
      <trackRevisions>false</trackRevisions>
    </reviewItem>
    <reviewItem>
      <errorID>4b5e440f-52a7-497a-a843-35fe1633e57b</errorID>
      <errorWord>海拔高度</errorWord>
      <group>L1_Word</group>
      <groupName>字词问题</groupName>
      <ability>L2_Typo</ability>
      <abilityName>字词错误</abilityName>
      <candidateList>
        <item>海拔</item>
      </candidateList>
      <explain>〈名〉从平均海平面起算的高度。</explain>
      <paraID>478DFDF9</paraID>
      <start>0</start>
      <end>4</end>
      <status>unmodified</status>
      <modifiedWord/>
      <trackRevisions>false</trackRevisions>
    </reviewItem>
    <reviewItem>
      <errorID>37c65157-bf96-4d52-a981-d0a654a4f8d6</errorID>
      <errorWord>～</errorWord>
      <group>L1_Format</group>
      <groupName>格式问题</groupName>
      <ability>L2_HalfPunc</ability>
      <abilityName>全半角检查</abilityName>
      <candidateList>
        <item>~</item>
      </candidateList>
      <explain>文本全半角错误。</explain>
      <paraID>60752621</paraID>
      <start>2</start>
      <end>3</end>
      <status>unmodified</status>
      <modifiedWord/>
      <trackRevisions>false</trackRevisions>
    </reviewItem>
    <reviewItem>
      <errorID>e745194a-6818-4d2b-8a41-ffcb306e9c45</errorID>
      <errorWord>～</errorWord>
      <group>L1_Format</group>
      <groupName>格式问题</groupName>
      <ability>L2_HalfPunc</ability>
      <abilityName>全半角检查</abilityName>
      <candidateList>
        <item>~</item>
      </candidateList>
      <explain>文本全半角错误。</explain>
      <paraID>701A3092</paraID>
      <start>2</start>
      <end>3</end>
      <status>unmodified</status>
      <modifiedWord/>
      <trackRevisions>false</trackRevisions>
    </reviewItem>
    <reviewItem>
      <errorID>b5c356c0-3069-4241-995b-c6173381051a</errorID>
      <errorWord>～</errorWord>
      <group>L1_Format</group>
      <groupName>格式问题</groupName>
      <ability>L2_HalfPunc</ability>
      <abilityName>全半角检查</abilityName>
      <candidateList>
        <item>~</item>
      </candidateList>
      <explain>文本全半角错误。</explain>
      <paraID>25ACF413</paraID>
      <start>2</start>
      <end>3</end>
      <status>unmodified</status>
      <modifiedWord/>
      <trackRevisions>false</trackRevisions>
    </reviewItem>
    <reviewItem>
      <errorID>3c87baf2-a69f-4516-8d60-80f3294dc2ae</errorID>
      <errorWord>～</errorWord>
      <group>L1_Format</group>
      <groupName>格式问题</groupName>
      <ability>L2_HalfPunc</ability>
      <abilityName>全半角检查</abilityName>
      <candidateList>
        <item>~</item>
      </candidateList>
      <explain>文本全半角错误。</explain>
      <paraID>77F9483C</paraID>
      <start>3</start>
      <end>4</end>
      <status>unmodified</status>
      <modifiedWord/>
      <trackRevisions>false</trackRevisions>
    </reviewItem>
    <reviewItem>
      <errorID>d017095e-a91c-43d1-a778-0176d7708511</errorID>
      <errorWord>～</errorWord>
      <group>L1_Format</group>
      <groupName>格式问题</groupName>
      <ability>L2_HalfPunc</ability>
      <abilityName>全半角检查</abilityName>
      <candidateList>
        <item>~</item>
      </candidateList>
      <explain>文本全半角错误。</explain>
      <paraID>69BACB3C</paraID>
      <start>3</start>
      <end>4</end>
      <status>unmodified</status>
      <modifiedWord/>
      <trackRevisions>false</trackRevisions>
    </reviewItem>
    <reviewItem>
      <errorID>a2710651-9a73-45c7-abbb-ba21bb244a69</errorID>
      <errorWord>～</errorWord>
      <group>L1_Format</group>
      <groupName>格式问题</groupName>
      <ability>L2_HalfPunc</ability>
      <abilityName>全半角检查</abilityName>
      <candidateList>
        <item>~</item>
      </candidateList>
      <explain>文本全半角错误。</explain>
      <paraID>7A572207</paraID>
      <start>2</start>
      <end>3</end>
      <status>unmodified</status>
      <modifiedWord/>
      <trackRevisions>false</trackRevisions>
    </reviewItem>
    <reviewItem>
      <errorID>68d05325-1ca4-4a6d-abd9-c69e9a6e0dcf</errorID>
      <errorWord>～</errorWord>
      <group>L1_Format</group>
      <groupName>格式问题</groupName>
      <ability>L2_HalfPunc</ability>
      <abilityName>全半角检查</abilityName>
      <candidateList>
        <item>~</item>
      </candidateList>
      <explain>文本全半角错误。</explain>
      <paraID>36514DA7</paraID>
      <start>2</start>
      <end>3</end>
      <status>unmodified</status>
      <modifiedWord/>
      <trackRevisions>false</trackRevisions>
    </reviewItem>
    <reviewItem>
      <errorID>49ae4458-1779-4acd-b8e4-29b603847517</errorID>
      <errorWord>～</errorWord>
      <group>L1_Format</group>
      <groupName>格式问题</groupName>
      <ability>L2_HalfPunc</ability>
      <abilityName>全半角检查</abilityName>
      <candidateList>
        <item>~</item>
      </candidateList>
      <explain>文本全半角错误。</explain>
      <paraID>1D9D38E2</paraID>
      <start>3</start>
      <end>4</end>
      <status>unmodified</status>
      <modifiedWord/>
      <trackRevisions>false</trackRevisions>
    </reviewItem>
    <reviewItem>
      <errorID>2f01ce00-c6d5-4de8-919c-7377f385412f</errorID>
      <errorWord>～</errorWord>
      <group>L1_Format</group>
      <groupName>格式问题</groupName>
      <ability>L2_HalfPunc</ability>
      <abilityName>全半角检查</abilityName>
      <candidateList>
        <item>~</item>
      </candidateList>
      <explain>文本全半角错误。</explain>
      <paraID>1B1B153A</paraID>
      <start>3</start>
      <end>4</end>
      <status>unmodified</status>
      <modifiedWord/>
      <trackRevisions>false</trackRevisions>
    </reviewItem>
    <reviewItem>
      <errorID>3ccf3c76-251f-4392-8db9-900845e61592</errorID>
      <errorWord>～</errorWord>
      <group>L1_Format</group>
      <groupName>格式问题</groupName>
      <ability>L2_HalfPunc</ability>
      <abilityName>全半角检查</abilityName>
      <candidateList>
        <item>~</item>
      </candidateList>
      <explain>文本全半角错误。</explain>
      <paraID>62FDAE25</paraID>
      <start>3</start>
      <end>4</end>
      <status>unmodified</status>
      <modifiedWord/>
      <trackRevisions>false</trackRevisions>
    </reviewItem>
    <reviewItem>
      <errorID>4dcecbf2-4318-4373-bfc1-05035a753f29</errorID>
      <errorWord>～</errorWord>
      <group>L1_Format</group>
      <groupName>格式问题</groupName>
      <ability>L2_HalfPunc</ability>
      <abilityName>全半角检查</abilityName>
      <candidateList>
        <item>~</item>
      </candidateList>
      <explain>文本全半角错误。</explain>
      <paraID>692E3278</paraID>
      <start>2</start>
      <end>3</end>
      <status>unmodified</status>
      <modifiedWord/>
      <trackRevisions>false</trackRevisions>
    </reviewItem>
    <reviewItem>
      <errorID>689d4736-54bb-44f8-80a2-b9147fa3c188</errorID>
      <errorWord>～</errorWord>
      <group>L1_Format</group>
      <groupName>格式问题</groupName>
      <ability>L2_HalfPunc</ability>
      <abilityName>全半角检查</abilityName>
      <candidateList>
        <item>~</item>
      </candidateList>
      <explain>文本全半角错误。</explain>
      <paraID>67A543D5</paraID>
      <start>3</start>
      <end>4</end>
      <status>unmodified</status>
      <modifiedWord/>
      <trackRevisions>false</trackRevisions>
    </reviewItem>
    <reviewItem>
      <errorID>65bd7e75-c44f-48b1-848e-a8b801a69246</errorID>
      <errorWord>～</errorWord>
      <group>L1_Format</group>
      <groupName>格式问题</groupName>
      <ability>L2_HalfPunc</ability>
      <abilityName>全半角检查</abilityName>
      <candidateList>
        <item>~</item>
      </candidateList>
      <explain>文本全半角错误。</explain>
      <paraID>15121407</paraID>
      <start>2</start>
      <end>3</end>
      <status>unmodified</status>
      <modifiedWord/>
      <trackRevisions>false</trackRevisions>
    </reviewItem>
    <reviewItem>
      <errorID>da1421cd-f755-4aeb-b555-f4ddf85bce1d</errorID>
      <errorWord>～</errorWord>
      <group>L1_Format</group>
      <groupName>格式问题</groupName>
      <ability>L2_HalfPunc</ability>
      <abilityName>全半角检查</abilityName>
      <candidateList>
        <item>~</item>
      </candidateList>
      <explain>文本全半角错误。</explain>
      <paraID>6784A6C0</paraID>
      <start>2</start>
      <end>3</end>
      <status>unmodified</status>
      <modifiedWord/>
      <trackRevisions>false</trackRevisions>
    </reviewItem>
    <reviewItem>
      <errorID>d7b4eaae-3717-4a28-9525-a67f94f11b19</errorID>
      <errorWord>～</errorWord>
      <group>L1_Format</group>
      <groupName>格式问题</groupName>
      <ability>L2_HalfPunc</ability>
      <abilityName>全半角检查</abilityName>
      <candidateList>
        <item>~</item>
      </candidateList>
      <explain>文本全半角错误。</explain>
      <paraID> 5FFA6CC</paraID>
      <start>2</start>
      <end>3</end>
      <status>unmodified</status>
      <modifiedWord/>
      <trackRevisions>false</trackRevisions>
    </reviewItem>
    <reviewItem>
      <errorID>9f124195-9b45-49aa-ba2c-6a265f93707a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3AB43086</paraID>
      <start>0</start>
      <end>2</end>
      <status>unmodified</status>
      <modifiedWord/>
      <trackRevisions>false</trackRevisions>
    </reviewItem>
    <reviewItem>
      <errorID>3650f450-8d25-4f61-9b85-13440164b147</errorID>
      <errorWord>其它</errorWord>
      <group>L1_Word</group>
      <groupName>字词问题</groupName>
      <ability>L2_Alias</ability>
      <abilityName>也作/曾用词</abilityName>
      <candidateList>
        <item>其他</item>
      </candidateList>
      <explain>词汇[其它]为不规范表述或旧称，其规范书面表述为[其他]。</explain>
      <paraID>2C4D1394</paraID>
      <start>67</start>
      <end>69</end>
      <status>unmodified</status>
      <modifiedWord/>
      <trackRevisions>false</trackRevisions>
    </reviewItem>
    <reviewItem>
      <errorID>066f4a15-602a-4ba2-b8b7-d49b95a909e6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23AB477C</paraID>
      <start>0</start>
      <end>2</end>
      <status>unmodified</status>
      <modifiedWord/>
      <trackRevisions>false</trackRevisions>
    </reviewItem>
    <reviewItem>
      <errorID>79de2a17-8e6c-4198-9712-7eefeb2bca24</errorID>
      <errorWord>~</errorWord>
      <group>L1_Format</group>
      <groupName>格式问题</groupName>
      <ability>L2_HalfPunc</ability>
      <abilityName>全半角检查</abilityName>
      <candidateList>
        <item>～</item>
      </candidateList>
      <explain>文本全半角错误。</explain>
      <paraID>2B3CDD5D</paraID>
      <start>52</start>
      <end>53</end>
      <status>unmodified</status>
      <modifiedWord/>
      <trackRevisions>false</trackRevisions>
    </reviewItem>
    <reviewItem>
      <errorID>a0820774-263c-47d8-abdb-ce771e29c1f0</errorID>
      <errorWord>~</errorWord>
      <group>L1_Format</group>
      <groupName>格式问题</groupName>
      <ability>L2_HalfPunc</ability>
      <abilityName>全半角检查</abilityName>
      <candidateList>
        <item>～</item>
      </candidateList>
      <explain>文本全半角错误。</explain>
      <paraID>2B3CDD5D</paraID>
      <start>70</start>
      <end>71</end>
      <status>unmodified</status>
      <modifiedWord/>
      <trackRevisions>false</trackRevisions>
    </reviewItem>
    <reviewItem>
      <errorID>30a8deae-ee99-428e-92eb-a18b0d9bdccc</errorID>
      <errorWord>其它各</errorWord>
      <group>L1_Word</group>
      <groupName>字词问题</groupName>
      <ability>L2_Alias</ability>
      <abilityName>也作/曾用词</abilityName>
      <candidateList>
        <item>其他各</item>
      </candidateList>
      <explain>词汇[其它各]为不规范表述或旧称，其规范书面表述为[其他各]。</explain>
      <paraID>137386BF</paraID>
      <start>132</start>
      <end>135</end>
      <status>unmodified</status>
      <modifiedWord/>
      <trackRevisions>false</trackRevisions>
    </reviewItem>
    <reviewItem>
      <errorID>36ed50ee-52b2-46c9-a76a-38b32134a3f8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4045AA0C</paraID>
      <start>0</start>
      <end>2</end>
      <status>unmodified</status>
      <modifiedWord/>
      <trackRevisions>false</trackRevisions>
    </reviewItem>
    <reviewItem>
      <errorID>c9f5248e-797b-4cf4-8790-8394e39dc056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41BF838A</paraID>
      <start>0</start>
      <end>2</end>
      <status>unmodified</status>
      <modifiedWord/>
      <trackRevisions>false</trackRevisions>
    </reviewItem>
    <reviewItem>
      <errorID>52c94de1-1249-4711-9cbe-7483a01a0920</errorID>
      <errorWord>42.6～46.5%</errorWord>
      <group>L1_Knowledge</group>
      <groupName>知识性问题</groupName>
      <ability>L2_Knowledge</ability>
      <abilityName>其他知识</abilityName>
      <candidateList>
        <item>42.6%～46.5%</item>
      </candidateList>
      <explain>1. “42.6～46.5%”中的单位“%”仅出现在后一个数字上，容易引起歧义；根据《现代汉语标点符号数字用法规范手册》，数字表示范围两边需要使用统一的格式。2. 根据标点国标 4.13 中的规则，数字、时间或地域连接符应使用（视觉上更长的）“—”或“～”。</explain>
      <paraID>784A9DCC</paraID>
      <start>108</start>
      <end>118</end>
      <status>unmodified</status>
      <modifiedWord/>
      <trackRevisions>false</trackRevisions>
    </reviewItem>
    <reviewItem>
      <errorID>8fb3c306-1a09-4764-b520-e1364a32e06a</errorID>
      <errorWord>27～50.6%</errorWord>
      <group>L1_Knowledge</group>
      <groupName>知识性问题</groupName>
      <ability>L2_Knowledge</ability>
      <abilityName>其他知识</abilityName>
      <candidateList>
        <item>27%～50.6%</item>
      </candidateList>
      <explain>1. “27～50.6%”中的单位“%”仅出现在后一个数字上，容易引起歧义；根据《现代汉语标点符号数字用法规范手册》，数字表示范围两边需要使用统一的格式。2. 根据标点国标 4.13 中的规则，数字、时间或地域连接符应使用（视觉上更长的）“—”或“～”。</explain>
      <paraID>784A9DCC</paraID>
      <start>124</start>
      <end>132</end>
      <status>unmodified</status>
      <modifiedWord/>
      <trackRevisions>false</trackRevisions>
    </reviewItem>
    <reviewItem>
      <errorID>a9752cc6-e8db-40bc-96ee-8936a0782a17</errorID>
      <errorWord>33.3～46.0%</errorWord>
      <group>L1_Knowledge</group>
      <groupName>知识性问题</groupName>
      <ability>L2_Knowledge</ability>
      <abilityName>其他知识</abilityName>
      <candidateList>
        <item>33.3%～46.0%</item>
      </candidateList>
      <explain>1. “33.3～46.0%”中的单位“%”仅出现在后一个数字上，容易引起歧义；根据《现代汉语标点符号数字用法规范手册》，数字表示范围两边需要使用统一的格式。2. 根据标点国标 4.13 中的规则，数字、时间或地域连接符应使用（视觉上更长的）“—”或“～”。</explain>
      <paraID>784A9DCC</paraID>
      <start>136</start>
      <end>146</end>
      <status>unmodified</status>
      <modifiedWord/>
      <trackRevisions>false</trackRevisions>
    </reviewItem>
    <reviewItem>
      <errorID>dbee3a82-f09b-45b5-b213-2c767b802b59</errorID>
      <errorWord>26.3～32.5%</errorWord>
      <group>L1_Knowledge</group>
      <groupName>知识性问题</groupName>
      <ability>L2_Knowledge</ability>
      <abilityName>其他知识</abilityName>
      <candidateList>
        <item>26.3%～32.5%</item>
      </candidateList>
      <explain>1. “26.3～32.5%”中的单位“%”仅出现在后一个数字上，容易引起歧义；根据《现代汉语标点符号数字用法规范手册》，数字表示范围两边需要使用统一的格式。2. 根据标点国标 4.13 中的规则，数字、时间或地域连接符应使用（视觉上更长的）“—”或“～”。</explain>
      <paraID>784A9DCC</paraID>
      <start>150</start>
      <end>160</end>
      <status>unmodified</status>
      <modifiedWord/>
      <trackRevisions>false</trackRevisions>
    </reviewItem>
    <reviewItem>
      <errorID>04a0138c-8aea-48bb-9dcf-0802d4c4c43c</errorID>
      <errorWord>尽量减小</errorWord>
      <group>L1_Word</group>
      <groupName>字词问题</groupName>
      <ability>L2_Typo</ability>
      <abilityName>字词错误</abilityName>
      <candidateList>
        <item>尽量减少</item>
      </candidateList>
      <explain>存在字形相近字词的误用。</explain>
      <paraID>784A9DCC</paraID>
      <start>235</start>
      <end>239</end>
      <status>unmodified</status>
      <modifiedWord/>
      <trackRevisions>false</trackRevisions>
    </reviewItem>
    <reviewItem>
      <errorID>93ae25cd-cf7c-40ef-971c-99f56d5ab5a0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2BB74407</paraID>
      <start>0</start>
      <end>2</end>
      <status>unmodified</status>
      <modifiedWord/>
      <trackRevisions>false</trackRevisions>
    </reviewItem>
    <reviewItem>
      <errorID>ea6322d6-e141-499a-98a5-13d290417a1f</errorID>
      <errorWord>较其它</errorWord>
      <group>L1_Word</group>
      <groupName>字词问题</groupName>
      <ability>L2_Alias</ability>
      <abilityName>也作/曾用词</abilityName>
      <candidateList>
        <item>较其他</item>
      </candidateList>
      <explain>词汇[较其它]为不规范表述或旧称，其规范书面表述为[较其他]。</explain>
      <paraID>25D9B122</paraID>
      <start>113</start>
      <end>116</end>
      <status>unmodified</status>
      <modifiedWord/>
      <trackRevisions>false</trackRevisions>
    </reviewItem>
    <reviewItem>
      <errorID>51380315-3866-4458-950b-429d70103f6a</errorID>
      <errorWord>(</errorWord>
      <group>L1_Format</group>
      <groupName>格式问题</groupName>
      <ability>L2_HalfPunc</ability>
      <abilityName>全半角检查</abilityName>
      <candidateList>
        <item>（</item>
      </candidateList>
      <explain>文本全半角错误。</explain>
      <paraID>2383FFD2</paraID>
      <start>2</start>
      <end>3</end>
      <status>unmodified</status>
      <modifiedWord/>
      <trackRevisions>false</trackRevisions>
    </reviewItem>
    <reviewItem>
      <errorID>64d0cad4-4e09-4a17-b179-ca40453356ee</errorID>
      <errorWord>)</errorWord>
      <group>L1_Format</group>
      <groupName>格式问题</groupName>
      <ability>L2_HalfPunc</ability>
      <abilityName>全半角检查</abilityName>
      <candidateList>
        <item>）</item>
      </candidateList>
      <explain>文本全半角错误。</explain>
      <paraID>2383FFD2</paraID>
      <start>4</start>
      <end>5</end>
      <status>unmodified</status>
      <modifiedWord/>
      <trackRevisions>false</trackRevisions>
    </reviewItem>
    <reviewItem>
      <errorID>8a54429f-1ca9-48df-a122-50f50c02a7ca</errorID>
      <errorWord>(</errorWord>
      <group>L1_Format</group>
      <groupName>格式问题</groupName>
      <ability>L2_HalfPunc</ability>
      <abilityName>全半角检查</abilityName>
      <candidateList>
        <item>（</item>
      </candidateList>
      <explain>文本全半角错误。</explain>
      <paraID>76D6AE89</paraID>
      <start>2</start>
      <end>3</end>
      <status>unmodified</status>
      <modifiedWord/>
      <trackRevisions>false</trackRevisions>
    </reviewItem>
    <reviewItem>
      <errorID>a50091a1-112c-45ef-a0df-d6def13841a7</errorID>
      <errorWord>)</errorWord>
      <group>L1_Format</group>
      <groupName>格式问题</groupName>
      <ability>L2_HalfPunc</ability>
      <abilityName>全半角检查</abilityName>
      <candidateList>
        <item>）</item>
      </candidateList>
      <explain>文本全半角错误。</explain>
      <paraID>76D6AE89</paraID>
      <start>6</start>
      <end>7</end>
      <status>unmodified</status>
      <modifiedWord/>
      <trackRevisions>false</trackRevisions>
    </reviewItem>
    <reviewItem>
      <errorID>ad2d0afd-2e4a-47dd-9ba6-ee89b7885a22</errorID>
      <errorWord>(</errorWord>
      <group>L1_Format</group>
      <groupName>格式问题</groupName>
      <ability>L2_HalfPunc</ability>
      <abilityName>全半角检查</abilityName>
      <candidateList>
        <item>（</item>
      </candidateList>
      <explain>文本全半角错误。</explain>
      <paraID>191D5FE0</paraID>
      <start>2</start>
      <end>3</end>
      <status>unmodified</status>
      <modifiedWord/>
      <trackRevisions>false</trackRevisions>
    </reviewItem>
    <reviewItem>
      <errorID>13cdb7e9-4c51-4361-ba06-e6e253179bcb</errorID>
      <errorWord>)</errorWord>
      <group>L1_Format</group>
      <groupName>格式问题</groupName>
      <ability>L2_HalfPunc</ability>
      <abilityName>全半角检查</abilityName>
      <candidateList>
        <item>）</item>
      </candidateList>
      <explain>文本全半角错误。</explain>
      <paraID>191D5FE0</paraID>
      <start>6</start>
      <end>7</end>
      <status>unmodified</status>
      <modifiedWord/>
      <trackRevisions>false</trackRevisions>
    </reviewItem>
    <reviewItem>
      <errorID>247026e2-1903-43bd-a4c0-f4abee95ed9d</errorID>
      <errorWord>(</errorWord>
      <group>L1_Format</group>
      <groupName>格式问题</groupName>
      <ability>L2_HalfPunc</ability>
      <abilityName>全半角检查</abilityName>
      <candidateList>
        <item>（</item>
      </candidateList>
      <explain>文本全半角错误。</explain>
      <paraID>191D5FE0</paraID>
      <start>11</start>
      <end>12</end>
      <status>unmodified</status>
      <modifiedWord/>
      <trackRevisions>false</trackRevisions>
    </reviewItem>
    <reviewItem>
      <errorID>eaca7df0-44e9-485b-ba23-fc20bedc59ee</errorID>
      <errorWord>)</errorWord>
      <group>L1_Format</group>
      <groupName>格式问题</groupName>
      <ability>L2_HalfPunc</ability>
      <abilityName>全半角检查</abilityName>
      <candidateList>
        <item>）</item>
      </candidateList>
      <explain>文本全半角错误。</explain>
      <paraID>191D5FE0</paraID>
      <start>13</start>
      <end>14</end>
      <status>unmodified</status>
      <modifiedWord/>
      <trackRevisions>false</trackRevisions>
    </reviewItem>
    <reviewItem>
      <errorID>280223e7-4430-4306-8196-d9686199e374</errorID>
      <errorWord>(</errorWord>
      <group>L1_Format</group>
      <groupName>格式问题</groupName>
      <ability>L2_HalfPunc</ability>
      <abilityName>全半角检查</abilityName>
      <candidateList>
        <item>（</item>
      </candidateList>
      <explain>文本全半角错误。</explain>
      <paraID> 893C0EE</paraID>
      <start>2</start>
      <end>3</end>
      <status>unmodified</status>
      <modifiedWord/>
      <trackRevisions>false</trackRevisions>
    </reviewItem>
    <reviewItem>
      <errorID>55d4f095-4967-4d22-af29-21640abe6243</errorID>
      <errorWord>)</errorWord>
      <group>L1_Format</group>
      <groupName>格式问题</groupName>
      <ability>L2_HalfPunc</ability>
      <abilityName>全半角检查</abilityName>
      <candidateList>
        <item>）</item>
      </candidateList>
      <explain>文本全半角错误。</explain>
      <paraID> 893C0EE</paraID>
      <start>6</start>
      <end>7</end>
      <status>unmodified</status>
      <modifiedWord/>
      <trackRevisions>false</trackRevisions>
    </reviewItem>
    <reviewItem>
      <errorID>a0853d3d-a0e4-47ae-b9d4-5278e6312c7c</errorID>
      <errorWord>(</errorWord>
      <group>L1_Format</group>
      <groupName>格式问题</groupName>
      <ability>L2_HalfPunc</ability>
      <abilityName>全半角检查</abilityName>
      <candidateList>
        <item>（</item>
      </candidateList>
      <explain>文本全半角错误。</explain>
      <paraID> 893C0EE</paraID>
      <start>11</start>
      <end>12</end>
      <status>unmodified</status>
      <modifiedWord/>
      <trackRevisions>false</trackRevisions>
    </reviewItem>
    <reviewItem>
      <errorID>1f372a0f-9022-454e-a1d4-60fbc843c25c</errorID>
      <errorWord>)</errorWord>
      <group>L1_Format</group>
      <groupName>格式问题</groupName>
      <ability>L2_HalfPunc</ability>
      <abilityName>全半角检查</abilityName>
      <candidateList>
        <item>）</item>
      </candidateList>
      <explain>文本全半角错误。</explain>
      <paraID> 893C0EE</paraID>
      <start>13</start>
      <end>14</end>
      <status>unmodified</status>
      <modifiedWord/>
      <trackRevisions>false</trackRevisions>
    </reviewItem>
    <reviewItem>
      <errorID>76348d64-75c7-4e62-9a34-859c021ccf1e</errorID>
      <errorWord>(</errorWord>
      <group>L1_Format</group>
      <groupName>格式问题</groupName>
      <ability>L2_HalfPunc</ability>
      <abilityName>全半角检查</abilityName>
      <candidateList>
        <item>（</item>
      </candidateList>
      <explain>文本全半角错误。</explain>
      <paraID>48B2D1A5</paraID>
      <start>2</start>
      <end>3</end>
      <status>unmodified</status>
      <modifiedWord/>
      <trackRevisions>false</trackRevisions>
    </reviewItem>
    <reviewItem>
      <errorID>87626a9a-3f20-4cce-a3e0-c2e7454e9bf3</errorID>
      <errorWord>)</errorWord>
      <group>L1_Format</group>
      <groupName>格式问题</groupName>
      <ability>L2_HalfPunc</ability>
      <abilityName>全半角检查</abilityName>
      <candidateList>
        <item>）</item>
      </candidateList>
      <explain>文本全半角错误。</explain>
      <paraID>48B2D1A5</paraID>
      <start>4</start>
      <end>5</end>
      <status>unmodified</status>
      <modifiedWord/>
      <trackRevisions>false</trackRevisions>
    </reviewItem>
    <reviewItem>
      <errorID>ad8440e3-015f-4e1d-9303-9267bd6cd06e</errorID>
      <errorWord>(</errorWord>
      <group>L1_Format</group>
      <groupName>格式问题</groupName>
      <ability>L2_HalfPunc</ability>
      <abilityName>全半角检查</abilityName>
      <candidateList>
        <item>（</item>
      </candidateList>
      <explain>文本全半角错误。</explain>
      <paraID>602EE869</paraID>
      <start>2</start>
      <end>3</end>
      <status>unmodified</status>
      <modifiedWord/>
      <trackRevisions>false</trackRevisions>
    </reviewItem>
    <reviewItem>
      <errorID>f048eb9c-cfcb-4c21-a498-f8d0f50446cd</errorID>
      <errorWord>)</errorWord>
      <group>L1_Format</group>
      <groupName>格式问题</groupName>
      <ability>L2_HalfPunc</ability>
      <abilityName>全半角检查</abilityName>
      <candidateList>
        <item>）</item>
      </candidateList>
      <explain>文本全半角错误。</explain>
      <paraID>602EE869</paraID>
      <start>4</start>
      <end>5</end>
      <status>unmodified</status>
      <modifiedWord/>
      <trackRevisions>false</trackRevisions>
    </reviewItem>
    <reviewItem>
      <errorID>d4a21afa-d1e6-4743-9dcf-e936fe12467e</errorID>
      <errorWord>海拔高度</errorWord>
      <group>L1_Word</group>
      <groupName>字词问题</groupName>
      <ability>L2_Typo</ability>
      <abilityName>字词错误</abilityName>
      <candidateList>
        <item>海拔</item>
      </candidateList>
      <explain>〈名〉从平均海平面起算的高度。</explain>
      <paraID>451ADCCD</paraID>
      <start>5</start>
      <end>9</end>
      <status>unmodified</status>
      <modifiedWord/>
      <trackRevisions>false</trackRevisions>
    </reviewItem>
    <reviewItem>
      <errorID>e938cf76-fef0-43fd-88a7-3674800fd9da</errorID>
      <errorWord>海拔高度</errorWord>
      <group>L1_Word</group>
      <groupName>字词问题</groupName>
      <ability>L2_Typo</ability>
      <abilityName>字词错误</abilityName>
      <candidateList>
        <item>海拔</item>
      </candidateList>
      <explain>〈名〉从平均海平面起算的高度。</explain>
      <paraID>57B1B6CC</paraID>
      <start>2</start>
      <end>6</end>
      <status>unmodified</status>
      <modifiedWord/>
      <trackRevisions>false</trackRevisions>
    </reviewItem>
    <reviewItem>
      <errorID>53849840-f26c-41a6-99bc-3f761777d43e</errorID>
      <errorWord>（</errorWord>
      <group>L1_Format</group>
      <groupName>格式问题</groupName>
      <ability>L2_HalfPunc</ability>
      <abilityName>全半角检查</abilityName>
      <candidateList>
        <item>(</item>
      </candidateList>
      <explain>文本全半角错误。</explain>
      <paraID>2A58387E</paraID>
      <start>1</start>
      <end>2</end>
      <status>unmodified</status>
      <modifiedWord/>
      <trackRevisions>false</trackRevisions>
    </reviewItem>
    <reviewItem>
      <errorID>729ff9ae-f83e-4c07-94de-23b155500ebf</errorID>
      <errorWord>）</errorWord>
      <group>L1_Format</group>
      <groupName>格式问题</groupName>
      <ability>L2_HalfPunc</ability>
      <abilityName>全半角检查</abilityName>
      <candidateList>
        <item>)</item>
      </candidateList>
      <explain>文本全半角错误。</explain>
      <paraID>2A58387E</paraID>
      <start>3</start>
      <end>4</end>
      <status>unmodified</status>
      <modifiedWord/>
      <trackRevisions>false</trackRevisions>
    </reviewItem>
    <reviewItem>
      <errorID>42f0a6fc-a123-4851-b1c9-eb141762a865</errorID>
      <errorWord>（</errorWord>
      <group>L1_Format</group>
      <groupName>格式问题</groupName>
      <ability>L2_HalfPunc</ability>
      <abilityName>全半角检查</abilityName>
      <candidateList>
        <item>(</item>
      </candidateList>
      <explain>文本全半角错误。</explain>
      <paraID>45D9FBBD</paraID>
      <start>0</start>
      <end>1</end>
      <status>unmodified</status>
      <modifiedWord/>
      <trackRevisions>false</trackRevisions>
    </reviewItem>
    <reviewItem>
      <errorID>fb10f2ed-3820-41d3-b1a1-36833f818e06</errorID>
      <errorWord>）</errorWord>
      <group>L1_Format</group>
      <groupName>格式问题</groupName>
      <ability>L2_HalfPunc</ability>
      <abilityName>全半角检查</abilityName>
      <candidateList>
        <item>)</item>
      </candidateList>
      <explain>文本全半角错误。</explain>
      <paraID>45D9FBBD</paraID>
      <start>6</start>
      <end>7</end>
      <status>unmodified</status>
      <modifiedWord/>
      <trackRevisions>false</trackRevisions>
    </reviewItem>
    <reviewItem>
      <errorID>a6d39b96-6d5f-487b-8667-8577f3836ddd</errorID>
      <errorWord>（</errorWord>
      <group>L1_Format</group>
      <groupName>格式问题</groupName>
      <ability>L2_HalfPunc</ability>
      <abilityName>全半角检查</abilityName>
      <candidateList>
        <item>(</item>
      </candidateList>
      <explain>文本全半角错误。</explain>
      <paraID>5A85D58D</paraID>
      <start>0</start>
      <end>1</end>
      <status>unmodified</status>
      <modifiedWord/>
      <trackRevisions>false</trackRevisions>
    </reviewItem>
    <reviewItem>
      <errorID>62e3ed0b-53df-47d9-af5b-1b9dd65ec14a</errorID>
      <errorWord>）</errorWord>
      <group>L1_Format</group>
      <groupName>格式问题</groupName>
      <ability>L2_HalfPunc</ability>
      <abilityName>全半角检查</abilityName>
      <candidateList>
        <item>)</item>
      </candidateList>
      <explain>文本全半角错误。</explain>
      <paraID>5A85D58D</paraID>
      <start>4</start>
      <end>5</end>
      <status>unmodified</status>
      <modifiedWord/>
      <trackRevisions>false</trackRevisions>
    </reviewItem>
    <reviewItem>
      <errorID>75f254f3-e074-4ca7-a870-9ae20d2136e8</errorID>
      <errorWord>海拔高度</errorWord>
      <group>L1_Word</group>
      <groupName>字词问题</groupName>
      <ability>L2_Typo</ability>
      <abilityName>字词错误</abilityName>
      <candidateList>
        <item>海拔</item>
      </candidateList>
      <explain>〈名〉从平均海平面起算的高度。</explain>
      <paraID>7D2E0FC7</paraID>
      <start>0</start>
      <end>4</end>
      <status>unmodified</status>
      <modifiedWord/>
      <trackRevisions>false</trackRevisions>
    </reviewItem>
    <reviewItem>
      <errorID>260af9eb-3451-4300-a89b-40af82e1543d</errorID>
      <errorWord>，</errorWord>
      <group>L1_Format</group>
      <groupName>格式问题</groupName>
      <ability>L2_HalfPunc</ability>
      <abilityName>全半角检查</abilityName>
      <candidateList>
        <item>, </item>
      </candidateList>
      <explain>文本全半角错误。</explain>
      <paraID>609BC41D</paraID>
      <start>7</start>
      <end>8</end>
      <status>unmodified</status>
      <modifiedWord/>
      <trackRevisions>false</trackRevisions>
    </reviewItem>
    <reviewItem>
      <errorID>9c7fe07d-dff1-4d55-ade4-c79615286e43</errorID>
      <errorWord>(</errorWord>
      <group>L1_Format</group>
      <groupName>格式问题</groupName>
      <ability>L2_HalfPunc</ability>
      <abilityName>全半角检查</abilityName>
      <candidateList>
        <item>（</item>
      </candidateList>
      <explain>文本全半角错误。</explain>
      <paraID>41923CD7</paraID>
      <start>3</start>
      <end>4</end>
      <status>unmodified</status>
      <modifiedWord/>
      <trackRevisions>false</trackRevisions>
    </reviewItem>
    <reviewItem>
      <errorID>4aeec968-64f9-4563-a74c-e44eee61f5d5</errorID>
      <errorWord>)</errorWord>
      <group>L1_Format</group>
      <groupName>格式问题</groupName>
      <ability>L2_HalfPunc</ability>
      <abilityName>全半角检查</abilityName>
      <candidateList>
        <item>）</item>
      </candidateList>
      <explain>文本全半角错误。</explain>
      <paraID>41923CD7</paraID>
      <start>7</start>
      <end>8</end>
      <status>unmodified</status>
      <modifiedWord/>
      <trackRevisions>false</trackRevisions>
    </reviewItem>
    <reviewItem>
      <errorID>5c4481e7-f6e8-4433-b256-f5c642a68d18</errorID>
      <errorWord>(</errorWord>
      <group>L1_Format</group>
      <groupName>格式问题</groupName>
      <ability>L2_HalfPunc</ability>
      <abilityName>全半角检查</abilityName>
      <candidateList>
        <item>（</item>
      </candidateList>
      <explain>文本全半角错误。</explain>
      <paraID>2BD694D5</paraID>
      <start>4</start>
      <end>5</end>
      <status>unmodified</status>
      <modifiedWord/>
      <trackRevisions>false</trackRevisions>
    </reviewItem>
    <reviewItem>
      <errorID>e9ffb989-7acb-4a0f-9b1e-036ef2519cfd</errorID>
      <errorWord>)</errorWord>
      <group>L1_Format</group>
      <groupName>格式问题</groupName>
      <ability>L2_HalfPunc</ability>
      <abilityName>全半角检查</abilityName>
      <candidateList>
        <item>）</item>
      </candidateList>
      <explain>文本全半角错误。</explain>
      <paraID>2BD694D5</paraID>
      <start>6</start>
      <end>7</end>
      <status>unmodified</status>
      <modifiedWord/>
      <trackRevisions>false</trackRevisions>
    </reviewItem>
    <reviewItem>
      <errorID>0cb102c1-2fe0-4e0a-83a5-8cb768a445b6</errorID>
      <errorWord>(</errorWord>
      <group>L1_Format</group>
      <groupName>格式问题</groupName>
      <ability>L2_HalfPunc</ability>
      <abilityName>全半角检查</abilityName>
      <candidateList>
        <item>（</item>
      </candidateList>
      <explain>文本全半角错误。</explain>
      <paraID>70353614</paraID>
      <start>4</start>
      <end>5</end>
      <status>unmodified</status>
      <modifiedWord/>
      <trackRevisions>false</trackRevisions>
    </reviewItem>
    <reviewItem>
      <errorID>eeace320-d913-4155-8815-7870008c03eb</errorID>
      <errorWord>)</errorWord>
      <group>L1_Format</group>
      <groupName>格式问题</groupName>
      <ability>L2_HalfPunc</ability>
      <abilityName>全半角检查</abilityName>
      <candidateList>
        <item>）</item>
      </candidateList>
      <explain>文本全半角错误。</explain>
      <paraID>70353614</paraID>
      <start>10</start>
      <end>11</end>
      <status>unmodified</status>
      <modifiedWord/>
      <trackRevisions>false</trackRevisions>
    </reviewItem>
    <reviewItem>
      <errorID>cd460368-3dae-4e87-94dc-23c6c87e3213</errorID>
      <errorWord>(</errorWord>
      <group>L1_Format</group>
      <groupName>格式问题</groupName>
      <ability>L2_HalfPunc</ability>
      <abilityName>全半角检查</abilityName>
      <candidateList>
        <item>（</item>
      </candidateList>
      <explain>文本全半角错误。</explain>
      <paraID>590907C1</paraID>
      <start>4</start>
      <end>5</end>
      <status>unmodified</status>
      <modifiedWord/>
      <trackRevisions>false</trackRevisions>
    </reviewItem>
    <reviewItem>
      <errorID>3eafca8a-856b-4ce8-91d7-442ad6f899f5</errorID>
      <errorWord>)</errorWord>
      <group>L1_Format</group>
      <groupName>格式问题</groupName>
      <ability>L2_HalfPunc</ability>
      <abilityName>全半角检查</abilityName>
      <candidateList>
        <item>）</item>
      </candidateList>
      <explain>文本全半角错误。</explain>
      <paraID>590907C1</paraID>
      <start>13</start>
      <end>14</end>
      <status>unmodified</status>
      <modifiedWord/>
      <trackRevisions>false</trackRevisions>
    </reviewItem>
    <reviewItem>
      <errorID>4b05bf59-73eb-43f9-88c5-61d510d7b447</errorID>
      <errorWord>(</errorWord>
      <group>L1_Format</group>
      <groupName>格式问题</groupName>
      <ability>L2_HalfPunc</ability>
      <abilityName>全半角检查</abilityName>
      <candidateList>
        <item>（</item>
      </candidateList>
      <explain>文本全半角错误。</explain>
      <paraID>232EE5D9</paraID>
      <start>4</start>
      <end>5</end>
      <status>unmodified</status>
      <modifiedWord/>
      <trackRevisions>false</trackRevisions>
    </reviewItem>
    <reviewItem>
      <errorID>7b37fdc7-520d-4ae2-be87-4e3b4860cf72</errorID>
      <errorWord>)</errorWord>
      <group>L1_Format</group>
      <groupName>格式问题</groupName>
      <ability>L2_HalfPunc</ability>
      <abilityName>全半角检查</abilityName>
      <candidateList>
        <item>）</item>
      </candidateList>
      <explain>文本全半角错误。</explain>
      <paraID>232EE5D9</paraID>
      <start>10</start>
      <end>11</end>
      <status>unmodified</status>
      <modifiedWord/>
      <trackRevisions>false</trackRevisions>
    </reviewItem>
    <reviewItem>
      <errorID>d0ec17a7-6bb2-4af3-b4d4-846fbe2d4f71</errorID>
      <errorWord>，</errorWord>
      <group>L1_Format</group>
      <groupName>格式问题</groupName>
      <ability>L2_HalfPunc</ability>
      <abilityName>全半角检查</abilityName>
      <candidateList>
        <item>,</item>
      </candidateList>
      <explain>文本全半角错误。</explain>
      <paraID>359AD0B5</paraID>
      <start>3</start>
      <end>4</end>
      <status>unmodified</status>
      <modifiedWord/>
      <trackRevisions>false</trackRevisions>
    </reviewItem>
    <reviewItem>
      <errorID>f6c88002-877d-4d96-a2b2-78c0ba908b56</errorID>
      <errorWord>~</errorWord>
      <group>L1_Format</group>
      <groupName>格式问题</groupName>
      <ability>L2_HalfPunc</ability>
      <abilityName>全半角检查</abilityName>
      <candidateList>
        <item>～</item>
      </candidateList>
      <explain>文本全半角错误。</explain>
      <paraID>  A49302</paraID>
      <start>131</start>
      <end>132</end>
      <status>unmodified</status>
      <modifiedWord/>
      <trackRevisions>false</trackRevisions>
    </reviewItem>
    <reviewItem>
      <errorID>1794c559-2db6-40a6-85c6-5d5d5e1388c7</errorID>
      <errorWord>(</errorWord>
      <group>L1_Format</group>
      <groupName>格式问题</groupName>
      <ability>L2_HalfPunc</ability>
      <abilityName>全半角检查</abilityName>
      <candidateList>
        <item>（</item>
      </candidateList>
      <explain>文本全半角错误。</explain>
      <paraID>1CB6D3B3</paraID>
      <start>4</start>
      <end>5</end>
      <status>unmodified</status>
      <modifiedWord/>
      <trackRevisions>false</trackRevisions>
    </reviewItem>
    <reviewItem>
      <errorID>bad59de4-6931-44fe-b6c2-816b6da6e613</errorID>
      <errorWord>)</errorWord>
      <group>L1_Format</group>
      <groupName>格式问题</groupName>
      <ability>L2_HalfPunc</ability>
      <abilityName>全半角检查</abilityName>
      <candidateList>
        <item>）</item>
      </candidateList>
      <explain>文本全半角错误。</explain>
      <paraID>1CB6D3B3</paraID>
      <start>6</start>
      <end>7</end>
      <status>unmodified</status>
      <modifiedWord/>
      <trackRevisions>false</trackRevisions>
    </reviewItem>
    <reviewItem>
      <errorID>79315355-bf88-49c1-a7cc-f4ddb9fd2bb7</errorID>
      <errorWord>(</errorWord>
      <group>L1_Format</group>
      <groupName>格式问题</groupName>
      <ability>L2_HalfPunc</ability>
      <abilityName>全半角检查</abilityName>
      <candidateList>
        <item>（</item>
      </candidateList>
      <explain>文本全半角错误。</explain>
      <paraID>4E3523E0</paraID>
      <start>4</start>
      <end>5</end>
      <status>unmodified</status>
      <modifiedWord/>
      <trackRevisions>false</trackRevisions>
    </reviewItem>
    <reviewItem>
      <errorID>41823f9b-db19-440a-804c-bcc56f938c2a</errorID>
      <errorWord>)</errorWord>
      <group>L1_Format</group>
      <groupName>格式问题</groupName>
      <ability>L2_HalfPunc</ability>
      <abilityName>全半角检查</abilityName>
      <candidateList>
        <item>）</item>
      </candidateList>
      <explain>文本全半角错误。</explain>
      <paraID>4E3523E0</paraID>
      <start>10</start>
      <end>11</end>
      <status>unmodified</status>
      <modifiedWord/>
      <trackRevisions>false</trackRevisions>
    </reviewItem>
    <reviewItem>
      <errorID>7d25b709-3099-4b69-a1e3-d0a291359ebf</errorID>
      <errorWord>(</errorWord>
      <group>L1_Format</group>
      <groupName>格式问题</groupName>
      <ability>L2_HalfPunc</ability>
      <abilityName>全半角检查</abilityName>
      <candidateList>
        <item>（</item>
      </candidateList>
      <explain>文本全半角错误。</explain>
      <paraID>5FE85D0E</paraID>
      <start>4</start>
      <end>5</end>
      <status>unmodified</status>
      <modifiedWord/>
      <trackRevisions>false</trackRevisions>
    </reviewItem>
    <reviewItem>
      <errorID>296744d8-4d41-482a-af73-8af014ce6080</errorID>
      <errorWord>)</errorWord>
      <group>L1_Format</group>
      <groupName>格式问题</groupName>
      <ability>L2_HalfPunc</ability>
      <abilityName>全半角检查</abilityName>
      <candidateList>
        <item>）</item>
      </candidateList>
      <explain>文本全半角错误。</explain>
      <paraID>5FE85D0E</paraID>
      <start>13</start>
      <end>14</end>
      <status>unmodified</status>
      <modifiedWord/>
      <trackRevisions>false</trackRevisions>
    </reviewItem>
    <reviewItem>
      <errorID>1671c9d9-f974-4d77-b36c-ae65a8660684</errorID>
      <errorWord>(</errorWord>
      <group>L1_Format</group>
      <groupName>格式问题</groupName>
      <ability>L2_HalfPunc</ability>
      <abilityName>全半角检查</abilityName>
      <candidateList>
        <item>（</item>
      </candidateList>
      <explain>文本全半角错误。</explain>
      <paraID>5EF49D47</paraID>
      <start>4</start>
      <end>5</end>
      <status>unmodified</status>
      <modifiedWord/>
      <trackRevisions>false</trackRevisions>
    </reviewItem>
    <reviewItem>
      <errorID>ef6d3220-823a-4d4e-a337-a763b860c591</errorID>
      <errorWord>)</errorWord>
      <group>L1_Format</group>
      <groupName>格式问题</groupName>
      <ability>L2_HalfPunc</ability>
      <abilityName>全半角检查</abilityName>
      <candidateList>
        <item>）</item>
      </candidateList>
      <explain>文本全半角错误。</explain>
      <paraID>5EF49D47</paraID>
      <start>10</start>
      <end>11</end>
      <status>unmodified</status>
      <modifiedWord/>
      <trackRevisions>false</trackRevisions>
    </reviewItem>
    <reviewItem>
      <errorID>c90bcf98-fa33-4d29-92ae-1a4f9a0c7735</errorID>
      <errorWord>(</errorWord>
      <group>L1_Format</group>
      <groupName>格式问题</groupName>
      <ability>L2_HalfPunc</ability>
      <abilityName>全半角检查</abilityName>
      <candidateList>
        <item>（</item>
      </candidateList>
      <explain>文本全半角错误。</explain>
      <paraID>10A64DD0</paraID>
      <start>8</start>
      <end>9</end>
      <status>unmodified</status>
      <modifiedWord/>
      <trackRevisions>false</trackRevisions>
    </reviewItem>
    <reviewItem>
      <errorID>aa6aa8ed-1c34-4462-912f-5c35aecd04f6</errorID>
      <errorWord>)</errorWord>
      <group>L1_Format</group>
      <groupName>格式问题</groupName>
      <ability>L2_HalfPunc</ability>
      <abilityName>全半角检查</abilityName>
      <candidateList>
        <item>）</item>
      </candidateList>
      <explain>文本全半角错误。</explain>
      <paraID>10A64DD0</paraID>
      <start>14</start>
      <end>15</end>
      <status>unmodified</status>
      <modifiedWord/>
      <trackRevisions>false</trackRevisions>
    </reviewItem>
    <reviewItem>
      <errorID>6ae95874-ab33-4e69-ab6f-1de8bc95b75f</errorID>
      <errorWord>(</errorWord>
      <group>L1_Format</group>
      <groupName>格式问题</groupName>
      <ability>L2_HalfPunc</ability>
      <abilityName>全半角检查</abilityName>
      <candidateList>
        <item>（</item>
      </candidateList>
      <explain>文本全半角错误。</explain>
      <paraID>4DDE632A</paraID>
      <start>4</start>
      <end>5</end>
      <status>unmodified</status>
      <modifiedWord/>
      <trackRevisions>false</trackRevisions>
    </reviewItem>
    <reviewItem>
      <errorID>d8b0b4dc-3a92-4994-9e43-e79f2c6d54b2</errorID>
      <errorWord>)</errorWord>
      <group>L1_Format</group>
      <groupName>格式问题</groupName>
      <ability>L2_HalfPunc</ability>
      <abilityName>全半角检查</abilityName>
      <candidateList>
        <item>）</item>
      </candidateList>
      <explain>文本全半角错误。</explain>
      <paraID>4DDE632A</paraID>
      <start>10</start>
      <end>11</end>
      <status>unmodified</status>
      <modifiedWord/>
      <trackRevisions>false</trackRevisions>
    </reviewItem>
    <reviewItem>
      <errorID>d3c50999-3e51-4dba-a4a1-7aa03645b833</errorID>
      <errorWord>(</errorWord>
      <group>L1_Format</group>
      <groupName>格式问题</groupName>
      <ability>L2_HalfPunc</ability>
      <abilityName>全半角检查</abilityName>
      <candidateList>
        <item>（</item>
      </candidateList>
      <explain>文本全半角错误。</explain>
      <paraID>737E1B6C</paraID>
      <start>4</start>
      <end>5</end>
      <status>unmodified</status>
      <modifiedWord/>
      <trackRevisions>false</trackRevisions>
    </reviewItem>
    <reviewItem>
      <errorID>e1a1ce6d-15cc-40a5-ac47-145c163fbe20</errorID>
      <errorWord>)</errorWord>
      <group>L1_Format</group>
      <groupName>格式问题</groupName>
      <ability>L2_HalfPunc</ability>
      <abilityName>全半角检查</abilityName>
      <candidateList>
        <item>）</item>
      </candidateList>
      <explain>文本全半角错误。</explain>
      <paraID>737E1B6C</paraID>
      <start>11</start>
      <end>12</end>
      <status>unmodified</status>
      <modifiedWord/>
      <trackRevisions>false</trackRevisions>
    </reviewItem>
    <reviewItem>
      <errorID>9f479408-90fc-4483-89ff-09905e15e799</errorID>
      <errorWord>，</errorWord>
      <group>L1_Format</group>
      <groupName>格式问题</groupName>
      <ability>L2_HalfPunc</ability>
      <abilityName>全半角检查</abilityName>
      <candidateList>
        <item>,</item>
      </candidateList>
      <explain>文本全半角错误。</explain>
      <paraID>1EF7450A</paraID>
      <start>3</start>
      <end>4</end>
      <status>unmodified</status>
      <modifiedWord/>
      <trackRevisions>false</trackRevisions>
    </reviewItem>
    <reviewItem>
      <errorID>5b857246-9909-4791-9c21-6e83f3c5763a</errorID>
      <errorWord>、及</errorWord>
      <group>L1_Other</group>
      <groupName>其他问题</groupName>
      <ability>L2_UserTypo</ability>
      <abilityName>自定义错误</abilityName>
      <candidateList>
        <item>及</item>
      </candidateList>
      <explain>来自自定义错词库。</explain>
      <paraID>57561F8E</paraID>
      <start>46</start>
      <end>48</end>
      <status>unmodified</status>
      <modifiedWord/>
      <trackRevisions>false</trackRevisions>
    </reviewItem>
    <reviewItem>
      <errorID>583e9f32-3c3b-4942-a93e-b51012d1dd53</errorID>
      <errorWord>(</errorWord>
      <group>L1_Format</group>
      <groupName>格式问题</groupName>
      <ability>L2_HalfPunc</ability>
      <abilityName>全半角检查</abilityName>
      <candidateList>
        <item>（</item>
      </candidateList>
      <explain>文本全半角错误。</explain>
      <paraID>33CBF679</paraID>
      <start>4</start>
      <end>5</end>
      <status>unmodified</status>
      <modifiedWord/>
      <trackRevisions>false</trackRevisions>
    </reviewItem>
    <reviewItem>
      <errorID>f484cdc5-0529-4a75-9d4a-034143535fbe</errorID>
      <errorWord>)</errorWord>
      <group>L1_Format</group>
      <groupName>格式问题</groupName>
      <ability>L2_HalfPunc</ability>
      <abilityName>全半角检查</abilityName>
      <candidateList>
        <item>）</item>
      </candidateList>
      <explain>文本全半角错误。</explain>
      <paraID>33CBF679</paraID>
      <start>10</start>
      <end>11</end>
      <status>unmodified</status>
      <modifiedWord/>
      <trackRevisions>false</trackRevisions>
    </reviewItem>
    <reviewItem>
      <errorID>7b2e501b-f08e-4411-9019-081c816b8abe</errorID>
      <errorWord>(</errorWord>
      <group>L1_Format</group>
      <groupName>格式问题</groupName>
      <ability>L2_HalfPunc</ability>
      <abilityName>全半角检查</abilityName>
      <candidateList>
        <item>（</item>
      </candidateList>
      <explain>文本全半角错误。</explain>
      <paraID>3AE7E813</paraID>
      <start>4</start>
      <end>5</end>
      <status>unmodified</status>
      <modifiedWord/>
      <trackRevisions>false</trackRevisions>
    </reviewItem>
    <reviewItem>
      <errorID>a6e98078-2a81-46db-8211-b924811e9a07</errorID>
      <errorWord>)</errorWord>
      <group>L1_Format</group>
      <groupName>格式问题</groupName>
      <ability>L2_HalfPunc</ability>
      <abilityName>全半角检查</abilityName>
      <candidateList>
        <item>）</item>
      </candidateList>
      <explain>文本全半角错误。</explain>
      <paraID>3AE7E813</paraID>
      <start>13</start>
      <end>14</end>
      <status>unmodified</status>
      <modifiedWord/>
      <trackRevisions>false</trackRevisions>
    </reviewItem>
    <reviewItem>
      <errorID>bc00ae69-5dbd-472f-a7ce-5eb3c98c628a</errorID>
      <errorWord>(</errorWord>
      <group>L1_Format</group>
      <groupName>格式问题</groupName>
      <ability>L2_HalfPunc</ability>
      <abilityName>全半角检查</abilityName>
      <candidateList>
        <item>（</item>
      </candidateList>
      <explain>文本全半角错误。</explain>
      <paraID>521483B1</paraID>
      <start>4</start>
      <end>5</end>
      <status>unmodified</status>
      <modifiedWord/>
      <trackRevisions>false</trackRevisions>
    </reviewItem>
    <reviewItem>
      <errorID>f081799e-6c16-47d5-a0aa-d71bad0ca393</errorID>
      <errorWord>)</errorWord>
      <group>L1_Format</group>
      <groupName>格式问题</groupName>
      <ability>L2_HalfPunc</ability>
      <abilityName>全半角检查</abilityName>
      <candidateList>
        <item>）</item>
      </candidateList>
      <explain>文本全半角错误。</explain>
      <paraID>521483B1</paraID>
      <start>10</start>
      <end>11</end>
      <status>unmodified</status>
      <modifiedWord/>
      <trackRevisions>false</trackRevisions>
    </reviewItem>
    <reviewItem>
      <errorID>41b5d954-57bc-49b6-8301-f7b706008189</errorID>
      <errorWord>～</errorWord>
      <group>L1_Format</group>
      <groupName>格式问题</groupName>
      <ability>L2_HalfPunc</ability>
      <abilityName>全半角检查</abilityName>
      <candidateList>
        <item>~</item>
      </candidateList>
      <explain>文本全半角错误。</explain>
      <paraID>48E1FBE1</paraID>
      <start>3</start>
      <end>4</end>
      <status>unmodified</status>
      <modifiedWord/>
      <trackRevisions>false</trackRevisions>
    </reviewItem>
    <reviewItem>
      <errorID>5d2a612d-4313-484e-a773-7151d8ea0148</errorID>
      <errorWord>（</errorWord>
      <group>L1_Format</group>
      <groupName>格式问题</groupName>
      <ability>L2_HalfPunc</ability>
      <abilityName>全半角检查</abilityName>
      <candidateList>
        <item>(</item>
      </candidateList>
      <explain>文本全半角错误。</explain>
      <paraID>203FB64C</paraID>
      <start>0</start>
      <end>1</end>
      <status>unmodified</status>
      <modifiedWord/>
      <trackRevisions>false</trackRevisions>
    </reviewItem>
    <reviewItem>
      <errorID>66ac64ee-ccb1-4465-b276-61a62035c110</errorID>
      <errorWord>）</errorWord>
      <group>L1_Format</group>
      <groupName>格式问题</groupName>
      <ability>L2_HalfPunc</ability>
      <abilityName>全半角检查</abilityName>
      <candidateList>
        <item>)</item>
      </candidateList>
      <explain>文本全半角错误。</explain>
      <paraID>203FB64C</paraID>
      <start>2</start>
      <end>3</end>
      <status>unmodified</status>
      <modifiedWord/>
      <trackRevisions>false</trackRevisions>
    </reviewItem>
    <reviewItem>
      <errorID>b2fae950-480e-4e8c-9a1b-8db97aab77f9</errorID>
      <errorWord>（）</errorWord>
      <group>L1_Format</group>
      <groupName>格式问题</groupName>
      <ability>L2_HalfPunc</ability>
      <abilityName>全半角检查</abilityName>
      <candidateList>
        <item>()</item>
      </candidateList>
      <explain>文本全半角错误。</explain>
      <paraID> 3296660</paraID>
      <start>4</start>
      <end>6</end>
      <status>unmodified</status>
      <modifiedWord/>
      <trackRevisions>false</trackRevisions>
    </reviewItem>
    <reviewItem>
      <errorID>4ca6030a-d186-4a14-88a7-0e7d34c7293b</errorID>
      <errorWord>（）</errorWord>
      <group>L1_Format</group>
      <groupName>格式问题</groupName>
      <ability>L2_HalfPunc</ability>
      <abilityName>全半角检查</abilityName>
      <candidateList>
        <item>()</item>
      </candidateList>
      <explain>文本全半角错误。</explain>
      <paraID>6B3BEBA5</paraID>
      <start>4</start>
      <end>6</end>
      <status>unmodified</status>
      <modifiedWord/>
      <trackRevisions>false</trackRevisions>
    </reviewItem>
    <reviewItem>
      <errorID>c8ad9fd3-0725-4b75-b94c-db95878f0fd6</errorID>
      <errorWord>:</errorWord>
      <group>L1_Format</group>
      <groupName>格式问题</groupName>
      <ability>L2_HalfPunc</ability>
      <abilityName>全半角检查</abilityName>
      <candidateList>
        <item>：</item>
      </candidateList>
      <explain>文本全半角错误。</explain>
      <paraID>17412758</paraID>
      <start>3</start>
      <end>4</end>
      <status>unmodified</status>
      <modifiedWord/>
      <trackRevisions>false</trackRevisions>
    </reviewItem>
    <reviewItem>
      <errorID>4b0f2541-b525-45aa-b460-59b3aad28bdd</errorID>
      <errorWord>（</errorWord>
      <group>L1_Format</group>
      <groupName>格式问题</groupName>
      <ability>L2_HalfPunc</ability>
      <abilityName>全半角检查</abilityName>
      <candidateList>
        <item>(</item>
      </candidateList>
      <explain>文本全半角错误。</explain>
      <paraID> C9D1DC8</paraID>
      <start>5</start>
      <end>6</end>
      <status>unmodified</status>
      <modifiedWord/>
      <trackRevisions>false</trackRevisions>
    </reviewItem>
    <reviewItem>
      <errorID>5c567425-2f48-4c8e-bb2d-c9843a0063f8</errorID>
      <errorWord>）</errorWord>
      <group>L1_Format</group>
      <groupName>格式问题</groupName>
      <ability>L2_HalfPunc</ability>
      <abilityName>全半角检查</abilityName>
      <candidateList>
        <item>)</item>
      </candidateList>
      <explain>文本全半角错误。</explain>
      <paraID> C9D1DC8</paraID>
      <start>7</start>
      <end>8</end>
      <status>unmodified</status>
      <modifiedWord/>
      <trackRevisions>false</trackRevisions>
    </reviewItem>
    <reviewItem>
      <errorID>1e013e50-3466-4b27-bc99-e55a73891ec0</errorID>
      <errorWord>室内、外</errorWord>
      <group>L1_Punc</group>
      <groupName>标点问题</groupName>
      <ability>L2_Punc</ability>
      <abilityName>标点符号检查</abilityName>
      <candidateList>
        <item>室内外</item>
      </candidateList>
      <explain/>
      <paraID>24DBED7F</paraID>
      <start>0</start>
      <end>4</end>
      <status>unmodified</status>
      <modifiedWord/>
      <trackRevisions>false</trackRevisions>
    </reviewItem>
    <reviewItem>
      <errorID>116608d8-13a6-4643-9df2-91ed85d27888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1768144E</paraID>
      <start>0</start>
      <end>2</end>
      <status>unmodified</status>
      <modifiedWord/>
      <trackRevisions>false</trackRevisions>
    </reviewItem>
    <reviewItem>
      <errorID>c73c7901-b0d9-4508-a259-7cc5d315a282</errorID>
      <errorWord>：</errorWord>
      <group>L1_Format</group>
      <groupName>格式问题</groupName>
      <ability>L2_HalfPunc</ability>
      <abilityName>全半角检查</abilityName>
      <candidateList>
        <item>:</item>
      </candidateList>
      <explain>文本全半角错误。</explain>
      <paraID>7962D077</paraID>
      <start>154</start>
      <end>155</end>
      <status>unmodified</status>
      <modifiedWord/>
      <trackRevisions>false</trackRevisions>
    </reviewItem>
    <reviewItem>
      <errorID>24a668f1-5c79-4638-af8f-2888eeffd22a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34CA0822</paraID>
      <start>0</start>
      <end>2</end>
      <status>unmodified</status>
      <modifiedWord/>
      <trackRevisions>false</trackRevisions>
    </reviewItem>
    <reviewItem>
      <errorID>9497c2c9-97f8-43fe-81b2-2b7b4a423d2e</errorID>
      <errorWord>~</errorWord>
      <group>L1_Format</group>
      <groupName>格式问题</groupName>
      <ability>L2_HalfPunc</ability>
      <abilityName>全半角检查</abilityName>
      <candidateList>
        <item>～</item>
      </candidateList>
      <explain>文本全半角错误。</explain>
      <paraID>7DAF9AFF</paraID>
      <start>115</start>
      <end>116</end>
      <status>unmodified</status>
      <modifiedWord/>
      <trackRevisions>false</trackRevisions>
    </reviewItem>
    <reviewItem>
      <errorID>64ac685c-af49-4735-831c-5d5f4c369459</errorID>
      <errorWord>~</errorWord>
      <group>L1_Format</group>
      <groupName>格式问题</groupName>
      <ability>L2_HalfPunc</ability>
      <abilityName>全半角检查</abilityName>
      <candidateList>
        <item>～</item>
      </candidateList>
      <explain>文本全半角错误。</explain>
      <paraID>7DAF9AFF</paraID>
      <start>214</start>
      <end>215</end>
      <status>unmodified</status>
      <modifiedWord/>
      <trackRevisions>false</trackRevisions>
    </reviewItem>
    <reviewItem>
      <errorID>42a28334-77b0-410e-8ff4-2d9cb3402f91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6B013045</paraID>
      <start>0</start>
      <end>2</end>
      <status>unmodified</status>
      <modifiedWord/>
      <trackRevisions>false</trackRevisions>
    </reviewItem>
    <reviewItem>
      <errorID>bcb2624e-2844-44e1-86f6-feff8836a6fe</errorID>
      <errorWord>（/</errorWord>
      <group>L1_Punc</group>
      <groupName>标点问题</groupName>
      <ability>L2_Punc</ability>
      <abilityName>标点符号检查</abilityName>
      <candidateList>
        <item>（</item>
      </candidateList>
      <explain/>
      <paraID>68E8CFD1</paraID>
      <start>0</start>
      <end>2</end>
      <status>unmodified</status>
      <modifiedWord/>
      <trackRevisions>false</trackRevisions>
    </reviewItem>
    <reviewItem>
      <errorID>94d7b065-9bb5-4bcc-91b4-eea6c74cc1cc</errorID>
      <errorWord>（/</errorWord>
      <group>L1_Punc</group>
      <groupName>标点问题</groupName>
      <ability>L2_Punc</ability>
      <abilityName>标点符号检查</abilityName>
      <candidateList>
        <item>（</item>
      </candidateList>
      <explain/>
      <paraID>735C786B</paraID>
      <start>26</start>
      <end>28</end>
      <status>unmodified</status>
      <modifiedWord/>
      <trackRevisions>false</trackRevisions>
    </reviewItem>
    <reviewItem>
      <errorID>91cc610b-fcf6-4af4-bf5a-613191ea66b6</errorID>
      <errorWord>（/</errorWord>
      <group>L1_Punc</group>
      <groupName>标点问题</groupName>
      <ability>L2_Punc</ability>
      <abilityName>标点符号检查</abilityName>
      <candidateList>
        <item>（</item>
      </candidateList>
      <explain/>
      <paraID> AE81E01</paraID>
      <start>0</start>
      <end>2</end>
      <status>unmodified</status>
      <modifiedWord/>
      <trackRevisions>false</trackRevisions>
    </reviewItem>
    <reviewItem>
      <errorID>f6586ae4-bfb7-4f22-b5e4-1524669dc789</errorID>
      <errorWord>（/</errorWord>
      <group>L1_Punc</group>
      <groupName>标点问题</groupName>
      <ability>L2_Punc</ability>
      <abilityName>标点符号检查</abilityName>
      <candidateList>
        <item>（</item>
      </candidateList>
      <explain/>
      <paraID>40351CEC</paraID>
      <start>7</start>
      <end>9</end>
      <status>unmodified</status>
      <modifiedWord/>
      <trackRevisions>false</trackRevisions>
    </reviewItem>
    <reviewItem>
      <errorID>4c1d7009-9359-42a2-9bec-4bae43ae7c82</errorID>
      <errorWord>测</errorWord>
      <group>L1_Word</group>
      <groupName>字词问题</groupName>
      <ability>L2_Typo</ability>
      <abilityName>字词错误</abilityName>
      <candidateList>
        <item>的</item>
      </candidateList>
      <explain>“的”常用于连接修饰语与名词性中心语，表示属性、所属或描述。</explain>
      <paraID>13096AEA</paraID>
      <start>0</start>
      <end>1</end>
      <status>unmodified</status>
      <modifiedWord/>
      <trackRevisions>false</trackRevisions>
    </reviewItem>
    <reviewItem>
      <errorID>d4501bea-6d70-4fe1-8385-9b3179b5b9ff</errorID>
      <errorWord>（/</errorWord>
      <group>L1_Punc</group>
      <groupName>标点问题</groupName>
      <ability>L2_Punc</ability>
      <abilityName>标点符号检查</abilityName>
      <candidateList>
        <item>（</item>
      </candidateList>
      <explain/>
      <paraID>4B5A8942</paraID>
      <start>24</start>
      <end>26</end>
      <status>unmodified</status>
      <modifiedWord/>
      <trackRevisions>false</trackRevisions>
    </reviewItem>
    <reviewItem>
      <errorID>49ed49bf-7313-47cf-befd-368c345dc3d1</errorID>
      <errorWord>（/</errorWord>
      <group>L1_Punc</group>
      <groupName>标点问题</groupName>
      <ability>L2_Punc</ability>
      <abilityName>标点符号检查</abilityName>
      <candidateList>
        <item>（</item>
      </candidateList>
      <explain/>
      <paraID>4EF3D60E</paraID>
      <start>0</start>
      <end>2</end>
      <status>unmodified</status>
      <modifiedWord/>
      <trackRevisions>false</trackRevisions>
    </reviewItem>
    <reviewItem>
      <errorID>4d571844-165d-439f-a0c1-ec8a5b1ddeb2</errorID>
      <errorWord>（/</errorWord>
      <group>L1_Punc</group>
      <groupName>标点问题</groupName>
      <ability>L2_Punc</ability>
      <abilityName>标点符号检查</abilityName>
      <candidateList>
        <item>（</item>
      </candidateList>
      <explain/>
      <paraID>353AFBA3</paraID>
      <start>0</start>
      <end>2</end>
      <status>unmodified</status>
      <modifiedWord/>
      <trackRevisions>false</trackRevisions>
    </reviewItem>
    <reviewItem>
      <errorID>baac4480-b411-4aca-a28c-76e3cf3346a9</errorID>
      <errorWord>（/</errorWord>
      <group>L1_Punc</group>
      <groupName>标点问题</groupName>
      <ability>L2_Punc</ability>
      <abilityName>标点符号检查</abilityName>
      <candidateList>
        <item>（</item>
      </candidateList>
      <explain/>
      <paraID>12034740</paraID>
      <start>0</start>
      <end>2</end>
      <status>unmodified</status>
      <modifiedWord/>
      <trackRevisions>false</trackRevisions>
    </reviewItem>
    <reviewItem>
      <errorID>4498f45a-8283-4a98-ab44-9f7d500d2065</errorID>
      <errorWord>（/</errorWord>
      <group>L1_Punc</group>
      <groupName>标点问题</groupName>
      <ability>L2_Punc</ability>
      <abilityName>标点符号检查</abilityName>
      <candidateList>
        <item>（</item>
      </candidateList>
      <explain/>
      <paraID>288C64A5</paraID>
      <start>0</start>
      <end>2</end>
      <status>unmodified</status>
      <modifiedWord/>
      <trackRevisions>false</trackRevisions>
    </reviewItem>
    <reviewItem>
      <errorID>2925b9c9-86e5-4c5f-8e3c-9f46998068ef</errorID>
      <errorWord>（/</errorWord>
      <group>L1_Punc</group>
      <groupName>标点问题</groupName>
      <ability>L2_Punc</ability>
      <abilityName>标点符号检查</abilityName>
      <candidateList>
        <item>（</item>
      </candidateList>
      <explain/>
      <paraID>63835A15</paraID>
      <start>0</start>
      <end>2</end>
      <status>unmodified</status>
      <modifiedWord/>
      <trackRevisions>false</trackRevisions>
    </reviewItem>
    <reviewItem>
      <errorID>db91ec0e-0114-48ad-a422-54afefd7a21f</errorID>
      <errorWord>（/</errorWord>
      <group>L1_Punc</group>
      <groupName>标点问题</groupName>
      <ability>L2_Punc</ability>
      <abilityName>标点符号检查</abilityName>
      <candidateList>
        <item>（</item>
      </candidateList>
      <explain/>
      <paraID>402F3375</paraID>
      <start>0</start>
      <end>2</end>
      <status>unmodified</status>
      <modifiedWord/>
      <trackRevisions>false</trackRevisions>
    </reviewItem>
    <reviewItem>
      <errorID>e1573b91-3496-4a42-a7d6-6ffd9ea15ba5</errorID>
      <errorWord>（/</errorWord>
      <group>L1_Punc</group>
      <groupName>标点问题</groupName>
      <ability>L2_Punc</ability>
      <abilityName>标点符号检查</abilityName>
      <candidateList>
        <item>（</item>
      </candidateList>
      <explain/>
      <paraID>5CFDE963</paraID>
      <start>0</start>
      <end>2</end>
      <status>unmodified</status>
      <modifiedWord/>
      <trackRevisions>false</trackRevisions>
    </reviewItem>
    <reviewItem>
      <errorID>a7e8bc19-658f-47c2-a6cd-2d9cb48a0bb2</errorID>
      <errorWord>（/</errorWord>
      <group>L1_Punc</group>
      <groupName>标点问题</groupName>
      <ability>L2_Punc</ability>
      <abilityName>标点符号检查</abilityName>
      <candidateList>
        <item>（</item>
      </candidateList>
      <explain/>
      <paraID>3BD9BA2D</paraID>
      <start>0</start>
      <end>2</end>
      <status>unmodified</status>
      <modifiedWord/>
      <trackRevisions>false</trackRevisions>
    </reviewItem>
    <reviewItem>
      <errorID>66115442-7bf8-4e85-8d98-e70afc22e020</errorID>
      <errorWord>（/</errorWord>
      <group>L1_Punc</group>
      <groupName>标点问题</groupName>
      <ability>L2_Punc</ability>
      <abilityName>标点符号检查</abilityName>
      <candidateList>
        <item>（</item>
      </candidateList>
      <explain/>
      <paraID>1799BEF2</paraID>
      <start>0</start>
      <end>2</end>
      <status>unmodified</status>
      <modifiedWord/>
      <trackRevisions>false</trackRevisions>
    </reviewItem>
    <reviewItem>
      <errorID>29f319ea-32e8-4837-8831-eb18cc68be25</errorID>
      <errorWord>（/</errorWord>
      <group>L1_Punc</group>
      <groupName>标点问题</groupName>
      <ability>L2_Punc</ability>
      <abilityName>标点符号检查</abilityName>
      <candidateList>
        <item>（</item>
      </candidateList>
      <explain/>
      <paraID>5D448E38</paraID>
      <start>0</start>
      <end>2</end>
      <status>unmodified</status>
      <modifiedWord/>
      <trackRevisions>false</trackRevisions>
    </reviewItem>
    <reviewItem>
      <errorID>90e1d91b-f656-4de3-8149-27ac4b22abdd</errorID>
      <errorWord>（/</errorWord>
      <group>L1_Punc</group>
      <groupName>标点问题</groupName>
      <ability>L2_Punc</ability>
      <abilityName>标点符号检查</abilityName>
      <candidateList>
        <item>（</item>
      </candidateList>
      <explain/>
      <paraID>2796D7D0</paraID>
      <start>0</start>
      <end>2</end>
      <status>unmodified</status>
      <modifiedWord/>
      <trackRevisions>false</trackRevisions>
    </reviewItem>
    <reviewItem>
      <errorID>40146404-ece3-4e55-9d30-b9a455500699</errorID>
      <errorWord>（/</errorWord>
      <group>L1_Punc</group>
      <groupName>标点问题</groupName>
      <ability>L2_Punc</ability>
      <abilityName>标点符号检查</abilityName>
      <candidateList>
        <item>（</item>
      </candidateList>
      <explain/>
      <paraID> D8EC61D</paraID>
      <start>0</start>
      <end>2</end>
      <status>unmodified</status>
      <modifiedWord/>
      <trackRevisions>false</trackRevisions>
    </reviewItem>
    <reviewItem>
      <errorID>c1534440-d267-44b1-9964-4119a11de374</errorID>
      <errorWord>，其</errorWord>
      <group>L1_Word</group>
      <groupName>字词问题</groupName>
      <ability>L2_Typo</ability>
      <abilityName>字词错误</abilityName>
      <candidateList>
        <item>，</item>
      </candidateList>
      <explain/>
      <paraID>5029E22B</paraID>
      <start>34</start>
      <end>36</end>
      <status>unmodified</status>
      <modifiedWord/>
      <trackRevisions>false</trackRevisions>
    </reviewItem>
    <reviewItem>
      <errorID>5518e688-19c2-40f9-a0d1-1aba62cd0825</errorID>
      <errorWord>-</errorWord>
      <group>L1_Format</group>
      <groupName>格式问题</groupName>
      <ability>L2_HalfPunc</ability>
      <abilityName>全半角检查</abilityName>
      <candidateList>
        <item>－</item>
      </candidateList>
      <explain>文本全半角错误。</explain>
      <paraID>375252AD</paraID>
      <start>108</start>
      <end>109</end>
      <status>unmodified</status>
      <modifiedWord/>
      <trackRevisions>false</trackRevisions>
    </reviewItem>
    <reviewItem>
      <errorID>3525e791-03b7-4724-ba26-f6aebeb146dc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7D24C306</paraID>
      <start>98</start>
      <end>99</end>
      <status>unmodified</status>
      <modifiedWord/>
      <trackRevisions>false</trackRevisions>
    </reviewItem>
    <reviewItem>
      <errorID>e75e1afc-5a44-4818-b8c3-d8bb8ebe9c31</errorID>
      <errorWord>-</errorWord>
      <group>L1_Format</group>
      <groupName>格式问题</groupName>
      <ability>L2_HalfPunc</ability>
      <abilityName>全半角检查</abilityName>
      <candidateList>
        <item>－</item>
      </candidateList>
      <explain>文本全半角错误。</explain>
      <paraID>55B98B4C</paraID>
      <start>64</start>
      <end>65</end>
      <status>unmodified</status>
      <modifiedWord/>
      <trackRevisions>false</trackRevisions>
    </reviewItem>
    <reviewItem>
      <errorID>3fa4dbb8-7ed6-469d-9500-f480dfd9808c</errorID>
      <errorWord>(</errorWord>
      <group>L1_Format</group>
      <groupName>格式问题</groupName>
      <ability>L2_HalfPunc</ability>
      <abilityName>全半角检查</abilityName>
      <candidateList>
        <item>（</item>
      </candidateList>
      <explain>文本全半角错误。</explain>
      <paraID>3942A742</paraID>
      <start>35</start>
      <end>36</end>
      <status>unmodified</status>
      <modifiedWord/>
      <trackRevisions>false</trackRevisions>
    </reviewItem>
    <reviewItem>
      <errorID>9e48ed20-b69e-43d7-9e84-6c77c9d95462</errorID>
      <errorWord>)</errorWord>
      <group>L1_Format</group>
      <groupName>格式问题</groupName>
      <ability>L2_HalfPunc</ability>
      <abilityName>全半角检查</abilityName>
      <candidateList>
        <item>）</item>
      </candidateList>
      <explain>文本全半角错误。</explain>
      <paraID>3942A742</paraID>
      <start>39</start>
      <end>40</end>
      <status>unmodified</status>
      <modifiedWord/>
      <trackRevisions>false</trackRevisions>
    </reviewItem>
    <reviewItem>
      <errorID>e32d79a3-1371-4c41-9f25-40052e79cfa0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131E1372</paraID>
      <start>0</start>
      <end>2</end>
      <status>unmodified</status>
      <modifiedWord/>
      <trackRevisions>false</trackRevisions>
    </reviewItem>
    <reviewItem>
      <errorID>b087767f-4926-4a7e-8a4b-0cb79fe37ef2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6510E867</paraID>
      <start>0</start>
      <end>2</end>
      <status>unmodified</status>
      <modifiedWord/>
      <trackRevisions>false</trackRevisions>
    </reviewItem>
    <reviewItem>
      <errorID>66308b00-1710-41fa-836e-1519d655b578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72790607</paraID>
      <start>34</start>
      <end>35</end>
      <status>unmodified</status>
      <modifiedWord/>
      <trackRevisions>false</trackRevisions>
    </reviewItem>
    <reviewItem>
      <errorID>2b5b2722-2189-4033-bc51-9820dd1037b7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37FD761F</paraID>
      <start>0</start>
      <end>2</end>
      <status>unmodified</status>
      <modifiedWord/>
      <trackRevisions>false</trackRevisions>
    </reviewItem>
    <reviewItem>
      <errorID>c84d9049-615e-43aa-a491-58b01f47c347</errorID>
      <errorWord>是由于污染物迁移穿过包气带进入含水层造成</errorWord>
      <group>L1_Grammar</group>
      <groupName>语法问题</groupName>
      <ability>L2_Grammar</ability>
      <abilityName>语法错误</abilityName>
      <candidateList>
        <item>是由于污染物迁移穿过包气带进入含水层</item>
      </candidateList>
      <explain>该表达中的“是由于污染物迁移穿过包气带进入含水层造成”存在语义重复。</explain>
      <paraID>3A6106EC</paraID>
      <start>20</start>
      <end>40</end>
      <status>unmodified</status>
      <modifiedWord/>
      <trackRevisions>false</trackRevisions>
    </reviewItem>
    <reviewItem>
      <errorID>9e9e7de4-fbb9-4d97-ac4a-6292fe0057fd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3802C979</paraID>
      <start>26</start>
      <end>27</end>
      <status>unmodified</status>
      <modifiedWord/>
      <trackRevisions>false</trackRevisions>
    </reviewItem>
    <reviewItem>
      <errorID>9631800c-1e27-42b8-a3a8-df823963bbef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3802C979</paraID>
      <start>185</start>
      <end>186</end>
      <status>unmodified</status>
      <modifiedWord/>
      <trackRevisions>false</trackRevisions>
    </reviewItem>
    <reviewItem>
      <errorID>23c82e3c-86bf-4d7d-81f3-5d024833c803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4A97F16F</paraID>
      <start>28</start>
      <end>29</end>
      <status>unmodified</status>
      <modifiedWord/>
      <trackRevisions>false</trackRevisions>
    </reviewItem>
    <reviewItem>
      <errorID>7e4fd0a5-9d13-4a97-a1db-69e1a4c9a529</errorID>
      <errorWord>~</errorWord>
      <group>L1_Format</group>
      <groupName>格式问题</groupName>
      <ability>L2_HalfPunc</ability>
      <abilityName>全半角检查</abilityName>
      <candidateList>
        <item>～</item>
      </candidateList>
      <explain>文本全半角错误。</explain>
      <paraID>1352CDA3</paraID>
      <start>72</start>
      <end>73</end>
      <status>unmodified</status>
      <modifiedWord/>
      <trackRevisions>false</trackRevisions>
    </reviewItem>
    <reviewItem>
      <errorID>278c5436-3663-48eb-ae79-389e997f808f</errorID>
      <errorWord>-</errorWord>
      <group>L1_Format</group>
      <groupName>格式问题</groupName>
      <ability>L2_HalfPunc</ability>
      <abilityName>全半角检查</abilityName>
      <candidateList>
        <item>－</item>
      </candidateList>
      <explain>文本全半角错误。</explain>
      <paraID>22C5B16F</paraID>
      <start>82</start>
      <end>83</end>
      <status>unmodified</status>
      <modifiedWord/>
      <trackRevisions>false</trackRevisions>
    </reviewItem>
    <reviewItem>
      <errorID>d6f1416b-7fa6-48b0-98b4-d763d2cfcc03</errorID>
      <errorWord>-</errorWord>
      <group>L1_Format</group>
      <groupName>格式问题</groupName>
      <ability>L2_HalfPunc</ability>
      <abilityName>全半角检查</abilityName>
      <candidateList>
        <item>－</item>
      </candidateList>
      <explain>文本全半角错误。</explain>
      <paraID>22C5B16F</paraID>
      <start>107</start>
      <end>108</end>
      <status>unmodified</status>
      <modifiedWord/>
      <trackRevisions>false</trackRevisions>
    </reviewItem>
    <reviewItem>
      <errorID>c06e74a0-5eeb-4e0e-9abd-3fe1811587ec</errorID>
      <errorWord>且在</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1EC0A941</paraID>
      <start>92</start>
      <end>94</end>
      <status>unmodified</status>
      <modifiedWord/>
      <trackRevisions>false</trackRevisions>
    </reviewItem>
    <reviewItem>
      <errorID>afa1e283-654b-4cb2-94d8-3f89d0f67591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1EC0A941</paraID>
      <start>208</start>
      <end>209</end>
      <status>unmodified</status>
      <modifiedWord/>
      <trackRevisions>false</trackRevisions>
    </reviewItem>
    <reviewItem>
      <errorID>61f98b35-1a15-46a9-9e92-ccbcea3a5a70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4DB8B12A</paraID>
      <start>0</start>
      <end>2</end>
      <status>unmodified</status>
      <modifiedWord/>
      <trackRevisions>false</trackRevisions>
    </reviewItem>
    <reviewItem>
      <errorID>5db8255f-6130-4cee-ad6c-59f163c6553a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4C5999E6</paraID>
      <start>0</start>
      <end>2</end>
      <status>unmodified</status>
      <modifiedWord/>
      <trackRevisions>false</trackRevisions>
    </reviewItem>
    <reviewItem>
      <errorID>675cafb4-8849-48cd-8d46-2271eaa8b58c</errorID>
      <errorWord>其它建筑物</errorWord>
      <group>L1_Word</group>
      <groupName>字词问题</groupName>
      <ability>L2_Alias</ability>
      <abilityName>也作/曾用词</abilityName>
      <candidateList>
        <item>其他建筑物</item>
      </candidateList>
      <explain>词汇[其它建筑物]为不规范表述或旧称，其规范书面表述为[其他建筑物]。</explain>
      <paraID>1C7D8DEC</paraID>
      <start>55</start>
      <end>60</end>
      <status>unmodified</status>
      <modifiedWord/>
      <trackRevisions>false</trackRevisions>
    </reviewItem>
    <reviewItem>
      <errorID>c36203d2-b1fb-49ee-8587-c97ca9f7f2f1</errorID>
      <errorWord>其它</errorWord>
      <group>L1_Word</group>
      <groupName>字词问题</groupName>
      <ability>L2_Alias</ability>
      <abilityName>也作/曾用词</abilityName>
      <candidateList>
        <item>其他</item>
      </candidateList>
      <explain>词汇[其它]为不规范表述或旧称，其规范书面表述为[其他]。</explain>
      <paraID>1C7D8DEC</paraID>
      <start>92</start>
      <end>94</end>
      <status>unmodified</status>
      <modifiedWord/>
      <trackRevisions>false</trackRevisions>
    </reviewItem>
    <reviewItem>
      <errorID>2fdbc907-0140-4034-adad-3480efacee83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333D1AD1</paraID>
      <start>0</start>
      <end>2</end>
      <status>unmodified</status>
      <modifiedWord/>
      <trackRevisions>false</trackRevisions>
    </reviewItem>
    <reviewItem>
      <errorID>4f51cc70-990e-482f-a9ca-885291be326c</errorID>
      <errorWord>场</errorWord>
      <group>L1_Word</group>
      <groupName>字词问题</groupName>
      <ability>L2_Typo</ability>
      <abilityName>字词错误</abilityName>
      <candidateList>
        <item>厂</item>
      </candidateList>
      <explain/>
      <paraID> C28848E</paraID>
      <start>104</start>
      <end>105</end>
      <status>unmodified</status>
      <modifiedWord/>
      <trackRevisions>false</trackRevisions>
    </reviewItem>
    <reviewItem>
      <errorID>334e27d5-9831-4e31-a79d-42f4c52e2f3a</errorID>
      <errorWord>（</errorWord>
      <group>L1_Format</group>
      <groupName>格式问题</groupName>
      <ability>L2_HalfPunc</ability>
      <abilityName>全半角检查</abilityName>
      <candidateList>
        <item>(</item>
      </candidateList>
      <explain>文本全半角错误。</explain>
      <paraID>23021553</paraID>
      <start>2</start>
      <end>3</end>
      <status>unmodified</status>
      <modifiedWord/>
      <trackRevisions>false</trackRevisions>
    </reviewItem>
    <reviewItem>
      <errorID>36411313-7723-4e24-ac7a-9d56439a10d6</errorID>
      <errorWord>）</errorWord>
      <group>L1_Format</group>
      <groupName>格式问题</groupName>
      <ability>L2_HalfPunc</ability>
      <abilityName>全半角检查</abilityName>
      <candidateList>
        <item>)</item>
      </candidateList>
      <explain>文本全半角错误。</explain>
      <paraID>23021553</paraID>
      <start>4</start>
      <end>5</end>
      <status>unmodified</status>
      <modifiedWord/>
      <trackRevisions>false</trackRevisions>
    </reviewItem>
    <reviewItem>
      <errorID>38625a8f-bb1a-4cdb-906b-baef0aa6379b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485399B9</paraID>
      <start>0</start>
      <end>2</end>
      <status>unmodified</status>
      <modifiedWord/>
      <trackRevisions>false</trackRevisions>
    </reviewItem>
    <reviewItem>
      <errorID>621c9a72-c1e9-458f-8cd8-574ccaf79d78</errorID>
      <errorWord>要</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3490F4FC</paraID>
      <start>228</start>
      <end>229</end>
      <status>unmodified</status>
      <modifiedWord/>
      <trackRevisions>false</trackRevisions>
    </reviewItem>
    <reviewItem>
      <errorID>c82da243-9985-4fe9-9225-b8fc1f99cae7</errorID>
      <errorWord>II类</errorWord>
      <group>L1_Knowledge</group>
      <groupName>知识性问题</groupName>
      <ability>L2_Knowledge</ability>
      <abilityName>其他知识</abilityName>
      <candidateList>
        <item>Ⅱ类</item>
      </candidateList>
      <explain>中文环境下罗马数字格式错误。</explain>
      <paraID>3490F4FC</paraID>
      <start>231</start>
      <end>234</end>
      <status>unmodified</status>
      <modifiedWord/>
      <trackRevisions>false</trackRevisions>
    </reviewItem>
    <reviewItem>
      <errorID>d465b8d1-6fd0-442a-9113-29527a5b3106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7208E1AD</paraID>
      <start>56</start>
      <end>57</end>
      <status>unmodified</status>
      <modifiedWord/>
      <trackRevisions>false</trackRevisions>
    </reviewItem>
    <reviewItem>
      <errorID>2bbc7208-7ce3-48c2-98e8-4c38c0d0e5cf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65BE031D</paraID>
      <start>0</start>
      <end>2</end>
      <status>unmodified</status>
      <modifiedWord/>
      <trackRevisions>false</trackRevisions>
    </reviewItem>
    <reviewItem>
      <errorID>51321c42-2af8-49a3-9eb1-8c9b31e901e8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22D1CFE9</paraID>
      <start>0</start>
      <end>2</end>
      <status>unmodified</status>
      <modifiedWord/>
      <trackRevisions>false</trackRevisions>
    </reviewItem>
    <reviewItem>
      <errorID>f6516dab-657d-4b6f-a0f6-d6e802461b04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5CDCC00A</paraID>
      <start>13</start>
      <end>14</end>
      <status>unmodified</status>
      <modifiedWord/>
      <trackRevisions>false</trackRevisions>
    </reviewItem>
    <reviewItem>
      <errorID>1ad63dd1-b1d2-49fc-ab79-11239246ef17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2179F2CF</paraID>
      <start>0</start>
      <end>2</end>
      <status>unmodified</status>
      <modifiedWord/>
      <trackRevisions>false</trackRevisions>
    </reviewItem>
    <reviewItem>
      <errorID>27c4f571-7d9e-4cf5-a074-80a5fcc0e0b3</errorID>
      <errorWord>（</errorWord>
      <group>L1_Format</group>
      <groupName>格式问题</groupName>
      <ability>L2_HalfPunc</ability>
      <abilityName>全半角检查</abilityName>
      <candidateList>
        <item>(</item>
      </candidateList>
      <explain>文本全半角错误。</explain>
      <paraID>37249FCD</paraID>
      <start>8</start>
      <end>9</end>
      <status>unmodified</status>
      <modifiedWord/>
      <trackRevisions>false</trackRevisions>
    </reviewItem>
    <reviewItem>
      <errorID>9914f3f0-8720-46d5-8757-1306ed631fd1</errorID>
      <errorWord>）</errorWord>
      <group>L1_Format</group>
      <groupName>格式问题</groupName>
      <ability>L2_HalfPunc</ability>
      <abilityName>全半角检查</abilityName>
      <candidateList>
        <item>)</item>
      </candidateList>
      <explain>文本全半角错误。</explain>
      <paraID>37249FCD</paraID>
      <start>25</start>
      <end>26</end>
      <status>unmodified</status>
      <modifiedWord/>
      <trackRevisions>false</trackRevisions>
    </reviewItem>
    <reviewItem>
      <errorID>5750a381-a584-4bca-a16f-7e68a2898504</errorID>
      <errorWord>（</errorWord>
      <group>L1_Format</group>
      <groupName>格式问题</groupName>
      <ability>L2_HalfPunc</ability>
      <abilityName>全半角检查</abilityName>
      <candidateList>
        <item>(</item>
      </candidateList>
      <explain>文本全半角错误。</explain>
      <paraID>2CC65C17</paraID>
      <start>8</start>
      <end>9</end>
      <status>unmodified</status>
      <modifiedWord/>
      <trackRevisions>false</trackRevisions>
    </reviewItem>
    <reviewItem>
      <errorID>2c13417f-412a-43b4-bd04-5a1d8ad309c2</errorID>
      <errorWord>）</errorWord>
      <group>L1_Format</group>
      <groupName>格式问题</groupName>
      <ability>L2_HalfPunc</ability>
      <abilityName>全半角检查</abilityName>
      <candidateList>
        <item>)</item>
      </candidateList>
      <explain>文本全半角错误。</explain>
      <paraID>2CC65C17</paraID>
      <start>25</start>
      <end>26</end>
      <status>unmodified</status>
      <modifiedWord/>
      <trackRevisions>false</trackRevisions>
    </reviewItem>
    <reviewItem>
      <errorID>1953655b-5a50-4d05-a004-16da3e4f4851</errorID>
      <errorWord>（</errorWord>
      <group>L1_Format</group>
      <groupName>格式问题</groupName>
      <ability>L2_HalfPunc</ability>
      <abilityName>全半角检查</abilityName>
      <candidateList>
        <item>(</item>
      </candidateList>
      <explain>文本全半角错误。</explain>
      <paraID> E5B62DB</paraID>
      <start>8</start>
      <end>9</end>
      <status>unmodified</status>
      <modifiedWord/>
      <trackRevisions>false</trackRevisions>
    </reviewItem>
    <reviewItem>
      <errorID>4fa1b3fd-f969-4dc1-8f58-1c838d04645b</errorID>
      <errorWord>）</errorWord>
      <group>L1_Format</group>
      <groupName>格式问题</groupName>
      <ability>L2_HalfPunc</ability>
      <abilityName>全半角检查</abilityName>
      <candidateList>
        <item>)</item>
      </candidateList>
      <explain>文本全半角错误。</explain>
      <paraID> E5B62DB</paraID>
      <start>25</start>
      <end>26</end>
      <status>unmodified</status>
      <modifiedWord/>
      <trackRevisions>false</trackRevisions>
    </reviewItem>
    <reviewItem>
      <errorID>0d406dc7-b896-44fc-adad-0e43eaf7b57a</errorID>
      <errorWord>（</errorWord>
      <group>L1_Format</group>
      <groupName>格式问题</groupName>
      <ability>L2_HalfPunc</ability>
      <abilityName>全半角检查</abilityName>
      <candidateList>
        <item>(</item>
      </candidateList>
      <explain>文本全半角错误。</explain>
      <paraID>6AD66A53</paraID>
      <start>8</start>
      <end>9</end>
      <status>unmodified</status>
      <modifiedWord/>
      <trackRevisions>false</trackRevisions>
    </reviewItem>
    <reviewItem>
      <errorID>104aa519-cee1-4b67-b5f5-fde2cd69e498</errorID>
      <errorWord>）</errorWord>
      <group>L1_Format</group>
      <groupName>格式问题</groupName>
      <ability>L2_HalfPunc</ability>
      <abilityName>全半角检查</abilityName>
      <candidateList>
        <item>)</item>
      </candidateList>
      <explain>文本全半角错误。</explain>
      <paraID>6AD66A53</paraID>
      <start>25</start>
      <end>26</end>
      <status>unmodified</status>
      <modifiedWord/>
      <trackRevisions>false</trackRevisions>
    </reviewItem>
    <reviewItem>
      <errorID>5997eebb-4f05-446f-964a-f335515e46f9</errorID>
      <errorWord>（</errorWord>
      <group>L1_Format</group>
      <groupName>格式问题</groupName>
      <ability>L2_HalfPunc</ability>
      <abilityName>全半角检查</abilityName>
      <candidateList>
        <item>(</item>
      </candidateList>
      <explain>文本全半角错误。</explain>
      <paraID>60DAC64E</paraID>
      <start>8</start>
      <end>9</end>
      <status>unmodified</status>
      <modifiedWord/>
      <trackRevisions>false</trackRevisions>
    </reviewItem>
    <reviewItem>
      <errorID>15095970-0023-448d-8179-8839749b590c</errorID>
      <errorWord>）</errorWord>
      <group>L1_Format</group>
      <groupName>格式问题</groupName>
      <ability>L2_HalfPunc</ability>
      <abilityName>全半角检查</abilityName>
      <candidateList>
        <item>)</item>
      </candidateList>
      <explain>文本全半角错误。</explain>
      <paraID>60DAC64E</paraID>
      <start>25</start>
      <end>26</end>
      <status>unmodified</status>
      <modifiedWord/>
      <trackRevisions>false</trackRevisions>
    </reviewItem>
    <reviewItem>
      <errorID>c2b98a6a-0405-470e-8aa6-95f8a49f19db</errorID>
      <errorWord>（</errorWord>
      <group>L1_Format</group>
      <groupName>格式问题</groupName>
      <ability>L2_HalfPunc</ability>
      <abilityName>全半角检查</abilityName>
      <candidateList>
        <item>(</item>
      </candidateList>
      <explain>文本全半角错误。</explain>
      <paraID> DF016EB</paraID>
      <start>8</start>
      <end>9</end>
      <status>unmodified</status>
      <modifiedWord/>
      <trackRevisions>false</trackRevisions>
    </reviewItem>
    <reviewItem>
      <errorID>989e519d-16e4-491b-9ca3-8a4ba7efc1c1</errorID>
      <errorWord>）</errorWord>
      <group>L1_Format</group>
      <groupName>格式问题</groupName>
      <ability>L2_HalfPunc</ability>
      <abilityName>全半角检查</abilityName>
      <candidateList>
        <item>)</item>
      </candidateList>
      <explain>文本全半角错误。</explain>
      <paraID> DF016EB</paraID>
      <start>25</start>
      <end>26</end>
      <status>unmodified</status>
      <modifiedWord/>
      <trackRevisions>false</trackRevisions>
    </reviewItem>
    <reviewItem>
      <errorID>0bc223a8-80c2-4a8f-946b-8861998b5c39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16F8C94D</paraID>
      <start>0</start>
      <end>2</end>
      <status>unmodified</status>
      <modifiedWord/>
      <trackRevisions>false</trackRevisions>
    </reviewItem>
    <reviewItem>
      <errorID>0f778f0d-d676-457d-bb1b-45ee9e07888e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52A0D964</paraID>
      <start>13</start>
      <end>14</end>
      <status>unmodified</status>
      <modifiedWord/>
      <trackRevisions>false</trackRevisions>
    </reviewItem>
    <reviewItem>
      <errorID>de186972-85b5-478d-94e2-94e1d73066e7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4FE1E219</paraID>
      <start>0</start>
      <end>2</end>
      <status>unmodified</status>
      <modifiedWord/>
      <trackRevisions>false</trackRevisions>
    </reviewItem>
    <reviewItem>
      <errorID>2f2cd87e-6d51-4a48-b602-7fcaca664c06</errorID>
      <errorWord>（</errorWord>
      <group>L1_Format</group>
      <groupName>格式问题</groupName>
      <ability>L2_HalfPunc</ability>
      <abilityName>全半角检查</abilityName>
      <candidateList>
        <item>(</item>
      </candidateList>
      <explain>文本全半角错误。</explain>
      <paraID>7FD343E6</paraID>
      <start>2</start>
      <end>3</end>
      <status>unmodified</status>
      <modifiedWord/>
      <trackRevisions>false</trackRevisions>
    </reviewItem>
    <reviewItem>
      <errorID>2801ea0e-d03f-4006-b90d-3c3481d7f07b</errorID>
      <errorWord>）</errorWord>
      <group>L1_Format</group>
      <groupName>格式问题</groupName>
      <ability>L2_HalfPunc</ability>
      <abilityName>全半角检查</abilityName>
      <candidateList>
        <item>)</item>
      </candidateList>
      <explain>文本全半角错误。</explain>
      <paraID>7FD343E6</paraID>
      <start>18</start>
      <end>19</end>
      <status>unmodified</status>
      <modifiedWord/>
      <trackRevisions>false</trackRevisions>
    </reviewItem>
    <reviewItem>
      <errorID>3d56d5b8-e4f2-4172-b417-d26fda0e85f3</errorID>
      <errorWord>（</errorWord>
      <group>L1_Format</group>
      <groupName>格式问题</groupName>
      <ability>L2_HalfPunc</ability>
      <abilityName>全半角检查</abilityName>
      <candidateList>
        <item>(</item>
      </candidateList>
      <explain>文本全半角错误。</explain>
      <paraID>75D6F313</paraID>
      <start>2</start>
      <end>3</end>
      <status>unmodified</status>
      <modifiedWord/>
      <trackRevisions>false</trackRevisions>
    </reviewItem>
    <reviewItem>
      <errorID>97256fa5-47b3-4d77-9444-bc24f5a8e7b1</errorID>
      <errorWord>）</errorWord>
      <group>L1_Format</group>
      <groupName>格式问题</groupName>
      <ability>L2_HalfPunc</ability>
      <abilityName>全半角检查</abilityName>
      <candidateList>
        <item>)</item>
      </candidateList>
      <explain>文本全半角错误。</explain>
      <paraID>75D6F313</paraID>
      <start>17</start>
      <end>18</end>
      <status>unmodified</status>
      <modifiedWord/>
      <trackRevisions>false</trackRevisions>
    </reviewItem>
    <reviewItem>
      <errorID>b3ff31c4-600d-4f40-baed-28ac0ac40028</errorID>
      <errorWord>（</errorWord>
      <group>L1_Format</group>
      <groupName>格式问题</groupName>
      <ability>L2_HalfPunc</ability>
      <abilityName>全半角检查</abilityName>
      <candidateList>
        <item>(</item>
      </candidateList>
      <explain>文本全半角错误。</explain>
      <paraID>2EB219BB</paraID>
      <start>2</start>
      <end>3</end>
      <status>unmodified</status>
      <modifiedWord/>
      <trackRevisions>false</trackRevisions>
    </reviewItem>
    <reviewItem>
      <errorID>561e00b8-c164-41e5-8f81-e08c2f357b3e</errorID>
      <errorWord>）</errorWord>
      <group>L1_Format</group>
      <groupName>格式问题</groupName>
      <ability>L2_HalfPunc</ability>
      <abilityName>全半角检查</abilityName>
      <candidateList>
        <item>)</item>
      </candidateList>
      <explain>文本全半角错误。</explain>
      <paraID>2EB219BB</paraID>
      <start>17</start>
      <end>18</end>
      <status>unmodified</status>
      <modifiedWord/>
      <trackRevisions>false</trackRevisions>
    </reviewItem>
    <reviewItem>
      <errorID>f0b2eaab-d989-41be-a74d-ef865ade06a6</errorID>
      <errorWord>（</errorWord>
      <group>L1_Format</group>
      <groupName>格式问题</groupName>
      <ability>L2_HalfPunc</ability>
      <abilityName>全半角检查</abilityName>
      <candidateList>
        <item>(</item>
      </candidateList>
      <explain>文本全半角错误。</explain>
      <paraID>14603782</paraID>
      <start>2</start>
      <end>3</end>
      <status>unmodified</status>
      <modifiedWord/>
      <trackRevisions>false</trackRevisions>
    </reviewItem>
    <reviewItem>
      <errorID>6b351e9e-8db3-45ea-ae30-8ea616a961f5</errorID>
      <errorWord>）</errorWord>
      <group>L1_Format</group>
      <groupName>格式问题</groupName>
      <ability>L2_HalfPunc</ability>
      <abilityName>全半角检查</abilityName>
      <candidateList>
        <item>)</item>
      </candidateList>
      <explain>文本全半角错误。</explain>
      <paraID>14603782</paraID>
      <start>17</start>
      <end>18</end>
      <status>unmodified</status>
      <modifiedWord/>
      <trackRevisions>false</trackRevisions>
    </reviewItem>
    <reviewItem>
      <errorID>4c4b4010-f99b-45bb-9dad-812105a13a48</errorID>
      <errorWord>（</errorWord>
      <group>L1_Format</group>
      <groupName>格式问题</groupName>
      <ability>L2_HalfPunc</ability>
      <abilityName>全半角检查</abilityName>
      <candidateList>
        <item>(</item>
      </candidateList>
      <explain>文本全半角错误。</explain>
      <paraID>1B689C78</paraID>
      <start>2</start>
      <end>3</end>
      <status>unmodified</status>
      <modifiedWord/>
      <trackRevisions>false</trackRevisions>
    </reviewItem>
    <reviewItem>
      <errorID>66e33c5c-2b7d-4bd6-83c6-30d28b39e33a</errorID>
      <errorWord>）</errorWord>
      <group>L1_Format</group>
      <groupName>格式问题</groupName>
      <ability>L2_HalfPunc</ability>
      <abilityName>全半角检查</abilityName>
      <candidateList>
        <item>)</item>
      </candidateList>
      <explain>文本全半角错误。</explain>
      <paraID>1B689C78</paraID>
      <start>17</start>
      <end>18</end>
      <status>unmodified</status>
      <modifiedWord/>
      <trackRevisions>false</trackRevisions>
    </reviewItem>
    <reviewItem>
      <errorID>53cee4aa-ac7c-46a3-ab26-3711b8d7e35f</errorID>
      <errorWord>（</errorWord>
      <group>L1_Format</group>
      <groupName>格式问题</groupName>
      <ability>L2_HalfPunc</ability>
      <abilityName>全半角检查</abilityName>
      <candidateList>
        <item>(</item>
      </candidateList>
      <explain>文本全半角错误。</explain>
      <paraID>759D641E</paraID>
      <start>2</start>
      <end>3</end>
      <status>unmodified</status>
      <modifiedWord/>
      <trackRevisions>false</trackRevisions>
    </reviewItem>
    <reviewItem>
      <errorID>d787bd4b-db77-49b0-8f92-63910d00f457</errorID>
      <errorWord>）</errorWord>
      <group>L1_Format</group>
      <groupName>格式问题</groupName>
      <ability>L2_HalfPunc</ability>
      <abilityName>全半角检查</abilityName>
      <candidateList>
        <item>)</item>
      </candidateList>
      <explain>文本全半角错误。</explain>
      <paraID>759D641E</paraID>
      <start>17</start>
      <end>18</end>
      <status>unmodified</status>
      <modifiedWord/>
      <trackRevisions>false</trackRevisions>
    </reviewItem>
    <reviewItem>
      <errorID>66b27bdb-0693-42b3-8b7d-a4fde5dc77d6</errorID>
      <errorWord>（</errorWord>
      <group>L1_Format</group>
      <groupName>格式问题</groupName>
      <ability>L2_HalfPunc</ability>
      <abilityName>全半角检查</abilityName>
      <candidateList>
        <item>(</item>
      </candidateList>
      <explain>文本全半角错误。</explain>
      <paraID>518A7C69</paraID>
      <start>0</start>
      <end>1</end>
      <status>unmodified</status>
      <modifiedWord/>
      <trackRevisions>false</trackRevisions>
    </reviewItem>
    <reviewItem>
      <errorID>66a9bc09-c13f-4fef-9e23-30965a596d5e</errorID>
      <errorWord>）</errorWord>
      <group>L1_Format</group>
      <groupName>格式问题</groupName>
      <ability>L2_HalfPunc</ability>
      <abilityName>全半角检查</abilityName>
      <candidateList>
        <item>)</item>
      </candidateList>
      <explain>文本全半角错误。</explain>
      <paraID>518A7C69</paraID>
      <start>5</start>
      <end>6</end>
      <status>unmodified</status>
      <modifiedWord/>
      <trackRevisions>false</trackRevisions>
    </reviewItem>
    <reviewItem>
      <errorID>71a1875d-f54d-4d94-90f4-c861963c9d93</errorID>
      <errorWord>（；</errorWord>
      <group>L1_Punc</group>
      <groupName>标点问题</groupName>
      <ability>L2_Punc</ability>
      <abilityName>标点符号检查</abilityName>
      <candidateList>
        <item>（</item>
      </candidateList>
      <explain/>
      <paraID>184F9446</paraID>
      <start>6</start>
      <end>8</end>
      <status>unmodified</status>
      <modifiedWord/>
      <trackRevisions>false</trackRevisions>
    </reviewItem>
    <reviewItem>
      <errorID>ce0fb969-b162-4bfe-a3e7-531dd5026e61</errorID>
      <errorWord>）</errorWord>
      <group>L1_Format</group>
      <groupName>格式问题</groupName>
      <ability>L2_HalfPunc</ability>
      <abilityName>全半角检查</abilityName>
      <candidateList>
        <item>)</item>
      </candidateList>
      <explain>文本全半角错误。</explain>
      <paraID>5729B3F8</paraID>
      <start>1</start>
      <end>2</end>
      <status>unmodified</status>
      <modifiedWord/>
      <trackRevisions>false</trackRevisions>
    </reviewItem>
    <reviewItem>
      <errorID>3c931058-64df-4359-9b8b-ed8ce2b80b32</errorID>
      <errorWord>；</errorWord>
      <group>L1_Format</group>
      <groupName>格式问题</groupName>
      <ability>L2_HalfPunc</ability>
      <abilityName>全半角检查</abilityName>
      <candidateList>
        <item>; </item>
      </candidateList>
      <explain>文本全半角错误。</explain>
      <paraID>5729B3F8</paraID>
      <start>3</start>
      <end>4</end>
      <status>unmodified</status>
      <modifiedWord/>
      <trackRevisions>false</trackRevisions>
    </reviewItem>
    <reviewItem>
      <errorID>f7659478-ff61-4019-b433-5b671991d7c5</errorID>
      <errorWord>）</errorWord>
      <group>L1_Format</group>
      <groupName>格式问题</groupName>
      <ability>L2_HalfPunc</ability>
      <abilityName>全半角检查</abilityName>
      <candidateList>
        <item>)</item>
      </candidateList>
      <explain>文本全半角错误。</explain>
      <paraID>5729B3F8</paraID>
      <start>5</start>
      <end>6</end>
      <status>unmodified</status>
      <modifiedWord/>
      <trackRevisions>false</trackRevisions>
    </reviewItem>
    <reviewItem>
      <errorID>927b3a39-da57-43df-9968-c260162dfc2e</errorID>
      <errorWord>；</errorWord>
      <group>L1_Format</group>
      <groupName>格式问题</groupName>
      <ability>L2_HalfPunc</ability>
      <abilityName>全半角检查</abilityName>
      <candidateList>
        <item>; </item>
      </candidateList>
      <explain>文本全半角错误。</explain>
      <paraID>5729B3F8</paraID>
      <start>7</start>
      <end>8</end>
      <status>unmodified</status>
      <modifiedWord/>
      <trackRevisions>false</trackRevisions>
    </reviewItem>
    <reviewItem>
      <errorID>42dc20c0-4ded-49eb-b9ab-626ae1fc3de4</errorID>
      <errorWord>）</errorWord>
      <group>L1_Format</group>
      <groupName>格式问题</groupName>
      <ability>L2_HalfPunc</ability>
      <abilityName>全半角检查</abilityName>
      <candidateList>
        <item>)</item>
      </candidateList>
      <explain>文本全半角错误。</explain>
      <paraID>5729B3F8</paraID>
      <start>9</start>
      <end>10</end>
      <status>unmodified</status>
      <modifiedWord/>
      <trackRevisions>false</trackRevisions>
    </reviewItem>
    <reviewItem>
      <errorID>79334d63-b4e1-41ed-8d81-c5cbac7bd8b6</errorID>
      <errorWord>；</errorWord>
      <group>L1_Format</group>
      <groupName>格式问题</groupName>
      <ability>L2_HalfPunc</ability>
      <abilityName>全半角检查</abilityName>
      <candidateList>
        <item>; </item>
      </candidateList>
      <explain>文本全半角错误。</explain>
      <paraID>5729B3F8</paraID>
      <start>11</start>
      <end>12</end>
      <status>unmodified</status>
      <modifiedWord/>
      <trackRevisions>false</trackRevisions>
    </reviewItem>
    <reviewItem>
      <errorID>bc1f2336-d819-4637-a74c-e2a33de964c7</errorID>
      <errorWord>）</errorWord>
      <group>L1_Format</group>
      <groupName>格式问题</groupName>
      <ability>L2_HalfPunc</ability>
      <abilityName>全半角检查</abilityName>
      <candidateList>
        <item>)</item>
      </candidateList>
      <explain>文本全半角错误。</explain>
      <paraID>5729B3F8</paraID>
      <start>13</start>
      <end>14</end>
      <status>unmodified</status>
      <modifiedWord/>
      <trackRevisions>false</trackRevisions>
    </reviewItem>
    <reviewItem>
      <errorID>0d5b96ee-0a85-4a23-92d0-c941ac252f9c</errorID>
      <errorWord>~</errorWord>
      <group>L1_Format</group>
      <groupName>格式问题</groupName>
      <ability>L2_HalfPunc</ability>
      <abilityName>全半角检查</abilityName>
      <candidateList>
        <item>～</item>
      </candidateList>
      <explain>文本全半角错误。</explain>
      <paraID>34817A5D</paraID>
      <start>3</start>
      <end>4</end>
      <status>unmodified</status>
      <modifiedWord/>
      <trackRevisions>false</trackRevisions>
    </reviewItem>
    <reviewItem>
      <errorID>188076f8-07b1-418f-8611-bf8a72b0c7bd</errorID>
      <errorWord>~</errorWord>
      <group>L1_Format</group>
      <groupName>格式问题</groupName>
      <ability>L2_HalfPunc</ability>
      <abilityName>全半角检查</abilityName>
      <candidateList>
        <item>～</item>
      </candidateList>
      <explain>文本全半角错误。</explain>
      <paraID>73720AE5</paraID>
      <start>3</start>
      <end>4</end>
      <status>unmodified</status>
      <modifiedWord/>
      <trackRevisions>false</trackRevisions>
    </reviewItem>
    <reviewItem>
      <errorID>084275c0-e478-4fb6-8faa-ac4cd5c18086</errorID>
      <errorWord>测</errorWord>
      <group>L1_Word</group>
      <groupName>字词问题</groupName>
      <ability>L2_Typo</ability>
      <abilityName>字词错误</abilityName>
      <candidateList>
        <item>的</item>
      </candidateList>
      <explain>“的”常用于连接修饰语与名词性中心语，表示属性、所属或描述。</explain>
      <paraID>4CAF1E9F</paraID>
      <start>0</start>
      <end>1</end>
      <status>unmodified</status>
      <modifiedWord/>
      <trackRevisions>false</trackRevisions>
    </reviewItem>
    <reviewItem>
      <errorID>7472b312-f079-4606-bc05-1cac624f6449</errorID>
      <errorWord>程</errorWord>
      <group>L1_Word</group>
      <groupName>字词问题</groupName>
      <ability>L2_Typo</ability>
      <abilityName>字词错误</abilityName>
      <candidateList>
        <item>程中</item>
      </candidateList>
      <explain/>
      <paraID>6F0D7F55</paraID>
      <start>14</start>
      <end>15</end>
      <status>unmodified</status>
      <modifiedWord/>
      <trackRevisions>false</trackRevisions>
    </reviewItem>
    <reviewItem>
      <errorID>6aba3b0e-4e2b-4c06-bf65-ebc5dc420bb1</errorID>
      <errorWord>生产</errorWord>
      <group>L1_Word</group>
      <groupName>字词问题</groupName>
      <ability>L2_Typo</ability>
      <abilityName>字词错误</abilityName>
      <candidateList>
        <item>产生</item>
      </candidateList>
      <explain/>
      <paraID> 47F2580</paraID>
      <start>48</start>
      <end>50</end>
      <status>unmodified</status>
      <modifiedWord/>
      <trackRevisions>false</trackRevisions>
    </reviewItem>
    <reviewItem>
      <errorID>10c472ed-5e41-4352-bae6-0bad17dabfa0</errorID>
      <errorWord>在项目的建设</errorWord>
      <group>L1_Word</group>
      <groupName>字词问题</groupName>
      <ability>L2_Typo</ability>
      <abilityName>字词错误</abilityName>
      <candidateList>
        <item>在项目建设</item>
      </candidateList>
      <explain/>
      <paraID>71FFFE55</paraID>
      <start>9</start>
      <end>15</end>
      <status>unmodified</status>
      <modifiedWord/>
      <trackRevisions>false</trackRevisions>
    </reviewItem>
    <reviewItem>
      <errorID>87760d18-7b6b-4b33-834c-7db82b47e6bc</errorID>
      <errorWord>分隔</errorWord>
      <group>L1_Word</group>
      <groupName>字词问题</groupName>
      <ability>L2_Typo</ability>
      <abilityName>字词错误</abilityName>
      <candidateList>
        <item>分割</item>
      </candidateList>
      <explain>存在发音相同字词的误用。</explain>
      <paraID>34C3EC12</paraID>
      <start>64</start>
      <end>66</end>
      <status>unmodified</status>
      <modifiedWord/>
      <trackRevisions>false</trackRevisions>
    </reviewItem>
    <reviewItem>
      <errorID>0c022d66-6eab-4045-ac32-ebf298aaeb72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694237EF</paraID>
      <start>0</start>
      <end>2</end>
      <status>unmodified</status>
      <modifiedWord/>
      <trackRevisions>false</trackRevisions>
    </reviewItem>
    <reviewItem>
      <errorID>b6be9237-cfc4-4af9-9074-adb80558b1ed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4340F275</paraID>
      <start>49</start>
      <end>50</end>
      <status>unmodified</status>
      <modifiedWord/>
      <trackRevisions>false</trackRevisions>
    </reviewItem>
    <reviewItem>
      <errorID>4ef519bf-954f-4d48-b529-8441be11f14e</errorID>
      <errorWord>厂</errorWord>
      <group>L1_Word</group>
      <groupName>字词问题</groupName>
      <ability>L2_Typo</ability>
      <abilityName>字词错误</abilityName>
      <candidateList>
        <item>场</item>
      </candidateList>
      <explain/>
      <paraID>4FFD6F48</paraID>
      <start>5</start>
      <end>6</end>
      <status>unmodified</status>
      <modifiedWord/>
      <trackRevisions>false</trackRevisions>
    </reviewItem>
    <reviewItem>
      <errorID>8f9ffe6c-475e-467d-8327-828a3f212336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7A168AE0</paraID>
      <start>0</start>
      <end>2</end>
      <status>unmodified</status>
      <modifiedWord/>
      <trackRevisions>false</trackRevisions>
    </reviewItem>
    <reviewItem>
      <errorID>18428788-2ecf-434c-adfc-ae0a5af10a98</errorID>
      <errorWord>、…</errorWord>
      <group>L1_Punc</group>
      <groupName>标点问题</groupName>
      <ability>L2_Punc</ability>
      <abilityName>标点符号检查</abilityName>
      <candidateList>
        <item>、</item>
      </candidateList>
      <explain/>
      <paraID>6FD7922A</paraID>
      <start>8</start>
      <end>10</end>
      <status>unmodified</status>
      <modifiedWord/>
      <trackRevisions>false</trackRevisions>
    </reviewItem>
    <reviewItem>
      <errorID>77bdc203-f89e-4f09-9f0f-421ac193710c</errorID>
      <errorWord>、…</errorWord>
      <group>L1_Punc</group>
      <groupName>标点问题</groupName>
      <ability>L2_Punc</ability>
      <abilityName>标点符号检查</abilityName>
      <candidateList>
        <item>、</item>
      </candidateList>
      <explain/>
      <paraID> 79E0EBA</paraID>
      <start>5</start>
      <end>7</end>
      <status>unmodified</status>
      <modifiedWord/>
      <trackRevisions>false</trackRevisions>
    </reviewItem>
    <reviewItem>
      <errorID>f4d5736b-f5ff-4d64-aff0-e89628285050</errorID>
      <errorWord>II</errorWord>
      <group>L1_Knowledge</group>
      <groupName>知识性问题</groupName>
      <ability>L2_Knowledge</ability>
      <abilityName>其他知识</abilityName>
      <candidateList>
        <item>Ⅱ</item>
      </candidateList>
      <explain>中文环境下罗马数字格式错误。</explain>
      <paraID>778C38F7</paraID>
      <start>67</start>
      <end>69</end>
      <status>unmodified</status>
      <modifiedWord/>
      <trackRevisions>false</trackRevisions>
    </reviewItem>
    <reviewItem>
      <errorID>ab245f4f-383f-44d7-bb26-e410403192a2</errorID>
      <errorWord>II</errorWord>
      <group>L1_Knowledge</group>
      <groupName>知识性问题</groupName>
      <ability>L2_Knowledge</ability>
      <abilityName>其他知识</abilityName>
      <candidateList>
        <item>Ⅱ</item>
      </candidateList>
      <explain>中文环境下罗马数字格式错误。</explain>
      <paraID>778C38F7</paraID>
      <start>70</start>
      <end>72</end>
      <status>unmodified</status>
      <modifiedWord/>
      <trackRevisions>false</trackRevisions>
    </reviewItem>
    <reviewItem>
      <errorID>23174153-2415-481c-8217-580ba549c4f2</errorID>
      <errorWord>III</errorWord>
      <group>L1_Word</group>
      <groupName>字词问题</groupName>
      <ability>L2_Typo</ability>
      <abilityName>字词错误</abilityName>
      <candidateList>
        <item>Ⅲ</item>
      </candidateList>
      <explain/>
      <paraID> 5E83555</paraID>
      <start>0</start>
      <end>3</end>
      <status>unmodified</status>
      <modifiedWord/>
      <trackRevisions>false</trackRevisions>
    </reviewItem>
    <reviewItem>
      <errorID>e432d4eb-6f8c-4e61-a28f-47702b88718f</errorID>
      <errorWord>III</errorWord>
      <group>L1_Word</group>
      <groupName>字词问题</groupName>
      <ability>L2_Typo</ability>
      <abilityName>字词错误</abilityName>
      <candidateList>
        <item>Ⅲ</item>
      </candidateList>
      <explain/>
      <paraID>2B0AA7C4</paraID>
      <start>0</start>
      <end>3</end>
      <status>unmodified</status>
      <modifiedWord/>
      <trackRevisions>false</trackRevisions>
    </reviewItem>
    <reviewItem>
      <errorID>d589da8d-a12e-4299-83a1-fba7fc03630d</errorID>
      <errorWord>III</errorWord>
      <group>L1_Word</group>
      <groupName>字词问题</groupName>
      <ability>L2_Typo</ability>
      <abilityName>字词错误</abilityName>
      <candidateList>
        <item>Ⅲ</item>
      </candidateList>
      <explain/>
      <paraID>10907FEE</paraID>
      <start>0</start>
      <end>3</end>
      <status>unmodified</status>
      <modifiedWord/>
      <trackRevisions>false</trackRevisions>
    </reviewItem>
    <reviewItem>
      <errorID>5124379a-74a0-4acd-a00c-460895c8b2c2</errorID>
      <errorWord>III</errorWord>
      <group>L1_Word</group>
      <groupName>字词问题</groupName>
      <ability>L2_Typo</ability>
      <abilityName>字词错误</abilityName>
      <candidateList>
        <item>Ⅲ</item>
      </candidateList>
      <explain/>
      <paraID>78A6A182</paraID>
      <start>0</start>
      <end>3</end>
      <status>unmodified</status>
      <modifiedWord/>
      <trackRevisions>false</trackRevisions>
    </reviewItem>
    <reviewItem>
      <errorID>6f61ffed-9285-4baf-a131-0368acba22ec</errorID>
      <errorWord>III</errorWord>
      <group>L1_Word</group>
      <groupName>字词问题</groupName>
      <ability>L2_Typo</ability>
      <abilityName>字词错误</abilityName>
      <candidateList>
        <item>Ⅲ</item>
      </candidateList>
      <explain/>
      <paraID>1A30BAD0</paraID>
      <start>0</start>
      <end>3</end>
      <status>unmodified</status>
      <modifiedWord/>
      <trackRevisions>false</trackRevisions>
    </reviewItem>
    <reviewItem>
      <errorID>a2b4b65a-f4f4-4bc0-83a6-e5676c628b24</errorID>
      <errorWord>III</errorWord>
      <group>L1_Word</group>
      <groupName>字词问题</groupName>
      <ability>L2_Typo</ability>
      <abilityName>字词错误</abilityName>
      <candidateList>
        <item>Ⅲ</item>
      </candidateList>
      <explain/>
      <paraID>66282C03</paraID>
      <start>0</start>
      <end>3</end>
      <status>unmodified</status>
      <modifiedWord/>
      <trackRevisions>false</trackRevisions>
    </reviewItem>
    <reviewItem>
      <errorID>7512f9f7-c890-4a46-8a90-27a72a2a7084</errorID>
      <errorWord>IV</errorWord>
      <group>L1_Knowledge</group>
      <groupName>知识性问题</groupName>
      <ability>L2_Knowledge</ability>
      <abilityName>其他知识</abilityName>
      <candidateList>
        <item>Ⅳ</item>
      </candidateList>
      <explain>中文环境下罗马数字格式错误。</explain>
      <paraID>5462DA69</paraID>
      <start>2</start>
      <end>4</end>
      <status>unmodified</status>
      <modifiedWord/>
      <trackRevisions>false</trackRevisions>
    </reviewItem>
    <reviewItem>
      <errorID>1cc29cf5-cedc-4390-b6d9-023e9c7addf6</errorID>
      <errorWord>，</errorWord>
      <group>L1_Word</group>
      <groupName>字词问题</groupName>
      <ability>L2_Typo</ability>
      <abilityName>字词错误</abilityName>
      <candidateList>
        <item>，对</item>
      </candidateList>
      <explain/>
      <paraID>293018A8</paraID>
      <start>31</start>
      <end>32</end>
      <status>unmodified</status>
      <modifiedWord/>
      <trackRevisions>false</trackRevisions>
    </reviewItem>
    <reviewItem>
      <errorID>7a8be42f-c5f6-47ad-af94-0db4c01df0b5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184281E6</paraID>
      <start>0</start>
      <end>2</end>
      <status>unmodified</status>
      <modifiedWord/>
      <trackRevisions>false</trackRevisions>
    </reviewItem>
    <reviewItem>
      <errorID>3ca27c89-68a6-4a53-9bc5-d0b747288ace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506A3A4D</paraID>
      <start>0</start>
      <end>2</end>
      <status>unmodified</status>
      <modifiedWord/>
      <trackRevisions>false</trackRevisions>
    </reviewItem>
    <reviewItem>
      <errorID>a78e2514-e19b-4cf9-bddc-1cf32a2b8806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165A138A</paraID>
      <start>0</start>
      <end>2</end>
      <status>unmodified</status>
      <modifiedWord/>
      <trackRevisions>false</trackRevisions>
    </reviewItem>
    <reviewItem>
      <errorID>d09c7fcf-fdfc-4815-b809-e754230611d4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59719A2E</paraID>
      <start>0</start>
      <end>2</end>
      <status>unmodified</status>
      <modifiedWord/>
      <trackRevisions>false</trackRevisions>
    </reviewItem>
    <reviewItem>
      <errorID>a292008d-b5ea-4926-a3fc-04fd6ad28f1a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5F129177</paraID>
      <start>0</start>
      <end>2</end>
      <status>unmodified</status>
      <modifiedWord/>
      <trackRevisions>false</trackRevisions>
    </reviewItem>
    <reviewItem>
      <errorID>ba92c55c-5ec1-4b27-964e-379cd1622dd3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714DF3BB</paraID>
      <start>0</start>
      <end>2</end>
      <status>unmodified</status>
      <modifiedWord/>
      <trackRevisions>false</trackRevisions>
    </reviewItem>
    <reviewItem>
      <errorID>1e2a4558-5d39-4339-984f-b8fd65067dc4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6C9F8EE6</paraID>
      <start>0</start>
      <end>2</end>
      <status>unmodified</status>
      <modifiedWord/>
      <trackRevisions>false</trackRevisions>
    </reviewItem>
    <reviewItem>
      <errorID>cc55e30b-c3e9-4fca-8515-31457163e4be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5ECCDE13</paraID>
      <start>0</start>
      <end>2</end>
      <status>unmodified</status>
      <modifiedWord/>
      <trackRevisions>false</trackRevisions>
    </reviewItem>
    <reviewItem>
      <errorID>03b8f1fc-b21a-468d-8f53-857cb8868ab9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E8B5D5A</paraID>
      <start>0</start>
      <end>2</end>
      <status>unmodified</status>
      <modifiedWord/>
      <trackRevisions>false</trackRevisions>
    </reviewItem>
    <reviewItem>
      <errorID>d7c174e5-dec2-4221-962d-09c78bf44015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4552261B</paraID>
      <start>0</start>
      <end>3</end>
      <status>unmodified</status>
      <modifiedWord/>
      <trackRevisions>false</trackRevisions>
    </reviewItem>
    <reviewItem>
      <errorID>ad23fad1-281e-404f-a144-93faf917332a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32039C9B</paraID>
      <start>0</start>
      <end>3</end>
      <status>unmodified</status>
      <modifiedWord/>
      <trackRevisions>false</trackRevisions>
    </reviewItem>
    <reviewItem>
      <errorID>4770154a-0728-4025-a246-0d76e3d34b39</errorID>
      <errorWord>II类</errorWord>
      <group>L1_Knowledge</group>
      <groupName>知识性问题</groupName>
      <ability>L2_Knowledge</ability>
      <abilityName>其他知识</abilityName>
      <candidateList>
        <item>Ⅱ类</item>
      </candidateList>
      <explain>中文环境下罗马数字格式错误。</explain>
      <paraID>32039C9B</paraID>
      <start>12</start>
      <end>15</end>
      <status>unmodified</status>
      <modifiedWord/>
      <trackRevisions>false</trackRevisions>
    </reviewItem>
    <reviewItem>
      <errorID>dc9d9824-720d-451a-9729-04a748f000ad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1C5CDC1D</paraID>
      <start>0</start>
      <end>3</end>
      <status>unmodified</status>
      <modifiedWord/>
      <trackRevisions>false</trackRevisions>
    </reviewItem>
    <reviewItem>
      <errorID>d29b3cdd-61f1-4b63-8d86-969993bb90fb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50C4907</paraID>
      <start>0</start>
      <end>3</end>
      <status>unmodified</status>
      <modifiedWord/>
      <trackRevisions>false</trackRevisions>
    </reviewItem>
    <reviewItem>
      <errorID>08fe747c-21dc-41ee-8614-faabf37fa0fb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35B6D60C</paraID>
      <start>0</start>
      <end>3</end>
      <status>unmodified</status>
      <modifiedWord/>
      <trackRevisions>false</trackRevisions>
    </reviewItem>
    <reviewItem>
      <errorID>93f490f5-a3ea-4a97-8723-d7c56c88917e</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76E2B43D</paraID>
      <start>0</start>
      <end>3</end>
      <status>unmodified</status>
      <modifiedWord/>
      <trackRevisions>false</trackRevisions>
    </reviewItem>
    <reviewItem>
      <errorID>a055521c-b437-48f6-847b-60d9a1e74c15</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48B83AF5</paraID>
      <start>0</start>
      <end>3</end>
      <status>unmodified</status>
      <modifiedWord/>
      <trackRevisions>false</trackRevisions>
    </reviewItem>
    <reviewItem>
      <errorID>36f7bc7e-f241-463b-828d-260d5cb0b85d</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3A9034F3</paraID>
      <start>0</start>
      <end>3</end>
      <status>unmodified</status>
      <modifiedWord/>
      <trackRevisions>false</trackRevisions>
    </reviewItem>
    <reviewItem>
      <errorID>f32f26b5-bd4e-4426-ac57-54c38514a18b</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61A75C85</paraID>
      <start>0</start>
      <end>3</end>
      <status>unmodified</status>
      <modifiedWord/>
      <trackRevisions>false</trackRevisions>
    </reviewItem>
    <reviewItem>
      <errorID>cfd51db8-cc34-4fa2-8cde-1d585db5e47d</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67139C03</paraID>
      <start>0</start>
      <end>3</end>
      <status>unmodified</status>
      <modifiedWord/>
      <trackRevisions>false</trackRevisions>
    </reviewItem>
    <reviewItem>
      <errorID>041912a4-cd56-4605-a17a-8e6d7cc3ea75</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355046E3</paraID>
      <start>0</start>
      <end>3</end>
      <status>unmodified</status>
      <modifiedWord/>
      <trackRevisions>false</trackRevisions>
    </reviewItem>
    <reviewItem>
      <errorID>bfe6bc12-bdc9-4ec5-a054-12a48a753163</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7BD9E42F</paraID>
      <start>0</start>
      <end>3</end>
      <status>unmodified</status>
      <modifiedWord/>
      <trackRevisions>false</trackRevisions>
    </reviewItem>
    <reviewItem>
      <errorID>035905ae-0e6b-485d-9e14-94c05623b743</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152B748</paraID>
      <start>0</start>
      <end>3</end>
      <status>unmodified</status>
      <modifiedWord/>
      <trackRevisions>false</trackRevisions>
    </reviewItem>
    <reviewItem>
      <errorID>e6518fbd-e337-45ae-baf1-a95a28f583bd</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1923E8C6</paraID>
      <start>0</start>
      <end>3</end>
      <status>unmodified</status>
      <modifiedWord/>
      <trackRevisions>false</trackRevisions>
    </reviewItem>
    <reviewItem>
      <errorID>b5e34dee-55cc-4c91-8771-2ee59f120223</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6FBC47A</paraID>
      <start>0</start>
      <end>3</end>
      <status>unmodified</status>
      <modifiedWord/>
      <trackRevisions>false</trackRevisions>
    </reviewItem>
    <reviewItem>
      <errorID>40f515a1-a18f-479d-a2c8-f3029baf7640</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1EC73CCB</paraID>
      <start>0</start>
      <end>3</end>
      <status>unmodified</status>
      <modifiedWord/>
      <trackRevisions>false</trackRevisions>
    </reviewItem>
    <reviewItem>
      <errorID>803a57f7-7179-45de-b12a-31bdb8e31f96</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4D6A3D6</paraID>
      <start>0</start>
      <end>3</end>
      <status>unmodified</status>
      <modifiedWord/>
      <trackRevisions>false</trackRevisions>
    </reviewItem>
    <reviewItem>
      <errorID>7f91a9a2-daee-4a7f-804e-03b731557d8a</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52C33F0A</paraID>
      <start>0</start>
      <end>3</end>
      <status>unmodified</status>
      <modifiedWord/>
      <trackRevisions>false</trackRevisions>
    </reviewItem>
    <reviewItem>
      <errorID>89e297ae-f6ab-4d2b-b0c6-0491c454a0c8</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4197AFF4</paraID>
      <start>0</start>
      <end>3</end>
      <status>unmodified</status>
      <modifiedWord/>
      <trackRevisions>false</trackRevisions>
    </reviewItem>
    <reviewItem>
      <errorID>2b1253d2-f8bd-4dc7-886f-1b784d553845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4197AFF4</paraID>
      <start>16</start>
      <end>19</end>
      <status>unmodified</status>
      <modifiedWord/>
      <trackRevisions>false</trackRevisions>
    </reviewItem>
    <reviewItem>
      <errorID>e509d7e9-5c07-413d-8d9e-98ce7d3d67c9</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250FB5CD</paraID>
      <start>0</start>
      <end>3</end>
      <status>unmodified</status>
      <modifiedWord/>
      <trackRevisions>false</trackRevisions>
    </reviewItem>
    <reviewItem>
      <errorID>ac0d112a-20b2-414b-bf83-c1fea2b4c4ee</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2F9CAE89</paraID>
      <start>0</start>
      <end>3</end>
      <status>unmodified</status>
      <modifiedWord/>
      <trackRevisions>false</trackRevisions>
    </reviewItem>
    <reviewItem>
      <errorID>223a6a4d-b51d-4850-8d13-422191fca38a</errorID>
      <errorWord>涉及到</errorWord>
      <group>L1_Sensitive</group>
      <groupName>敏感问题</groupName>
      <ability>L2_UserSensitive</ability>
      <abilityName>自定义敏感词</abilityName>
      <candidateList/>
      <explain>来自自定义敏感词库。</explain>
      <paraID>30F03D28</paraID>
      <start>58</start>
      <end>61</end>
      <status>unmodified</status>
      <modifiedWord/>
      <trackRevisions>false</trackRevisions>
    </reviewItem>
    <reviewItem>
      <errorID>8c16c096-e273-4800-b922-12b9ea28696a</errorID>
      <errorWord>-</errorWord>
      <group>L1_Format</group>
      <groupName>格式问题</groupName>
      <ability>L2_HalfPunc</ability>
      <abilityName>全半角检查</abilityName>
      <candidateList>
        <item>－</item>
      </candidateList>
      <explain>文本全半角错误。</explain>
      <paraID> BD63CF9</paraID>
      <start>52</start>
      <end>53</end>
      <status>unmodified</status>
      <modifiedWord/>
      <trackRevisions>false</trackRevisions>
    </reviewItem>
    <reviewItem>
      <errorID>f1d17f67-ab82-4469-a7a4-f22539c73518</errorID>
      <errorWord>-</errorWord>
      <group>L1_Format</group>
      <groupName>格式问题</groupName>
      <ability>L2_HalfPunc</ability>
      <abilityName>全半角检查</abilityName>
      <candidateList>
        <item>－</item>
      </candidateList>
      <explain>文本全半角错误。</explain>
      <paraID> BD63CF9</paraID>
      <start>65</start>
      <end>66</end>
      <status>unmodified</status>
      <modifiedWord/>
      <trackRevisions>false</trackRevisions>
    </reviewItem>
    <reviewItem>
      <errorID>7e4b8e98-6062-42b5-b8c6-7dd67db58a72</errorID>
      <errorWord>-</errorWord>
      <group>L1_Format</group>
      <groupName>格式问题</groupName>
      <ability>L2_HalfPunc</ability>
      <abilityName>全半角检查</abilityName>
      <candidateList>
        <item>－</item>
      </candidateList>
      <explain>文本全半角错误。</explain>
      <paraID> BD63CF9</paraID>
      <start>82</start>
      <end>83</end>
      <status>unmodified</status>
      <modifiedWord/>
      <trackRevisions>false</trackRevisions>
    </reviewItem>
    <reviewItem>
      <errorID>6e97d1d0-d714-4380-90f8-17d36afdca24</errorID>
      <errorWord>、</errorWord>
      <group>L1_Punc</group>
      <groupName>标点问题</groupName>
      <ability>L2_Punc</ability>
      <abilityName>标点符号检查</abilityName>
      <candidateList>
        <item>.</item>
      </candidateList>
      <explain/>
      <paraID>5C6F64BC</paraID>
      <start>1</start>
      <end>2</end>
      <status>unmodified</status>
      <modifiedWord/>
      <trackRevisions>false</trackRevisions>
    </reviewItem>
    <reviewItem>
      <errorID>d8c08a5d-18cd-4956-8d22-67eb06ffdc6b</errorID>
      <errorWord>KW</errorWord>
      <group>L1_Word</group>
      <groupName>字词问题</groupName>
      <ability>L2_Typo</ability>
      <abilityName>字词错误</abilityName>
      <candidateList>
        <item>kW</item>
      </candidateList>
      <explain/>
      <paraID>4A1E0F78</paraID>
      <start>5</start>
      <end>7</end>
      <status>unmodified</status>
      <modifiedWord/>
      <trackRevisions>false</trackRevisions>
    </reviewItem>
    <reviewItem>
      <errorID>48757c34-c5a4-4798-9f90-043d939baf1a</errorID>
      <errorWord>、</errorWord>
      <group>L1_Punc</group>
      <groupName>标点问题</groupName>
      <ability>L2_Punc</ability>
      <abilityName>标点符号检查</abilityName>
      <candidateList>
        <item>.</item>
      </candidateList>
      <explain/>
      <paraID>5A17FEB6</paraID>
      <start>1</start>
      <end>2</end>
      <status>unmodified</status>
      <modifiedWord/>
      <trackRevisions>false</trackRevisions>
    </reviewItem>
    <reviewItem>
      <errorID>a8c16d2a-077a-4959-a1d9-077fb25a1d94</errorID>
      <errorWord>、</errorWord>
      <group>L1_Punc</group>
      <groupName>标点问题</groupName>
      <ability>L2_Punc</ability>
      <abilityName>标点符号检查</abilityName>
      <candidateList>
        <item>.</item>
      </candidateList>
      <explain/>
      <paraID>76D26968</paraID>
      <start>1</start>
      <end>2</end>
      <status>unmodified</status>
      <modifiedWord/>
      <trackRevisions>false</trackRevisions>
    </reviewItem>
    <reviewItem>
      <errorID>fba13d6d-7376-4a51-949c-04bde8e5bd90</errorID>
      <errorWord>、</errorWord>
      <group>L1_Punc</group>
      <groupName>标点问题</groupName>
      <ability>L2_Punc</ability>
      <abilityName>标点符号检查</abilityName>
      <candidateList>
        <item>.</item>
      </candidateList>
      <explain/>
      <paraID>70C9777C</paraID>
      <start>1</start>
      <end>2</end>
      <status>unmodified</status>
      <modifiedWord/>
      <trackRevisions>false</trackRevisions>
    </reviewItem>
    <reviewItem>
      <errorID>0b2d2b64-9966-483e-9eed-f51905199763</errorID>
      <errorWord>根据现场踏勘及收集资料显示</errorWord>
      <group>L1_Grammar</group>
      <groupName>语法问题</groupName>
      <ability>L2_Grammar</ability>
      <abilityName>语法错误</abilityName>
      <candidateList>
        <item>根据现场踏勘及收集资料</item>
      </candidateList>
      <explain>该表达中的“根据现场踏勘及收集资料显示”存在语义重复。</explain>
      <paraID>2C269410</paraID>
      <start>0</start>
      <end>13</end>
      <status>unmodified</status>
      <modifiedWord/>
      <trackRevisions>false</trackRevisions>
    </reviewItem>
    <reviewItem>
      <errorID>c8411cdf-1790-4cea-87cc-05933922aa09</errorID>
      <errorWord>、</errorWord>
      <group>L1_Punc</group>
      <groupName>标点问题</groupName>
      <ability>L2_Punc</ability>
      <abilityName>标点符号检查</abilityName>
      <candidateList>
        <item>.</item>
      </candidateList>
      <explain/>
      <paraID>77B649F7</paraID>
      <start>1</start>
      <end>2</end>
      <status>unmodified</status>
      <modifiedWord/>
      <trackRevisions>false</trackRevisions>
    </reviewItem>
    <reviewItem>
      <errorID>6c0a4aa5-c40a-420f-8734-f2fd47584091</errorID>
      <errorWord>事</errorWord>
      <group>L1_Word</group>
      <groupName>字词问题</groupName>
      <ability>L2_Typo</ability>
      <abilityName>字词错误</abilityName>
      <candidateList>
        <item>事故</item>
      </candidateList>
      <explain/>
      <paraID>77B649F7</paraID>
      <start>56</start>
      <end>57</end>
      <status>unmodified</status>
      <modifiedWord/>
      <trackRevisions>false</trackRevisions>
    </reviewItem>
    <reviewItem>
      <errorID>47086f11-cd44-4f61-8fbb-1dfcb58a1999</errorID>
      <errorWord>、</errorWord>
      <group>L1_Punc</group>
      <groupName>标点问题</groupName>
      <ability>L2_Punc</ability>
      <abilityName>标点符号检查</abilityName>
      <candidateList>
        <item>.</item>
      </candidateList>
      <explain/>
      <paraID> 1E1990E</paraID>
      <start>1</start>
      <end>2</end>
      <status>unmodified</status>
      <modifiedWord/>
      <trackRevisions>false</trackRevisions>
    </reviewItem>
    <reviewItem>
      <errorID>de4ed498-ef14-49ad-8f16-48c3d79e946a</errorID>
      <errorWord>必须严格按</errorWord>
      <group>L1_Word</group>
      <groupName>字词问题</groupName>
      <ability>L2_Typo</ability>
      <abilityName>字词错误</abilityName>
      <candidateList>
        <item>必须严格按照</item>
      </candidateList>
      <explain/>
      <paraID> A29C863</paraID>
      <start>143</start>
      <end>148</end>
      <status>unmodified</status>
      <modifiedWord/>
      <trackRevisions>false</trackRevisions>
    </reviewItem>
    <reviewItem>
      <errorID>5023746b-624b-451c-81c1-b5d72e493bc4</errorID>
      <errorWord>-</errorWord>
      <group>L1_Format</group>
      <groupName>格式问题</groupName>
      <ability>L2_HalfPunc</ability>
      <abilityName>全半角检查</abilityName>
      <candidateList>
        <item>－</item>
      </candidateList>
      <explain>文本全半角错误。</explain>
      <paraID>7D40B8A7</paraID>
      <start>11</start>
      <end>12</end>
      <status>unmodified</status>
      <modifiedWord/>
      <trackRevisions>false</trackRevisions>
    </reviewItem>
    <reviewItem>
      <errorID>2f780dcc-a48b-4bfd-9085-5902ff6d5c4b</errorID>
      <errorWord>、及</errorWord>
      <group>L1_Other</group>
      <groupName>其他问题</groupName>
      <ability>L2_UserTypo</ability>
      <abilityName>自定义错误</abilityName>
      <candidateList>
        <item>及</item>
      </candidateList>
      <explain>来自自定义错词库。</explain>
      <paraID>7D40B8A7</paraID>
      <start>88</start>
      <end>90</end>
      <status>unmodified</status>
      <modifiedWord/>
      <trackRevisions>false</trackRevisions>
    </reviewItem>
    <reviewItem>
      <errorID>d2658a74-4232-465c-8f34-6159a9267ea6</errorID>
      <errorWord>渡汛</errorWord>
      <group>L1_Word</group>
      <groupName>字词问题</groupName>
      <ability>L2_Typo</ability>
      <abilityName>字词错误</abilityName>
      <candidateList>
        <item>度汛</item>
      </candidateList>
      <explain>〈动〉度过汛期。</explain>
      <paraID>3B49F904</paraID>
      <start>5</start>
      <end>7</end>
      <status>unmodified</status>
      <modifiedWord/>
      <trackRevisions>false</trackRevisions>
    </reviewItem>
    <reviewItem>
      <errorID>662ba324-94cf-497e-b265-1edd1642ed99</errorID>
      <errorWord>渡汛</errorWord>
      <group>L1_Word</group>
      <groupName>字词问题</groupName>
      <ability>L2_Typo</ability>
      <abilityName>字词错误</abilityName>
      <candidateList>
        <item>度汛</item>
      </candidateList>
      <explain>〈动〉度过汛期。</explain>
      <paraID>273AF9FF</paraID>
      <start>12</start>
      <end>14</end>
      <status>unmodified</status>
      <modifiedWord/>
      <trackRevisions>false</trackRevisions>
    </reviewItem>
    <reviewItem>
      <errorID>a513f043-46c7-4520-913d-18f54c2d59ee</errorID>
      <errorWord>必须严格按</errorWord>
      <group>L1_Word</group>
      <groupName>字词问题</groupName>
      <ability>L2_Typo</ability>
      <abilityName>字词错误</abilityName>
      <candidateList>
        <item>必须严格按照</item>
      </candidateList>
      <explain/>
      <paraID>76487B20</paraID>
      <start>12</start>
      <end>17</end>
      <status>unmodified</status>
      <modifiedWord/>
      <trackRevisions>false</trackRevisions>
    </reviewItem>
    <reviewItem>
      <errorID>80e29be4-49cd-4b6a-87e8-a975083b6b40</errorID>
      <errorWord>II级</errorWord>
      <group>L1_Knowledge</group>
      <groupName>知识性问题</groupName>
      <ability>L2_Knowledge</ability>
      <abilityName>其他知识</abilityName>
      <candidateList>
        <item>Ⅱ级</item>
      </candidateList>
      <explain>中文环境下罗马数字格式错误。</explain>
      <paraID>7CB65817</paraID>
      <start>19</start>
      <end>22</end>
      <status>unmodified</status>
      <modifiedWord/>
      <trackRevisions>false</trackRevisions>
    </reviewItem>
    <reviewItem>
      <errorID>8bfab792-0f99-43ee-825e-3cdc8a6bfe0a</errorID>
      <errorWord>II级</errorWord>
      <group>L1_Knowledge</group>
      <groupName>知识性问题</groupName>
      <ability>L2_Knowledge</ability>
      <abilityName>其他知识</abilityName>
      <candidateList>
        <item>Ⅱ级</item>
      </candidateList>
      <explain>中文环境下罗马数字格式错误。</explain>
      <paraID>4776211A</paraID>
      <start>20</start>
      <end>23</end>
      <status>unmodified</status>
      <modifiedWord/>
      <trackRevisions>false</trackRevisions>
    </reviewItem>
    <reviewItem>
      <errorID>42cbb1ce-24f5-4db7-b49d-dab407f8c3fc</errorID>
      <errorWord>II级</errorWord>
      <group>L1_Knowledge</group>
      <groupName>知识性问题</groupName>
      <ability>L2_Knowledge</ability>
      <abilityName>其他知识</abilityName>
      <candidateList>
        <item>Ⅱ级</item>
      </candidateList>
      <explain>中文环境下罗马数字格式错误。</explain>
      <paraID>4776211A</paraID>
      <start>64</start>
      <end>67</end>
      <status>unmodified</status>
      <modifiedWord/>
      <trackRevisions>false</trackRevisions>
    </reviewItem>
    <reviewItem>
      <errorID>9ba9a703-1e3e-4c00-8335-a49f6ba9e11b</errorID>
      <errorWord>III级</errorWord>
      <group>L1_Knowledge</group>
      <groupName>知识性问题</groupName>
      <ability>L2_Knowledge</ability>
      <abilityName>其他知识</abilityName>
      <candidateList>
        <item>Ⅲ级</item>
      </candidateList>
      <explain>中文环境下罗马数字格式错误。</explain>
      <paraID>75304E07</paraID>
      <start>19</start>
      <end>23</end>
      <status>unmodified</status>
      <modifiedWord/>
      <trackRevisions>false</trackRevisions>
    </reviewItem>
    <reviewItem>
      <errorID>a45a91c0-2331-4358-9fcb-08a6dba0c2a5</errorID>
      <errorWord>III级</errorWord>
      <group>L1_Knowledge</group>
      <groupName>知识性问题</groupName>
      <ability>L2_Knowledge</ability>
      <abilityName>其他知识</abilityName>
      <candidateList>
        <item>Ⅲ级</item>
      </candidateList>
      <explain>中文环境下罗马数字格式错误。</explain>
      <paraID>2F0CC0AE</paraID>
      <start>65</start>
      <end>69</end>
      <status>unmodified</status>
      <modifiedWord/>
      <trackRevisions>false</trackRevisions>
    </reviewItem>
    <reviewItem>
      <errorID>8650773f-c3c8-47ac-821d-c3b6ce116726</errorID>
      <errorWord>救援和</errorWord>
      <group>L1_Word</group>
      <groupName>字词问题</groupName>
      <ability>L2_Typo</ability>
      <abilityName>字词错误</abilityName>
      <candidateList>
        <item>救援</item>
      </candidateList>
      <explain>〈动〉援救：请求～｜～人员。</explain>
      <paraID>2F0CC0AE</paraID>
      <start>90</start>
      <end>93</end>
      <status>unmodified</status>
      <modifiedWord/>
      <trackRevisions>false</trackRevisions>
    </reviewItem>
    <reviewItem>
      <errorID>811b4945-32d1-4b0b-952d-142bfa7a1959</errorID>
      <errorWord>才能再</errorWord>
      <group>L1_Word</group>
      <groupName>字词问题</groupName>
      <ability>L2_Typo</ability>
      <abilityName>字词错误</abilityName>
      <candidateList>
        <item>才能</item>
      </candidateList>
      <explain/>
      <paraID>2F0CC0AE</paraID>
      <start>151</start>
      <end>154</end>
      <status>unmodified</status>
      <modifiedWord/>
      <trackRevisions>false</trackRevisions>
    </reviewItem>
    <reviewItem>
      <errorID>ddb4f7ae-12ea-4c67-b2d1-bdf3297d9f1f</errorID>
      <errorWord>（/</errorWord>
      <group>L1_Punc</group>
      <groupName>标点问题</groupName>
      <ability>L2_Punc</ability>
      <abilityName>标点符号检查</abilityName>
      <candidateList>
        <item>（</item>
      </candidateList>
      <explain/>
      <paraID>43642909</paraID>
      <start>0</start>
      <end>2</end>
      <status>unmodified</status>
      <modifiedWord/>
      <trackRevisions>false</trackRevisions>
    </reviewItem>
    <reviewItem>
      <errorID>04c75be7-3cb3-4c67-8147-ec5ffa508a7e</errorID>
      <errorWord>噪音</errorWord>
      <group>L1_Word</group>
      <groupName>字词问题</groupName>
      <ability>L2_Alias</ability>
      <abilityName>也作/曾用词</abilityName>
      <candidateList>
        <item>噪声</item>
      </candidateList>
      <explain>词汇[噪音]为不规范表述或旧称，其规范书面表述为[噪声]。</explain>
      <paraID>51515E67</paraID>
      <start>9</start>
      <end>11</end>
      <status>unmodified</status>
      <modifiedWord/>
      <trackRevisions>false</trackRevisions>
    </reviewItem>
    <reviewItem>
      <errorID>ca89814f-e99c-42db-9a22-54b2b48b01e9</errorID>
      <errorWord>抛撒</errorWord>
      <group>L1_Word</group>
      <groupName>字词问题</groupName>
      <ability>L2_Typo</ability>
      <abilityName>字词错误</abilityName>
      <candidateList>
        <item>抛洒</item>
      </candidateList>
      <explain/>
      <paraID>7440824A</paraID>
      <start>50</start>
      <end>52</end>
      <status>unmodified</status>
      <modifiedWord/>
      <trackRevisions>false</trackRevisions>
    </reviewItem>
    <reviewItem>
      <errorID>891032a8-0c36-4fe2-88a0-844c5e4b65cd</errorID>
      <errorWord>配设</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62EE2CE6</paraID>
      <start>3</start>
      <end>5</end>
      <status>unmodified</status>
      <modifiedWord/>
      <trackRevisions>false</trackRevisions>
    </reviewItem>
    <reviewItem>
      <errorID>fe59d845-954c-4cfa-be0e-30d64ea37851</errorID>
      <errorWord>地段区</errorWord>
      <group>L1_Word</group>
      <groupName>字词问题</groupName>
      <ability>L2_Typo</ability>
      <abilityName>字词错误</abilityName>
      <candidateList>
        <item>地段</item>
      </candidateList>
      <explain/>
      <paraID>432539BD</paraID>
      <start>12</start>
      <end>15</end>
      <status>unmodified</status>
      <modifiedWord/>
      <trackRevisions>false</trackRevisions>
    </reviewItem>
    <reviewItem>
      <errorID>45982c78-2d58-4ad1-b1a7-ee263f31b5b1</errorID>
      <errorWord>法律、法规</errorWord>
      <group>L1_Word</group>
      <groupName>字词问题</groupName>
      <ability>L2_Typo</ability>
      <abilityName>字词错误</abilityName>
      <candidateList>
        <item>法律法规</item>
      </candidateList>
      <explain/>
      <paraID>384934F4</paraID>
      <start>58</start>
      <end>63</end>
      <status>unmodified</status>
      <modifiedWord/>
      <trackRevisions>false</trackRevisions>
    </reviewItem>
    <reviewItem>
      <errorID>90b17a42-ca34-4383-a61d-74312b0a7fff</errorID>
      <errorWord>99%~99.99%</errorWord>
      <group>L1_Knowledge</group>
      <groupName>知识性问题</groupName>
      <ability>L2_Knowledge</ability>
      <abilityName>其他知识</abilityName>
      <candidateList>
        <item>99%～99.99%</item>
      </candidateList>
      <explain>1. “99%~99.99%”中的单位“%”仅出现在后一个数字上，容易引起歧义；根据《现代汉语标点符号数字用法规范手册》，数字表示范围两边需要使用统一的格式。2. 根据标点国标 4.13 中的规则，数字、时间或地域连接符应使用（视觉上更长的）“—”或“～”。</explain>
      <paraID>372D57A5</paraID>
      <start>11</start>
      <end>21</end>
      <status>unmodified</status>
      <modifiedWord/>
      <trackRevisions>false</trackRevisions>
    </reviewItem>
    <reviewItem>
      <errorID>b0570273-8d32-41cf-ab83-8659dec92ec3</errorID>
      <errorWord>：</errorWord>
      <group>L1_Format</group>
      <groupName>格式问题</groupName>
      <ability>L2_HalfPunc</ability>
      <abilityName>全半角检查</abilityName>
      <candidateList>
        <item>:</item>
      </candidateList>
      <explain>文本全半角错误。</explain>
      <paraID>650EE38C</paraID>
      <start>108</start>
      <end>109</end>
      <status>unmodified</status>
      <modifiedWord/>
      <trackRevisions>false</trackRevisions>
    </reviewItem>
    <reviewItem>
      <errorID>404a5191-4e8c-4f43-b5f7-b13df73a053d</errorID>
      <errorWord>-</errorWord>
      <group>L1_Format</group>
      <groupName>格式问题</groupName>
      <ability>L2_HalfPunc</ability>
      <abilityName>全半角检查</abilityName>
      <candidateList>
        <item>－</item>
      </candidateList>
      <explain>文本全半角错误。</explain>
      <paraID>6F4C7503</paraID>
      <start>25</start>
      <end>26</end>
      <status>unmodified</status>
      <modifiedWord/>
      <trackRevisions>false</trackRevisions>
    </reviewItem>
    <reviewItem>
      <errorID>6872c6af-ad5b-4fc1-9bef-ab9f773b35e1</errorID>
      <errorWord>~</errorWord>
      <group>L1_Format</group>
      <groupName>格式问题</groupName>
      <ability>L2_HalfPunc</ability>
      <abilityName>全半角检查</abilityName>
      <candidateList>
        <item>～</item>
      </candidateList>
      <explain>文本全半角错误。</explain>
      <paraID> B442F75</paraID>
      <start>249</start>
      <end>250</end>
      <status>unmodified</status>
      <modifiedWord/>
      <trackRevisions>false</trackRevisions>
    </reviewItem>
    <reviewItem>
      <errorID>c11ccf67-4cee-4da8-815c-8d57f1964958</errorID>
      <errorWord>成</errorWord>
      <group>L1_Word</group>
      <groupName>字词问题</groupName>
      <ability>L2_Typo</ability>
      <abilityName>字词错误</abilityName>
      <candidateList>
        <item>或</item>
      </candidateList>
      <explain>存在字形相近字词的误用。</explain>
      <paraID>6489BC7C</paraID>
      <start>54</start>
      <end>55</end>
      <status>unmodified</status>
      <modifiedWord/>
      <trackRevisions>false</trackRevisions>
    </reviewItem>
    <reviewItem>
      <errorID>c719ee6d-b295-4529-8a76-d2a3653e5856</errorID>
      <errorWord>制订</errorWord>
      <group>L1_Word</group>
      <groupName>字词问题</groupName>
      <ability>L2_Typo</ability>
      <abilityName>字词错误</abilityName>
      <candidateList>
        <item>制定</item>
      </candidateList>
      <explain>存在发音相同字词的误用。</explain>
      <paraID>11330D94</paraID>
      <start>16</start>
      <end>18</end>
      <status>unmodified</status>
      <modifiedWord/>
      <trackRevisions>false</trackRevisions>
    </reviewItem>
    <reviewItem>
      <errorID>3ce47332-46c8-4e02-bd8f-c62e3aef0e50</errorID>
      <errorWord>防止</errorWord>
      <group>L1_Word</group>
      <groupName>字词问题</groupName>
      <ability>L2_Typo</ability>
      <abilityName>字词错误</abilityName>
      <candidateList>
        <item>防治</item>
      </candidateList>
      <explain>存在发音相同字词的误用。</explain>
      <paraID>3174F033</paraID>
      <start>32</start>
      <end>34</end>
      <status>unmodified</status>
      <modifiedWord/>
      <trackRevisions>false</trackRevisions>
    </reviewItem>
    <reviewItem>
      <errorID>68fe6bdb-ceb3-469c-904b-c8e6ccef967e</errorID>
      <errorWord>须设</errorWord>
      <group>L1_Word</group>
      <groupName>字词问题</groupName>
      <ability>L2_Typo</ability>
      <abilityName>字词错误</abilityName>
      <candidateList>
        <item>需设</item>
      </candidateList>
      <explain/>
      <paraID>6B68A8F8</paraID>
      <start>36</start>
      <end>38</end>
      <status>unmodified</status>
      <modifiedWord/>
      <trackRevisions>false</trackRevisions>
    </reviewItem>
    <reviewItem>
      <errorID>e794dbad-526d-474a-ae63-ef3d393eb305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6B68A8F8</paraID>
      <start>80</start>
      <end>81</end>
      <status>unmodified</status>
      <modifiedWord/>
      <trackRevisions>false</trackRevisions>
    </reviewItem>
    <reviewItem>
      <errorID>c4465aa6-f5fd-42c2-a198-538c7c8e3228</errorID>
      <errorWord>其它</errorWord>
      <group>L1_Word</group>
      <groupName>字词问题</groupName>
      <ability>L2_Alias</ability>
      <abilityName>也作/曾用词</abilityName>
      <candidateList>
        <item>其他</item>
      </candidateList>
      <explain>词汇[其它]为不规范表述或旧称，其规范书面表述为[其他]。</explain>
      <paraID>7913E181</paraID>
      <start>8</start>
      <end>10</end>
      <status>unmodified</status>
      <modifiedWord/>
      <trackRevisions>false</trackRevisions>
    </reviewItem>
    <reviewItem>
      <errorID>445ebbe9-8ab3-42e6-be19-1fdeffc06497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7913E181</paraID>
      <start>49</start>
      <end>50</end>
      <status>unmodified</status>
      <modifiedWord/>
      <trackRevisions>false</trackRevisions>
    </reviewItem>
    <reviewItem>
      <errorID>85ed3ef2-ec2a-47ba-833b-a501895c51e7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192EED24</paraID>
      <start>22</start>
      <end>23</end>
      <status>unmodified</status>
      <modifiedWord/>
      <trackRevisions>false</trackRevisions>
    </reviewItem>
    <reviewItem>
      <errorID>3279a837-968c-44f6-966f-cad4c1c60bae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48D52EBF</paraID>
      <start>24</start>
      <end>25</end>
      <status>unmodified</status>
      <modifiedWord/>
      <trackRevisions>false</trackRevisions>
    </reviewItem>
    <reviewItem>
      <errorID>dcf01257-00be-4ac6-86b8-29a4117c0843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4E3A6AAC</paraID>
      <start>56</start>
      <end>57</end>
      <status>unmodified</status>
      <modifiedWord/>
      <trackRevisions>false</trackRevisions>
    </reviewItem>
    <reviewItem>
      <errorID>14c75eec-5aad-4b39-a7b6-569884c3f3c0</errorID>
      <errorWord>-</errorWord>
      <group>L1_Format</group>
      <groupName>格式问题</groupName>
      <ability>L2_HalfPunc</ability>
      <abilityName>全半角检查</abilityName>
      <candidateList>
        <item>－</item>
      </candidateList>
      <explain>文本全半角错误。</explain>
      <paraID> 26A3E96</paraID>
      <start>213</start>
      <end>214</end>
      <status>unmodified</status>
      <modifiedWord/>
      <trackRevisions>false</trackRevisions>
    </reviewItem>
    <reviewItem>
      <errorID>99a5a101-bc5b-4c45-a488-bba70b1f29aa</errorID>
      <errorWord>-</errorWord>
      <group>L1_Format</group>
      <groupName>格式问题</groupName>
      <ability>L2_HalfPunc</ability>
      <abilityName>全半角检查</abilityName>
      <candidateList>
        <item>－</item>
      </candidateList>
      <explain>文本全半角错误。</explain>
      <paraID> 26A3E96</paraID>
      <start>218</start>
      <end>219</end>
      <status>unmodified</status>
      <modifiedWord/>
      <trackRevisions>false</trackRevisions>
    </reviewItem>
    <reviewItem>
      <errorID>d3cdfa95-2c5a-4a7f-8f26-72c34f9dc5e7</errorID>
      <errorWord>-</errorWord>
      <group>L1_Format</group>
      <groupName>格式问题</groupName>
      <ability>L2_HalfPunc</ability>
      <abilityName>全半角检查</abilityName>
      <candidateList>
        <item>－</item>
      </candidateList>
      <explain>文本全半角错误。</explain>
      <paraID> 26A3E96</paraID>
      <start>223</start>
      <end>224</end>
      <status>unmodified</status>
      <modifiedWord/>
      <trackRevisions>false</trackRevisions>
    </reviewItem>
    <reviewItem>
      <errorID>42ca4c6e-f6c5-4324-8054-11db8d320e62</errorID>
      <errorWord>-</errorWord>
      <group>L1_Format</group>
      <groupName>格式问题</groupName>
      <ability>L2_HalfPunc</ability>
      <abilityName>全半角检查</abilityName>
      <candidateList>
        <item>－</item>
      </candidateList>
      <explain>文本全半角错误。</explain>
      <paraID> 26A3E96</paraID>
      <start>228</start>
      <end>229</end>
      <status>unmodified</status>
      <modifiedWord/>
      <trackRevisions>false</trackRevisions>
    </reviewItem>
    <reviewItem>
      <errorID>a4bcf1d0-09d4-4374-add1-599ccca48c6a</errorID>
      <errorWord>-</errorWord>
      <group>L1_Format</group>
      <groupName>格式问题</groupName>
      <ability>L2_HalfPunc</ability>
      <abilityName>全半角检查</abilityName>
      <candidateList>
        <item>－</item>
      </candidateList>
      <explain>文本全半角错误。</explain>
      <paraID> 26A3E96</paraID>
      <start>231</start>
      <end>232</end>
      <status>unmodified</status>
      <modifiedWord/>
      <trackRevisions>false</trackRevisions>
    </reviewItem>
    <reviewItem>
      <errorID>63ddd585-de83-469d-8f47-bb81b0f655cb</errorID>
      <errorWord>-</errorWord>
      <group>L1_Format</group>
      <groupName>格式问题</groupName>
      <ability>L2_HalfPunc</ability>
      <abilityName>全半角检查</abilityName>
      <candidateList>
        <item>－</item>
      </candidateList>
      <explain>文本全半角错误。</explain>
      <paraID> 26A3E96</paraID>
      <start>237</start>
      <end>238</end>
      <status>unmodified</status>
      <modifiedWord/>
      <trackRevisions>false</trackRevisions>
    </reviewItem>
    <reviewItem>
      <errorID>3c0f11a9-2486-4739-a788-a23fdec35f63</errorID>
      <errorWord>II类</errorWord>
      <group>L1_Knowledge</group>
      <groupName>知识性问题</groupName>
      <ability>L2_Knowledge</ability>
      <abilityName>其他知识</abilityName>
      <candidateList>
        <item>Ⅱ类</item>
      </candidateList>
      <explain>中文环境下罗马数字格式错误。</explain>
      <paraID>71D51CCF</paraID>
      <start>2</start>
      <end>5</end>
      <status>unmodified</status>
      <modifiedWord/>
      <trackRevisions>false</trackRevisions>
    </reviewItem>
    <reviewItem>
      <errorID>97681f8c-87b3-4281-91ce-5290b917ed83</errorID>
      <errorWord>II类</errorWord>
      <group>L1_Knowledge</group>
      <groupName>知识性问题</groupName>
      <ability>L2_Knowledge</ability>
      <abilityName>其他知识</abilityName>
      <candidateList>
        <item>Ⅱ类</item>
      </candidateList>
      <explain>中文环境下罗马数字格式错误。</explain>
      <paraID>742BC7A0</paraID>
      <start>1</start>
      <end>4</end>
      <status>unmodified</status>
      <modifiedWord/>
      <trackRevisions>false</trackRevisions>
    </reviewItem>
    <reviewItem>
      <errorID>847e5272-581e-4915-a2ab-b3041d2aea4c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14BBA019</paraID>
      <start>50</start>
      <end>51</end>
      <status>unmodified</status>
      <modifiedWord/>
      <trackRevisions>false</trackRevisions>
    </reviewItem>
    <reviewItem>
      <errorID>0e294102-8bcb-433b-bc91-0e1794101f3f</errorID>
      <errorWord>II类</errorWord>
      <group>L1_Knowledge</group>
      <groupName>知识性问题</groupName>
      <ability>L2_Knowledge</ability>
      <abilityName>其他知识</abilityName>
      <candidateList>
        <item>Ⅱ类</item>
      </candidateList>
      <explain>中文环境下罗马数字格式错误。</explain>
      <paraID>5CE0F28C</paraID>
      <start>1</start>
      <end>4</end>
      <status>unmodified</status>
      <modifiedWord/>
      <trackRevisions>false</trackRevisions>
    </reviewItem>
    <reviewItem>
      <errorID>74c36960-a96d-4896-8dc3-63e7e7455af0</errorID>
      <errorWord>II类</errorWord>
      <group>L1_Knowledge</group>
      <groupName>知识性问题</groupName>
      <ability>L2_Knowledge</ability>
      <abilityName>其他知识</abilityName>
      <candidateList>
        <item>Ⅱ类</item>
      </candidateList>
      <explain>中文环境下罗马数字格式错误。</explain>
      <paraID>5CE0F28C</paraID>
      <start>80</start>
      <end>83</end>
      <status>unmodified</status>
      <modifiedWord/>
      <trackRevisions>false</trackRevisions>
    </reviewItem>
    <reviewItem>
      <errorID>d7a25eb6-65ff-465c-8370-0c44aa1d8d1a</errorID>
      <errorWord>II类</errorWord>
      <group>L1_Knowledge</group>
      <groupName>知识性问题</groupName>
      <ability>L2_Knowledge</ability>
      <abilityName>其他知识</abilityName>
      <candidateList>
        <item>Ⅱ类</item>
      </candidateList>
      <explain>中文环境下罗马数字格式错误。</explain>
      <paraID>66E2072E</paraID>
      <start>1</start>
      <end>4</end>
      <status>unmodified</status>
      <modifiedWord/>
      <trackRevisions>false</trackRevisions>
    </reviewItem>
    <reviewItem>
      <errorID>f67d1435-0557-4d40-a59f-71ed6c438263</errorID>
      <errorWord>进一步加强对</errorWord>
      <group>L1_Word</group>
      <groupName>字词问题</groupName>
      <ability>L2_Typo</ability>
      <abilityName>字词错误</abilityName>
      <candidateList>
        <item>进一步加强</item>
      </candidateList>
      <explain/>
      <paraID>3BB7EC39</paraID>
      <start>46</start>
      <end>52</end>
      <status>unmodified</status>
      <modifiedWord/>
      <trackRevisions>false</trackRevisions>
    </reviewItem>
    <reviewItem>
      <errorID>3c03a351-2c53-42a2-9dc4-89aa3ed217ee</errorID>
      <errorWord>法律、法规</errorWord>
      <group>L1_Word</group>
      <groupName>字词问题</groupName>
      <ability>L2_Typo</ability>
      <abilityName>字词错误</abilityName>
      <candidateList>
        <item>法律法规</item>
      </candidateList>
      <explain/>
      <paraID>5514B803</paraID>
      <start>13</start>
      <end>18</end>
      <status>unmodified</status>
      <modifiedWord/>
      <trackRevisions>false</trackRevisions>
    </reviewItem>
    <reviewItem>
      <errorID>2f37594c-ce12-4602-a0e5-1b2c81f8c3ae</errorID>
      <errorWord>法律、法规</errorWord>
      <group>L1_Word</group>
      <groupName>字词问题</groupName>
      <ability>L2_Typo</ability>
      <abilityName>字词错误</abilityName>
      <candidateList>
        <item>法律法规</item>
      </candidateList>
      <explain/>
      <paraID>5CE3FCD2</paraID>
      <start>21</start>
      <end>26</end>
      <status>unmodified</status>
      <modifiedWord/>
      <trackRevisions>false</trackRevisions>
    </reviewItem>
    <reviewItem>
      <errorID>6ce1032c-b614-48e9-b78f-c5bb8769956e</errorID>
      <errorWord>~</errorWord>
      <group>L1_Format</group>
      <groupName>格式问题</groupName>
      <ability>L2_HalfPunc</ability>
      <abilityName>全半角检查</abilityName>
      <candidateList>
        <item>～</item>
      </candidateList>
      <explain>文本全半角错误。</explain>
      <paraID>6DEE974D</paraID>
      <start>133</start>
      <end>134</end>
      <status>unmodified</status>
      <modifiedWord/>
      <trackRevisions>false</trackRevisions>
    </reviewItem>
    <reviewItem>
      <errorID>81747548-4858-4f54-aaa1-15b15067569a</errorID>
      <errorWord>，</errorWord>
      <group>L1_Word</group>
      <groupName>字词问题</groupName>
      <ability>L2_Typo</ability>
      <abilityName>字词错误</abilityName>
      <candidateList>
        <item>，事</item>
      </candidateList>
      <explain/>
      <paraID>5513C140</paraID>
      <start>34</start>
      <end>35</end>
      <status>unmodified</status>
      <modifiedWord/>
      <trackRevisions>false</trackRevisions>
    </reviewItem>
    <reviewItem>
      <errorID>35d4443f-7e8a-47b4-8dc8-d9c25727f04e</errorID>
      <errorWord>~</errorWord>
      <group>L1_Format</group>
      <groupName>格式问题</groupName>
      <ability>L2_HalfPunc</ability>
      <abilityName>全半角检查</abilityName>
      <candidateList>
        <item>～</item>
      </candidateList>
      <explain>文本全半角错误。</explain>
      <paraID>76876B91</paraID>
      <start>200</start>
      <end>201</end>
      <status>unmodified</status>
      <modifiedWord/>
      <trackRevisions>false</trackRevisions>
    </reviewItem>
    <reviewItem>
      <errorID>e4bbfbd7-f780-452a-b9b3-f456a4a02ba7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442AFB63</paraID>
      <start>80</start>
      <end>81</end>
      <status>unmodified</status>
      <modifiedWord/>
      <trackRevisions>false</trackRevisions>
    </reviewItem>
    <reviewItem>
      <errorID>39ab36b8-146e-4c2e-8e6a-e10159d07c21</errorID>
      <errorWord>~</errorWord>
      <group>L1_Format</group>
      <groupName>格式问题</groupName>
      <ability>L2_HalfPunc</ability>
      <abilityName>全半角检查</abilityName>
      <candidateList>
        <item>～</item>
      </candidateList>
      <explain>文本全半角错误。</explain>
      <paraID>1317816C</paraID>
      <start>24</start>
      <end>25</end>
      <status>unmodified</status>
      <modifiedWord/>
      <trackRevisions>false</trackRevisions>
    </reviewItem>
    <reviewItem>
      <errorID>98cf1b36-6266-446c-89df-83b37966a9be</errorID>
      <errorWord>其它</errorWord>
      <group>L1_Word</group>
      <groupName>字词问题</groupName>
      <ability>L2_Alias</ability>
      <abilityName>也作/曾用词</abilityName>
      <candidateList>
        <item>其他</item>
      </candidateList>
      <explain>词汇[其它]为不规范表述或旧称，其规范书面表述为[其他]。</explain>
      <paraID>621017EC</paraID>
      <start>40</start>
      <end>42</end>
      <status>unmodified</status>
      <modifiedWord/>
      <trackRevisions>false</trackRevisions>
    </reviewItem>
    <reviewItem>
      <errorID>6cb7ec1e-1bc9-455e-be28-2c1a6b9243bb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7773EA62</paraID>
      <start>0</start>
      <end>2</end>
      <status>unmodified</status>
      <modifiedWord/>
      <trackRevisions>false</trackRevisions>
    </reviewItem>
    <reviewItem>
      <errorID>e7ef1078-f8ca-4651-bf06-3375e3341aea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48BC296D</paraID>
      <start>0</start>
      <end>2</end>
      <status>unmodified</status>
      <modifiedWord/>
      <trackRevisions>false</trackRevisions>
    </reviewItem>
    <reviewItem>
      <errorID>73883ecd-3c0b-4fab-9a8e-3ebc347d6ebe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3D5799C0</paraID>
      <start>0</start>
      <end>2</end>
      <status>unmodified</status>
      <modifiedWord/>
      <trackRevisions>false</trackRevisions>
    </reviewItem>
    <reviewItem>
      <errorID>f0906ac9-e812-4934-8d59-56d7d9c78c94</errorID>
      <errorWord>厂</errorWord>
      <group>L1_Word</group>
      <groupName>字词问题</groupName>
      <ability>L2_Typo</ability>
      <abilityName>字词错误</abilityName>
      <candidateList>
        <item>场</item>
      </candidateList>
      <explain/>
      <paraID>3D5799C0</paraID>
      <start>6</start>
      <end>7</end>
      <status>unmodified</status>
      <modifiedWord/>
      <trackRevisions>false</trackRevisions>
    </reviewItem>
    <reviewItem>
      <errorID>8b16b797-485b-43a9-90ba-78cd3d7aa3a9</errorID>
      <errorWord>当地的</errorWord>
      <group>L1_Word</group>
      <groupName>字词问题</groupName>
      <ability>L2_Typo</ability>
      <abilityName>字词错误</abilityName>
      <candidateList>
        <item>当地</item>
      </candidateList>
      <explain/>
      <paraID>3D5799C0</paraID>
      <start>24</start>
      <end>27</end>
      <status>unmodified</status>
      <modifiedWord/>
      <trackRevisions>false</trackRevisions>
    </reviewItem>
    <reviewItem>
      <errorID>5bf5a8aa-5a13-459c-a5a1-fed0b91b9d4b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5A1D54A4</paraID>
      <start>0</start>
      <end>2</end>
      <status>unmodified</status>
      <modifiedWord/>
      <trackRevisions>false</trackRevisions>
    </reviewItem>
    <reviewItem>
      <errorID>1efd432a-c1cc-4560-9879-2577feb11cb2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21630DFE</paraID>
      <start>0</start>
      <end>2</end>
      <status>unmodified</status>
      <modifiedWord/>
      <trackRevisions>false</trackRevisions>
    </reviewItem>
    <reviewItem>
      <errorID>6d83d345-eada-464d-9bb0-b6c31f25cc70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63BE8CF1</paraID>
      <start>0</start>
      <end>2</end>
      <status>unmodified</status>
      <modifiedWord/>
      <trackRevisions>false</trackRevisions>
    </reviewItem>
    <reviewItem>
      <errorID>a880a187-758b-4824-805b-ab92537f61e0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281501C2</paraID>
      <start>0</start>
      <end>2</end>
      <status>unmodified</status>
      <modifiedWord/>
      <trackRevisions>false</trackRevisions>
    </reviewItem>
    <reviewItem>
      <errorID>6b327351-7617-4c35-8a33-14a6ce0c16a1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48EAD1EA</paraID>
      <start>0</start>
      <end>2</end>
      <status>unmodified</status>
      <modifiedWord/>
      <trackRevisions>false</trackRevisions>
    </reviewItem>
    <reviewItem>
      <errorID>9a07ca50-b8e7-4d18-a62e-f00548b70971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28F41362</paraID>
      <start>0</start>
      <end>2</end>
      <status>unmodified</status>
      <modifiedWord/>
      <trackRevisions>false</trackRevisions>
    </reviewItem>
    <reviewItem>
      <errorID>403ff073-28cf-4220-bded-4d61429cac01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33EE4137</paraID>
      <start>0</start>
      <end>2</end>
      <status>unmodified</status>
      <modifiedWord/>
      <trackRevisions>false</trackRevisions>
    </reviewItem>
    <reviewItem>
      <errorID>a6f1269c-6362-4c91-b386-661d281f2372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6C09F3C0</paraID>
      <start>0</start>
      <end>2</end>
      <status>unmodified</status>
      <modifiedWord/>
      <trackRevisions>false</trackRevisions>
    </reviewItem>
    <reviewItem>
      <errorID>8678b1d6-c8ce-4147-bb58-ba9c3b9ad951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568B423C</paraID>
      <start>0</start>
      <end>2</end>
      <status>unmodified</status>
      <modifiedWord/>
      <trackRevisions>false</trackRevisions>
    </reviewItem>
    <reviewItem>
      <errorID>96c98029-4e91-47f4-84e2-e2ba4550bcd4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2AE4C486</paraID>
      <start>0</start>
      <end>2</end>
      <status>unmodified</status>
      <modifiedWord/>
      <trackRevisions>false</trackRevisions>
    </reviewItem>
    <reviewItem>
      <errorID>f3686759-8b84-4bf3-95c7-4958008d42cd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2BDCAAD1</paraID>
      <start>0</start>
      <end>2</end>
      <status>unmodified</status>
      <modifiedWord/>
      <trackRevisions>false</trackRevisions>
    </reviewItem>
    <reviewItem>
      <errorID>80cc3c75-1658-4aa9-a64c-f96a0be36f8d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3DA3A9CF</paraID>
      <start>0</start>
      <end>2</end>
      <status>unmodified</status>
      <modifiedWord/>
      <trackRevisions>false</trackRevisions>
    </reviewItem>
    <reviewItem>
      <errorID>de2d5f01-e6a8-4b74-af6f-fcf317423a55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4E596AFA</paraID>
      <start>0</start>
      <end>2</end>
      <status>unmodified</status>
      <modifiedWord/>
      <trackRevisions>false</trackRevisions>
    </reviewItem>
    <reviewItem>
      <errorID>930f8f81-2901-4471-a615-4eaa319bdfbf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10C654D9</paraID>
      <start>0</start>
      <end>2</end>
      <status>unmodified</status>
      <modifiedWord/>
      <trackRevisions>false</trackRevisions>
    </reviewItem>
    <reviewItem>
      <errorID>3710fc09-45d2-4d9f-9035-c762d206b066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412FE05B</paraID>
      <start>0</start>
      <end>2</end>
      <status>unmodified</status>
      <modifiedWord/>
      <trackRevisions>false</trackRevisions>
    </reviewItem>
    <reviewItem>
      <errorID>caa8ca87-4dcd-4a1f-950c-f432513e4d69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5057A835</paraID>
      <start>0</start>
      <end>2</end>
      <status>unmodified</status>
      <modifiedWord/>
      <trackRevisions>false</trackRevisions>
    </reviewItem>
    <reviewItem>
      <errorID>65c9f84d-55aa-4697-9f8d-d89970d37a43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79393D0C</paraID>
      <start>0</start>
      <end>2</end>
      <status>unmodified</status>
      <modifiedWord/>
      <trackRevisions>false</trackRevisions>
    </reviewItem>
    <reviewItem>
      <errorID>2cad29c4-21a7-4ab4-ba1e-37ee7566ca7e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26B39A21</paraID>
      <start>0</start>
      <end>2</end>
      <status>unmodified</status>
      <modifiedWord/>
      <trackRevisions>false</trackRevisions>
    </reviewItem>
    <reviewItem>
      <errorID>a9994a92-21dc-4b5f-b2a4-9254138a73ab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65FFAF4A</paraID>
      <start>0</start>
      <end>2</end>
      <status>unmodified</status>
      <modifiedWord/>
      <trackRevisions>false</trackRevisions>
    </reviewItem>
    <reviewItem>
      <errorID>91349da5-4d19-47a0-8a7a-d3434d6d8180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3AF285A5</paraID>
      <start>0</start>
      <end>2</end>
      <status>unmodified</status>
      <modifiedWord/>
      <trackRevisions>false</trackRevisions>
    </reviewItem>
    <reviewItem>
      <errorID>e3b03a1c-2055-47e4-a623-27bbd3cb432a</errorID>
      <errorWord>法律、法规</errorWord>
      <group>L1_Word</group>
      <groupName>字词问题</groupName>
      <ability>L2_Typo</ability>
      <abilityName>字词错误</abilityName>
      <candidateList>
        <item>法律法规</item>
      </candidateList>
      <explain/>
      <paraID>2D56B8DA</paraID>
      <start>16</start>
      <end>21</end>
      <status>unmodified</status>
      <modifiedWord/>
      <trackRevisions>false</trackRevisions>
    </reviewItem>
    <reviewItem>
      <errorID>2e2f47aa-835a-4fec-a194-cd0bb9e56ba0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77B03925</paraID>
      <start>0</start>
      <end>2</end>
      <status>unmodified</status>
      <modifiedWord/>
      <trackRevisions>false</trackRevisions>
    </reviewItem>
    <reviewItem>
      <errorID>8e49bda5-1547-4560-92c1-6106c957c28c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776FF95B</paraID>
      <start>0</start>
      <end>2</end>
      <status>unmodified</status>
      <modifiedWord/>
      <trackRevisions>false</trackRevisions>
    </reviewItem>
    <reviewItem>
      <errorID>5750dd69-5613-47c8-9610-6d648ac1dd4d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3753DDB0</paraID>
      <start>0</start>
      <end>2</end>
      <status>unmodified</status>
      <modifiedWord/>
      <trackRevisions>false</trackRevisions>
    </reviewItem>
    <reviewItem>
      <errorID>0c2a68e0-5f57-4a8c-809d-d8fc1b95e7a8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875B2EA</paraID>
      <start>0</start>
      <end>2</end>
      <status>unmodified</status>
      <modifiedWord/>
      <trackRevisions>false</trackRevisions>
    </reviewItem>
    <reviewItem>
      <errorID>1770f531-a0fc-4ac1-a464-0dbb85488563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19C63E98</paraID>
      <start>0</start>
      <end>2</end>
      <status>unmodified</status>
      <modifiedWord/>
      <trackRevisions>false</trackRevisions>
    </reviewItem>
    <reviewItem>
      <errorID>83817eaa-1422-4989-a805-20c245285e5e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5C56C560</paraID>
      <start>0</start>
      <end>2</end>
      <status>unmodified</status>
      <modifiedWord/>
      <trackRevisions>false</trackRevisions>
    </reviewItem>
    <reviewItem>
      <errorID>0fa90128-bf0f-403a-9168-8819c53620e8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401225E4</paraID>
      <start>0</start>
      <end>2</end>
      <status>unmodified</status>
      <modifiedWord/>
      <trackRevisions>false</trackRevisions>
    </reviewItem>
    <reviewItem>
      <errorID>261beab6-510e-471f-b421-6f5b78b01485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1949812B</paraID>
      <start>0</start>
      <end>2</end>
      <status>unmodified</status>
      <modifiedWord/>
      <trackRevisions>false</trackRevisions>
    </reviewItem>
    <reviewItem>
      <errorID>ec4de9ad-5998-4d6f-bd26-6c44b3ee59f9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4A8E3505</paraID>
      <start>0</start>
      <end>2</end>
      <status>unmodified</status>
      <modifiedWord/>
      <trackRevisions>false</trackRevisions>
    </reviewItem>
    <reviewItem>
      <errorID>d2aae0fe-48aa-4d34-ab95-e0860d2cf3f1</errorID>
      <errorWord>场</errorWord>
      <group>L1_Word</group>
      <groupName>字词问题</groupName>
      <ability>L2_Typo</ability>
      <abilityName>字词错误</abilityName>
      <candidateList>
        <item>厂</item>
      </candidateList>
      <explain>存在发音相同字词的误用。</explain>
      <paraID> F911129</paraID>
      <start>0</start>
      <end>1</end>
      <status>unmodified</status>
      <modifiedWord/>
      <trackRevisions>false</trackRevisions>
    </reviewItem>
    <reviewItem>
      <errorID>086edc73-fa68-4467-b7ea-92b2ad37b36b</errorID>
      <errorWord>每年二次</errorWord>
      <group>L1_Word</group>
      <groupName>字词问题</groupName>
      <ability>L2_Typo</ability>
      <abilityName>字词错误</abilityName>
      <candidateList>
        <item>每年两次</item>
      </candidateList>
      <explain/>
      <paraID>3961F090</paraID>
      <start>7</start>
      <end>11</end>
      <status>unmodified</status>
      <modifiedWord/>
      <trackRevisions>false</trackRevisions>
    </reviewItem>
    <reviewItem>
      <errorID>abe24973-7c42-4c70-8899-05378b58a3b2</errorID>
      <errorWord>~</errorWord>
      <group>L1_Format</group>
      <groupName>格式问题</groupName>
      <ability>L2_HalfPunc</ability>
      <abilityName>全半角检查</abilityName>
      <candidateList>
        <item>～</item>
      </candidateList>
      <explain>文本全半角错误。</explain>
      <paraID>42B4349B</paraID>
      <start>83</start>
      <end>84</end>
      <status>unmodified</status>
      <modifiedWord/>
      <trackRevisions>false</trackRevisions>
    </reviewItem>
    <reviewItem>
      <errorID>4df9918c-7e55-4ae1-9ea6-05d42d895fe3</errorID>
      <errorWord>万</errorWord>
      <group>L1_Word</group>
      <groupName>字词问题</groupName>
      <ability>L2_Typo</ability>
      <abilityName>字词错误</abilityName>
      <candidateList>
        <item>万元</item>
      </candidateList>
      <explain/>
      <paraID>2CCAC628</paraID>
      <start>5</start>
      <end>6</end>
      <status>unmodified</status>
      <modifiedWord/>
      <trackRevisions>false</trackRevisions>
    </reviewItem>
    <reviewItem>
      <errorID>a05fa8f2-35c9-4044-990a-ad966e4d49a9</errorID>
      <errorWord>根据现场监测结果表明</errorWord>
      <group>L1_Grammar</group>
      <groupName>语法问题</groupName>
      <ability>L2_Grammar</ability>
      <abilityName>语法错误</abilityName>
      <candidateList>
        <item>根据现场监测</item>
      </candidateList>
      <explain>该表达中的“根据现场监测结果表明”存在语义重复。</explain>
      <paraID>209913F8</paraID>
      <start>0</start>
      <end>10</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defe31-202b-4ea7-9781-e01ccda42fb0}">
  <ds:schemaRefs/>
</ds:datastoreItem>
</file>

<file path=customXml/itemProps3.xml><?xml version="1.0" encoding="utf-8"?>
<ds:datastoreItem xmlns:ds="http://schemas.openxmlformats.org/officeDocument/2006/customXml" ds:itemID="{1E59BA3C-EA2D-465D-BF3B-755CD99C50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65</Pages>
  <Words>12324</Words>
  <Characters>15032</Characters>
  <Lines>2107</Lines>
  <Paragraphs>593</Paragraphs>
  <TotalTime>151</TotalTime>
  <ScaleCrop>false</ScaleCrop>
  <LinksUpToDate>false</LinksUpToDate>
  <CharactersWithSpaces>15216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2020-08-05T02:46:00Z</dcterms:created>
  <dc:creator>傅春艳</dc:creator>
  <cp:lastModifiedBy>豆丶</cp:lastModifiedBy>
  <cp:lastPrinted>2023-02-10T09:33:00Z</cp:lastPrinted>
  <dcterms:modified xsi:type="dcterms:W3CDTF">2026-07-02T11:48:25Z</dcterms:modified>
  <cp:revision>1039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91DE7E9B3DC14E899F0E662FAD575643_13</vt:lpwstr>
  </property>
  <property fmtid="{D5CDD505-2E9C-101B-9397-08002B2CF9AE}" pid="4" name="KSOTemplateDocerSaveRecord">
    <vt:lpwstr>eyJoZGlkIjoiZjM0ODBhMWM3NjZiYmRhMTE0MmE0MjQ3NTIyZTEwOTAiLCJ1c2VySWQiOiI1ODMwMzcyMDIifQ==</vt:lpwstr>
  </property>
</Properties>
</file>